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85" w:rsidRDefault="009731CB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750485" w:rsidRDefault="009731CB">
      <w:pPr>
        <w:spacing w:after="150"/>
      </w:pPr>
      <w:r>
        <w:rPr>
          <w:b/>
          <w:color w:val="000000"/>
        </w:rPr>
        <w:t>Редакцијски пречишћен текст</w:t>
      </w:r>
    </w:p>
    <w:p w:rsidR="00750485" w:rsidRDefault="009731CB">
      <w:pPr>
        <w:spacing w:after="150"/>
      </w:pPr>
      <w:r>
        <w:rPr>
          <w:color w:val="000000"/>
        </w:rPr>
        <w:t> </w:t>
      </w:r>
    </w:p>
    <w:p w:rsidR="00750485" w:rsidRDefault="009731CB">
      <w:pPr>
        <w:spacing w:after="150"/>
      </w:pPr>
      <w:r>
        <w:rPr>
          <w:color w:val="000000"/>
        </w:rPr>
        <w:t> </w:t>
      </w:r>
    </w:p>
    <w:p w:rsidR="00750485" w:rsidRDefault="009731CB">
      <w:pPr>
        <w:spacing w:after="150"/>
      </w:pPr>
      <w:r>
        <w:rPr>
          <w:color w:val="000000"/>
        </w:rPr>
        <w:t> </w:t>
      </w:r>
    </w:p>
    <w:p w:rsidR="00750485" w:rsidRDefault="009731CB">
      <w:pPr>
        <w:spacing w:after="150"/>
      </w:pPr>
      <w:r>
        <w:rPr>
          <w:color w:val="000000"/>
        </w:rPr>
        <w:t xml:space="preserve">На основу члана 6. став 7, члана 41. став 5, члана 42. став 4, члана 47. ст. 6. и 7, члана 56, члана 71. став 10. </w:t>
      </w:r>
      <w:r>
        <w:rPr>
          <w:color w:val="000000"/>
        </w:rPr>
        <w:t>и члана 73. став 7. Закона о спречавању прања новца и финансирања тероризма („Службени гласник РС”, бр. 113/17 и 91/19),</w:t>
      </w:r>
    </w:p>
    <w:p w:rsidR="00750485" w:rsidRDefault="009731CB">
      <w:pPr>
        <w:spacing w:after="150"/>
      </w:pPr>
      <w:r>
        <w:rPr>
          <w:color w:val="000000"/>
        </w:rPr>
        <w:t>Министар финансија доноси</w:t>
      </w:r>
    </w:p>
    <w:p w:rsidR="00750485" w:rsidRDefault="009731CB">
      <w:pPr>
        <w:spacing w:after="225"/>
        <w:jc w:val="center"/>
      </w:pPr>
      <w:r>
        <w:rPr>
          <w:b/>
          <w:color w:val="000000"/>
        </w:rPr>
        <w:t>ПРАВИЛНИК</w:t>
      </w:r>
    </w:p>
    <w:p w:rsidR="00750485" w:rsidRDefault="009731CB">
      <w:pPr>
        <w:spacing w:after="225"/>
        <w:jc w:val="center"/>
      </w:pPr>
      <w:r>
        <w:rPr>
          <w:b/>
          <w:color w:val="000000"/>
        </w:rPr>
        <w:t>о методологији за извршавање послова у складу са Законом о спречавању прања новца и финансирања тер</w:t>
      </w:r>
      <w:r>
        <w:rPr>
          <w:b/>
          <w:color w:val="000000"/>
        </w:rPr>
        <w:t>оризма</w:t>
      </w:r>
    </w:p>
    <w:p w:rsidR="00750485" w:rsidRDefault="009731CB">
      <w:pPr>
        <w:spacing w:after="120"/>
        <w:jc w:val="center"/>
      </w:pPr>
      <w:r>
        <w:rPr>
          <w:color w:val="000000"/>
        </w:rPr>
        <w:t>"Службени гласник РС", бр. 80 од 3. јуна 2020, 18 од 11. фебруара 2022.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1.</w:t>
      </w:r>
    </w:p>
    <w:p w:rsidR="00750485" w:rsidRDefault="009731CB">
      <w:pPr>
        <w:spacing w:after="150"/>
      </w:pPr>
      <w:r>
        <w:rPr>
          <w:color w:val="000000"/>
        </w:rPr>
        <w:t xml:space="preserve">Овим правилником, као методологија за извршавање послова које обвезник врши у складу са Законом о спречавању прања новца и финансирања тероризма („Службени гласник РС”, </w:t>
      </w:r>
      <w:r>
        <w:rPr>
          <w:color w:val="000000"/>
        </w:rPr>
        <w:t>бр. 113/17 и 91/19 ‒ у даљем тексту: Закон), прописују се: начин и разлози на основу којих обвезник сврстава странку, пословни однос, услугу коју пружа у оквиру своје делатности или трансакцију у категорију ниског ризика од прања новца и финансирања терори</w:t>
      </w:r>
      <w:r>
        <w:rPr>
          <w:color w:val="000000"/>
        </w:rPr>
        <w:t xml:space="preserve">зма у складу са признатим међународним стандардима и резултатима </w:t>
      </w:r>
      <w:r>
        <w:rPr>
          <w:b/>
          <w:color w:val="000000"/>
        </w:rPr>
        <w:t>Процене ризика од прања новца, финансирања тероризмa и финансирања ширења оружја за масовно уништење и Процене ризика од прања новца и финансирања тероризма у сектору дигиталне имовине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 начи</w:t>
      </w:r>
      <w:r>
        <w:rPr>
          <w:color w:val="000000"/>
        </w:rPr>
        <w:t>н на који обвезник доставља Управи за спречавање прања новца (у даљем тексту: Управа) податке из члана 47. ст. 1–4. Закона; начин и разлози када обвезник за одређену странку није дужан да Управи пријави готовинску трансакцију у износу од 15.000 евра или ви</w:t>
      </w:r>
      <w:r>
        <w:rPr>
          <w:color w:val="000000"/>
        </w:rPr>
        <w:t>ше у динарској противвредности; начин вршења унутрашње контроле, чувања и заштите података, вођења евиденција и стручног образовања, оспособљавања и усавршавања запослених код обвезника; листа држава које имају стратешке недостатке у области спречавања пра</w:t>
      </w:r>
      <w:r>
        <w:rPr>
          <w:color w:val="000000"/>
        </w:rPr>
        <w:t>ња новца и финансирања тероризма; начин достављања података и информација Управи на основу члана 71. Закона у циљу анализе ефикасности и делотворности система за спречавање и откривање прања новца и финансирања тероризма и начин достављања података, информ</w:t>
      </w:r>
      <w:r>
        <w:rPr>
          <w:color w:val="000000"/>
        </w:rPr>
        <w:t>ација и документације од стране обвезника на захтев Управе на основу члана 73. Закона.</w:t>
      </w:r>
    </w:p>
    <w:p w:rsidR="00750485" w:rsidRDefault="009731CB">
      <w:pPr>
        <w:spacing w:after="150"/>
      </w:pPr>
      <w:r>
        <w:rPr>
          <w:color w:val="000000"/>
        </w:rPr>
        <w:lastRenderedPageBreak/>
        <w:t>*Службени гласник РС, број 18/2022</w:t>
      </w:r>
    </w:p>
    <w:p w:rsidR="00750485" w:rsidRDefault="009731CB">
      <w:pPr>
        <w:spacing w:after="120"/>
        <w:jc w:val="center"/>
      </w:pPr>
      <w:r>
        <w:rPr>
          <w:color w:val="000000"/>
        </w:rPr>
        <w:t>I. НАЧИН И РАЗЛОЗИ НА ОСНОВУ КОЈИХ ОБВЕЗНИК СВРСТАВА СТРАНКУ, ПОСЛОВНИ ОДНОС, УСЛУГУ КОЈУ ПРУЖА У ОКВИРУ СВОЈЕ ДЕЛАТНОСТИ ИЛИ ТРАНСАКЦ</w:t>
      </w:r>
      <w:r>
        <w:rPr>
          <w:color w:val="000000"/>
        </w:rPr>
        <w:t>ИЈУ У КАТЕГОРИЈУ НИСКОГ РИЗИКА ОД ПРАЊА НОВЦА И ФИНАНСИРАЊА ТЕРОРИЗМА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2.</w:t>
      </w:r>
    </w:p>
    <w:p w:rsidR="00750485" w:rsidRDefault="009731CB">
      <w:pPr>
        <w:spacing w:after="150"/>
      </w:pPr>
      <w:r>
        <w:rPr>
          <w:color w:val="000000"/>
        </w:rPr>
        <w:t>Јавни орган, у смислу овог правилника, јесте домаћи или страни државни орган, орган аутономне покрајине, орган јединице локалне самоуправе, јавнo предузећe, јавна агенција, јавна</w:t>
      </w:r>
      <w:r>
        <w:rPr>
          <w:color w:val="000000"/>
        </w:rPr>
        <w:t xml:space="preserve"> служба, јавни фонд, јавни завод или комора, као и друга јавна институција која врши делатност од јавног интереса на основу: домаћих прописа, прописа страних држава и међународних организација или законодавства Европске уније (у даљем тексту: ЕУ).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3.</w:t>
      </w:r>
    </w:p>
    <w:p w:rsidR="00750485" w:rsidRDefault="009731CB">
      <w:pPr>
        <w:spacing w:after="150"/>
      </w:pPr>
      <w:r>
        <w:rPr>
          <w:color w:val="000000"/>
        </w:rPr>
        <w:t>Странка која се сврстава у категорију ниског ризика од прања новца и финансирања тероризма може бити:</w:t>
      </w:r>
    </w:p>
    <w:p w:rsidR="00750485" w:rsidRDefault="009731CB">
      <w:pPr>
        <w:spacing w:after="150"/>
      </w:pPr>
      <w:r>
        <w:rPr>
          <w:color w:val="000000"/>
        </w:rPr>
        <w:t>1) јавни орган који испуњава следеће критеријуме:</w:t>
      </w:r>
    </w:p>
    <w:p w:rsidR="00750485" w:rsidRDefault="009731CB">
      <w:pPr>
        <w:spacing w:after="150"/>
      </w:pPr>
      <w:r>
        <w:rPr>
          <w:color w:val="000000"/>
        </w:rPr>
        <w:t>(1) да се његов идентитет може утврдити из јавно доступних података,</w:t>
      </w:r>
    </w:p>
    <w:p w:rsidR="00750485" w:rsidRDefault="009731CB">
      <w:pPr>
        <w:spacing w:after="150"/>
      </w:pPr>
      <w:r>
        <w:rPr>
          <w:color w:val="000000"/>
        </w:rPr>
        <w:t xml:space="preserve">(2) да су начин на који врши своју </w:t>
      </w:r>
      <w:r>
        <w:rPr>
          <w:color w:val="000000"/>
        </w:rPr>
        <w:t>делатност, као и резултати ревизије његовог пословања познати и доступни јавности;</w:t>
      </w:r>
    </w:p>
    <w:p w:rsidR="00750485" w:rsidRDefault="009731CB">
      <w:pPr>
        <w:spacing w:after="150"/>
      </w:pPr>
      <w:r>
        <w:rPr>
          <w:color w:val="000000"/>
        </w:rPr>
        <w:t>2) јавно акционарско друштво, односно јавно привредно друштво које је котирано на берзи и које подлеже обавези објављивања финансијских извештаја по правилима берзе или по о</w:t>
      </w:r>
      <w:r>
        <w:rPr>
          <w:color w:val="000000"/>
        </w:rPr>
        <w:t>снову закона, чиме се обезбеђује адекватна транспарентност стварног власништва;</w:t>
      </w:r>
    </w:p>
    <w:p w:rsidR="00750485" w:rsidRDefault="009731CB">
      <w:pPr>
        <w:spacing w:after="150"/>
      </w:pPr>
      <w:r>
        <w:rPr>
          <w:b/>
          <w:color w:val="000000"/>
        </w:rPr>
        <w:t>3) лице из члана 4. став 1. тач. 1)–7), 10), 11) и 16) Закона, изузев посредника и заступника у осигурању које је регистровано у, или је резидент: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color w:val="000000"/>
        </w:rPr>
        <w:t>(1) државе чланице ЕУ,</w:t>
      </w:r>
    </w:p>
    <w:p w:rsidR="00750485" w:rsidRDefault="009731CB">
      <w:pPr>
        <w:spacing w:after="150"/>
      </w:pPr>
      <w:r>
        <w:rPr>
          <w:color w:val="000000"/>
        </w:rPr>
        <w:t>(2) т</w:t>
      </w:r>
      <w:r>
        <w:rPr>
          <w:color w:val="000000"/>
        </w:rPr>
        <w:t>реће државе (остале државе које нису чланице ЕУ) са делотворним системима за спречавање прања новца и финансирања тероризма, процењеним у извештајима о процени националних система за борбу против прања новца и финансирања тероризма од стране међународних и</w:t>
      </w:r>
      <w:r>
        <w:rPr>
          <w:color w:val="000000"/>
        </w:rPr>
        <w:t>нституција (ФАТФ (</w:t>
      </w:r>
      <w:r>
        <w:rPr>
          <w:i/>
          <w:color w:val="000000"/>
        </w:rPr>
        <w:t>Financial Action Task Force</w:t>
      </w:r>
      <w:r>
        <w:rPr>
          <w:color w:val="000000"/>
        </w:rPr>
        <w:t xml:space="preserve"> – у даљем тексту: ФАТФ) и тзв. регионалних тела која функционишу по узору на ФАТФ, као што је Комитет Савета Европе Манивал),</w:t>
      </w:r>
    </w:p>
    <w:p w:rsidR="00750485" w:rsidRDefault="009731CB">
      <w:pPr>
        <w:spacing w:after="150"/>
      </w:pPr>
      <w:r>
        <w:rPr>
          <w:color w:val="000000"/>
        </w:rPr>
        <w:t>(3) треће државе (остале државе које нису чланице ЕУ) које су веродостојни извори (н</w:t>
      </w:r>
      <w:r>
        <w:rPr>
          <w:color w:val="000000"/>
        </w:rPr>
        <w:t xml:space="preserve">пр. </w:t>
      </w:r>
      <w:r>
        <w:rPr>
          <w:i/>
          <w:color w:val="000000"/>
        </w:rPr>
        <w:t>Transparency International</w:t>
      </w:r>
      <w:r>
        <w:rPr>
          <w:color w:val="000000"/>
        </w:rPr>
        <w:t>) означили као државе које имају низак ниво корупције или друге криминалне активности,</w:t>
      </w:r>
    </w:p>
    <w:p w:rsidR="00750485" w:rsidRDefault="009731CB">
      <w:pPr>
        <w:spacing w:after="150"/>
      </w:pPr>
      <w:r>
        <w:rPr>
          <w:color w:val="000000"/>
        </w:rPr>
        <w:lastRenderedPageBreak/>
        <w:t>(4) треће државе (остале државе које нису чланице ЕУ) које, на основу веродостојних извора, попут извештаја о процени националних система з</w:t>
      </w:r>
      <w:r>
        <w:rPr>
          <w:color w:val="000000"/>
        </w:rPr>
        <w:t>а борбу против прања новца и финансирања тероризма од стране међународних институција (ФАТФ и тзв. регионалних тела која функционишу по узору на ФАТФ, као што је Комитет Савета Европе Манивал) и објављених извештаја о напретку те државе у испуњавању препор</w:t>
      </w:r>
      <w:r>
        <w:rPr>
          <w:color w:val="000000"/>
        </w:rPr>
        <w:t>ука из извештаја о процени, имају обавезе прописане законом да се боре против прања новца и финансирања тероризма у складу са ФАТФ препорукама и делотворно имплементирају те обавезе.</w:t>
      </w:r>
    </w:p>
    <w:p w:rsidR="00750485" w:rsidRDefault="009731CB">
      <w:pPr>
        <w:spacing w:after="150"/>
      </w:pPr>
      <w:r>
        <w:rPr>
          <w:color w:val="000000"/>
        </w:rPr>
        <w:t xml:space="preserve">Странка из става 1. тач. 1) и 2) овог члана која има седиште у страној </w:t>
      </w:r>
      <w:r>
        <w:rPr>
          <w:color w:val="000000"/>
        </w:rPr>
        <w:t>држави може бити сврстана у категорију ниског ризика од прања новца и финансирања тероризма само ако је за државу седишта испуњен и услов из става 1. тачка 3) овог члана.</w:t>
      </w:r>
    </w:p>
    <w:p w:rsidR="00750485" w:rsidRDefault="009731CB">
      <w:pPr>
        <w:spacing w:after="150"/>
      </w:pPr>
      <w:r>
        <w:rPr>
          <w:b/>
          <w:color w:val="000000"/>
        </w:rPr>
        <w:t>Странка која се сврстава у категорију ниског ризика од прања новца и финансирања теро</w:t>
      </w:r>
      <w:r>
        <w:rPr>
          <w:b/>
          <w:color w:val="000000"/>
        </w:rPr>
        <w:t>ризма може бити и пословна јединица или подређено друштво у већинском власништву странке из става 1. тачка 3) овог члана ако су испуњени услови из члана 48.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color w:val="000000"/>
        </w:rPr>
        <w:t>*Службени гласник РС, број 18/2022</w:t>
      </w:r>
    </w:p>
    <w:p w:rsidR="00750485" w:rsidRDefault="009731CB">
      <w:pPr>
        <w:spacing w:after="150"/>
        <w:jc w:val="center"/>
      </w:pPr>
      <w:r>
        <w:rPr>
          <w:i/>
          <w:color w:val="000000"/>
        </w:rPr>
        <w:t>Члан 4.</w:t>
      </w:r>
    </w:p>
    <w:p w:rsidR="00750485" w:rsidRDefault="009731CB">
      <w:pPr>
        <w:spacing w:after="150"/>
        <w:jc w:val="center"/>
      </w:pPr>
      <w:r>
        <w:rPr>
          <w:i/>
          <w:color w:val="000000"/>
        </w:rPr>
        <w:t xml:space="preserve">Брисан је (види члан 3. Правилника - </w:t>
      </w:r>
      <w:r>
        <w:rPr>
          <w:i/>
          <w:color w:val="000000"/>
        </w:rPr>
        <w:t>18/2022-101)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5.</w:t>
      </w:r>
    </w:p>
    <w:p w:rsidR="00750485" w:rsidRDefault="009731CB">
      <w:pPr>
        <w:spacing w:after="150"/>
      </w:pPr>
      <w:r>
        <w:rPr>
          <w:color w:val="000000"/>
        </w:rPr>
        <w:t>Обвезник је дужан да провери испуњеност услова из чл. 3. и 4. овог правилника.</w:t>
      </w:r>
    </w:p>
    <w:p w:rsidR="00750485" w:rsidRDefault="009731CB">
      <w:pPr>
        <w:spacing w:after="150"/>
      </w:pPr>
      <w:r>
        <w:rPr>
          <w:color w:val="000000"/>
        </w:rPr>
        <w:t>Обвезник је дужан да од странке прибави писмену изјаву о испуњености услова из става 1. овог члана.</w:t>
      </w:r>
    </w:p>
    <w:p w:rsidR="00750485" w:rsidRDefault="009731CB">
      <w:pPr>
        <w:spacing w:after="150"/>
      </w:pPr>
      <w:r>
        <w:rPr>
          <w:color w:val="000000"/>
        </w:rPr>
        <w:t>Странка која се сврстава у категорију ниског ризика од п</w:t>
      </w:r>
      <w:r>
        <w:rPr>
          <w:color w:val="000000"/>
        </w:rPr>
        <w:t>рања новца и финансирања тероризма и на коју се примењују поједностављене радње и мере познавања и праћења странке може бити и свако друго лице које је сврстано у категорију ниског ризика у складу са чланом 6. Закона.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6.</w:t>
      </w:r>
    </w:p>
    <w:p w:rsidR="00750485" w:rsidRDefault="009731CB">
      <w:pPr>
        <w:spacing w:after="150"/>
      </w:pPr>
      <w:r>
        <w:rPr>
          <w:color w:val="000000"/>
        </w:rPr>
        <w:t>Следеће врсте пословних односа</w:t>
      </w:r>
      <w:r>
        <w:rPr>
          <w:color w:val="000000"/>
        </w:rPr>
        <w:t>, односно услуга или трансакција могу бити сврстане у категорију ниског ризика од прања новца и финансирања тероризма:</w:t>
      </w:r>
    </w:p>
    <w:p w:rsidR="00750485" w:rsidRDefault="009731CB">
      <w:pPr>
        <w:spacing w:after="150"/>
      </w:pPr>
      <w:r>
        <w:rPr>
          <w:color w:val="000000"/>
        </w:rPr>
        <w:t>1) полиса животног осигурања са ниском премијом; уговор о животном осигурању код кога појединачна рата премије или више рата премије осиг</w:t>
      </w:r>
      <w:r>
        <w:rPr>
          <w:color w:val="000000"/>
        </w:rPr>
        <w:t>урања, које треба платити у једној календарској години, укупно не прелази износ од 1.000 евра у динарској противвредности или ако плаћање једнократне премије не прелази износ од 2.500 евра у динарској противвредности, полиса осигурања живота за случај смрт</w:t>
      </w:r>
      <w:r>
        <w:rPr>
          <w:color w:val="000000"/>
        </w:rPr>
        <w:t>и која се не може користити као средство обезбеђења;</w:t>
      </w:r>
    </w:p>
    <w:p w:rsidR="00750485" w:rsidRDefault="009731CB">
      <w:pPr>
        <w:spacing w:after="150"/>
      </w:pPr>
      <w:r>
        <w:rPr>
          <w:color w:val="000000"/>
        </w:rPr>
        <w:t>2) уговор о чланству у добровољном пензијском фонду или уговор о пензијском плану под условом да није могуће пренети права из тих уговора на треће лице или та права користити као обезбеђење за узимање кр</w:t>
      </w:r>
      <w:r>
        <w:rPr>
          <w:color w:val="000000"/>
        </w:rPr>
        <w:t>едита или позајмице;</w:t>
      </w:r>
    </w:p>
    <w:p w:rsidR="00750485" w:rsidRDefault="009731CB">
      <w:pPr>
        <w:spacing w:after="150"/>
      </w:pPr>
      <w:r>
        <w:rPr>
          <w:color w:val="000000"/>
        </w:rPr>
        <w:t>3) пензија или слична накнада за запослене након пензионисања, где се доприноси плаћају одузимањем од плате, а према уговору није дозвољен пренос интереса корисника (није могуће пренети права из тих уговора на треће лице);</w:t>
      </w:r>
    </w:p>
    <w:p w:rsidR="00750485" w:rsidRDefault="009731CB">
      <w:pPr>
        <w:spacing w:after="150"/>
      </w:pPr>
      <w:r>
        <w:rPr>
          <w:color w:val="000000"/>
        </w:rPr>
        <w:t xml:space="preserve">4) уговор о </w:t>
      </w:r>
      <w:r>
        <w:rPr>
          <w:color w:val="000000"/>
        </w:rPr>
        <w:t>лизингу, где укупан износ лизинг накнаде коју плаћа прималац лизинга није виши од 15.000 евра у динарској противвредности;</w:t>
      </w:r>
    </w:p>
    <w:p w:rsidR="00750485" w:rsidRDefault="009731CB">
      <w:pPr>
        <w:spacing w:after="150"/>
      </w:pPr>
      <w:r>
        <w:rPr>
          <w:color w:val="000000"/>
        </w:rPr>
        <w:t>5) купопродаја постојећег недоспелог или будућег краткорочног новчаног потраживања, настала по основу уговора о продаји робе или пруж</w:t>
      </w:r>
      <w:r>
        <w:rPr>
          <w:color w:val="000000"/>
        </w:rPr>
        <w:t>ања услуга у земљи и иностранству, закљученог између правних лица и предузетника где укупан износ потраживања није виши од 15.000 евра у динарској противвредности;</w:t>
      </w:r>
    </w:p>
    <w:p w:rsidR="00750485" w:rsidRDefault="009731CB">
      <w:pPr>
        <w:spacing w:after="150"/>
      </w:pPr>
      <w:r>
        <w:rPr>
          <w:b/>
          <w:color w:val="000000"/>
        </w:rPr>
        <w:t>6) финансијски производи или услуге који су од стране обвезника оцењени као нискоризични, уз</w:t>
      </w:r>
      <w:r>
        <w:rPr>
          <w:b/>
          <w:color w:val="000000"/>
        </w:rPr>
        <w:t xml:space="preserve"> обавезно позитивно мишљења надлежног надзорног органа;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color w:val="000000"/>
        </w:rPr>
        <w:t xml:space="preserve">7) финансијски производи или услуге где прописани услови за њихово коришћење, попут ограничења </w:t>
      </w:r>
      <w:r>
        <w:rPr>
          <w:i/>
          <w:color w:val="000000"/>
        </w:rPr>
        <w:t>електронског новчаника</w:t>
      </w:r>
      <w:r>
        <w:rPr>
          <w:color w:val="000000"/>
        </w:rPr>
        <w:t xml:space="preserve"> или транспарентност власништва, представљају механизам за управљање ризицима од п</w:t>
      </w:r>
      <w:r>
        <w:rPr>
          <w:color w:val="000000"/>
        </w:rPr>
        <w:t>рања новца и финансирања тероризма (нпр. неке врсте електронског новца)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b/>
          <w:color w:val="000000"/>
        </w:rPr>
        <w:t>8) трансакција с дигиталном имовином чија је вредност мања од 15.000 динара, без обзира на то да ли се ради о једној или више међусобно повезаних трансакција, при чему вредност тих т</w:t>
      </w:r>
      <w:r>
        <w:rPr>
          <w:b/>
          <w:color w:val="000000"/>
        </w:rPr>
        <w:t>рансакција одређене странке на месечном нивоу не прелази 40.000 динара, а на годишњем нивоу 120.000 динара, у складу са чланом 16а Закона.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color w:val="000000"/>
        </w:rPr>
        <w:t>Обвезник је дужан да орган надлежан за вршење надзора над применом Закона, писменим путем обавести о увођењу сваке н</w:t>
      </w:r>
      <w:r>
        <w:rPr>
          <w:color w:val="000000"/>
        </w:rPr>
        <w:t>иско ризичне услуге у пословну понуду.</w:t>
      </w:r>
    </w:p>
    <w:p w:rsidR="00750485" w:rsidRDefault="009731CB">
      <w:pPr>
        <w:spacing w:after="150"/>
      </w:pPr>
      <w:r>
        <w:rPr>
          <w:b/>
          <w:color w:val="000000"/>
        </w:rPr>
        <w:t>Уколико странка користи нискоризичан производ, то не значи да се и ризик којем је она изложена може само на основу те чињенице променити у нижу категорију.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color w:val="000000"/>
        </w:rPr>
        <w:t>*Службени гласник РС, број 18/2022</w:t>
      </w:r>
    </w:p>
    <w:p w:rsidR="00750485" w:rsidRDefault="009731CB">
      <w:pPr>
        <w:spacing w:after="120"/>
        <w:jc w:val="center"/>
      </w:pPr>
      <w:r>
        <w:rPr>
          <w:color w:val="000000"/>
        </w:rPr>
        <w:t>II. НАЧИН ВРШЕЊА УНУТРАШЊ</w:t>
      </w:r>
      <w:r>
        <w:rPr>
          <w:color w:val="000000"/>
        </w:rPr>
        <w:t>Е КОНТРОЛЕ, ЧУВАЊА И ЗАШТИТЕ ПОДАТАКА, ВОЂЕЊА ЕВИДЕНЦИЈА И СТРУЧНОГ ОБРАЗОВАЊА, ОСПОСОБЉАВАЊА И УСАВРШАВАЊА ЗАПОСЛЕНИХ КОД ОБВЕЗНИКА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7.</w:t>
      </w:r>
    </w:p>
    <w:p w:rsidR="00750485" w:rsidRDefault="009731CB">
      <w:pPr>
        <w:spacing w:after="150"/>
      </w:pPr>
      <w:r>
        <w:rPr>
          <w:color w:val="000000"/>
        </w:rPr>
        <w:t>Сврха унутрашње контроле из члана 54. Закона је спречавање, откривање и отклањање недостатака у примени Закона, као</w:t>
      </w:r>
      <w:r>
        <w:rPr>
          <w:color w:val="000000"/>
        </w:rPr>
        <w:t xml:space="preserve"> и унапређивање унутрашњих система за откривање лица и трансакција за које постоје основи сумње да се ради о прању новца и финансирању тероризма.</w:t>
      </w:r>
    </w:p>
    <w:p w:rsidR="00750485" w:rsidRDefault="009731CB">
      <w:pPr>
        <w:spacing w:after="150"/>
      </w:pPr>
      <w:r>
        <w:rPr>
          <w:color w:val="000000"/>
        </w:rPr>
        <w:t xml:space="preserve">Обвезник је у обављању унутрашње контроле дужан да, методом случајног узорка или на други одговарајући начин, </w:t>
      </w:r>
      <w:r>
        <w:rPr>
          <w:color w:val="000000"/>
        </w:rPr>
        <w:t>врши провере и тестирање примене система за спречавање прања новца и финансирања тероризма и усвојених процедура.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8.</w:t>
      </w:r>
    </w:p>
    <w:p w:rsidR="00750485" w:rsidRDefault="009731CB">
      <w:pPr>
        <w:spacing w:after="150"/>
      </w:pPr>
      <w:r>
        <w:rPr>
          <w:color w:val="000000"/>
        </w:rPr>
        <w:t xml:space="preserve">У случају промене у пословном процесу обвезника (нпр. организационе промене, промене пословних процедура, увођења нове услуге), </w:t>
      </w:r>
      <w:r>
        <w:rPr>
          <w:color w:val="000000"/>
        </w:rPr>
        <w:t>обвезник је дужан да у оквиру унутрашње контроле провери и усклади своје процедуре, како би биле адекватне за извршавање обавеза из Закона.</w:t>
      </w:r>
    </w:p>
    <w:p w:rsidR="00750485" w:rsidRDefault="009731CB">
      <w:pPr>
        <w:spacing w:after="150"/>
      </w:pPr>
      <w:r>
        <w:rPr>
          <w:color w:val="000000"/>
        </w:rPr>
        <w:t>Проверу усклађености система и процедура за примену Закона, као и примене тих процедура, обвезник је дужан да спрово</w:t>
      </w:r>
      <w:r>
        <w:rPr>
          <w:color w:val="000000"/>
        </w:rPr>
        <w:t>ди једном годишње и сваки пут кад дође до промене из става 1. овог члана, најкасније до дана увођења те промене у пословну понуду.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9.</w:t>
      </w:r>
    </w:p>
    <w:p w:rsidR="00750485" w:rsidRDefault="009731CB">
      <w:pPr>
        <w:spacing w:after="150"/>
      </w:pPr>
      <w:r>
        <w:rPr>
          <w:color w:val="000000"/>
        </w:rPr>
        <w:t>Обвезник и органи управљања код обвезника одговорни су за обезбеђивање и организацију унутрашње контроле послова који</w:t>
      </w:r>
      <w:r>
        <w:rPr>
          <w:color w:val="000000"/>
        </w:rPr>
        <w:t xml:space="preserve"> се извршавају код обвезника у складу са Законом.</w:t>
      </w:r>
    </w:p>
    <w:p w:rsidR="00750485" w:rsidRDefault="009731CB">
      <w:pPr>
        <w:spacing w:after="150"/>
      </w:pPr>
      <w:r>
        <w:rPr>
          <w:color w:val="000000"/>
        </w:rPr>
        <w:t>Обвезник, својим актом, одређује овлашћења и одговорности органа управљања, организационих јединица, овлашћених лица и других субјеката у обвезнику у вршењу унутрашње контроле, као и начин и распоред вршења</w:t>
      </w:r>
      <w:r>
        <w:rPr>
          <w:color w:val="000000"/>
        </w:rPr>
        <w:t xml:space="preserve"> унутрашње контроле.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10.</w:t>
      </w:r>
    </w:p>
    <w:p w:rsidR="00750485" w:rsidRDefault="009731CB">
      <w:pPr>
        <w:spacing w:after="150"/>
      </w:pPr>
      <w:r>
        <w:rPr>
          <w:color w:val="000000"/>
        </w:rPr>
        <w:t>Обвезник је дужан да сачини годишњи извештај о извршеној унутрашњој контроли и предузетим мерама након те контроле, и то најкасније до 15. марта текуће године за претходну годину.</w:t>
      </w:r>
    </w:p>
    <w:p w:rsidR="00750485" w:rsidRDefault="009731CB">
      <w:pPr>
        <w:spacing w:after="150"/>
      </w:pPr>
      <w:r>
        <w:rPr>
          <w:color w:val="000000"/>
        </w:rPr>
        <w:t>Годишњи извештај из става 1. овог члана садржи</w:t>
      </w:r>
      <w:r>
        <w:rPr>
          <w:color w:val="000000"/>
        </w:rPr>
        <w:t xml:space="preserve"> следеће податке:</w:t>
      </w:r>
    </w:p>
    <w:p w:rsidR="00750485" w:rsidRDefault="009731CB">
      <w:pPr>
        <w:spacing w:after="150"/>
      </w:pPr>
      <w:r>
        <w:rPr>
          <w:color w:val="000000"/>
        </w:rPr>
        <w:t>1) укупан број пријављених готовинских трансакција у износу од 15.000 евра или више у динарској противвредности;</w:t>
      </w:r>
    </w:p>
    <w:p w:rsidR="00750485" w:rsidRDefault="009731CB">
      <w:pPr>
        <w:spacing w:after="150"/>
      </w:pPr>
      <w:r>
        <w:rPr>
          <w:color w:val="000000"/>
        </w:rPr>
        <w:t>2) укупан број пријављених лица или трансакција за које се сумња да су у вези са прањем новца и финансирањем тероризма;</w:t>
      </w:r>
    </w:p>
    <w:p w:rsidR="00750485" w:rsidRDefault="009731CB">
      <w:pPr>
        <w:spacing w:after="150"/>
      </w:pPr>
      <w:r>
        <w:rPr>
          <w:color w:val="000000"/>
        </w:rPr>
        <w:t>3) ук</w:t>
      </w:r>
      <w:r>
        <w:rPr>
          <w:color w:val="000000"/>
        </w:rPr>
        <w:t>упан број лица или трансакција за које се сумња да су у вези са прањем новца и финансирањем тероризма, који су пријављени овлашћеном лицу од стране запослених код обвезника а нису пријављени Управи;</w:t>
      </w:r>
    </w:p>
    <w:p w:rsidR="00750485" w:rsidRDefault="009731CB">
      <w:pPr>
        <w:spacing w:after="150"/>
      </w:pPr>
      <w:r>
        <w:rPr>
          <w:color w:val="000000"/>
        </w:rPr>
        <w:t>4) укупан број успостављених пословних односа код којих ј</w:t>
      </w:r>
      <w:r>
        <w:rPr>
          <w:color w:val="000000"/>
        </w:rPr>
        <w:t>е идентитет странке утврђен на основу квалификованог електронског сертификата странке или у поступку видео-идентификације, као и укупан број пословних односа успостављених преко пуномоћника;</w:t>
      </w:r>
    </w:p>
    <w:p w:rsidR="00750485" w:rsidRDefault="009731CB">
      <w:pPr>
        <w:spacing w:after="150"/>
      </w:pPr>
      <w:r>
        <w:rPr>
          <w:color w:val="000000"/>
        </w:rPr>
        <w:t>5) учесталост коришћења појединачних показатеља за препознавање с</w:t>
      </w:r>
      <w:r>
        <w:rPr>
          <w:color w:val="000000"/>
        </w:rPr>
        <w:t>умњивих трансакција (у даљем тексту: индикатори) код пријављивања трансакција овлашћеном лицу од стране запослених код обвезника;</w:t>
      </w:r>
    </w:p>
    <w:p w:rsidR="00750485" w:rsidRDefault="009731CB">
      <w:pPr>
        <w:spacing w:after="150"/>
      </w:pPr>
      <w:r>
        <w:rPr>
          <w:color w:val="000000"/>
        </w:rPr>
        <w:t xml:space="preserve">6) укупан број унутрашњих контрола извршених на основу овог правилника, као и налазе унутрашње контроле (број уочених и </w:t>
      </w:r>
      <w:r>
        <w:rPr>
          <w:color w:val="000000"/>
        </w:rPr>
        <w:t>исправљених грешака, опис уочених грешака итд.);</w:t>
      </w:r>
    </w:p>
    <w:p w:rsidR="00750485" w:rsidRDefault="009731CB">
      <w:pPr>
        <w:spacing w:after="150"/>
      </w:pPr>
      <w:r>
        <w:rPr>
          <w:color w:val="000000"/>
        </w:rPr>
        <w:t>7) мере предузете на основу извршених унутрашњих контрола;</w:t>
      </w:r>
    </w:p>
    <w:p w:rsidR="00750485" w:rsidRDefault="009731CB">
      <w:pPr>
        <w:spacing w:after="150"/>
      </w:pPr>
      <w:r>
        <w:rPr>
          <w:color w:val="000000"/>
        </w:rPr>
        <w:t>8) о извршеној унутрашњој контроли информационих технологија коришћених у примени одредаба Закона (обезбеђивање заштите података који се преносе еле</w:t>
      </w:r>
      <w:r>
        <w:rPr>
          <w:color w:val="000000"/>
        </w:rPr>
        <w:t>ктронским путем, чување података о странкама и трансакцијама у централизованој бази података);</w:t>
      </w:r>
    </w:p>
    <w:p w:rsidR="00750485" w:rsidRDefault="009731CB">
      <w:pPr>
        <w:spacing w:after="150"/>
      </w:pPr>
      <w:r>
        <w:rPr>
          <w:color w:val="000000"/>
        </w:rPr>
        <w:t>9) о садржини програма обуке на плану откривања и спречавања прања новца и финансирања тероризма, месту и лицу које је спровело програм обуке, броју запослених к</w:t>
      </w:r>
      <w:r>
        <w:rPr>
          <w:color w:val="000000"/>
        </w:rPr>
        <w:t>оји су похађали обуку, као и процену потреба за даљим обучавањем и усавршавањем запослених;</w:t>
      </w:r>
    </w:p>
    <w:p w:rsidR="00750485" w:rsidRDefault="009731CB">
      <w:pPr>
        <w:spacing w:after="150"/>
      </w:pPr>
      <w:r>
        <w:rPr>
          <w:color w:val="000000"/>
        </w:rPr>
        <w:t>10) о предузетим мерама на чувању података који су означени као тајни;</w:t>
      </w:r>
    </w:p>
    <w:p w:rsidR="00750485" w:rsidRDefault="009731CB">
      <w:pPr>
        <w:spacing w:after="150"/>
      </w:pPr>
      <w:r>
        <w:rPr>
          <w:color w:val="000000"/>
        </w:rPr>
        <w:t>11) укупан број успостављених пословних односа код којих је трећем лицу поверено вршење појед</w:t>
      </w:r>
      <w:r>
        <w:rPr>
          <w:color w:val="000000"/>
        </w:rPr>
        <w:t>иних радњи и мера познавања и праћења странке.</w:t>
      </w:r>
    </w:p>
    <w:p w:rsidR="00750485" w:rsidRDefault="009731CB">
      <w:pPr>
        <w:spacing w:after="150"/>
      </w:pPr>
      <w:r>
        <w:rPr>
          <w:b/>
          <w:color w:val="000000"/>
        </w:rPr>
        <w:t>Поред података из става 2. овог члана, годишњи извештај обвезника из члана 4. став 1. тачка 17) Закона мора садржати и укупан број трансакција које су извршене уз употребу изузетка из члана 16а Закона, као и п</w:t>
      </w:r>
      <w:r>
        <w:rPr>
          <w:b/>
          <w:color w:val="000000"/>
        </w:rPr>
        <w:t>одатак о обиму трансакција извршених употребом наведеног изузетка.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color w:val="000000"/>
        </w:rPr>
        <w:t>Обвезник је дужан да извештај из става 1. овог члана достави Управи и органима који врше надзор над применом Закона, на њихов захтев, у року од три дана од дана подношења тог захтева.</w:t>
      </w:r>
    </w:p>
    <w:p w:rsidR="00750485" w:rsidRDefault="009731CB">
      <w:pPr>
        <w:spacing w:after="150"/>
      </w:pPr>
      <w:r>
        <w:rPr>
          <w:color w:val="000000"/>
        </w:rPr>
        <w:t>*Слу</w:t>
      </w:r>
      <w:r>
        <w:rPr>
          <w:color w:val="000000"/>
        </w:rPr>
        <w:t>жбени гласник РС, број 18/2022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11.</w:t>
      </w:r>
    </w:p>
    <w:p w:rsidR="00750485" w:rsidRDefault="009731CB">
      <w:pPr>
        <w:spacing w:after="150"/>
      </w:pPr>
      <w:r>
        <w:rPr>
          <w:color w:val="000000"/>
        </w:rPr>
        <w:t>Обвезник је дужан да води евиденцију о подацима и информацијама прикупљеним у складу са Законом и овим правилником у електронском облику, као и о документацији која се односи на те податке и информације по хронолошко</w:t>
      </w:r>
      <w:r>
        <w:rPr>
          <w:color w:val="000000"/>
        </w:rPr>
        <w:t>м реду и на начин који омогућава адекватан приступ тим подацима, информацијама и документацији.</w:t>
      </w:r>
    </w:p>
    <w:p w:rsidR="00750485" w:rsidRDefault="009731CB">
      <w:pPr>
        <w:spacing w:after="150"/>
      </w:pPr>
      <w:r>
        <w:rPr>
          <w:color w:val="000000"/>
        </w:rPr>
        <w:t>Обвезник је дужан да обезбеди одговарајуће претраживање евиденције о подацима и информацијама која се води у електронском облику најмање по следећим критеријуми</w:t>
      </w:r>
      <w:r>
        <w:rPr>
          <w:color w:val="000000"/>
        </w:rPr>
        <w:t>ма: име, презиме, назив правног лица, датум трансакције, износ трансакције, валута трансакције и држава са којом се врши трансакција.</w:t>
      </w:r>
    </w:p>
    <w:p w:rsidR="00750485" w:rsidRDefault="009731CB">
      <w:pPr>
        <w:spacing w:after="150"/>
      </w:pPr>
      <w:r>
        <w:rPr>
          <w:b/>
          <w:color w:val="000000"/>
        </w:rPr>
        <w:t>Обвезник из члана 4. став 1. тачка 17) Закона дужан је да обезбеди одговарајуће претраживање евиденције из става 1. овог ч</w:t>
      </w:r>
      <w:r>
        <w:rPr>
          <w:b/>
          <w:color w:val="000000"/>
        </w:rPr>
        <w:t>лана по критеријуму адресе дигиталне имовине.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b/>
          <w:color w:val="000000"/>
        </w:rPr>
        <w:t>Обвезник је дужан да адресу виртуелних валута коју корисник виртуелних валута користи достави Народној банци Србије одмах по успостављању пословног односа с корисником виртуелних валута или извршењу трансакциј</w:t>
      </w:r>
      <w:r>
        <w:rPr>
          <w:b/>
          <w:color w:val="000000"/>
        </w:rPr>
        <w:t>е с виртуелним валутама.</w:t>
      </w:r>
      <w:r>
        <w:rPr>
          <w:rFonts w:ascii="Calibri"/>
          <w:b/>
          <w:color w:val="000000"/>
          <w:vertAlign w:val="superscript"/>
        </w:rPr>
        <w:t>*</w:t>
      </w:r>
    </w:p>
    <w:p w:rsidR="00750485" w:rsidRDefault="009731CB">
      <w:pPr>
        <w:spacing w:after="150"/>
      </w:pPr>
      <w:r>
        <w:rPr>
          <w:color w:val="000000"/>
        </w:rPr>
        <w:t>Обвезник, својим актима, одређује начин и место чувања и лица која имају приступ подацима, информацијама и документацији из става 1. овог члана.</w:t>
      </w:r>
    </w:p>
    <w:p w:rsidR="00750485" w:rsidRDefault="009731CB">
      <w:pPr>
        <w:spacing w:after="150"/>
      </w:pPr>
      <w:r>
        <w:rPr>
          <w:color w:val="000000"/>
        </w:rPr>
        <w:t>*Службени гласник РС, број 18/2022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12.</w:t>
      </w:r>
    </w:p>
    <w:p w:rsidR="00750485" w:rsidRDefault="009731CB">
      <w:pPr>
        <w:spacing w:after="150"/>
      </w:pPr>
      <w:r>
        <w:rPr>
          <w:color w:val="000000"/>
        </w:rPr>
        <w:t xml:space="preserve">Програм годишњег стручног образовања, </w:t>
      </w:r>
      <w:r>
        <w:rPr>
          <w:color w:val="000000"/>
        </w:rPr>
        <w:t>оспособљавања и усавршавања запослених код обвезника из члана 53. став 3. Закона најмање садржи:</w:t>
      </w:r>
    </w:p>
    <w:p w:rsidR="00750485" w:rsidRDefault="009731CB">
      <w:pPr>
        <w:spacing w:after="150"/>
      </w:pPr>
      <w:r>
        <w:rPr>
          <w:color w:val="000000"/>
        </w:rPr>
        <w:t>1) планирани број обука на годишњем нивоу;</w:t>
      </w:r>
    </w:p>
    <w:p w:rsidR="00750485" w:rsidRDefault="009731CB">
      <w:pPr>
        <w:spacing w:after="150"/>
      </w:pPr>
      <w:r>
        <w:rPr>
          <w:color w:val="000000"/>
        </w:rPr>
        <w:t>2) планирани број запослених који ће похађати обуке, као и профил запослених којима су обуке намењене;</w:t>
      </w:r>
    </w:p>
    <w:p w:rsidR="00750485" w:rsidRDefault="009731CB">
      <w:pPr>
        <w:spacing w:after="150"/>
      </w:pPr>
      <w:r>
        <w:rPr>
          <w:color w:val="000000"/>
        </w:rPr>
        <w:t>3) теме из об</w:t>
      </w:r>
      <w:r>
        <w:rPr>
          <w:color w:val="000000"/>
        </w:rPr>
        <w:t>ласти спречавања прања новца и финансирања тероризма које ће бити предмет обука, као и теме из области ограничавање располагања имовином у циљу спречавања тероризма и ширења оружја за масовно уништење;</w:t>
      </w:r>
    </w:p>
    <w:p w:rsidR="00750485" w:rsidRDefault="009731CB">
      <w:pPr>
        <w:spacing w:after="150"/>
      </w:pPr>
      <w:r>
        <w:rPr>
          <w:color w:val="000000"/>
        </w:rPr>
        <w:t>4) начин реализације обука (семинари, радионице и др.)</w:t>
      </w:r>
      <w:r>
        <w:rPr>
          <w:color w:val="000000"/>
        </w:rPr>
        <w:t>.</w:t>
      </w:r>
    </w:p>
    <w:p w:rsidR="00750485" w:rsidRDefault="009731CB">
      <w:pPr>
        <w:spacing w:after="150"/>
      </w:pPr>
      <w:r>
        <w:rPr>
          <w:color w:val="000000"/>
        </w:rPr>
        <w:t xml:space="preserve">Обвезник је дужан да у години за коју је донет програм о годишњем стручном образовању, оспособљавању и усавршавању запослених, а најкасније до краја марта наредне године, спроведе обуке прописане програмом о годишњем стручном образовању, оспособљавању и </w:t>
      </w:r>
      <w:r>
        <w:rPr>
          <w:color w:val="000000"/>
        </w:rPr>
        <w:t>усавршавању запослених, у складу са чланом 53. став 1. Закона, и да о таквим обукама сачини службену белешку.</w:t>
      </w:r>
    </w:p>
    <w:p w:rsidR="00750485" w:rsidRDefault="009731CB">
      <w:pPr>
        <w:spacing w:after="150"/>
      </w:pPr>
      <w:r>
        <w:rPr>
          <w:color w:val="000000"/>
        </w:rPr>
        <w:t>Службена белешка из става 2. овог члана најмање мора да садржи време и место одржавања обуке, број запослених који су присуствовали обуци, име и п</w:t>
      </w:r>
      <w:r>
        <w:rPr>
          <w:color w:val="000000"/>
        </w:rPr>
        <w:t>резиме лица које је спровело обуку и кратак опис обрађене теме на обуци.</w:t>
      </w:r>
    </w:p>
    <w:p w:rsidR="00750485" w:rsidRDefault="009731CB">
      <w:pPr>
        <w:spacing w:after="150"/>
      </w:pPr>
      <w:r>
        <w:rPr>
          <w:color w:val="000000"/>
        </w:rPr>
        <w:t>Програм годишњег стручног образовања, оспособљавања и усавршавања запослених и документацију везану за стручно образовање, оспособљавање и усавршавање запослених (службене белешке, пр</w:t>
      </w:r>
      <w:r>
        <w:rPr>
          <w:color w:val="000000"/>
        </w:rPr>
        <w:t>езентације и сл.), обвезник је дужан да чува у складу са чланом 95. став 3. Закона.</w:t>
      </w:r>
    </w:p>
    <w:p w:rsidR="00750485" w:rsidRDefault="009731CB">
      <w:pPr>
        <w:spacing w:after="120"/>
        <w:jc w:val="center"/>
      </w:pPr>
      <w:r>
        <w:rPr>
          <w:color w:val="000000"/>
        </w:rPr>
        <w:t>III. НАЧИН ДОСТАВЉАЊА ПОДАТАКА УПРАВИ ОД СТРАНЕ ОБВЕЗНИКА И НАДЛЕЖНИХ ОРГАНА ИЗ ЧЛАНА 71. ЗАКОНА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13.</w:t>
      </w:r>
    </w:p>
    <w:p w:rsidR="00750485" w:rsidRDefault="009731CB">
      <w:pPr>
        <w:spacing w:after="150"/>
      </w:pPr>
      <w:r>
        <w:rPr>
          <w:color w:val="000000"/>
        </w:rPr>
        <w:t xml:space="preserve">Податке о трансакцијама и странкама из члана 47. ст. 1–4. Закона, </w:t>
      </w:r>
      <w:r>
        <w:rPr>
          <w:color w:val="000000"/>
        </w:rPr>
        <w:t>обвезник доставља Управи на један од следећих начина:</w:t>
      </w:r>
    </w:p>
    <w:p w:rsidR="00750485" w:rsidRDefault="009731CB">
      <w:pPr>
        <w:spacing w:after="150"/>
      </w:pPr>
      <w:r>
        <w:rPr>
          <w:color w:val="000000"/>
        </w:rPr>
        <w:t>1) телефоном;</w:t>
      </w:r>
    </w:p>
    <w:p w:rsidR="00750485" w:rsidRDefault="009731CB">
      <w:pPr>
        <w:spacing w:after="150"/>
      </w:pPr>
      <w:r>
        <w:rPr>
          <w:color w:val="000000"/>
        </w:rPr>
        <w:t>2) факсом;</w:t>
      </w:r>
    </w:p>
    <w:p w:rsidR="00750485" w:rsidRDefault="009731CB">
      <w:pPr>
        <w:spacing w:after="150"/>
      </w:pPr>
      <w:r>
        <w:rPr>
          <w:color w:val="000000"/>
        </w:rPr>
        <w:t>3) препорученом пошиљком;</w:t>
      </w:r>
    </w:p>
    <w:p w:rsidR="00750485" w:rsidRDefault="009731CB">
      <w:pPr>
        <w:spacing w:after="150"/>
      </w:pPr>
      <w:r>
        <w:rPr>
          <w:color w:val="000000"/>
        </w:rPr>
        <w:t>4) доставом преко курира;</w:t>
      </w:r>
    </w:p>
    <w:p w:rsidR="00750485" w:rsidRDefault="009731CB">
      <w:pPr>
        <w:spacing w:after="150"/>
      </w:pPr>
      <w:r>
        <w:rPr>
          <w:color w:val="000000"/>
        </w:rPr>
        <w:t>5) електронским путем преко заштићене апликације на основу споразума са Управом.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14.</w:t>
      </w:r>
    </w:p>
    <w:p w:rsidR="00750485" w:rsidRDefault="009731CB">
      <w:pPr>
        <w:spacing w:after="150"/>
      </w:pPr>
      <w:r>
        <w:rPr>
          <w:color w:val="000000"/>
        </w:rPr>
        <w:t>Податке из члана 47. ст. 1–4. Закон</w:t>
      </w:r>
      <w:r>
        <w:rPr>
          <w:color w:val="000000"/>
        </w:rPr>
        <w:t>а, обвезник доставља на Обрасцу за пријаву готовинских и сумњивих трансакција и сумњивих активности (Образац 1), који је, са упутством за његово попуњавање, одштампан уз овај правилник и чини његов саставни део.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15.</w:t>
      </w:r>
    </w:p>
    <w:p w:rsidR="00750485" w:rsidRDefault="009731CB">
      <w:pPr>
        <w:spacing w:after="150"/>
      </w:pPr>
      <w:r>
        <w:rPr>
          <w:color w:val="000000"/>
        </w:rPr>
        <w:t>Обвезник податке може доставити тел</w:t>
      </w:r>
      <w:r>
        <w:rPr>
          <w:color w:val="000000"/>
        </w:rPr>
        <w:t>ефоном или факсом само у случају када се односе на трансакцију или странку за коју постоје основи сумње да се ради о прању новца и финансирању тероризма.</w:t>
      </w:r>
    </w:p>
    <w:p w:rsidR="00750485" w:rsidRDefault="009731CB">
      <w:pPr>
        <w:spacing w:after="150"/>
      </w:pPr>
      <w:r>
        <w:rPr>
          <w:color w:val="000000"/>
        </w:rPr>
        <w:t>У случају из става 1. овог члана обвезник је дужан да податке достави Управи најкасније првог наредног</w:t>
      </w:r>
      <w:r>
        <w:rPr>
          <w:color w:val="000000"/>
        </w:rPr>
        <w:t xml:space="preserve"> радног дана на један од начина из члана 13. тач. 3)–5) овог правилника.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16.</w:t>
      </w:r>
    </w:p>
    <w:p w:rsidR="00750485" w:rsidRDefault="009731CB">
      <w:pPr>
        <w:spacing w:after="150"/>
      </w:pPr>
      <w:r>
        <w:rPr>
          <w:color w:val="000000"/>
        </w:rPr>
        <w:t>Податке о готовинским трансакцијама обвезник доставља на један од начина из члана 13. тач. 3)–5) овог правилника одмах по извршењу трансакције, а најкасније у року од три дан</w:t>
      </w:r>
      <w:r>
        <w:rPr>
          <w:color w:val="000000"/>
        </w:rPr>
        <w:t>а од дана извршења трансакције.</w:t>
      </w:r>
    </w:p>
    <w:p w:rsidR="00750485" w:rsidRDefault="009731CB">
      <w:pPr>
        <w:spacing w:after="150"/>
      </w:pPr>
      <w:r>
        <w:rPr>
          <w:color w:val="000000"/>
        </w:rPr>
        <w:t>Ако последњи дан рока из става 1. овог члана пада на дан државног празника или у дан када Управа не ради, рок истиче протеком првог наредног радног дана.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17.</w:t>
      </w:r>
    </w:p>
    <w:p w:rsidR="00750485" w:rsidRDefault="009731CB">
      <w:pPr>
        <w:spacing w:after="150"/>
      </w:pPr>
      <w:r>
        <w:rPr>
          <w:color w:val="000000"/>
        </w:rPr>
        <w:t xml:space="preserve">Обвезници могу достављати податке Управи електронским путем </w:t>
      </w:r>
      <w:r>
        <w:rPr>
          <w:color w:val="000000"/>
        </w:rPr>
        <w:t>на основу споразума са Управом, на основу којег Управа издаје сертификат.</w:t>
      </w:r>
    </w:p>
    <w:p w:rsidR="00750485" w:rsidRDefault="009731CB">
      <w:pPr>
        <w:spacing w:after="150"/>
      </w:pPr>
      <w:r>
        <w:rPr>
          <w:color w:val="000000"/>
        </w:rPr>
        <w:t xml:space="preserve">Ако обвезник не може електронским путем да достави податке из овог правилника, дужан је да податке достави на алтернативном медијуму (компакт диск, УСБ диск и др.) или у писменој </w:t>
      </w:r>
      <w:r>
        <w:rPr>
          <w:color w:val="000000"/>
        </w:rPr>
        <w:t>форми.</w:t>
      </w:r>
    </w:p>
    <w:p w:rsidR="00750485" w:rsidRDefault="009731CB">
      <w:pPr>
        <w:spacing w:after="150"/>
      </w:pPr>
      <w:r>
        <w:rPr>
          <w:color w:val="000000"/>
        </w:rPr>
        <w:t>Управа потврђује пријем података из овог правилника у писменој или електронској форми.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18.</w:t>
      </w:r>
    </w:p>
    <w:p w:rsidR="00750485" w:rsidRDefault="009731CB">
      <w:pPr>
        <w:spacing w:after="150"/>
      </w:pPr>
      <w:r>
        <w:rPr>
          <w:color w:val="000000"/>
        </w:rPr>
        <w:t>Обвезник доставља податке, информације и документацију из члана 73. Закона слањем Управи у табеларном приказу на Обрасцу за доставу података од стране об</w:t>
      </w:r>
      <w:r>
        <w:rPr>
          <w:color w:val="000000"/>
        </w:rPr>
        <w:t>везника (Обрасцу 2), који је одштампан уз овај правилник и чини његов саставни део. Образац за доставу података од стране обвезника се налази на интернет страници Управе и попуњава се у електронској форми. Достављање података, информација и документације с</w:t>
      </w:r>
      <w:r>
        <w:rPr>
          <w:color w:val="000000"/>
        </w:rPr>
        <w:t>е врши електронским путем или на алтернативном медијуму (компакт диск, УСБ диск и др.).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19.</w:t>
      </w:r>
    </w:p>
    <w:p w:rsidR="00750485" w:rsidRDefault="009731CB">
      <w:pPr>
        <w:spacing w:after="150"/>
      </w:pPr>
      <w:r>
        <w:rPr>
          <w:color w:val="000000"/>
        </w:rPr>
        <w:t>Органи из члана 104. Закона, Министарство унутрашњих послова, Министарство правде, јавна тужилаштва и судови достављају Управи податке и информације из члана 7</w:t>
      </w:r>
      <w:r>
        <w:rPr>
          <w:color w:val="000000"/>
        </w:rPr>
        <w:t xml:space="preserve">1. Закона у табеларном приказу на Обрасцу за доставу података из евиденција које воде надлежни органи (Образац 3), који је одштампан уз овај правилник и чини његов саставни део. Образац за доставу података из евиденција које воде надлежни органи се налази </w:t>
      </w:r>
      <w:r>
        <w:rPr>
          <w:color w:val="000000"/>
        </w:rPr>
        <w:t>на интернет страници Управе и попуњава се у електронској форми. Достављање података и информација се врши електронским путем или на алтернативном медијуму (компакт диск, УСБ диск и др.).</w:t>
      </w:r>
    </w:p>
    <w:p w:rsidR="00750485" w:rsidRDefault="009731CB">
      <w:pPr>
        <w:spacing w:after="120"/>
        <w:jc w:val="center"/>
      </w:pPr>
      <w:r>
        <w:rPr>
          <w:color w:val="000000"/>
        </w:rPr>
        <w:t>IV. НАЧИН И РАЗЛОЗИ КАДА ОБВЕЗНИК ЗА ОДРЕЂЕНУ СТРАНКУ НИЈЕ ДУЖАН ДА У</w:t>
      </w:r>
      <w:r>
        <w:rPr>
          <w:color w:val="000000"/>
        </w:rPr>
        <w:t>ПРАВИ ПРИЈАВИ ГОТОВИНСКУ ТРАНСАКЦИЈУ У ИЗНОСУ ОД 15.000 ЕВРА ИЛИ ВИШЕ У ДИНАРСКОЈ ПРОТИВВРЕДНОСТИ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20.</w:t>
      </w:r>
    </w:p>
    <w:p w:rsidR="00750485" w:rsidRDefault="009731CB">
      <w:pPr>
        <w:spacing w:after="150"/>
      </w:pPr>
      <w:r>
        <w:rPr>
          <w:color w:val="000000"/>
        </w:rPr>
        <w:t>Обвезник није дужан да Управи доставља податке о свакој готовинској трансакцији у износу од 15.000 евра или више у динарској противвредности у случај</w:t>
      </w:r>
      <w:r>
        <w:rPr>
          <w:color w:val="000000"/>
        </w:rPr>
        <w:t>евима полагања дневних пазара од продаје роба и услуга странака из става 2. овог члана, осим у случају када постоји сумња да се ради о прању новца и финансирању тероризма или у случају када странка има отворен рачун код обвезника у складу са Законом.</w:t>
      </w:r>
    </w:p>
    <w:p w:rsidR="00750485" w:rsidRDefault="009731CB">
      <w:pPr>
        <w:spacing w:after="150"/>
      </w:pPr>
      <w:r>
        <w:rPr>
          <w:color w:val="000000"/>
        </w:rPr>
        <w:t>Стран</w:t>
      </w:r>
      <w:r>
        <w:rPr>
          <w:color w:val="000000"/>
        </w:rPr>
        <w:t>ка која врши трансакцију из става 1. овог члана је:</w:t>
      </w:r>
    </w:p>
    <w:p w:rsidR="00750485" w:rsidRDefault="009731CB">
      <w:pPr>
        <w:spacing w:after="150"/>
      </w:pPr>
      <w:r>
        <w:rPr>
          <w:color w:val="000000"/>
        </w:rPr>
        <w:t>1) јавно предузеће;</w:t>
      </w:r>
    </w:p>
    <w:p w:rsidR="00750485" w:rsidRDefault="009731CB">
      <w:pPr>
        <w:spacing w:after="150"/>
      </w:pPr>
      <w:r>
        <w:rPr>
          <w:color w:val="000000"/>
        </w:rPr>
        <w:t>2) директни и индиректни корисници буџетских средстава Републике Србије, односно јединице локалне самоуправе и организација обавезног социјалног осигурања, који су укључени у систем ко</w:t>
      </w:r>
      <w:r>
        <w:rPr>
          <w:color w:val="000000"/>
        </w:rPr>
        <w:t>нсолидованог рачуна трезора.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21.</w:t>
      </w:r>
    </w:p>
    <w:p w:rsidR="00750485" w:rsidRDefault="009731CB">
      <w:pPr>
        <w:spacing w:after="150"/>
      </w:pPr>
      <w:r>
        <w:rPr>
          <w:color w:val="000000"/>
        </w:rPr>
        <w:t>Обвезник није дужан да пријави Управи готовинску трансакцију у износу од 15.000 евра или више у динарској противвредности којом се врши:</w:t>
      </w:r>
    </w:p>
    <w:p w:rsidR="00750485" w:rsidRDefault="009731CB">
      <w:pPr>
        <w:spacing w:after="150"/>
      </w:pPr>
      <w:r>
        <w:rPr>
          <w:color w:val="000000"/>
        </w:rPr>
        <w:t>1) пренос новца са једног рачуна странке на други рачун странке, када су рачуни о</w:t>
      </w:r>
      <w:r>
        <w:rPr>
          <w:color w:val="000000"/>
        </w:rPr>
        <w:t>творени код истог обвезника;</w:t>
      </w:r>
    </w:p>
    <w:p w:rsidR="00750485" w:rsidRDefault="009731CB">
      <w:pPr>
        <w:spacing w:after="150"/>
      </w:pPr>
      <w:r>
        <w:rPr>
          <w:color w:val="000000"/>
        </w:rPr>
        <w:t>2) замена новца на рачуну странке за другу валуту, а новац остаје на рачуну странке код обвезника;</w:t>
      </w:r>
    </w:p>
    <w:p w:rsidR="00750485" w:rsidRDefault="009731CB">
      <w:pPr>
        <w:spacing w:after="150"/>
      </w:pPr>
      <w:r>
        <w:rPr>
          <w:color w:val="000000"/>
        </w:rPr>
        <w:t>3) орочавање новца на рачуну странке или поновно орочавање (реорочавање) новца на рачуну странке.</w:t>
      </w:r>
    </w:p>
    <w:p w:rsidR="00750485" w:rsidRDefault="009731CB">
      <w:pPr>
        <w:spacing w:after="150"/>
      </w:pPr>
      <w:r>
        <w:rPr>
          <w:color w:val="000000"/>
        </w:rPr>
        <w:t>Обвезник није дужан да пријави</w:t>
      </w:r>
      <w:r>
        <w:rPr>
          <w:color w:val="000000"/>
        </w:rPr>
        <w:t xml:space="preserve"> Управи готовинску трансакцију коју врши странка на коју се, у складу са Законом, примењују поједностављене мере познавања и праћења странке.</w:t>
      </w:r>
    </w:p>
    <w:p w:rsidR="00750485" w:rsidRDefault="009731CB">
      <w:pPr>
        <w:spacing w:after="120"/>
        <w:jc w:val="center"/>
      </w:pPr>
      <w:r>
        <w:rPr>
          <w:color w:val="000000"/>
        </w:rPr>
        <w:t>V. ЛИСТА ДРЖАВА КОЈЕ ИМАЈУ СТРАТЕШКЕ НЕДОСТАТКЕ У ОБЛАСТИ СПРЕЧАВАЊА ПРАЊА НОВЦА И ФИНАНСИРАЊА ТЕРОРИЗМА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22.</w:t>
      </w:r>
    </w:p>
    <w:p w:rsidR="00750485" w:rsidRDefault="009731CB">
      <w:pPr>
        <w:spacing w:after="150"/>
      </w:pPr>
      <w:r>
        <w:rPr>
          <w:color w:val="000000"/>
        </w:rPr>
        <w:t>Листа држава које имају стратешке недостатке у систему за борбу против прања новца и финансирања тероризма се објављује на интернет страници Управе и заснована је:</w:t>
      </w:r>
    </w:p>
    <w:p w:rsidR="00750485" w:rsidRDefault="009731CB">
      <w:pPr>
        <w:spacing w:after="150"/>
      </w:pPr>
      <w:r>
        <w:rPr>
          <w:color w:val="000000"/>
        </w:rPr>
        <w:t xml:space="preserve">1) на саопштењима ФАТФ о државама које имају стратешке недостатке у систему за борбу против </w:t>
      </w:r>
      <w:r>
        <w:rPr>
          <w:color w:val="000000"/>
        </w:rPr>
        <w:t>прања новца и финансирања тероризма и које представљају ризик по међународни финансијски систем;</w:t>
      </w:r>
    </w:p>
    <w:p w:rsidR="00750485" w:rsidRDefault="009731CB">
      <w:pPr>
        <w:spacing w:after="150"/>
      </w:pPr>
      <w:r>
        <w:rPr>
          <w:color w:val="000000"/>
        </w:rPr>
        <w:t xml:space="preserve">2) на саопштењима ФАТФ о државама/јурисдикцијама које имају стратешке недостатке у систему за борбу против прања новца и финансирања тероризма, које су у циљу </w:t>
      </w:r>
      <w:r>
        <w:rPr>
          <w:color w:val="000000"/>
        </w:rPr>
        <w:t>отклањања препознатих недостатака исказале опредељеност на највишем политичком нивоу за отклањање недостатака, које су у ову сврху направиле акциони план у сарадњи са ФАТФ, и које су у обавези да извештавају о напретку који постижу у отклањању недостатака;</w:t>
      </w:r>
    </w:p>
    <w:p w:rsidR="00750485" w:rsidRDefault="009731CB">
      <w:pPr>
        <w:spacing w:after="150"/>
      </w:pPr>
      <w:r>
        <w:rPr>
          <w:color w:val="000000"/>
        </w:rPr>
        <w:t>3) на извештајима о процени националних система за борбу против прања новца и финансирања тероризма од стране међународних институција (ФАТФ и тзв. регионалних тела која функционишу по узору на ФАТФ, као што је Комитет Савета Европе Манивал).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23.</w:t>
      </w:r>
    </w:p>
    <w:p w:rsidR="00750485" w:rsidRDefault="009731CB">
      <w:pPr>
        <w:spacing w:after="150"/>
      </w:pPr>
      <w:r>
        <w:rPr>
          <w:color w:val="000000"/>
        </w:rPr>
        <w:t>Држ</w:t>
      </w:r>
      <w:r>
        <w:rPr>
          <w:color w:val="000000"/>
        </w:rPr>
        <w:t>аве које примењују стандарде у области спречавања прања новца и финансирања тероризма који су на нивоу стандарда EУ или виши су:</w:t>
      </w:r>
    </w:p>
    <w:p w:rsidR="00750485" w:rsidRDefault="009731CB">
      <w:pPr>
        <w:spacing w:after="150"/>
      </w:pPr>
      <w:r>
        <w:rPr>
          <w:color w:val="000000"/>
        </w:rPr>
        <w:t>1) државе чланице ЕУ;</w:t>
      </w:r>
    </w:p>
    <w:p w:rsidR="00750485" w:rsidRDefault="009731CB">
      <w:pPr>
        <w:spacing w:after="150"/>
      </w:pPr>
      <w:r>
        <w:rPr>
          <w:color w:val="000000"/>
        </w:rPr>
        <w:t>2) треће државе (остале државе које нису чланице ЕУ) са делотворним системима за спречавање прања новца и</w:t>
      </w:r>
      <w:r>
        <w:rPr>
          <w:color w:val="000000"/>
        </w:rPr>
        <w:t xml:space="preserve"> финансирања тероризма, процењеним у извештајима о процени националних система за борбу против прања новца и финансирања тероризма од стране међународних институција (ФАТФ и тзв. регионалних тела која функционишу по узору на ФАТФ, као што је Комитет Савета</w:t>
      </w:r>
      <w:r>
        <w:rPr>
          <w:color w:val="000000"/>
        </w:rPr>
        <w:t xml:space="preserve"> Европе Манивал);</w:t>
      </w:r>
    </w:p>
    <w:p w:rsidR="00750485" w:rsidRDefault="009731CB">
      <w:pPr>
        <w:spacing w:after="150"/>
      </w:pPr>
      <w:r>
        <w:rPr>
          <w:color w:val="000000"/>
        </w:rPr>
        <w:t xml:space="preserve">3) треће државе (остале државе које нису чланице ЕУ) које су веродостојни извори (нпр. </w:t>
      </w:r>
      <w:r>
        <w:rPr>
          <w:i/>
          <w:color w:val="000000"/>
        </w:rPr>
        <w:t>Transparency International</w:t>
      </w:r>
      <w:r>
        <w:rPr>
          <w:color w:val="000000"/>
        </w:rPr>
        <w:t>) означили као државе које имају низак ниво корупције или друге криминалне активности;</w:t>
      </w:r>
    </w:p>
    <w:p w:rsidR="00750485" w:rsidRDefault="009731CB">
      <w:pPr>
        <w:spacing w:after="150"/>
      </w:pPr>
      <w:r>
        <w:rPr>
          <w:color w:val="000000"/>
        </w:rPr>
        <w:t xml:space="preserve">4) треће државе (остале државе које </w:t>
      </w:r>
      <w:r>
        <w:rPr>
          <w:color w:val="000000"/>
        </w:rPr>
        <w:t>нису чланице ЕУ) које, на основу веродостојних извора, попут извештаја о процени националних система за борбу против прања новца и финансирања тероризма од стране међународних институција (ФАТФ и тзв. регионалних тела која функционишу по узору на ФАТФ, као</w:t>
      </w:r>
      <w:r>
        <w:rPr>
          <w:color w:val="000000"/>
        </w:rPr>
        <w:t xml:space="preserve"> што је Комитет Савета Европе Манивал) и објављених извештаја о напретку те државе у испуњавању препорука из извештаја о процени, имају обавезе прописане законом да се боре против прања новца и финансирања тероризма у складу са ФАТФ препорукама и делотворн</w:t>
      </w:r>
      <w:r>
        <w:rPr>
          <w:color w:val="000000"/>
        </w:rPr>
        <w:t>о имплементирају те обавезе.</w:t>
      </w:r>
    </w:p>
    <w:p w:rsidR="00750485" w:rsidRDefault="009731CB">
      <w:pPr>
        <w:spacing w:after="120"/>
        <w:jc w:val="center"/>
      </w:pPr>
      <w:r>
        <w:rPr>
          <w:color w:val="000000"/>
        </w:rPr>
        <w:t>VI. ПРЕЛАЗНЕ И ЗАВРШНЕ ОДРЕДБЕ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24.</w:t>
      </w:r>
    </w:p>
    <w:p w:rsidR="00750485" w:rsidRDefault="009731CB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методологији за извршавање послова у складу са Законом о спречавању прања новца и финансирања тероризма („Службени глас</w:t>
      </w:r>
      <w:r>
        <w:rPr>
          <w:color w:val="000000"/>
        </w:rPr>
        <w:t>ник РС”, број 19/18).</w:t>
      </w:r>
    </w:p>
    <w:p w:rsidR="00750485" w:rsidRDefault="009731CB">
      <w:pPr>
        <w:spacing w:after="120"/>
        <w:jc w:val="center"/>
      </w:pPr>
      <w:r>
        <w:rPr>
          <w:color w:val="000000"/>
        </w:rPr>
        <w:t>Члан 25.</w:t>
      </w:r>
    </w:p>
    <w:p w:rsidR="00750485" w:rsidRDefault="009731CB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750485" w:rsidRDefault="009731CB">
      <w:pPr>
        <w:spacing w:after="150"/>
        <w:jc w:val="right"/>
      </w:pPr>
      <w:r>
        <w:rPr>
          <w:color w:val="000000"/>
        </w:rPr>
        <w:t>Број 110-00-208/2020-20</w:t>
      </w:r>
    </w:p>
    <w:p w:rsidR="00750485" w:rsidRDefault="009731CB">
      <w:pPr>
        <w:spacing w:after="150"/>
        <w:jc w:val="right"/>
      </w:pPr>
      <w:r>
        <w:rPr>
          <w:color w:val="000000"/>
        </w:rPr>
        <w:t>У Београду, 7. маја 2020. године</w:t>
      </w:r>
    </w:p>
    <w:p w:rsidR="00750485" w:rsidRDefault="009731CB">
      <w:pPr>
        <w:spacing w:after="150"/>
        <w:jc w:val="right"/>
      </w:pPr>
      <w:r>
        <w:rPr>
          <w:color w:val="000000"/>
        </w:rPr>
        <w:t>Министар,</w:t>
      </w:r>
    </w:p>
    <w:p w:rsidR="00750485" w:rsidRDefault="009731CB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750485" w:rsidRDefault="009731CB">
      <w:pPr>
        <w:spacing w:after="120"/>
        <w:jc w:val="right"/>
      </w:pPr>
      <w:r>
        <w:rPr>
          <w:color w:val="000000"/>
        </w:rPr>
        <w:t>Прилози</w:t>
      </w:r>
    </w:p>
    <w:p w:rsidR="00750485" w:rsidRDefault="009731CB">
      <w:pPr>
        <w:spacing w:after="150"/>
      </w:pPr>
      <w:hyperlink r:id="rId5">
        <w:r>
          <w:rPr>
            <w:rStyle w:val="Hyperlink"/>
            <w:color w:val="008000"/>
          </w:rPr>
          <w:t>Образац 1 - Образац за пријаву готовинских и сумњивих трансакција и сумњивих активности</w:t>
        </w:r>
      </w:hyperlink>
    </w:p>
    <w:p w:rsidR="00750485" w:rsidRDefault="009731CB">
      <w:pPr>
        <w:spacing w:after="150"/>
      </w:pPr>
      <w:hyperlink r:id="rId6">
        <w:r>
          <w:rPr>
            <w:rStyle w:val="Hyperlink"/>
            <w:color w:val="008000"/>
          </w:rPr>
          <w:t>Образац 2 - Образац за доставу података од стране обвезника</w:t>
        </w:r>
      </w:hyperlink>
    </w:p>
    <w:p w:rsidR="00750485" w:rsidRDefault="009731CB">
      <w:pPr>
        <w:spacing w:after="150"/>
      </w:pPr>
      <w:hyperlink r:id="rId7">
        <w:r>
          <w:rPr>
            <w:rStyle w:val="Hyperlink"/>
            <w:color w:val="008000"/>
          </w:rPr>
          <w:t>Образац 3 - Образац за доставу података из евиденција које воде надлежни органи</w:t>
        </w:r>
      </w:hyperlink>
    </w:p>
    <w:sectPr w:rsidR="007504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85"/>
    <w:rsid w:val="00750485"/>
    <w:rsid w:val="009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CBBF6-A827-4B3A-9F7C-B9FED2C5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prilog3.html&amp;doctype=reg&amp;x-filename=true&amp;regactid=4335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prilog2.html&amp;doctype=reg&amp;x-filename=true&amp;regactid=433583" TargetMode="External"/><Relationship Id="rId5" Type="http://schemas.openxmlformats.org/officeDocument/2006/relationships/hyperlink" Target="http://www.pravno-informacioni-sistem.rs/SlGlasnikPortal/prilozi/prilog1.html&amp;doctype=reg&amp;x-filename=true&amp;regactid=433583" TargetMode="External"/><Relationship Id="rId4" Type="http://schemas.openxmlformats.org/officeDocument/2006/relationships/hyperlink" Target="http://www.pravno-informacioni-sistem.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Jerosimic</dc:creator>
  <cp:lastModifiedBy>Tatjana Jerosimic</cp:lastModifiedBy>
  <cp:revision>2</cp:revision>
  <dcterms:created xsi:type="dcterms:W3CDTF">2023-12-26T10:34:00Z</dcterms:created>
  <dcterms:modified xsi:type="dcterms:W3CDTF">2023-12-26T10:34:00Z</dcterms:modified>
</cp:coreProperties>
</file>