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B" w:rsidRPr="00C71B8B" w:rsidRDefault="00C71B8B" w:rsidP="00C71B8B">
      <w:pPr>
        <w:widowControl w:val="0"/>
        <w:tabs>
          <w:tab w:val="center" w:pos="2268"/>
        </w:tabs>
        <w:spacing w:after="0" w:line="240" w:lineRule="auto"/>
        <w:ind w:right="5625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71B8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7850" cy="914400"/>
            <wp:effectExtent l="0" t="0" r="0" b="0"/>
            <wp:docPr id="1" name="Picture 1" descr="Description: GRB mali -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mali -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40" r="5899" b="-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8B" w:rsidRPr="00C71B8B" w:rsidRDefault="001270E9" w:rsidP="00C71B8B">
      <w:pPr>
        <w:widowControl w:val="0"/>
        <w:tabs>
          <w:tab w:val="center" w:pos="2268"/>
        </w:tabs>
        <w:spacing w:after="0" w:line="240" w:lineRule="auto"/>
        <w:ind w:right="56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REPUBLIKA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SRBIJA</w:t>
      </w:r>
    </w:p>
    <w:p w:rsidR="00C71B8B" w:rsidRPr="00C71B8B" w:rsidRDefault="001270E9" w:rsidP="00C71B8B">
      <w:pPr>
        <w:widowControl w:val="0"/>
        <w:tabs>
          <w:tab w:val="center" w:pos="2268"/>
        </w:tabs>
        <w:spacing w:after="0" w:line="240" w:lineRule="auto"/>
        <w:ind w:right="5625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KOMISIJA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HARTIJE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VREDNOSTI</w:t>
      </w:r>
    </w:p>
    <w:p w:rsidR="00C71B8B" w:rsidRPr="00D215F4" w:rsidRDefault="001270E9" w:rsidP="00C71B8B">
      <w:pPr>
        <w:tabs>
          <w:tab w:val="center" w:pos="1620"/>
        </w:tabs>
        <w:spacing w:after="0" w:line="240" w:lineRule="auto"/>
        <w:ind w:right="5625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Broj</w:t>
      </w:r>
      <w:r w:rsidR="00C71B8B" w:rsidRPr="00833612">
        <w:rPr>
          <w:rFonts w:ascii="Times New Roman" w:eastAsia="Times New Roman" w:hAnsi="Times New Roman" w:cs="Times New Roman"/>
          <w:b/>
          <w:lang w:val="sr-Cyrl-CS"/>
        </w:rPr>
        <w:t xml:space="preserve">: </w:t>
      </w:r>
      <w:r w:rsidR="008663E6">
        <w:rPr>
          <w:rFonts w:ascii="Times New Roman" w:hAnsi="Times New Roman" w:cs="Times New Roman"/>
          <w:b/>
          <w:lang w:val="sr-Cyrl-CS"/>
        </w:rPr>
        <w:t>3/4</w:t>
      </w:r>
      <w:r w:rsidR="00D215F4">
        <w:rPr>
          <w:rFonts w:ascii="Times New Roman" w:hAnsi="Times New Roman" w:cs="Times New Roman"/>
          <w:b/>
          <w:lang w:val="sr-Cyrl-CS"/>
        </w:rPr>
        <w:t>-106-652/1-20</w:t>
      </w:r>
    </w:p>
    <w:p w:rsidR="00C71B8B" w:rsidRPr="00C71B8B" w:rsidRDefault="00C71B8B" w:rsidP="00C71B8B">
      <w:pPr>
        <w:tabs>
          <w:tab w:val="center" w:pos="1620"/>
        </w:tabs>
        <w:spacing w:after="0" w:line="240" w:lineRule="auto"/>
        <w:ind w:right="56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1B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15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11</w:t>
      </w:r>
      <w:r w:rsidRPr="00C71B8B">
        <w:rPr>
          <w:rFonts w:ascii="Times New Roman" w:eastAsia="Times New Roman" w:hAnsi="Times New Roman" w:cs="Times New Roman"/>
          <w:b/>
          <w:sz w:val="24"/>
          <w:szCs w:val="24"/>
          <w:lang/>
        </w:rPr>
        <w:t>.</w:t>
      </w:r>
      <w:r w:rsidR="0009746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270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maj</w:t>
      </w:r>
      <w:r w:rsidRPr="00C71B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15F4">
        <w:rPr>
          <w:rFonts w:ascii="Times New Roman" w:eastAsia="Times New Roman" w:hAnsi="Times New Roman" w:cs="Times New Roman"/>
          <w:b/>
          <w:sz w:val="24"/>
          <w:szCs w:val="24"/>
          <w:lang/>
        </w:rPr>
        <w:t>20</w:t>
      </w:r>
      <w:r w:rsidR="00D215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Pr="00C71B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1270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C71B8B" w:rsidRPr="00C71B8B" w:rsidRDefault="001270E9" w:rsidP="007C3C8B">
      <w:pPr>
        <w:tabs>
          <w:tab w:val="center" w:pos="1620"/>
        </w:tabs>
        <w:spacing w:after="0" w:line="240" w:lineRule="auto"/>
        <w:ind w:right="56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g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</w:t>
      </w:r>
      <w:r w:rsidR="00C71B8B" w:rsidRPr="00C71B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C71B8B" w:rsidRPr="00833612" w:rsidRDefault="00C71B8B" w:rsidP="00C7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71B8B" w:rsidRPr="00833612" w:rsidRDefault="001270E9" w:rsidP="00C71B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Na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osnovu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7700" w:rsidRPr="00833612">
        <w:rPr>
          <w:rFonts w:ascii="Times New Roman" w:eastAsia="Times New Roman" w:hAnsi="Times New Roman" w:cs="Times New Roman"/>
          <w:sz w:val="24"/>
          <w:szCs w:val="24"/>
          <w:lang w:val="sr-Cyrl-CS"/>
        </w:rPr>
        <w:t>68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1,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697700" w:rsidRPr="008336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697700" w:rsidRPr="008336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sprečavanju</w:t>
      </w:r>
      <w:r w:rsidR="00F90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pranja</w:t>
      </w:r>
      <w:r w:rsidR="00F90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novca</w:t>
      </w:r>
      <w:r w:rsidR="00F90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F90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finansiranj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697700" w:rsidRPr="008336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terorizma</w:t>
      </w:r>
      <w:r w:rsidR="00697700" w:rsidRPr="00833612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r>
        <w:rPr>
          <w:rFonts w:ascii="Times New Roman" w:hAnsi="Times New Roman" w:cs="Times New Roman"/>
          <w:bCs/>
          <w:sz w:val="24"/>
          <w:szCs w:val="24"/>
        </w:rPr>
        <w:t>Službeni</w:t>
      </w:r>
      <w:r w:rsidR="00697700" w:rsidRPr="008336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glasnik</w:t>
      </w:r>
      <w:r w:rsidR="00697700" w:rsidRPr="008336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RS</w:t>
      </w:r>
      <w:r w:rsidR="00697700" w:rsidRPr="00833612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</w:rPr>
        <w:t>br</w:t>
      </w:r>
      <w:r w:rsidR="00697700" w:rsidRPr="00833612">
        <w:rPr>
          <w:rFonts w:ascii="Times New Roman" w:hAnsi="Times New Roman" w:cs="Times New Roman"/>
          <w:bCs/>
          <w:sz w:val="24"/>
          <w:szCs w:val="24"/>
        </w:rPr>
        <w:t>. 113/2017</w:t>
      </w:r>
      <w:r w:rsidR="001E63FD">
        <w:rPr>
          <w:rFonts w:ascii="Times New Roman" w:hAnsi="Times New Roman" w:cs="Times New Roman"/>
          <w:bCs/>
          <w:sz w:val="24"/>
          <w:szCs w:val="24"/>
          <w:lang w:val="sr-Cyrl-CS"/>
        </w:rPr>
        <w:t>, 91/2019</w:t>
      </w:r>
      <w:r w:rsidR="00697700" w:rsidRPr="00833612">
        <w:rPr>
          <w:rFonts w:ascii="Times New Roman" w:hAnsi="Times New Roman" w:cs="Times New Roman"/>
          <w:bCs/>
          <w:sz w:val="24"/>
          <w:szCs w:val="24"/>
        </w:rPr>
        <w:t>)</w:t>
      </w:r>
      <w:r w:rsidR="00697700" w:rsidRPr="008336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Komisija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za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hartije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od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vrednosti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na</w:t>
      </w:r>
      <w:r w:rsidR="00D07F7B" w:rsidRPr="00833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63FD">
        <w:rPr>
          <w:rFonts w:ascii="Times New Roman" w:eastAsia="Times New Roman" w:hAnsi="Times New Roman" w:cs="Times New Roman"/>
          <w:sz w:val="24"/>
          <w:szCs w:val="24"/>
          <w:lang w:val="sr-Cyrl-CS"/>
        </w:rPr>
        <w:t>129</w:t>
      </w:r>
      <w:r w:rsidR="004B5FE7" w:rsidRPr="0083361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sednici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od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1E63FD">
        <w:rPr>
          <w:rFonts w:ascii="Times New Roman" w:eastAsia="Times New Roman" w:hAnsi="Times New Roman" w:cs="Times New Roman"/>
          <w:sz w:val="24"/>
          <w:szCs w:val="24"/>
          <w:lang/>
        </w:rPr>
        <w:t>11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1E63FD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1E63FD">
        <w:rPr>
          <w:rFonts w:ascii="Times New Roman" w:eastAsia="Times New Roman" w:hAnsi="Times New Roman" w:cs="Times New Roman"/>
          <w:sz w:val="24"/>
          <w:szCs w:val="24"/>
          <w:lang/>
        </w:rPr>
        <w:t>.2020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godine</w:t>
      </w:r>
      <w:r w:rsidR="00C71B8B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kojom</w:t>
      </w:r>
      <w:r w:rsidR="00CE105E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je</w:t>
      </w:r>
      <w:r w:rsidR="00CE105E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predsedavao</w:t>
      </w:r>
      <w:r w:rsidR="00CE105E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predsednik</w:t>
      </w:r>
      <w:r w:rsidR="00CE105E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Komisije</w:t>
      </w:r>
      <w:r w:rsidR="001E63F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Marko</w:t>
      </w:r>
      <w:r w:rsidR="001E63F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Janković</w:t>
      </w:r>
      <w:r w:rsidR="00CE105E" w:rsidRPr="00833612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</w:t>
      </w:r>
    </w:p>
    <w:p w:rsidR="00C71B8B" w:rsidRPr="00833612" w:rsidRDefault="00C71B8B" w:rsidP="00C71B8B">
      <w:pPr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</w:p>
    <w:p w:rsidR="007C3C8B" w:rsidRDefault="007C3C8B" w:rsidP="00C71B8B">
      <w:pPr>
        <w:spacing w:after="0" w:line="240" w:lineRule="auto"/>
        <w:ind w:left="-709" w:right="-24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1E63FD" w:rsidRDefault="001270E9" w:rsidP="00F9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U</w:t>
      </w:r>
      <w:r w:rsidR="001E63FD" w:rsidRPr="001E63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INDIKATORA</w:t>
      </w:r>
      <w:r w:rsidR="001E63FD" w:rsidRPr="001E63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E63FD" w:rsidRDefault="001270E9" w:rsidP="00F90E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</w:t>
      </w:r>
      <w:r w:rsidR="001E63FD" w:rsidRPr="001E63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prepoznavanje</w:t>
      </w:r>
      <w:r w:rsidR="001E63FD" w:rsidRPr="001E63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lica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transakcija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1E63FD" w:rsidRDefault="001270E9" w:rsidP="00F9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koje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postoje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osnovi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sumnje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da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radi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pranju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novca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ili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finansiranju</w:t>
      </w:r>
      <w:r w:rsidR="001E63FD" w:rsidRPr="001E63F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terorizma</w:t>
      </w:r>
      <w:r w:rsidR="001E63FD" w:rsidRPr="001E63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90E3A" w:rsidRPr="001E63FD" w:rsidRDefault="001270E9" w:rsidP="00F9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ZA</w:t>
      </w:r>
      <w:r w:rsidR="001E63FD" w:rsidRPr="001E63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DRUŠTVA</w:t>
      </w:r>
      <w:r w:rsidR="001E63FD" w:rsidRPr="001E63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ZA</w:t>
      </w:r>
      <w:r w:rsidR="001E63FD" w:rsidRPr="001E63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REVIZIJU</w:t>
      </w:r>
      <w:r w:rsidR="001E63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I</w:t>
      </w:r>
      <w:r w:rsidR="001E63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SAMOSTALNE</w:t>
      </w:r>
      <w:r w:rsidR="001E63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REVIZORE</w:t>
      </w:r>
    </w:p>
    <w:p w:rsidR="00F90E3A" w:rsidRPr="001E63FD" w:rsidRDefault="00F90E3A" w:rsidP="00F90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F90E3A" w:rsidRDefault="00F90E3A" w:rsidP="00F90E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0E3A" w:rsidRDefault="00F90E3A" w:rsidP="00F90E3A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Stranka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ili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osnivači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stranke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dolaze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iz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zemlje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koja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na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osnovu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podataka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relevantnih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međunarodnih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organizacija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Uprave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za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sprečavanje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pranja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novca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ne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primenjuje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standarde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u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oblasti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sprečavanja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pranja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novca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finansiranja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terorizma</w:t>
      </w:r>
      <w:r w:rsidR="00E625ED">
        <w:rPr>
          <w:rFonts w:ascii="Times New Roman" w:eastAsia="Times New Roman" w:hAnsi="Times New Roman"/>
          <w:sz w:val="24"/>
          <w:szCs w:val="24"/>
          <w:lang/>
        </w:rPr>
        <w:t xml:space="preserve"> .</w:t>
      </w:r>
    </w:p>
    <w:p w:rsidR="00545115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Stranka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prilikom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uspostavljanja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poslovnog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odnosa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istupa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isključivo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preko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punomoćnika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AA0BD1" w:rsidRP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4E25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protestuje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zahtev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revizora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pokaže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uvid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dokument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identifikaciju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ili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pokušava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dokaže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svoj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identitet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drugi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način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predajom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propisanih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identifikacionih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dokumenata</w:t>
      </w:r>
      <w:r w:rsid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Odgovorno</w:t>
      </w:r>
      <w:r w:rsidR="00545115" w:rsidRPr="00545115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lice</w:t>
      </w:r>
      <w:r w:rsidR="00545115" w:rsidRPr="00545115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stranke</w:t>
      </w:r>
      <w:r w:rsidR="00545115" w:rsidRPr="00545115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ne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poznaje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dobro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svoje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poslovanje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/>
        </w:rPr>
        <w:t>nezainteresovano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je</w:t>
      </w:r>
      <w:r w:rsidR="00545115" w:rsidRPr="00545115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za</w:t>
      </w:r>
      <w:r w:rsidR="00545115" w:rsidRPr="00545115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poslovanje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ili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daje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sumnjivo</w:t>
      </w:r>
      <w:r w:rsid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</w:rPr>
        <w:t>obrazloženje</w:t>
      </w:r>
      <w:r w:rsidR="00E62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</w:t>
      </w:r>
      <w:r>
        <w:rPr>
          <w:rFonts w:ascii="Times New Roman" w:hAnsi="Times New Roman"/>
          <w:sz w:val="24"/>
          <w:szCs w:val="24"/>
          <w:lang w:val="sr-Cyrl-CS"/>
        </w:rPr>
        <w:t>ovanja</w:t>
      </w:r>
      <w:r w:rsidR="00E625ED" w:rsidRPr="00E625ED">
        <w:rPr>
          <w:rFonts w:ascii="Times New Roman" w:hAnsi="Times New Roman"/>
          <w:sz w:val="24"/>
          <w:szCs w:val="24"/>
        </w:rPr>
        <w:t>.</w:t>
      </w:r>
    </w:p>
    <w:p w:rsid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Strankom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upravlja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putem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neformalnih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kanala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npr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putem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porodičnih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ili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prijateljskih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odnosa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>).</w:t>
      </w:r>
    </w:p>
    <w:p w:rsidR="00545115" w:rsidRP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Stranka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obavlja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delatnost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koja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je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u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skladu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Nacionalnom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procenom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rizika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označena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kao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visokorizična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. </w:t>
      </w:r>
    </w:p>
    <w:p w:rsidR="00545115" w:rsidRP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/>
          <w:sz w:val="24"/>
          <w:szCs w:val="24"/>
          <w:lang/>
        </w:rPr>
        <w:t>tranka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obavlja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delatnost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za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koju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je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karakterističan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veliki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obrt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ili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uplate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gotovine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/>
        </w:rPr>
        <w:t>kao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što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su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/>
        </w:rPr>
        <w:t>restorani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kladionice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pumpe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menjači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kazina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cvećare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trgovci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plemenitim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metalima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automobilima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umetničkim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delima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prevoznici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robe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putnika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sportska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društva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građevinske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firme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investitori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u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izgradnju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nekretnina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dr</w:t>
      </w:r>
      <w:r w:rsidR="00545115">
        <w:rPr>
          <w:rFonts w:ascii="Times New Roman" w:eastAsia="Times New Roman" w:hAnsi="Times New Roman"/>
          <w:sz w:val="24"/>
          <w:szCs w:val="24"/>
          <w:lang/>
        </w:rPr>
        <w:t>.).</w:t>
      </w:r>
    </w:p>
    <w:p w:rsidR="00545115" w:rsidRPr="00545115" w:rsidRDefault="001270E9" w:rsidP="005451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Složena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organizaciona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struktura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stranke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odnosu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delatnost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stranke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bez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postojanja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čvrstih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razloga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takvu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složenost</w:t>
      </w:r>
      <w:r w:rsidR="00545115" w:rsidRPr="00545115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F90CB7" w:rsidRP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Stranka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čija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je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vlasnička</w:t>
      </w:r>
      <w:r w:rsidR="00545115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struktura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takva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da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je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teško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utvrditi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stvarnog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vlasnika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ili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lice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koje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ima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kontrolni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udeo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/>
        </w:rPr>
        <w:t>stranke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koje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koriste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treća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lica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fondacije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trastovi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ili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slična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lica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stranog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prava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zatim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/>
        </w:rPr>
        <w:t>dobrotvorne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neprofitne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nevladine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organizacije</w:t>
      </w:r>
      <w:r w:rsidR="00F90CB7" w:rsidRPr="00E625ED">
        <w:rPr>
          <w:rFonts w:ascii="Times New Roman" w:eastAsia="Times New Roman" w:hAnsi="Times New Roman"/>
          <w:sz w:val="24"/>
          <w:szCs w:val="24"/>
          <w:lang/>
        </w:rPr>
        <w:t>).</w:t>
      </w:r>
    </w:p>
    <w:p w:rsid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Stranka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ili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stvarni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vlasnik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stranke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je</w:t>
      </w:r>
      <w:r w:rsidR="0054511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funkcioner</w:t>
      </w:r>
      <w:r w:rsidR="00545115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E625ED" w:rsidRP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Ovlašćenom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revizoru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nikada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nije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bilo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omogućeno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da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pogleda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poslovni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prostor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stranke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za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koji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je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zainteresovan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npr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proizvodni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deo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preduzeća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što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može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ukazivati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sumnju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radi</w:t>
      </w:r>
      <w:r w:rsid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</w:t>
      </w:r>
      <w:r w:rsid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fiktivnom</w:t>
      </w:r>
      <w:r w:rsid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preduzeću</w:t>
      </w:r>
      <w:r w:rsidR="00E625ED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vrši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transakcije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avansnih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plaćanja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ili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prima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avansne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uplate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verovatnoća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realizacije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mala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obzirom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poslovnu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politiku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objektivne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okolnosti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 </w:t>
      </w:r>
    </w:p>
    <w:p w:rsid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Velike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neobjašnjive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fluktuacije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bilansu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uspeha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neusklađenost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bilansnih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pozicija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neopravdano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visoki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prihodi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odnosu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rashode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>).</w:t>
      </w:r>
    </w:p>
    <w:p w:rsid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Knjiženja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promena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finansijskim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izveštajima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vršena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osnovu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neverodostojnih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dokumenata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što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može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ukazati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sumnju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radi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fiktivnim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transakcijama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</w:p>
    <w:p w:rsid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ostvaruje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značajne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prilive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of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šor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kompanija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teško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identifikovati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vlasničku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poslovnu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strukturu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</w:p>
    <w:p w:rsidR="00E625ED" w:rsidRDefault="001270E9" w:rsidP="00E625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ostvaruje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značajne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prilive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funkcionera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>,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odnosno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od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člana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uže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porodice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funkcionera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ili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bližeg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saradnika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funkcionera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svake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zaključuje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ugovor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novim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ovlašćenim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revizorom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/>
        </w:rPr>
        <w:t>poslovnim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ili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poreskim</w:t>
      </w:r>
      <w:r w:rsidR="00545115" w:rsidRPr="00E625ED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savetnikom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što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ukazuje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možda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želi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prikrije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svoje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poslovne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aktivnosti</w:t>
      </w:r>
      <w:r w:rsidR="00545115" w:rsidRPr="00E625E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</w:p>
    <w:p w:rsidR="00AA0BD1" w:rsidRP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vrši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pritisak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privredno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društvo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reviziju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će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promeniti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revizora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a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sve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ciljem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dobijanja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nemodifikovanog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mišljenja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Stranka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ima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lošu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reputaciju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/>
        </w:rPr>
        <w:t>poznate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su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njene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nezakonite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aktivnosti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iz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prošlosti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ili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se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njena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prošlost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ne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može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proveriti</w:t>
      </w:r>
      <w:r w:rsidR="00AA0BD1" w:rsidRPr="00AA0BD1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Iako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priroda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poslovanja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takva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obuhvata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plaćanja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gotovom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novcu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ipak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posluje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gotovim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novcem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odnosno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poseduje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veću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količinu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gotovog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novca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često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vrši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gotovinske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uplate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osnovu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dokapitalizacije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preduzeća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ili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evidentirane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značajne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gotovinske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uplate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osnovu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pozajmica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/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zajma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fizičkih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lica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Iako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priroda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poslovanja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takva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nije</w:t>
      </w:r>
      <w:r w:rsidR="00545115" w:rsidRPr="00AA0BD1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neposredno</w:t>
      </w:r>
      <w:r w:rsidR="00545115" w:rsidRPr="00AA0BD1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vezano</w:t>
      </w:r>
      <w:r w:rsidR="00545115" w:rsidRPr="00AA0BD1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za</w:t>
      </w:r>
      <w:r w:rsidR="00545115" w:rsidRPr="00AA0BD1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kriptoimovinska</w:t>
      </w:r>
      <w:r w:rsidR="00545115" w:rsidRPr="00AA0BD1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>prava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ipak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posluje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kriptoimovinskim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pravima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odnosno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poseduje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veću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količinu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kriptoimovinskih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prava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fakturiše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usluge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može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sigurnošću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potvrditi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izvršene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odnosno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fakturiše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usluge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nelogično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visokog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iznosa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plaća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usluge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može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sigurnošću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potvrditi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izvršene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odnosno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usluge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plaća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nelogično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visoke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iznose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odstupa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očekivanog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poslovanja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primer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nabavka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robe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ili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usluga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nikada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nisu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bile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predmet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poslovanja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ili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nabavka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robe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višim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cenama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tržišnih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bez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jasnog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razloga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takvu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nabavku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).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vrši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neobične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ili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veoma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složene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transakcije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naročito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krajem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početkom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izveštajnog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perioda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Neusaglašeni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podaci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prezentovanoj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dokumentaciji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faktura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slaže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prijemnicom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/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otpremnicom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transportnim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dokumentom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).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obveznik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revizije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vrši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česte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statusne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promene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Osnivanje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bez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opravdanog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razloga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velikog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broja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povezanih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lica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iznenada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počinju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međusobno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posluju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bez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posebno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uočenih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ekonomskih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razloga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Raspodela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neraspoređene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dobiti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nastale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osnovu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fiktivnog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poslovanja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A0BD1" w:rsidRDefault="001270E9" w:rsidP="00AA0B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vrši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konverziju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svojih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potraživanja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učešće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kapitalu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FD5B4D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Broj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zaposlenih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nije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kompatibilan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obimom</w:t>
      </w:r>
      <w:r w:rsidR="00AA0BD1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poslovanja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stranke</w:t>
      </w:r>
      <w:r w:rsidR="00545115" w:rsidRPr="00AA0BD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FD5B4D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Dati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preuzeti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zajmovi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firmi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poreskim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rajevima</w:t>
      </w:r>
      <w:r w:rsidR="00FD5B4D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FD5B4D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D5B4D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garancijom</w:t>
      </w:r>
      <w:r w:rsidR="00FD5B4D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banaka</w:t>
      </w:r>
      <w:r w:rsidR="00FD5B4D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D5B4D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poreskim</w:t>
      </w:r>
      <w:r w:rsidR="00FD5B4D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rajevima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>.</w:t>
      </w:r>
    </w:p>
    <w:p w:rsidR="00D215F4" w:rsidRDefault="001270E9" w:rsidP="00D215F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Stranka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plaća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usluge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neuobičajeno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visokim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iznosima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ka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kompanijama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sedištem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of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šor</w:t>
      </w:r>
      <w:r w:rsidR="00FD5B4D" w:rsidRP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destinacijama</w:t>
      </w:r>
      <w:r w:rsid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ili</w:t>
      </w:r>
      <w:r w:rsid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joj</w:t>
      </w:r>
      <w:r w:rsidR="00FD5B4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FD5B4D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ispostavljaju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računi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pružene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usluge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društava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sedište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državama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postoji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odgovarajuće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zakonodavstvo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sprečavanje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pranja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novca</w:t>
      </w:r>
      <w:r w:rsid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finansiranja</w:t>
      </w:r>
      <w:r w:rsid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terorizma</w:t>
      </w:r>
      <w:r w:rsidR="00D215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poznate</w:t>
      </w:r>
      <w:r w:rsid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poreske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oaze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poreski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raj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bankarski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dozvoljava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veliku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tajnost</w:t>
      </w:r>
      <w:r w:rsid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stranaka</w:t>
      </w:r>
      <w:r w:rsidR="00FD5B4D">
        <w:rPr>
          <w:rFonts w:ascii="Times New Roman" w:hAnsi="Times New Roman"/>
          <w:sz w:val="24"/>
          <w:szCs w:val="24"/>
          <w:lang w:val="sr-Cyrl-CS"/>
        </w:rPr>
        <w:t>.</w:t>
      </w:r>
    </w:p>
    <w:p w:rsidR="00FD5B4D" w:rsidRPr="00D215F4" w:rsidRDefault="001270E9" w:rsidP="00D215F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Međunarodni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transferi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velikom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postojanja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odgovarajućeg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D5B4D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Klijent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učestalo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transakcije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velikim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iznosima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njegovim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redovnim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poslovanjem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>.</w:t>
      </w:r>
    </w:p>
    <w:p w:rsidR="00FD5B4D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Stranka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plaća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robu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opisu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D5B4D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Stranka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stalno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posluje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gubitkom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opravdani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razlozi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>.</w:t>
      </w:r>
    </w:p>
    <w:p w:rsidR="00FD5B4D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Stranka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isplaćuje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svote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novca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kontrolisanim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društvima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poslovanje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razlikuje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uobičajenog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poslovanja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>.</w:t>
      </w:r>
    </w:p>
    <w:p w:rsidR="00FD5B4D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Stranka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neočekivano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pokazuje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zanimanje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politike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njihovog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vrlo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poznaje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obaveštavanju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sumnjivim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transakcijama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deluje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vrlo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upoznata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predmetima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pranje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novca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finansiranje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terorizma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>.</w:t>
      </w:r>
    </w:p>
    <w:p w:rsidR="00FD5B4D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Stranka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neuobičajeno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kasni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dostavljanjem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knjigovodstvene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dokumentacije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dokumentacije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traži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sprovođenja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revizije</w:t>
      </w:r>
      <w:r w:rsidR="00545115" w:rsidRPr="00FD5B4D">
        <w:rPr>
          <w:rFonts w:ascii="Times New Roman" w:hAnsi="Times New Roman"/>
          <w:sz w:val="24"/>
          <w:szCs w:val="24"/>
          <w:lang w:val="sr-Cyrl-CS"/>
        </w:rPr>
        <w:t>.</w:t>
      </w:r>
    </w:p>
    <w:p w:rsidR="00D215F4" w:rsidRPr="00D215F4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Prenos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udela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pravnim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licima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prodajna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ugovorena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visini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upisanog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kapitala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ostatak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novca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plati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gotovini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dok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prenosom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udela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pravnim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licima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prenosi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neraspoređena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dobit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višestruko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osnovnog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kapitala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45115" w:rsidRPr="00D215F4" w:rsidRDefault="001270E9" w:rsidP="00FD5B4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Neobične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stope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povrata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nerizičnu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poslovnu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</w:t>
      </w:r>
      <w:r w:rsidR="00545115" w:rsidRPr="00D215F4">
        <w:rPr>
          <w:rFonts w:ascii="Times New Roman" w:hAnsi="Times New Roman"/>
          <w:sz w:val="24"/>
          <w:szCs w:val="24"/>
          <w:lang w:val="sr-Cyrl-CS"/>
        </w:rPr>
        <w:t>.</w:t>
      </w:r>
    </w:p>
    <w:p w:rsidR="00545115" w:rsidRDefault="00545115" w:rsidP="005451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CB7" w:rsidRDefault="00F90CB7" w:rsidP="00F90CB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/>
        </w:rPr>
      </w:pPr>
    </w:p>
    <w:p w:rsidR="00F90CB7" w:rsidRDefault="00F90CB7" w:rsidP="00F90CB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/>
        </w:rPr>
      </w:pPr>
    </w:p>
    <w:p w:rsidR="00F90CB7" w:rsidRDefault="00F90CB7" w:rsidP="00F90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F90CB7" w:rsidRDefault="00F90CB7" w:rsidP="00F90CB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/>
        </w:rPr>
      </w:pPr>
    </w:p>
    <w:p w:rsidR="00697700" w:rsidRDefault="00697700" w:rsidP="00C71B8B">
      <w:pPr>
        <w:spacing w:after="0" w:line="240" w:lineRule="auto"/>
        <w:ind w:left="-709" w:right="-24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697700" w:rsidRDefault="00697700" w:rsidP="00C71B8B">
      <w:pPr>
        <w:spacing w:after="0" w:line="240" w:lineRule="auto"/>
        <w:ind w:left="-709" w:right="-24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697700" w:rsidRPr="00C71B8B" w:rsidRDefault="00697700" w:rsidP="00C71B8B">
      <w:pPr>
        <w:spacing w:after="0" w:line="240" w:lineRule="auto"/>
        <w:ind w:left="-709" w:right="-240"/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</w:pPr>
    </w:p>
    <w:p w:rsidR="00C71B8B" w:rsidRPr="002E0C24" w:rsidRDefault="007C3C8B" w:rsidP="002E0C24">
      <w:pPr>
        <w:spacing w:after="0" w:line="240" w:lineRule="auto"/>
        <w:ind w:left="-709" w:right="-240"/>
        <w:rPr>
          <w:rFonts w:ascii="Times New Roman" w:eastAsia="Times New Roman" w:hAnsi="Times New Roman" w:cs="Times New Roman"/>
          <w:b/>
          <w:spacing w:val="-3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 xml:space="preserve">                                                                                   </w:t>
      </w:r>
      <w:r w:rsidR="0009746D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 xml:space="preserve">                        </w:t>
      </w:r>
      <w:r w:rsidR="001270E9">
        <w:rPr>
          <w:rFonts w:ascii="Times New Roman" w:eastAsia="Times New Roman" w:hAnsi="Times New Roman" w:cs="Times New Roman"/>
          <w:b/>
          <w:spacing w:val="-3"/>
          <w:sz w:val="24"/>
          <w:szCs w:val="24"/>
          <w:lang/>
        </w:rPr>
        <w:t>PREDSEDNIK</w:t>
      </w:r>
      <w:r w:rsidR="00C71B8B" w:rsidRPr="00C71B8B">
        <w:rPr>
          <w:rFonts w:ascii="Times New Roman" w:eastAsia="Times New Roman" w:hAnsi="Times New Roman" w:cs="Times New Roman"/>
          <w:b/>
          <w:spacing w:val="-3"/>
          <w:sz w:val="24"/>
          <w:szCs w:val="24"/>
          <w:lang/>
        </w:rPr>
        <w:t xml:space="preserve"> </w:t>
      </w:r>
      <w:r w:rsidR="001270E9">
        <w:rPr>
          <w:rFonts w:ascii="Times New Roman" w:eastAsia="Times New Roman" w:hAnsi="Times New Roman" w:cs="Times New Roman"/>
          <w:b/>
          <w:spacing w:val="-3"/>
          <w:sz w:val="24"/>
          <w:szCs w:val="24"/>
          <w:lang/>
        </w:rPr>
        <w:t>KOMISIJE</w:t>
      </w:r>
    </w:p>
    <w:p w:rsidR="007C3C8B" w:rsidRPr="007C3C8B" w:rsidRDefault="00C71B8B" w:rsidP="00C71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3C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</w:t>
      </w:r>
      <w:r w:rsidR="004E25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</w:t>
      </w:r>
      <w:bookmarkStart w:id="0" w:name="_GoBack"/>
      <w:bookmarkEnd w:id="0"/>
      <w:r w:rsidR="001270E9">
        <w:rPr>
          <w:rFonts w:ascii="Times New Roman" w:hAnsi="Times New Roman" w:cs="Times New Roman"/>
          <w:b/>
          <w:sz w:val="24"/>
          <w:szCs w:val="24"/>
          <w:lang w:val="sr-Cyrl-CS"/>
        </w:rPr>
        <w:t>Marko</w:t>
      </w:r>
      <w:r w:rsidR="00D215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270E9">
        <w:rPr>
          <w:rFonts w:ascii="Times New Roman" w:hAnsi="Times New Roman" w:cs="Times New Roman"/>
          <w:b/>
          <w:sz w:val="24"/>
          <w:szCs w:val="24"/>
          <w:lang w:val="sr-Cyrl-CS"/>
        </w:rPr>
        <w:t>Janković</w:t>
      </w:r>
      <w:r w:rsidR="002E0C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1270E9">
        <w:rPr>
          <w:rFonts w:ascii="Times New Roman" w:hAnsi="Times New Roman" w:cs="Times New Roman"/>
          <w:b/>
          <w:sz w:val="24"/>
          <w:szCs w:val="24"/>
          <w:lang w:val="sr-Cyrl-CS"/>
        </w:rPr>
        <w:t>sr</w:t>
      </w:r>
    </w:p>
    <w:p w:rsidR="00370D5B" w:rsidRPr="007C3C8B" w:rsidRDefault="00370D5B">
      <w:pPr>
        <w:rPr>
          <w:lang w:val="sr-Cyrl-CS"/>
        </w:rPr>
      </w:pPr>
    </w:p>
    <w:sectPr w:rsidR="00370D5B" w:rsidRPr="007C3C8B" w:rsidSect="009C0326">
      <w:foot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AA" w:rsidRDefault="00D811AA">
      <w:pPr>
        <w:spacing w:after="0" w:line="240" w:lineRule="auto"/>
      </w:pPr>
      <w:r>
        <w:separator/>
      </w:r>
    </w:p>
  </w:endnote>
  <w:endnote w:type="continuationSeparator" w:id="0">
    <w:p w:rsidR="00D811AA" w:rsidRDefault="00D8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0975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5B4D" w:rsidRDefault="009C0326">
        <w:pPr>
          <w:pStyle w:val="Footer"/>
          <w:jc w:val="right"/>
        </w:pPr>
        <w:r>
          <w:fldChar w:fldCharType="begin"/>
        </w:r>
        <w:r w:rsidR="00FD5B4D">
          <w:instrText xml:space="preserve"> PAGE   \* MERGEFORMAT </w:instrText>
        </w:r>
        <w:r>
          <w:fldChar w:fldCharType="separate"/>
        </w:r>
        <w:r w:rsidR="001270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5B4D" w:rsidRDefault="00FD5B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AA" w:rsidRDefault="00D811AA">
      <w:pPr>
        <w:spacing w:after="0" w:line="240" w:lineRule="auto"/>
      </w:pPr>
      <w:r>
        <w:separator/>
      </w:r>
    </w:p>
  </w:footnote>
  <w:footnote w:type="continuationSeparator" w:id="0">
    <w:p w:rsidR="00D811AA" w:rsidRDefault="00D8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2558"/>
    <w:multiLevelType w:val="hybridMultilevel"/>
    <w:tmpl w:val="D29C2998"/>
    <w:lvl w:ilvl="0" w:tplc="E4E6D4B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B1366"/>
    <w:multiLevelType w:val="hybridMultilevel"/>
    <w:tmpl w:val="3968A8A8"/>
    <w:lvl w:ilvl="0" w:tplc="081A000F">
      <w:start w:val="1"/>
      <w:numFmt w:val="decimal"/>
      <w:lvlText w:val="%1."/>
      <w:lvlJc w:val="left"/>
      <w:pPr>
        <w:ind w:left="3337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7D0"/>
    <w:multiLevelType w:val="hybridMultilevel"/>
    <w:tmpl w:val="ED84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B8B"/>
    <w:rsid w:val="00026A15"/>
    <w:rsid w:val="0009746D"/>
    <w:rsid w:val="000A6AD9"/>
    <w:rsid w:val="00115D8A"/>
    <w:rsid w:val="00121450"/>
    <w:rsid w:val="001270E9"/>
    <w:rsid w:val="00173EDE"/>
    <w:rsid w:val="001E0CA9"/>
    <w:rsid w:val="001E63FD"/>
    <w:rsid w:val="002855A6"/>
    <w:rsid w:val="002E0C24"/>
    <w:rsid w:val="00370D5B"/>
    <w:rsid w:val="0047752B"/>
    <w:rsid w:val="004B5FE7"/>
    <w:rsid w:val="004E251A"/>
    <w:rsid w:val="00523145"/>
    <w:rsid w:val="00541036"/>
    <w:rsid w:val="00545115"/>
    <w:rsid w:val="00572EB9"/>
    <w:rsid w:val="006726E4"/>
    <w:rsid w:val="00697700"/>
    <w:rsid w:val="006E6EFE"/>
    <w:rsid w:val="0071482D"/>
    <w:rsid w:val="00731484"/>
    <w:rsid w:val="007B6A24"/>
    <w:rsid w:val="007C3C8B"/>
    <w:rsid w:val="00813F9B"/>
    <w:rsid w:val="00815663"/>
    <w:rsid w:val="00833612"/>
    <w:rsid w:val="008663E6"/>
    <w:rsid w:val="008E0F0B"/>
    <w:rsid w:val="008E3613"/>
    <w:rsid w:val="009B4EF6"/>
    <w:rsid w:val="009C0326"/>
    <w:rsid w:val="00A17DD9"/>
    <w:rsid w:val="00A74EF4"/>
    <w:rsid w:val="00AA0BD1"/>
    <w:rsid w:val="00AC01BA"/>
    <w:rsid w:val="00AF4879"/>
    <w:rsid w:val="00B04A43"/>
    <w:rsid w:val="00B4299A"/>
    <w:rsid w:val="00BB47DC"/>
    <w:rsid w:val="00BD47FE"/>
    <w:rsid w:val="00BF5B30"/>
    <w:rsid w:val="00C11AFB"/>
    <w:rsid w:val="00C71B8B"/>
    <w:rsid w:val="00C77838"/>
    <w:rsid w:val="00CE105E"/>
    <w:rsid w:val="00CF65EF"/>
    <w:rsid w:val="00D07F7B"/>
    <w:rsid w:val="00D132B0"/>
    <w:rsid w:val="00D215F4"/>
    <w:rsid w:val="00D27993"/>
    <w:rsid w:val="00D3154D"/>
    <w:rsid w:val="00D4365D"/>
    <w:rsid w:val="00D811AA"/>
    <w:rsid w:val="00DC4D91"/>
    <w:rsid w:val="00DF3A7A"/>
    <w:rsid w:val="00E25A86"/>
    <w:rsid w:val="00E531C9"/>
    <w:rsid w:val="00E625ED"/>
    <w:rsid w:val="00E62D86"/>
    <w:rsid w:val="00F0539D"/>
    <w:rsid w:val="00F90CB7"/>
    <w:rsid w:val="00F90E3A"/>
    <w:rsid w:val="00F912AB"/>
    <w:rsid w:val="00FC4389"/>
    <w:rsid w:val="00FD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1B8B"/>
    <w:pPr>
      <w:tabs>
        <w:tab w:val="center" w:pos="4535"/>
        <w:tab w:val="right" w:pos="9071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71B8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7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B8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B8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115"/>
    <w:pPr>
      <w:spacing w:after="0" w:line="240" w:lineRule="auto"/>
      <w:ind w:left="720" w:firstLine="360"/>
      <w:contextualSpacing/>
      <w:jc w:val="both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1B8B"/>
    <w:pPr>
      <w:tabs>
        <w:tab w:val="center" w:pos="4535"/>
        <w:tab w:val="right" w:pos="9071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71B8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7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B8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B8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115"/>
    <w:pPr>
      <w:spacing w:after="0" w:line="240" w:lineRule="auto"/>
      <w:ind w:left="720" w:firstLine="360"/>
      <w:contextualSpacing/>
      <w:jc w:val="both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Ristic</dc:creator>
  <cp:keywords/>
  <dc:description/>
  <cp:lastModifiedBy>Goran Kupresanin</cp:lastModifiedBy>
  <cp:revision>5</cp:revision>
  <cp:lastPrinted>2020-05-07T11:29:00Z</cp:lastPrinted>
  <dcterms:created xsi:type="dcterms:W3CDTF">2020-05-07T08:49:00Z</dcterms:created>
  <dcterms:modified xsi:type="dcterms:W3CDTF">2020-05-11T14:09:00Z</dcterms:modified>
</cp:coreProperties>
</file>