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750C5" w14:textId="77777777" w:rsidR="00833C3B" w:rsidRPr="005010FA" w:rsidRDefault="00884324" w:rsidP="000A1326">
      <w:pPr>
        <w:pStyle w:val="Body1"/>
        <w:spacing w:line="480" w:lineRule="auto"/>
        <w:ind w:left="0" w:firstLine="3"/>
        <w:jc w:val="center"/>
        <w:rPr>
          <w:rFonts w:cs="Arial"/>
          <w:caps/>
        </w:rPr>
      </w:pPr>
      <w:r w:rsidRPr="005010FA">
        <w:rPr>
          <w:rFonts w:cs="Arial"/>
          <w:caps/>
        </w:rPr>
        <w:t>Competent Authority ARRANGEMENT</w:t>
      </w:r>
    </w:p>
    <w:p w14:paraId="06625449" w14:textId="45C38666" w:rsidR="00833C3B" w:rsidRPr="00DE5A4C" w:rsidRDefault="00884324" w:rsidP="000A1326">
      <w:pPr>
        <w:pStyle w:val="Body1"/>
        <w:spacing w:line="480" w:lineRule="auto"/>
        <w:ind w:left="0" w:firstLine="0"/>
        <w:jc w:val="center"/>
        <w:rPr>
          <w:rFonts w:cs="Arial"/>
          <w:caps/>
        </w:rPr>
      </w:pPr>
      <w:r w:rsidRPr="005010FA">
        <w:rPr>
          <w:rFonts w:cs="Arial"/>
          <w:caps/>
        </w:rPr>
        <w:t xml:space="preserve">Between the Competent Authorities of THe </w:t>
      </w:r>
      <w:r w:rsidR="00B66A98" w:rsidRPr="005010FA">
        <w:rPr>
          <w:rFonts w:cs="Arial"/>
          <w:caps/>
        </w:rPr>
        <w:t xml:space="preserve">United States of America and </w:t>
      </w:r>
      <w:r w:rsidR="003F0492" w:rsidRPr="003F0492">
        <w:rPr>
          <w:rFonts w:cs="Arial"/>
          <w:caps/>
        </w:rPr>
        <w:t>the Republic of Serbia</w:t>
      </w:r>
    </w:p>
    <w:p w14:paraId="05482946" w14:textId="77777777" w:rsidR="00833C3B" w:rsidRPr="00DE5A4C" w:rsidRDefault="00833C3B" w:rsidP="00C059F3">
      <w:pPr>
        <w:pStyle w:val="Body1"/>
        <w:widowControl w:val="0"/>
        <w:tabs>
          <w:tab w:val="left" w:pos="720"/>
        </w:tabs>
        <w:spacing w:before="240" w:after="200"/>
        <w:jc w:val="center"/>
        <w:rPr>
          <w:rFonts w:cs="Arial"/>
          <w:caps/>
        </w:rPr>
      </w:pPr>
    </w:p>
    <w:p w14:paraId="3C64111C" w14:textId="1E4A156D" w:rsidR="00833C3B" w:rsidRPr="00DE5A4C" w:rsidRDefault="00884324" w:rsidP="00C059F3">
      <w:pPr>
        <w:pStyle w:val="Body1"/>
        <w:widowControl w:val="0"/>
        <w:spacing w:before="240" w:after="200"/>
        <w:ind w:left="0" w:firstLine="734"/>
        <w:rPr>
          <w:rFonts w:cs="Arial"/>
        </w:rPr>
      </w:pPr>
      <w:r w:rsidRPr="005010FA">
        <w:rPr>
          <w:rFonts w:cs="Arial"/>
        </w:rPr>
        <w:t xml:space="preserve">On </w:t>
      </w:r>
      <w:r w:rsidR="00862E1A">
        <w:rPr>
          <w:rFonts w:cs="Arial"/>
        </w:rPr>
        <w:t>April 10, 2019</w:t>
      </w:r>
      <w:r w:rsidRPr="005010FA">
        <w:rPr>
          <w:rFonts w:cs="Arial"/>
        </w:rPr>
        <w:t xml:space="preserve">, </w:t>
      </w:r>
      <w:r w:rsidR="00925BA0">
        <w:rPr>
          <w:rFonts w:cs="Arial"/>
        </w:rPr>
        <w:t xml:space="preserve">at </w:t>
      </w:r>
      <w:r w:rsidR="00862E1A" w:rsidRPr="00862E1A">
        <w:rPr>
          <w:rFonts w:cs="Arial"/>
        </w:rPr>
        <w:t>Belgrade</w:t>
      </w:r>
      <w:r w:rsidR="006737B2">
        <w:rPr>
          <w:rFonts w:cs="Arial"/>
        </w:rPr>
        <w:t>,</w:t>
      </w:r>
      <w:r w:rsidR="00925BA0" w:rsidRPr="005010FA">
        <w:rPr>
          <w:rFonts w:cs="Arial"/>
        </w:rPr>
        <w:t xml:space="preserve"> </w:t>
      </w:r>
      <w:r w:rsidRPr="005010FA">
        <w:rPr>
          <w:rFonts w:cs="Arial"/>
        </w:rPr>
        <w:t xml:space="preserve">the </w:t>
      </w:r>
      <w:r w:rsidR="00F92934" w:rsidRPr="005010FA">
        <w:rPr>
          <w:rFonts w:cs="Arial"/>
        </w:rPr>
        <w:t xml:space="preserve">Government of the </w:t>
      </w:r>
      <w:r w:rsidRPr="005010FA">
        <w:rPr>
          <w:rFonts w:cs="Arial"/>
        </w:rPr>
        <w:t xml:space="preserve">United States of America and the </w:t>
      </w:r>
      <w:r w:rsidR="00F92934" w:rsidRPr="005010FA">
        <w:rPr>
          <w:rFonts w:cs="Arial"/>
        </w:rPr>
        <w:t>G</w:t>
      </w:r>
      <w:r w:rsidRPr="005010FA">
        <w:rPr>
          <w:rFonts w:cs="Arial"/>
        </w:rPr>
        <w:t xml:space="preserve">overnment of </w:t>
      </w:r>
      <w:r w:rsidR="003F0492" w:rsidRPr="003F0492">
        <w:rPr>
          <w:rFonts w:cs="Arial"/>
        </w:rPr>
        <w:t>the Republic of Serbia</w:t>
      </w:r>
      <w:r w:rsidRPr="005010FA">
        <w:rPr>
          <w:rFonts w:cs="Arial"/>
        </w:rPr>
        <w:t xml:space="preserve"> </w:t>
      </w:r>
      <w:r w:rsidR="00F92934" w:rsidRPr="005010FA">
        <w:rPr>
          <w:rFonts w:cs="Arial"/>
        </w:rPr>
        <w:t xml:space="preserve">signed </w:t>
      </w:r>
      <w:r w:rsidRPr="005010FA">
        <w:rPr>
          <w:rFonts w:cs="Arial"/>
        </w:rPr>
        <w:t xml:space="preserve">an intergovernmental agreement (“IGA”) entitled, </w:t>
      </w:r>
      <w:r w:rsidR="00F92934" w:rsidRPr="005010FA">
        <w:rPr>
          <w:rFonts w:cs="Arial"/>
        </w:rPr>
        <w:t>“</w:t>
      </w:r>
      <w:r w:rsidR="003F0492" w:rsidRPr="003F0492">
        <w:rPr>
          <w:rFonts w:cs="Arial"/>
        </w:rPr>
        <w:t>Agreement between the Government of the United States of America and the Government of the Republic of Serbia to Improve International Tax Compliance and to Implement FATCA</w:t>
      </w:r>
      <w:r w:rsidRPr="005010FA">
        <w:rPr>
          <w:rFonts w:cs="Arial"/>
        </w:rPr>
        <w:t xml:space="preserve">.” The IGA </w:t>
      </w:r>
      <w:r w:rsidR="00BC2D95" w:rsidRPr="005010FA">
        <w:rPr>
          <w:rFonts w:cs="Arial"/>
        </w:rPr>
        <w:t>requires</w:t>
      </w:r>
      <w:r w:rsidRPr="005010FA">
        <w:rPr>
          <w:rFonts w:cs="Arial"/>
        </w:rPr>
        <w:t xml:space="preserve">, in particular, the exchange of </w:t>
      </w:r>
      <w:r w:rsidR="00F92934" w:rsidRPr="005010FA">
        <w:rPr>
          <w:rFonts w:cs="Arial"/>
        </w:rPr>
        <w:t xml:space="preserve">certain </w:t>
      </w:r>
      <w:r w:rsidRPr="005010FA">
        <w:rPr>
          <w:rFonts w:cs="Arial"/>
        </w:rPr>
        <w:t xml:space="preserve">information with respect to </w:t>
      </w:r>
      <w:r w:rsidR="00F92934" w:rsidRPr="005010FA">
        <w:rPr>
          <w:rFonts w:cs="Arial"/>
        </w:rPr>
        <w:t>U.S.</w:t>
      </w:r>
      <w:r w:rsidRPr="005010FA">
        <w:rPr>
          <w:rFonts w:cs="Arial"/>
        </w:rPr>
        <w:t xml:space="preserve"> Reportable Accounts on an automatic basis.</w:t>
      </w:r>
    </w:p>
    <w:p w14:paraId="65F13F3A" w14:textId="6902080C" w:rsidR="00833C3B" w:rsidRPr="00DE5A4C" w:rsidRDefault="00884324" w:rsidP="00C059F3">
      <w:pPr>
        <w:pStyle w:val="Body1"/>
        <w:widowControl w:val="0"/>
        <w:spacing w:before="240"/>
        <w:ind w:left="0" w:firstLine="734"/>
        <w:contextualSpacing/>
        <w:rPr>
          <w:rFonts w:cs="Arial"/>
        </w:rPr>
      </w:pPr>
      <w:r w:rsidRPr="005010FA">
        <w:rPr>
          <w:rFonts w:cs="Arial"/>
        </w:rPr>
        <w:t xml:space="preserve">Article 3(6) of the IGA </w:t>
      </w:r>
      <w:r w:rsidR="00F92934" w:rsidRPr="005010FA">
        <w:rPr>
          <w:rFonts w:cs="Arial"/>
        </w:rPr>
        <w:t xml:space="preserve">provides that </w:t>
      </w:r>
      <w:r w:rsidRPr="005010FA">
        <w:rPr>
          <w:rFonts w:cs="Arial"/>
        </w:rPr>
        <w:t xml:space="preserve">the Competent Authorities of the United States and </w:t>
      </w:r>
      <w:r w:rsidR="003F0492">
        <w:rPr>
          <w:rFonts w:cs="Arial"/>
        </w:rPr>
        <w:t>Serbia</w:t>
      </w:r>
      <w:r w:rsidRPr="005010FA">
        <w:rPr>
          <w:rFonts w:cs="Arial"/>
        </w:rPr>
        <w:t xml:space="preserve"> (</w:t>
      </w:r>
      <w:r w:rsidR="00F92934" w:rsidRPr="005010FA">
        <w:rPr>
          <w:rFonts w:cs="Arial"/>
        </w:rPr>
        <w:t xml:space="preserve">the </w:t>
      </w:r>
      <w:r w:rsidRPr="005010FA">
        <w:rPr>
          <w:rFonts w:cs="Arial"/>
        </w:rPr>
        <w:t>“</w:t>
      </w:r>
      <w:r w:rsidR="00F92934" w:rsidRPr="005010FA">
        <w:rPr>
          <w:rFonts w:cs="Arial"/>
        </w:rPr>
        <w:t>Competent Authorities</w:t>
      </w:r>
      <w:r w:rsidRPr="005010FA">
        <w:rPr>
          <w:rFonts w:cs="Arial"/>
        </w:rPr>
        <w:t xml:space="preserve">”) </w:t>
      </w:r>
      <w:r w:rsidR="003044ED" w:rsidRPr="005010FA">
        <w:rPr>
          <w:rFonts w:cs="Arial"/>
        </w:rPr>
        <w:t>“</w:t>
      </w:r>
      <w:r w:rsidR="00F92934" w:rsidRPr="005010FA">
        <w:rPr>
          <w:rFonts w:cs="Arial"/>
        </w:rPr>
        <w:t>shall</w:t>
      </w:r>
      <w:r w:rsidRPr="005010FA">
        <w:rPr>
          <w:rFonts w:cs="Arial"/>
        </w:rPr>
        <w:t xml:space="preserve"> enter into an agreement </w:t>
      </w:r>
      <w:r w:rsidR="00F92934" w:rsidRPr="005010FA">
        <w:rPr>
          <w:rFonts w:cs="Arial"/>
        </w:rPr>
        <w:t xml:space="preserve">or arrangement </w:t>
      </w:r>
      <w:r w:rsidRPr="005010FA">
        <w:rPr>
          <w:rFonts w:cs="Arial"/>
        </w:rPr>
        <w:t xml:space="preserve">under </w:t>
      </w:r>
      <w:r w:rsidR="000323D2" w:rsidRPr="005010FA">
        <w:rPr>
          <w:rFonts w:cs="Arial"/>
        </w:rPr>
        <w:t xml:space="preserve">the mutual agreement procedure provided for in </w:t>
      </w:r>
      <w:r w:rsidRPr="005010FA">
        <w:rPr>
          <w:rFonts w:cs="Arial"/>
        </w:rPr>
        <w:t xml:space="preserve">Article </w:t>
      </w:r>
      <w:r w:rsidR="005E2D72">
        <w:rPr>
          <w:rFonts w:cs="Arial"/>
        </w:rPr>
        <w:t>8</w:t>
      </w:r>
      <w:r w:rsidR="006B0C39">
        <w:rPr>
          <w:rFonts w:cs="Arial"/>
        </w:rPr>
        <w:t>”</w:t>
      </w:r>
      <w:r w:rsidR="005E2D72">
        <w:rPr>
          <w:rFonts w:cs="Arial"/>
        </w:rPr>
        <w:t xml:space="preserve"> of the </w:t>
      </w:r>
      <w:r w:rsidR="006B0C39">
        <w:rPr>
          <w:rFonts w:cs="Arial"/>
        </w:rPr>
        <w:t>IGA</w:t>
      </w:r>
      <w:r w:rsidR="00F92934" w:rsidRPr="005010FA">
        <w:rPr>
          <w:rFonts w:cs="Arial"/>
        </w:rPr>
        <w:t xml:space="preserve">, </w:t>
      </w:r>
      <w:r w:rsidRPr="005010FA">
        <w:rPr>
          <w:rFonts w:cs="Arial"/>
        </w:rPr>
        <w:t xml:space="preserve">in order to establish and prescribe the rules and procedures necessary to implement certain </w:t>
      </w:r>
      <w:r w:rsidR="00767B03">
        <w:rPr>
          <w:rFonts w:cs="Arial"/>
        </w:rPr>
        <w:t>provisions in</w:t>
      </w:r>
      <w:r w:rsidR="00BF6809">
        <w:rPr>
          <w:rFonts w:cs="Arial"/>
        </w:rPr>
        <w:t xml:space="preserve"> the IGA. </w:t>
      </w:r>
      <w:r w:rsidR="0070488A">
        <w:rPr>
          <w:rFonts w:cs="Arial"/>
        </w:rPr>
        <w:t xml:space="preserve">Article 8 of the IGA permits the Competent Authorities to also address other matters regarding implementation of the IGA. </w:t>
      </w:r>
      <w:r w:rsidRPr="005010FA">
        <w:rPr>
          <w:rFonts w:cs="Arial"/>
        </w:rPr>
        <w:t xml:space="preserve">Consistent with the IGA and after consultations between the Competent Authorities, the Competent Authorities have </w:t>
      </w:r>
      <w:r w:rsidR="00F92934" w:rsidRPr="005010FA">
        <w:rPr>
          <w:rFonts w:cs="Arial"/>
        </w:rPr>
        <w:t xml:space="preserve">reached </w:t>
      </w:r>
      <w:r w:rsidRPr="005010FA">
        <w:rPr>
          <w:rFonts w:cs="Arial"/>
        </w:rPr>
        <w:t xml:space="preserve">the following arrangement (“Arrangement”). </w:t>
      </w:r>
    </w:p>
    <w:p w14:paraId="73138F06" w14:textId="77777777" w:rsidR="00833C3B" w:rsidRPr="00DE5A4C" w:rsidRDefault="00BC2D95" w:rsidP="00C059F3">
      <w:pPr>
        <w:pStyle w:val="Body1"/>
        <w:widowControl w:val="0"/>
        <w:spacing w:before="240"/>
        <w:ind w:left="0" w:firstLine="734"/>
        <w:rPr>
          <w:rFonts w:cs="Arial"/>
        </w:rPr>
      </w:pPr>
      <w:r w:rsidRPr="005010FA">
        <w:rPr>
          <w:rFonts w:cs="Arial"/>
        </w:rPr>
        <w:t>T</w:t>
      </w:r>
      <w:r w:rsidR="00884324" w:rsidRPr="005010FA">
        <w:rPr>
          <w:rFonts w:cs="Arial"/>
        </w:rPr>
        <w:t xml:space="preserve">erms used </w:t>
      </w:r>
      <w:r w:rsidR="00147CA5" w:rsidRPr="005010FA">
        <w:rPr>
          <w:rFonts w:cs="Arial"/>
        </w:rPr>
        <w:t xml:space="preserve">both </w:t>
      </w:r>
      <w:r w:rsidR="00884324" w:rsidRPr="005010FA">
        <w:rPr>
          <w:rFonts w:cs="Arial"/>
        </w:rPr>
        <w:t>in this Arrangement</w:t>
      </w:r>
      <w:r w:rsidR="00D1544F" w:rsidRPr="005010FA">
        <w:rPr>
          <w:rFonts w:cs="Arial"/>
        </w:rPr>
        <w:t xml:space="preserve"> </w:t>
      </w:r>
      <w:r w:rsidR="00147CA5" w:rsidRPr="005010FA">
        <w:rPr>
          <w:rFonts w:cs="Arial"/>
        </w:rPr>
        <w:t xml:space="preserve">and </w:t>
      </w:r>
      <w:r w:rsidRPr="005010FA">
        <w:rPr>
          <w:rFonts w:cs="Arial"/>
        </w:rPr>
        <w:t>in the IGA</w:t>
      </w:r>
      <w:r w:rsidR="00884324" w:rsidRPr="005010FA">
        <w:rPr>
          <w:rFonts w:cs="Arial"/>
        </w:rPr>
        <w:t xml:space="preserve"> have the same meaning as in the IGA, unless otherwise specified</w:t>
      </w:r>
      <w:r w:rsidR="004A2F02">
        <w:rPr>
          <w:rFonts w:cs="Arial"/>
        </w:rPr>
        <w:t xml:space="preserve"> in this Arrangement</w:t>
      </w:r>
      <w:r w:rsidR="00884324" w:rsidRPr="005010FA">
        <w:rPr>
          <w:rFonts w:cs="Arial"/>
        </w:rPr>
        <w:t xml:space="preserve">. References to </w:t>
      </w:r>
      <w:r w:rsidR="003F30FE" w:rsidRPr="005010FA">
        <w:rPr>
          <w:rFonts w:cs="Arial"/>
        </w:rPr>
        <w:t>Paragraphs</w:t>
      </w:r>
      <w:r w:rsidR="00884324" w:rsidRPr="005010FA">
        <w:rPr>
          <w:rFonts w:cs="Arial"/>
        </w:rPr>
        <w:t xml:space="preserve"> pertain to </w:t>
      </w:r>
      <w:r w:rsidR="003F30FE" w:rsidRPr="005010FA">
        <w:rPr>
          <w:rFonts w:cs="Arial"/>
        </w:rPr>
        <w:t>Paragraphs</w:t>
      </w:r>
      <w:r w:rsidR="00884324" w:rsidRPr="005010FA">
        <w:rPr>
          <w:rFonts w:cs="Arial"/>
        </w:rPr>
        <w:t xml:space="preserve"> of this Arrangemen</w:t>
      </w:r>
      <w:r w:rsidR="00BF6809">
        <w:rPr>
          <w:rFonts w:cs="Arial"/>
        </w:rPr>
        <w:t xml:space="preserve">t, unless otherwise specified. </w:t>
      </w:r>
      <w:r w:rsidR="00062EF0" w:rsidRPr="005010FA">
        <w:rPr>
          <w:rFonts w:cs="Arial"/>
        </w:rPr>
        <w:t>Except as otherwise provided in the IGA, a</w:t>
      </w:r>
      <w:r w:rsidR="00884324" w:rsidRPr="005010FA">
        <w:rPr>
          <w:rFonts w:cs="Arial"/>
        </w:rPr>
        <w:t xml:space="preserve">ny references to U.S. Treasury Regulations </w:t>
      </w:r>
      <w:r w:rsidR="00147CA5" w:rsidRPr="005010FA">
        <w:rPr>
          <w:rFonts w:cs="Arial"/>
        </w:rPr>
        <w:t xml:space="preserve">are to the relevant </w:t>
      </w:r>
      <w:r w:rsidR="00884324" w:rsidRPr="005010FA">
        <w:rPr>
          <w:rFonts w:cs="Arial"/>
        </w:rPr>
        <w:t>regulations</w:t>
      </w:r>
      <w:r w:rsidR="00147CA5" w:rsidRPr="005010FA">
        <w:rPr>
          <w:rFonts w:cs="Arial"/>
        </w:rPr>
        <w:t xml:space="preserve"> in effect at the time of application</w:t>
      </w:r>
      <w:r w:rsidR="00BF6809">
        <w:rPr>
          <w:rFonts w:cs="Arial"/>
        </w:rPr>
        <w:t xml:space="preserve">. </w:t>
      </w:r>
      <w:r w:rsidR="00884324" w:rsidRPr="005010FA">
        <w:rPr>
          <w:rFonts w:cs="Arial"/>
        </w:rPr>
        <w:t>References to I</w:t>
      </w:r>
      <w:r w:rsidR="00C57A46">
        <w:rPr>
          <w:rFonts w:cs="Arial"/>
        </w:rPr>
        <w:t xml:space="preserve">nternal </w:t>
      </w:r>
      <w:r w:rsidR="00884324" w:rsidRPr="005010FA">
        <w:rPr>
          <w:rFonts w:cs="Arial"/>
        </w:rPr>
        <w:t>R</w:t>
      </w:r>
      <w:r w:rsidR="00C57A46">
        <w:rPr>
          <w:rFonts w:cs="Arial"/>
        </w:rPr>
        <w:t xml:space="preserve">evenue </w:t>
      </w:r>
      <w:r w:rsidR="00884324" w:rsidRPr="005010FA">
        <w:rPr>
          <w:rFonts w:cs="Arial"/>
        </w:rPr>
        <w:t>S</w:t>
      </w:r>
      <w:r w:rsidR="00C57A46">
        <w:rPr>
          <w:rFonts w:cs="Arial"/>
        </w:rPr>
        <w:t>ervice (</w:t>
      </w:r>
      <w:r w:rsidR="001E2F2F">
        <w:rPr>
          <w:rFonts w:cs="Arial"/>
        </w:rPr>
        <w:t>“</w:t>
      </w:r>
      <w:r w:rsidR="00C57A46">
        <w:rPr>
          <w:rFonts w:cs="Arial"/>
        </w:rPr>
        <w:t>IRS</w:t>
      </w:r>
      <w:r w:rsidR="001E2F2F">
        <w:rPr>
          <w:rFonts w:cs="Arial"/>
        </w:rPr>
        <w:t>”</w:t>
      </w:r>
      <w:r w:rsidR="00C57A46">
        <w:rPr>
          <w:rFonts w:cs="Arial"/>
        </w:rPr>
        <w:t>)</w:t>
      </w:r>
      <w:r w:rsidR="00884324" w:rsidRPr="005010FA">
        <w:rPr>
          <w:rFonts w:cs="Arial"/>
        </w:rPr>
        <w:t xml:space="preserve"> </w:t>
      </w:r>
      <w:r w:rsidR="00F92934" w:rsidRPr="005010FA">
        <w:rPr>
          <w:rFonts w:cs="Arial"/>
        </w:rPr>
        <w:t>P</w:t>
      </w:r>
      <w:r w:rsidR="00884324" w:rsidRPr="005010FA">
        <w:rPr>
          <w:rFonts w:cs="Arial"/>
        </w:rPr>
        <w:t>ublications include updated versions.</w:t>
      </w:r>
      <w:r w:rsidR="00967BDB">
        <w:rPr>
          <w:rFonts w:cs="Arial"/>
        </w:rPr>
        <w:t xml:space="preserve"> </w:t>
      </w:r>
      <w:r w:rsidR="00C34F3D" w:rsidRPr="005010FA">
        <w:rPr>
          <w:rFonts w:cs="Arial"/>
        </w:rPr>
        <w:t>All references to days comprising time periods for compl</w:t>
      </w:r>
      <w:r w:rsidR="006515DE" w:rsidRPr="005010FA">
        <w:rPr>
          <w:rFonts w:cs="Arial"/>
        </w:rPr>
        <w:t>etion of actions</w:t>
      </w:r>
      <w:r w:rsidR="00C34F3D" w:rsidRPr="005010FA">
        <w:rPr>
          <w:rFonts w:cs="Arial"/>
        </w:rPr>
        <w:t xml:space="preserve"> refer to calendar </w:t>
      </w:r>
      <w:r w:rsidR="00F92934" w:rsidRPr="005010FA">
        <w:rPr>
          <w:rFonts w:cs="Arial"/>
        </w:rPr>
        <w:t xml:space="preserve">days </w:t>
      </w:r>
      <w:r w:rsidR="00C34F3D" w:rsidRPr="005010FA">
        <w:rPr>
          <w:rFonts w:cs="Arial"/>
        </w:rPr>
        <w:t>and not business days.</w:t>
      </w:r>
      <w:r w:rsidR="006515DE" w:rsidRPr="005010FA">
        <w:rPr>
          <w:rFonts w:cs="Arial"/>
        </w:rPr>
        <w:t xml:space="preserve"> However, if such period ends on a Saturday, Sunday or national statutory holiday, it </w:t>
      </w:r>
      <w:r w:rsidR="001C20B4">
        <w:rPr>
          <w:rFonts w:cs="Arial"/>
        </w:rPr>
        <w:t xml:space="preserve">would be </w:t>
      </w:r>
      <w:r w:rsidR="006515DE" w:rsidRPr="005010FA">
        <w:rPr>
          <w:rFonts w:cs="Arial"/>
        </w:rPr>
        <w:t>treated as ending on the next calendar day that is not a Saturday, Sunday or national statutory holiday.</w:t>
      </w:r>
    </w:p>
    <w:p w14:paraId="5062DC27" w14:textId="77777777" w:rsidR="00A4770A" w:rsidRDefault="00A4770A" w:rsidP="00C059F3">
      <w:pPr>
        <w:pStyle w:val="Body1"/>
        <w:keepNext/>
        <w:widowControl w:val="0"/>
        <w:tabs>
          <w:tab w:val="left" w:pos="0"/>
        </w:tabs>
        <w:spacing w:before="240" w:after="200"/>
        <w:ind w:left="0" w:firstLine="0"/>
        <w:jc w:val="center"/>
        <w:rPr>
          <w:rFonts w:cs="Arial"/>
          <w:b/>
        </w:rPr>
      </w:pPr>
    </w:p>
    <w:p w14:paraId="7BA4B17C" w14:textId="77777777" w:rsidR="00833C3B" w:rsidRPr="00DE5A4C" w:rsidRDefault="00344F03" w:rsidP="00C059F3">
      <w:pPr>
        <w:pStyle w:val="Body1"/>
        <w:keepNext/>
        <w:widowControl w:val="0"/>
        <w:tabs>
          <w:tab w:val="left" w:pos="0"/>
        </w:tabs>
        <w:spacing w:before="240" w:after="200"/>
        <w:ind w:left="0" w:firstLine="0"/>
        <w:jc w:val="center"/>
        <w:rPr>
          <w:rFonts w:cs="Arial"/>
          <w:b/>
        </w:rPr>
      </w:pPr>
      <w:r w:rsidRPr="005010FA">
        <w:rPr>
          <w:rFonts w:cs="Arial"/>
          <w:b/>
        </w:rPr>
        <w:t>Paragraph</w:t>
      </w:r>
      <w:r w:rsidR="00884324" w:rsidRPr="005010FA">
        <w:rPr>
          <w:rFonts w:cs="Arial"/>
          <w:b/>
        </w:rPr>
        <w:t xml:space="preserve"> 1</w:t>
      </w:r>
    </w:p>
    <w:p w14:paraId="7839E2C5" w14:textId="77777777" w:rsidR="00833C3B" w:rsidRPr="00DE5A4C" w:rsidRDefault="00884324" w:rsidP="00C059F3">
      <w:pPr>
        <w:pStyle w:val="Body1"/>
        <w:keepNext/>
        <w:widowControl w:val="0"/>
        <w:tabs>
          <w:tab w:val="left" w:pos="720"/>
        </w:tabs>
        <w:spacing w:before="240" w:after="200"/>
        <w:ind w:left="720"/>
        <w:jc w:val="center"/>
        <w:rPr>
          <w:rFonts w:cs="Arial"/>
          <w:b/>
        </w:rPr>
      </w:pPr>
      <w:r w:rsidRPr="005010FA">
        <w:rPr>
          <w:rFonts w:cs="Arial"/>
          <w:b/>
        </w:rPr>
        <w:t>OBJECT AND SCOPE</w:t>
      </w:r>
    </w:p>
    <w:p w14:paraId="5FBDA22A" w14:textId="77777777" w:rsidR="00991DE1" w:rsidRPr="005010FA" w:rsidRDefault="00884324" w:rsidP="00C059F3">
      <w:pPr>
        <w:pStyle w:val="Body1"/>
        <w:widowControl w:val="0"/>
        <w:numPr>
          <w:ilvl w:val="1"/>
          <w:numId w:val="63"/>
        </w:numPr>
        <w:tabs>
          <w:tab w:val="left" w:pos="0"/>
        </w:tabs>
        <w:spacing w:before="240" w:after="200"/>
        <w:ind w:left="720" w:hanging="720"/>
        <w:rPr>
          <w:rFonts w:cs="Arial"/>
        </w:rPr>
      </w:pPr>
      <w:r w:rsidRPr="005010FA">
        <w:rPr>
          <w:rFonts w:cs="Arial"/>
        </w:rPr>
        <w:t xml:space="preserve">As provided </w:t>
      </w:r>
      <w:r w:rsidR="003044ED" w:rsidRPr="005010FA">
        <w:rPr>
          <w:rFonts w:cs="Arial"/>
        </w:rPr>
        <w:t xml:space="preserve">in </w:t>
      </w:r>
      <w:r w:rsidRPr="005010FA">
        <w:rPr>
          <w:rFonts w:cs="Arial"/>
        </w:rPr>
        <w:t>Article 3(6)</w:t>
      </w:r>
      <w:r w:rsidR="002503D8" w:rsidRPr="005010FA">
        <w:rPr>
          <w:rFonts w:cs="Arial"/>
        </w:rPr>
        <w:t xml:space="preserve"> of the IGA</w:t>
      </w:r>
      <w:r w:rsidRPr="005010FA">
        <w:rPr>
          <w:rFonts w:cs="Arial"/>
        </w:rPr>
        <w:t>, this Arrangement establish</w:t>
      </w:r>
      <w:r w:rsidR="002503D8" w:rsidRPr="005010FA">
        <w:rPr>
          <w:rFonts w:cs="Arial"/>
        </w:rPr>
        <w:t>es the</w:t>
      </w:r>
      <w:r w:rsidRPr="005010FA">
        <w:rPr>
          <w:rFonts w:cs="Arial"/>
        </w:rPr>
        <w:t xml:space="preserve"> procedures for </w:t>
      </w:r>
      <w:r w:rsidR="002503D8" w:rsidRPr="005010FA">
        <w:rPr>
          <w:rFonts w:cs="Arial"/>
        </w:rPr>
        <w:t xml:space="preserve">the </w:t>
      </w:r>
      <w:r w:rsidRPr="005010FA">
        <w:rPr>
          <w:rFonts w:cs="Arial"/>
        </w:rPr>
        <w:t xml:space="preserve">automatic exchange </w:t>
      </w:r>
      <w:r w:rsidR="002503D8" w:rsidRPr="005010FA">
        <w:rPr>
          <w:rFonts w:cs="Arial"/>
        </w:rPr>
        <w:t>obligations described</w:t>
      </w:r>
      <w:r w:rsidRPr="005010FA">
        <w:rPr>
          <w:rFonts w:cs="Arial"/>
        </w:rPr>
        <w:t xml:space="preserve"> </w:t>
      </w:r>
      <w:r w:rsidR="009E0A0C" w:rsidRPr="005010FA">
        <w:rPr>
          <w:rFonts w:cs="Arial"/>
        </w:rPr>
        <w:t xml:space="preserve">in </w:t>
      </w:r>
      <w:r w:rsidRPr="005010FA">
        <w:rPr>
          <w:rFonts w:cs="Arial"/>
        </w:rPr>
        <w:t>Article 2</w:t>
      </w:r>
      <w:r w:rsidR="002503D8" w:rsidRPr="005010FA">
        <w:rPr>
          <w:rFonts w:cs="Arial"/>
        </w:rPr>
        <w:t xml:space="preserve"> of the IGA</w:t>
      </w:r>
      <w:r w:rsidRPr="005010FA">
        <w:rPr>
          <w:rFonts w:cs="Arial"/>
        </w:rPr>
        <w:t xml:space="preserve"> and</w:t>
      </w:r>
      <w:r w:rsidR="002503D8" w:rsidRPr="005010FA">
        <w:rPr>
          <w:rFonts w:cs="Arial"/>
        </w:rPr>
        <w:t xml:space="preserve"> </w:t>
      </w:r>
      <w:r w:rsidRPr="005010FA">
        <w:rPr>
          <w:rFonts w:cs="Arial"/>
        </w:rPr>
        <w:t xml:space="preserve">for </w:t>
      </w:r>
      <w:r w:rsidR="002503D8" w:rsidRPr="005010FA">
        <w:rPr>
          <w:rFonts w:cs="Arial"/>
        </w:rPr>
        <w:t xml:space="preserve">the </w:t>
      </w:r>
      <w:r w:rsidRPr="005010FA">
        <w:rPr>
          <w:rFonts w:cs="Arial"/>
        </w:rPr>
        <w:t xml:space="preserve">exchange of information </w:t>
      </w:r>
      <w:r w:rsidR="002503D8" w:rsidRPr="005010FA">
        <w:rPr>
          <w:rFonts w:cs="Arial"/>
        </w:rPr>
        <w:t xml:space="preserve">reported under </w:t>
      </w:r>
      <w:r w:rsidRPr="005010FA">
        <w:rPr>
          <w:rFonts w:cs="Arial"/>
        </w:rPr>
        <w:t>Article 4(1)(b)</w:t>
      </w:r>
      <w:r w:rsidR="002503D8" w:rsidRPr="005010FA">
        <w:rPr>
          <w:rFonts w:cs="Arial"/>
        </w:rPr>
        <w:t xml:space="preserve"> of the IGA</w:t>
      </w:r>
      <w:r w:rsidR="00991DE1" w:rsidRPr="005010FA">
        <w:rPr>
          <w:rFonts w:cs="Arial"/>
        </w:rPr>
        <w:t xml:space="preserve">. Information to be exchanged </w:t>
      </w:r>
      <w:r w:rsidR="00767B03">
        <w:rPr>
          <w:rFonts w:cs="Arial"/>
        </w:rPr>
        <w:t>pursuant to</w:t>
      </w:r>
      <w:r w:rsidR="00991DE1" w:rsidRPr="005010FA">
        <w:rPr>
          <w:rFonts w:cs="Arial"/>
        </w:rPr>
        <w:t xml:space="preserve"> Article</w:t>
      </w:r>
      <w:r w:rsidR="00767B03">
        <w:rPr>
          <w:rFonts w:cs="Arial"/>
        </w:rPr>
        <w:t>s</w:t>
      </w:r>
      <w:r w:rsidR="00991DE1" w:rsidRPr="005010FA">
        <w:rPr>
          <w:rFonts w:cs="Arial"/>
        </w:rPr>
        <w:t xml:space="preserve"> 2 and 4(1)(b) of the IGA includes information provided</w:t>
      </w:r>
      <w:r w:rsidR="00EE02C8" w:rsidRPr="005010FA">
        <w:rPr>
          <w:rFonts w:cs="Arial"/>
        </w:rPr>
        <w:t>:</w:t>
      </w:r>
    </w:p>
    <w:p w14:paraId="0903162E" w14:textId="0DFB96F8" w:rsidR="00991DE1" w:rsidRPr="005010FA" w:rsidRDefault="00991DE1" w:rsidP="00C059F3">
      <w:pPr>
        <w:pStyle w:val="Body1"/>
        <w:widowControl w:val="0"/>
        <w:tabs>
          <w:tab w:val="left" w:pos="0"/>
        </w:tabs>
        <w:spacing w:before="240" w:after="200"/>
        <w:ind w:left="360" w:firstLine="0"/>
        <w:rPr>
          <w:rFonts w:cs="Arial"/>
        </w:rPr>
      </w:pPr>
      <w:r w:rsidRPr="005010FA">
        <w:rPr>
          <w:rFonts w:cs="Arial"/>
        </w:rPr>
        <w:lastRenderedPageBreak/>
        <w:tab/>
        <w:t xml:space="preserve">1.1.1 </w:t>
      </w:r>
      <w:r w:rsidRPr="005010FA">
        <w:rPr>
          <w:rFonts w:cs="Arial"/>
        </w:rPr>
        <w:tab/>
        <w:t xml:space="preserve">by a Reporting </w:t>
      </w:r>
      <w:r w:rsidR="003F0492" w:rsidRPr="003F0492">
        <w:rPr>
          <w:rFonts w:cs="Arial"/>
        </w:rPr>
        <w:t>Serbian Financial Institution</w:t>
      </w:r>
      <w:r w:rsidR="00C30D70" w:rsidRPr="005010FA">
        <w:rPr>
          <w:rFonts w:cs="Arial"/>
        </w:rPr>
        <w:t>,</w:t>
      </w:r>
    </w:p>
    <w:p w14:paraId="56768BEC" w14:textId="058E3F21" w:rsidR="00A23481" w:rsidRPr="005010FA" w:rsidRDefault="00991DE1" w:rsidP="00C059F3">
      <w:pPr>
        <w:pStyle w:val="Body1"/>
        <w:widowControl w:val="0"/>
        <w:tabs>
          <w:tab w:val="left" w:pos="0"/>
          <w:tab w:val="left" w:pos="1440"/>
        </w:tabs>
        <w:spacing w:before="240" w:after="200"/>
        <w:ind w:left="1440"/>
        <w:rPr>
          <w:rFonts w:cs="Arial"/>
        </w:rPr>
      </w:pPr>
      <w:r w:rsidRPr="005010FA">
        <w:rPr>
          <w:rFonts w:cs="Arial"/>
        </w:rPr>
        <w:t>1.1.2</w:t>
      </w:r>
      <w:r w:rsidRPr="005010FA">
        <w:rPr>
          <w:rFonts w:cs="Arial"/>
        </w:rPr>
        <w:tab/>
      </w:r>
      <w:r w:rsidR="00062EF0" w:rsidRPr="005010FA">
        <w:rPr>
          <w:rFonts w:cs="Arial"/>
        </w:rPr>
        <w:t xml:space="preserve">by or on behalf of </w:t>
      </w:r>
      <w:r w:rsidR="00496321">
        <w:rPr>
          <w:rFonts w:cs="Arial"/>
        </w:rPr>
        <w:t xml:space="preserve">each of </w:t>
      </w:r>
      <w:r w:rsidR="006C6CC1">
        <w:rPr>
          <w:rFonts w:cs="Arial"/>
        </w:rPr>
        <w:t xml:space="preserve">the following </w:t>
      </w:r>
      <w:r w:rsidR="00062EF0" w:rsidRPr="005010FA">
        <w:rPr>
          <w:rFonts w:cs="Arial"/>
        </w:rPr>
        <w:t xml:space="preserve">Non-Reporting </w:t>
      </w:r>
      <w:r w:rsidR="003F0492" w:rsidRPr="003F0492">
        <w:rPr>
          <w:rFonts w:cs="Arial"/>
        </w:rPr>
        <w:t>Serbian</w:t>
      </w:r>
      <w:r w:rsidR="00062EF0" w:rsidRPr="005010FA">
        <w:rPr>
          <w:rFonts w:cs="Arial"/>
        </w:rPr>
        <w:t xml:space="preserve"> </w:t>
      </w:r>
      <w:r w:rsidR="00D54D06">
        <w:rPr>
          <w:rFonts w:cs="Arial"/>
        </w:rPr>
        <w:t>Financial Institution</w:t>
      </w:r>
      <w:r w:rsidR="00496321">
        <w:rPr>
          <w:rFonts w:cs="Arial"/>
        </w:rPr>
        <w:t>s</w:t>
      </w:r>
      <w:r w:rsidR="00D54D06">
        <w:rPr>
          <w:rFonts w:cs="Arial"/>
        </w:rPr>
        <w:t xml:space="preserve"> </w:t>
      </w:r>
      <w:r w:rsidR="00D2019F">
        <w:rPr>
          <w:rFonts w:cs="Arial"/>
        </w:rPr>
        <w:t xml:space="preserve">that </w:t>
      </w:r>
      <w:r w:rsidR="001C20B4">
        <w:rPr>
          <w:rFonts w:cs="Arial"/>
        </w:rPr>
        <w:t>would be</w:t>
      </w:r>
      <w:r w:rsidR="00D2019F">
        <w:rPr>
          <w:rFonts w:cs="Arial"/>
        </w:rPr>
        <w:t xml:space="preserve"> treated as </w:t>
      </w:r>
      <w:r w:rsidR="008A444A">
        <w:rPr>
          <w:rFonts w:cs="Arial"/>
        </w:rPr>
        <w:t xml:space="preserve">a </w:t>
      </w:r>
      <w:r w:rsidR="00062EF0" w:rsidRPr="005010FA">
        <w:rPr>
          <w:rFonts w:cs="Arial"/>
        </w:rPr>
        <w:t>d</w:t>
      </w:r>
      <w:r w:rsidR="00A23481" w:rsidRPr="005010FA">
        <w:rPr>
          <w:rFonts w:cs="Arial"/>
        </w:rPr>
        <w:t xml:space="preserve">eemed-compliant </w:t>
      </w:r>
      <w:r w:rsidR="002A7E65">
        <w:rPr>
          <w:rFonts w:cs="Arial"/>
        </w:rPr>
        <w:t>FFI</w:t>
      </w:r>
      <w:r w:rsidR="00D2019F">
        <w:rPr>
          <w:rFonts w:cs="Arial"/>
        </w:rPr>
        <w:t xml:space="preserve"> </w:t>
      </w:r>
      <w:r w:rsidR="001E2F2F">
        <w:rPr>
          <w:rFonts w:cs="Arial"/>
        </w:rPr>
        <w:t xml:space="preserve">under Annex II of the IGA </w:t>
      </w:r>
      <w:r w:rsidR="00D2019F">
        <w:rPr>
          <w:rFonts w:cs="Arial"/>
        </w:rPr>
        <w:t>for purposes of section 1471 of the U.S. Internal Revenue Code</w:t>
      </w:r>
      <w:r w:rsidR="001E2F2F">
        <w:rPr>
          <w:rFonts w:cs="Arial"/>
        </w:rPr>
        <w:t xml:space="preserve"> (a “Paragraph 1.1.2 Financial Institution”)</w:t>
      </w:r>
      <w:r w:rsidR="00A23481" w:rsidRPr="005010FA">
        <w:rPr>
          <w:rFonts w:cs="Arial"/>
        </w:rPr>
        <w:t>:</w:t>
      </w:r>
    </w:p>
    <w:p w14:paraId="1CE2B2D4" w14:textId="77777777" w:rsidR="00A23481" w:rsidRPr="005010FA" w:rsidRDefault="00A23481" w:rsidP="00C059F3">
      <w:pPr>
        <w:pStyle w:val="Body1"/>
        <w:widowControl w:val="0"/>
        <w:tabs>
          <w:tab w:val="left" w:pos="0"/>
          <w:tab w:val="left" w:pos="1440"/>
        </w:tabs>
        <w:spacing w:before="240" w:after="200"/>
        <w:ind w:left="1440"/>
        <w:rPr>
          <w:rFonts w:cs="Arial"/>
        </w:rPr>
      </w:pPr>
      <w:r w:rsidRPr="005010FA">
        <w:rPr>
          <w:rFonts w:cs="Arial"/>
        </w:rPr>
        <w:tab/>
      </w:r>
      <w:r w:rsidR="001C6681">
        <w:rPr>
          <w:rFonts w:cs="Arial"/>
        </w:rPr>
        <w:t xml:space="preserve">- </w:t>
      </w:r>
      <w:r w:rsidR="0074363D" w:rsidRPr="005010FA">
        <w:rPr>
          <w:rFonts w:cs="Arial"/>
        </w:rPr>
        <w:t xml:space="preserve">a </w:t>
      </w:r>
      <w:r w:rsidR="00062EF0" w:rsidRPr="005010FA">
        <w:rPr>
          <w:rFonts w:cs="Arial"/>
        </w:rPr>
        <w:t xml:space="preserve">Financial Institution </w:t>
      </w:r>
      <w:r w:rsidR="0074363D" w:rsidRPr="005010FA">
        <w:rPr>
          <w:rFonts w:cs="Arial"/>
        </w:rPr>
        <w:t>with a Local Client Base</w:t>
      </w:r>
      <w:r w:rsidR="005D22F7">
        <w:rPr>
          <w:rFonts w:cs="Arial"/>
        </w:rPr>
        <w:t>, as described in Section III(A) of Annex II of the IGA</w:t>
      </w:r>
      <w:r w:rsidRPr="005010FA">
        <w:rPr>
          <w:rFonts w:cs="Arial"/>
        </w:rPr>
        <w:t>;</w:t>
      </w:r>
    </w:p>
    <w:p w14:paraId="3FF33D8A" w14:textId="77777777" w:rsidR="00A23481" w:rsidRPr="005010FA" w:rsidRDefault="00A23481" w:rsidP="00C059F3">
      <w:pPr>
        <w:pStyle w:val="Body1"/>
        <w:widowControl w:val="0"/>
        <w:tabs>
          <w:tab w:val="left" w:pos="0"/>
          <w:tab w:val="left" w:pos="1440"/>
        </w:tabs>
        <w:spacing w:before="240" w:after="200"/>
        <w:ind w:left="1440"/>
        <w:rPr>
          <w:rFonts w:cs="Arial"/>
        </w:rPr>
      </w:pPr>
      <w:r w:rsidRPr="005010FA">
        <w:rPr>
          <w:rFonts w:cs="Arial"/>
        </w:rPr>
        <w:tab/>
      </w:r>
      <w:r w:rsidR="001C6681">
        <w:rPr>
          <w:rFonts w:cs="Arial"/>
        </w:rPr>
        <w:t xml:space="preserve">- </w:t>
      </w:r>
      <w:r w:rsidR="00B60912" w:rsidRPr="005010FA">
        <w:rPr>
          <w:rFonts w:cs="Arial"/>
        </w:rPr>
        <w:t>a Trustee-Documented T</w:t>
      </w:r>
      <w:r w:rsidR="004856D9" w:rsidRPr="005010FA">
        <w:rPr>
          <w:rFonts w:cs="Arial"/>
        </w:rPr>
        <w:t>rust</w:t>
      </w:r>
      <w:r w:rsidR="005D22F7">
        <w:rPr>
          <w:rFonts w:cs="Arial"/>
        </w:rPr>
        <w:t>, as described in Section IV(A) of Annex II of the IGA</w:t>
      </w:r>
      <w:r w:rsidRPr="005010FA">
        <w:rPr>
          <w:rFonts w:cs="Arial"/>
        </w:rPr>
        <w:t>;</w:t>
      </w:r>
    </w:p>
    <w:p w14:paraId="718CBEC2" w14:textId="77777777" w:rsidR="005D22F7" w:rsidRDefault="00A23481" w:rsidP="00C059F3">
      <w:pPr>
        <w:pStyle w:val="Body1"/>
        <w:widowControl w:val="0"/>
        <w:tabs>
          <w:tab w:val="left" w:pos="0"/>
          <w:tab w:val="left" w:pos="1440"/>
        </w:tabs>
        <w:spacing w:before="240" w:after="200"/>
        <w:ind w:left="1440"/>
        <w:rPr>
          <w:rFonts w:cs="Arial"/>
        </w:rPr>
      </w:pPr>
      <w:r w:rsidRPr="005010FA">
        <w:rPr>
          <w:rFonts w:cs="Arial"/>
        </w:rPr>
        <w:tab/>
      </w:r>
      <w:r w:rsidR="001C6681">
        <w:rPr>
          <w:rFonts w:cs="Arial"/>
        </w:rPr>
        <w:t xml:space="preserve">- </w:t>
      </w:r>
      <w:r w:rsidRPr="005010FA">
        <w:rPr>
          <w:rFonts w:cs="Arial"/>
        </w:rPr>
        <w:t>a Sponsored Investment Entity</w:t>
      </w:r>
      <w:r w:rsidR="005D22F7">
        <w:rPr>
          <w:rFonts w:cs="Arial"/>
        </w:rPr>
        <w:t>, as described in Section IV(B)(</w:t>
      </w:r>
      <w:r w:rsidR="0033491C">
        <w:rPr>
          <w:rFonts w:cs="Arial"/>
        </w:rPr>
        <w:t>1</w:t>
      </w:r>
      <w:r w:rsidR="005D22F7">
        <w:rPr>
          <w:rFonts w:cs="Arial"/>
        </w:rPr>
        <w:t>) of Annex II of the IGA;</w:t>
      </w:r>
    </w:p>
    <w:p w14:paraId="3F7EFA55" w14:textId="77777777" w:rsidR="00041DA9" w:rsidRPr="005010FA" w:rsidRDefault="005D22F7" w:rsidP="00C059F3">
      <w:pPr>
        <w:pStyle w:val="Body1"/>
        <w:widowControl w:val="0"/>
        <w:tabs>
          <w:tab w:val="left" w:pos="0"/>
          <w:tab w:val="left" w:pos="1440"/>
        </w:tabs>
        <w:spacing w:before="240" w:after="200"/>
        <w:ind w:left="1440"/>
        <w:rPr>
          <w:rFonts w:cs="Arial"/>
        </w:rPr>
      </w:pPr>
      <w:r>
        <w:rPr>
          <w:rFonts w:cs="Arial"/>
        </w:rPr>
        <w:tab/>
      </w:r>
      <w:r w:rsidR="001C6681">
        <w:rPr>
          <w:rFonts w:cs="Arial"/>
        </w:rPr>
        <w:t xml:space="preserve">- </w:t>
      </w:r>
      <w:r>
        <w:rPr>
          <w:rFonts w:cs="Arial"/>
        </w:rPr>
        <w:t xml:space="preserve">a </w:t>
      </w:r>
      <w:r w:rsidR="004924B0">
        <w:rPr>
          <w:rFonts w:cs="Arial"/>
        </w:rPr>
        <w:t xml:space="preserve">Sponsored </w:t>
      </w:r>
      <w:r w:rsidR="00A23481" w:rsidRPr="005010FA">
        <w:rPr>
          <w:rFonts w:cs="Arial"/>
        </w:rPr>
        <w:t>Controlled Foreign Corporation</w:t>
      </w:r>
      <w:r>
        <w:rPr>
          <w:rFonts w:cs="Arial"/>
        </w:rPr>
        <w:t>, as described in Section IV(B)</w:t>
      </w:r>
      <w:r w:rsidR="0033491C">
        <w:rPr>
          <w:rFonts w:cs="Arial"/>
        </w:rPr>
        <w:t>(2)</w:t>
      </w:r>
      <w:r>
        <w:rPr>
          <w:rFonts w:cs="Arial"/>
        </w:rPr>
        <w:t xml:space="preserve"> of Annex II of the IGA</w:t>
      </w:r>
      <w:r w:rsidR="00A23481" w:rsidRPr="005010FA">
        <w:rPr>
          <w:rFonts w:cs="Arial"/>
        </w:rPr>
        <w:t>;</w:t>
      </w:r>
      <w:r w:rsidR="00DD7276">
        <w:rPr>
          <w:rFonts w:cs="Arial"/>
        </w:rPr>
        <w:t xml:space="preserve"> </w:t>
      </w:r>
    </w:p>
    <w:p w14:paraId="0556716A" w14:textId="77777777" w:rsidR="00041DA9" w:rsidRDefault="00041DA9" w:rsidP="00C059F3">
      <w:pPr>
        <w:pStyle w:val="Body1"/>
        <w:widowControl w:val="0"/>
        <w:tabs>
          <w:tab w:val="left" w:pos="0"/>
          <w:tab w:val="left" w:pos="1440"/>
        </w:tabs>
        <w:spacing w:before="240" w:after="200"/>
        <w:ind w:left="1440"/>
        <w:rPr>
          <w:rFonts w:cs="Arial"/>
        </w:rPr>
      </w:pPr>
      <w:r w:rsidRPr="005010FA">
        <w:rPr>
          <w:rFonts w:cs="Arial"/>
        </w:rPr>
        <w:tab/>
      </w:r>
      <w:r w:rsidR="001C6681">
        <w:rPr>
          <w:rFonts w:cs="Arial"/>
        </w:rPr>
        <w:t xml:space="preserve">- </w:t>
      </w:r>
      <w:r w:rsidR="00B60912" w:rsidRPr="005010FA">
        <w:rPr>
          <w:rFonts w:cs="Arial"/>
        </w:rPr>
        <w:t>a</w:t>
      </w:r>
      <w:r w:rsidR="00676A9B" w:rsidRPr="005010FA">
        <w:rPr>
          <w:rFonts w:cs="Arial"/>
        </w:rPr>
        <w:t xml:space="preserve"> </w:t>
      </w:r>
      <w:r w:rsidR="001825B5" w:rsidRPr="005010FA">
        <w:rPr>
          <w:rFonts w:cs="Arial"/>
        </w:rPr>
        <w:t>Sponsored</w:t>
      </w:r>
      <w:r w:rsidRPr="005010FA">
        <w:rPr>
          <w:rFonts w:cs="Arial"/>
        </w:rPr>
        <w:t xml:space="preserve">, Closely Held Investment </w:t>
      </w:r>
      <w:r w:rsidR="00841F63">
        <w:rPr>
          <w:rFonts w:cs="Arial"/>
        </w:rPr>
        <w:t>Vehicle</w:t>
      </w:r>
      <w:r w:rsidR="005D22F7">
        <w:rPr>
          <w:rFonts w:cs="Arial"/>
        </w:rPr>
        <w:t>, as described in Section IV(C) of Annex II of the IGA</w:t>
      </w:r>
      <w:r w:rsidR="00AB1A9E">
        <w:rPr>
          <w:rFonts w:cs="Arial"/>
        </w:rPr>
        <w:t>; or</w:t>
      </w:r>
    </w:p>
    <w:p w14:paraId="60499D83" w14:textId="62A0A6BF" w:rsidR="00A838ED" w:rsidRPr="005010FA" w:rsidRDefault="00A838ED" w:rsidP="00C059F3">
      <w:pPr>
        <w:pStyle w:val="Body1"/>
        <w:widowControl w:val="0"/>
        <w:tabs>
          <w:tab w:val="left" w:pos="0"/>
          <w:tab w:val="left" w:pos="1440"/>
        </w:tabs>
        <w:spacing w:before="240" w:after="200"/>
        <w:ind w:left="1440"/>
        <w:rPr>
          <w:rFonts w:cs="Arial"/>
        </w:rPr>
      </w:pPr>
      <w:r>
        <w:rPr>
          <w:rFonts w:cs="Arial"/>
        </w:rPr>
        <w:tab/>
      </w:r>
      <w:r w:rsidRPr="001B6FD3">
        <w:t xml:space="preserve">- </w:t>
      </w:r>
      <w:r w:rsidR="00AB1A9E" w:rsidRPr="001B6FD3">
        <w:t xml:space="preserve">a Collective Investment Vehicle </w:t>
      </w:r>
      <w:r w:rsidR="005E158F">
        <w:t>as</w:t>
      </w:r>
      <w:r w:rsidR="00AB1A9E" w:rsidRPr="001B6FD3">
        <w:t xml:space="preserve"> described in Section IV(</w:t>
      </w:r>
      <w:r w:rsidR="00AB1A9E">
        <w:rPr>
          <w:rFonts w:cs="Arial"/>
        </w:rPr>
        <w:t>f</w:t>
      </w:r>
      <w:r w:rsidR="00AB1A9E" w:rsidRPr="001B6FD3">
        <w:t>)(4) of Annex II of the IGA</w:t>
      </w:r>
      <w:r w:rsidR="00AB1A9E">
        <w:rPr>
          <w:rFonts w:cs="Arial"/>
        </w:rPr>
        <w:t>.</w:t>
      </w:r>
    </w:p>
    <w:p w14:paraId="032C98AA" w14:textId="0FD0D2A6" w:rsidR="001A5917" w:rsidRPr="005010FA" w:rsidRDefault="001A5917" w:rsidP="003E69C8">
      <w:pPr>
        <w:pStyle w:val="Body1"/>
        <w:widowControl w:val="0"/>
        <w:tabs>
          <w:tab w:val="left" w:pos="0"/>
        </w:tabs>
        <w:ind w:left="720"/>
        <w:rPr>
          <w:rFonts w:cs="Arial"/>
        </w:rPr>
      </w:pPr>
      <w:r w:rsidRPr="005010FA">
        <w:rPr>
          <w:rFonts w:cs="Arial"/>
        </w:rPr>
        <w:t>1.2</w:t>
      </w:r>
      <w:r w:rsidRPr="005010FA">
        <w:rPr>
          <w:rFonts w:cs="Arial"/>
        </w:rPr>
        <w:tab/>
      </w:r>
      <w:r w:rsidR="003E2529" w:rsidRPr="00B621E1">
        <w:rPr>
          <w:rFonts w:cs="Arial"/>
        </w:rPr>
        <w:t>A</w:t>
      </w:r>
      <w:r w:rsidR="005965A7" w:rsidRPr="00B621E1">
        <w:rPr>
          <w:rFonts w:cs="Arial"/>
        </w:rPr>
        <w:t xml:space="preserve"> </w:t>
      </w:r>
      <w:r w:rsidR="003F0492" w:rsidRPr="003F0492">
        <w:rPr>
          <w:rFonts w:cs="Arial"/>
        </w:rPr>
        <w:t>Serbian</w:t>
      </w:r>
      <w:r w:rsidR="004F09EC" w:rsidRPr="00B621E1">
        <w:rPr>
          <w:rFonts w:cs="Arial"/>
        </w:rPr>
        <w:t xml:space="preserve"> Financial Institution </w:t>
      </w:r>
      <w:r w:rsidR="005965A7" w:rsidRPr="00B621E1">
        <w:rPr>
          <w:rFonts w:cs="Arial"/>
        </w:rPr>
        <w:t>that would otherwise qualify as a Paragraph 1.1.2 Financial Institution</w:t>
      </w:r>
      <w:r w:rsidR="0073286E">
        <w:rPr>
          <w:rFonts w:cs="Arial"/>
        </w:rPr>
        <w:t xml:space="preserve">, and thus as a Non-Reporting </w:t>
      </w:r>
      <w:r w:rsidR="003F0492">
        <w:rPr>
          <w:rFonts w:cs="Arial"/>
        </w:rPr>
        <w:t xml:space="preserve">Serbian </w:t>
      </w:r>
      <w:r w:rsidR="0073286E">
        <w:rPr>
          <w:rFonts w:cs="Arial"/>
        </w:rPr>
        <w:t>Financial Institution</w:t>
      </w:r>
      <w:r w:rsidR="005965A7" w:rsidRPr="00B621E1">
        <w:rPr>
          <w:rFonts w:cs="Arial"/>
        </w:rPr>
        <w:t xml:space="preserve"> </w:t>
      </w:r>
      <w:r w:rsidR="003E2529" w:rsidRPr="00B621E1">
        <w:rPr>
          <w:rFonts w:cs="Arial"/>
        </w:rPr>
        <w:t>under Article 1(1)(</w:t>
      </w:r>
      <w:r w:rsidR="0005344E">
        <w:rPr>
          <w:rFonts w:cs="Arial"/>
        </w:rPr>
        <w:t>o</w:t>
      </w:r>
      <w:r w:rsidR="003E2529" w:rsidRPr="00B621E1">
        <w:rPr>
          <w:rFonts w:cs="Arial"/>
        </w:rPr>
        <w:t>) of the IGA</w:t>
      </w:r>
      <w:r w:rsidR="0073286E">
        <w:rPr>
          <w:rFonts w:cs="Arial"/>
        </w:rPr>
        <w:t>,</w:t>
      </w:r>
      <w:r w:rsidR="003E2529" w:rsidRPr="00B621E1">
        <w:rPr>
          <w:rFonts w:cs="Arial"/>
        </w:rPr>
        <w:t xml:space="preserve"> </w:t>
      </w:r>
      <w:r w:rsidR="005965A7" w:rsidRPr="00B621E1">
        <w:rPr>
          <w:rFonts w:cs="Arial"/>
        </w:rPr>
        <w:t xml:space="preserve">but does not </w:t>
      </w:r>
      <w:r w:rsidR="00B27027" w:rsidRPr="00B621E1">
        <w:rPr>
          <w:rFonts w:cs="Arial"/>
        </w:rPr>
        <w:t>satisfy</w:t>
      </w:r>
      <w:r w:rsidR="005965A7" w:rsidRPr="00B621E1">
        <w:rPr>
          <w:rFonts w:cs="Arial"/>
        </w:rPr>
        <w:t xml:space="preserve"> one or more </w:t>
      </w:r>
      <w:r w:rsidR="00B27027" w:rsidRPr="00B621E1">
        <w:rPr>
          <w:rFonts w:cs="Arial"/>
        </w:rPr>
        <w:t xml:space="preserve">applicable </w:t>
      </w:r>
      <w:r w:rsidR="005965A7" w:rsidRPr="00B621E1">
        <w:rPr>
          <w:rFonts w:cs="Arial"/>
        </w:rPr>
        <w:t>requirements in Annex II</w:t>
      </w:r>
      <w:r w:rsidR="00B27027" w:rsidRPr="00B621E1">
        <w:rPr>
          <w:rFonts w:cs="Arial"/>
        </w:rPr>
        <w:t xml:space="preserve"> </w:t>
      </w:r>
      <w:r w:rsidR="003E2529" w:rsidRPr="00B621E1">
        <w:rPr>
          <w:rFonts w:cs="Arial"/>
        </w:rPr>
        <w:t>or the relevant U.S. Treasury Regulations</w:t>
      </w:r>
      <w:r w:rsidR="00E24701" w:rsidRPr="00B621E1">
        <w:rPr>
          <w:rFonts w:cs="Arial"/>
        </w:rPr>
        <w:t xml:space="preserve"> </w:t>
      </w:r>
      <w:r w:rsidR="00B27027" w:rsidRPr="00B621E1">
        <w:rPr>
          <w:rFonts w:cs="Arial"/>
        </w:rPr>
        <w:t xml:space="preserve">is a Reporting </w:t>
      </w:r>
      <w:r w:rsidR="003F0492">
        <w:rPr>
          <w:rFonts w:cs="Arial"/>
        </w:rPr>
        <w:t>Serbian</w:t>
      </w:r>
      <w:r w:rsidR="00B27027" w:rsidRPr="00B621E1">
        <w:rPr>
          <w:rFonts w:cs="Arial"/>
        </w:rPr>
        <w:t xml:space="preserve"> Financial Institution</w:t>
      </w:r>
      <w:r w:rsidR="003E2529" w:rsidRPr="00B621E1">
        <w:rPr>
          <w:rFonts w:cs="Arial"/>
        </w:rPr>
        <w:t xml:space="preserve"> under Article 1(1)(</w:t>
      </w:r>
      <w:r w:rsidR="0005344E">
        <w:rPr>
          <w:rFonts w:cs="Arial"/>
        </w:rPr>
        <w:t>n</w:t>
      </w:r>
      <w:r w:rsidR="003E2529" w:rsidRPr="00B621E1">
        <w:rPr>
          <w:rFonts w:cs="Arial"/>
        </w:rPr>
        <w:t>) of the IGA</w:t>
      </w:r>
      <w:r w:rsidR="00B27027" w:rsidRPr="00B621E1">
        <w:rPr>
          <w:rFonts w:cs="Arial"/>
        </w:rPr>
        <w:t>.</w:t>
      </w:r>
    </w:p>
    <w:p w14:paraId="60E95EB7" w14:textId="77777777" w:rsidR="00991DE1" w:rsidRPr="005010FA" w:rsidRDefault="001A5917" w:rsidP="00C059F3">
      <w:pPr>
        <w:pStyle w:val="Body1"/>
        <w:widowControl w:val="0"/>
        <w:tabs>
          <w:tab w:val="left" w:pos="0"/>
        </w:tabs>
        <w:spacing w:before="240" w:after="200"/>
        <w:ind w:left="720"/>
        <w:rPr>
          <w:rFonts w:cs="Arial"/>
        </w:rPr>
      </w:pPr>
      <w:r w:rsidRPr="005010FA">
        <w:rPr>
          <w:rFonts w:cs="Arial"/>
        </w:rPr>
        <w:t>1.3</w:t>
      </w:r>
      <w:r w:rsidR="00991DE1" w:rsidRPr="005010FA">
        <w:rPr>
          <w:rFonts w:cs="Arial"/>
        </w:rPr>
        <w:tab/>
        <w:t>A</w:t>
      </w:r>
      <w:r w:rsidR="00041DA9" w:rsidRPr="005010FA">
        <w:rPr>
          <w:rFonts w:cs="Arial"/>
        </w:rPr>
        <w:t xml:space="preserve">s </w:t>
      </w:r>
      <w:r w:rsidR="00991DE1" w:rsidRPr="005010FA">
        <w:rPr>
          <w:rFonts w:cs="Arial"/>
        </w:rPr>
        <w:t xml:space="preserve">provided in Article 3(6) of the IGA, this Arrangement </w:t>
      </w:r>
      <w:r w:rsidR="00884324" w:rsidRPr="005010FA">
        <w:rPr>
          <w:rFonts w:cs="Arial"/>
        </w:rPr>
        <w:t>prescribe</w:t>
      </w:r>
      <w:r w:rsidR="002503D8" w:rsidRPr="005010FA">
        <w:rPr>
          <w:rFonts w:cs="Arial"/>
        </w:rPr>
        <w:t>s</w:t>
      </w:r>
      <w:r w:rsidR="00884324" w:rsidRPr="005010FA">
        <w:rPr>
          <w:rFonts w:cs="Arial"/>
        </w:rPr>
        <w:t xml:space="preserve"> rules and procedures </w:t>
      </w:r>
      <w:r w:rsidR="002503D8" w:rsidRPr="005010FA">
        <w:rPr>
          <w:rFonts w:cs="Arial"/>
        </w:rPr>
        <w:t xml:space="preserve">as may be </w:t>
      </w:r>
      <w:r w:rsidR="00884324" w:rsidRPr="005010FA">
        <w:rPr>
          <w:rFonts w:cs="Arial"/>
        </w:rPr>
        <w:t xml:space="preserve">necessary to implement Article 5 </w:t>
      </w:r>
      <w:r w:rsidR="002503D8" w:rsidRPr="005010FA">
        <w:rPr>
          <w:rFonts w:cs="Arial"/>
        </w:rPr>
        <w:t>of the IGA</w:t>
      </w:r>
      <w:r w:rsidR="00884324" w:rsidRPr="005010FA">
        <w:rPr>
          <w:rFonts w:cs="Arial"/>
        </w:rPr>
        <w:t>.</w:t>
      </w:r>
    </w:p>
    <w:p w14:paraId="73E36BB8" w14:textId="16E49C11" w:rsidR="00432DE7" w:rsidRPr="00DE5A4C" w:rsidRDefault="00991DE1" w:rsidP="00C059F3">
      <w:pPr>
        <w:pStyle w:val="Body1"/>
        <w:widowControl w:val="0"/>
        <w:tabs>
          <w:tab w:val="left" w:pos="0"/>
        </w:tabs>
        <w:spacing w:before="240" w:after="200"/>
        <w:ind w:left="720"/>
        <w:rPr>
          <w:rFonts w:cs="Arial"/>
        </w:rPr>
      </w:pPr>
      <w:r w:rsidRPr="005010FA">
        <w:rPr>
          <w:rFonts w:cs="Arial"/>
        </w:rPr>
        <w:t>1.</w:t>
      </w:r>
      <w:r w:rsidR="001A5917" w:rsidRPr="005010FA">
        <w:rPr>
          <w:rFonts w:cs="Arial"/>
        </w:rPr>
        <w:t>4</w:t>
      </w:r>
      <w:r w:rsidRPr="005010FA">
        <w:rPr>
          <w:rFonts w:cs="Arial"/>
        </w:rPr>
        <w:tab/>
      </w:r>
      <w:r w:rsidR="001A5917" w:rsidRPr="005010FA">
        <w:rPr>
          <w:rFonts w:cs="Arial"/>
        </w:rPr>
        <w:t>As</w:t>
      </w:r>
      <w:r w:rsidR="00445D33" w:rsidRPr="005010FA">
        <w:rPr>
          <w:rFonts w:cs="Arial"/>
        </w:rPr>
        <w:t xml:space="preserve"> permitted by Article </w:t>
      </w:r>
      <w:r w:rsidR="002240CE">
        <w:rPr>
          <w:rFonts w:cs="Arial"/>
        </w:rPr>
        <w:t>8 of the IGA</w:t>
      </w:r>
      <w:r w:rsidR="00445D33" w:rsidRPr="005010FA">
        <w:rPr>
          <w:rFonts w:cs="Arial"/>
        </w:rPr>
        <w:t>, t</w:t>
      </w:r>
      <w:r w:rsidR="00884324" w:rsidRPr="005010FA">
        <w:rPr>
          <w:rFonts w:cs="Arial"/>
        </w:rPr>
        <w:t>his Arrangement addresses other matters concerning implementation of the IGA</w:t>
      </w:r>
      <w:r w:rsidR="001A5917" w:rsidRPr="005010FA">
        <w:rPr>
          <w:rFonts w:cs="Arial"/>
        </w:rPr>
        <w:t>, including</w:t>
      </w:r>
      <w:r w:rsidR="00445D33" w:rsidRPr="005010FA">
        <w:rPr>
          <w:rFonts w:cs="Arial"/>
        </w:rPr>
        <w:t>:</w:t>
      </w:r>
      <w:r w:rsidR="00147CA5" w:rsidRPr="005010FA">
        <w:rPr>
          <w:rFonts w:cs="Arial"/>
        </w:rPr>
        <w:t xml:space="preserve"> registration, </w:t>
      </w:r>
      <w:r w:rsidR="001559A9" w:rsidRPr="005010FA">
        <w:rPr>
          <w:rFonts w:cs="Arial"/>
        </w:rPr>
        <w:t>confidentiality</w:t>
      </w:r>
      <w:r w:rsidR="00D52A9D">
        <w:rPr>
          <w:rFonts w:cs="Arial"/>
        </w:rPr>
        <w:t xml:space="preserve"> and other protections</w:t>
      </w:r>
      <w:r w:rsidR="001559A9" w:rsidRPr="005010FA">
        <w:rPr>
          <w:rFonts w:cs="Arial"/>
        </w:rPr>
        <w:t xml:space="preserve">, costs, </w:t>
      </w:r>
      <w:r w:rsidR="00445D33" w:rsidRPr="005010FA">
        <w:rPr>
          <w:rFonts w:cs="Arial"/>
        </w:rPr>
        <w:t xml:space="preserve">consultation and modification, and </w:t>
      </w:r>
      <w:r w:rsidR="009814D3">
        <w:rPr>
          <w:rFonts w:cs="Arial"/>
        </w:rPr>
        <w:t>[</w:t>
      </w:r>
      <w:r w:rsidR="004E633B">
        <w:rPr>
          <w:rFonts w:cs="Arial"/>
        </w:rPr>
        <w:t>publication</w:t>
      </w:r>
      <w:r w:rsidR="009814D3">
        <w:rPr>
          <w:rFonts w:cs="Arial"/>
        </w:rPr>
        <w:t>/non-disclosure</w:t>
      </w:r>
      <w:r w:rsidR="009A0B72">
        <w:rPr>
          <w:rFonts w:cs="Arial"/>
        </w:rPr>
        <w:t>]</w:t>
      </w:r>
      <w:r w:rsidR="002C0F94" w:rsidRPr="005010FA">
        <w:rPr>
          <w:rFonts w:cs="Arial"/>
        </w:rPr>
        <w:t xml:space="preserve"> of this Arrangement</w:t>
      </w:r>
      <w:r w:rsidR="00C30D70" w:rsidRPr="00DE5A4C">
        <w:rPr>
          <w:rFonts w:cs="Arial"/>
        </w:rPr>
        <w:t>.</w:t>
      </w:r>
    </w:p>
    <w:p w14:paraId="76A86F7F" w14:textId="77777777" w:rsidR="00A4770A" w:rsidRDefault="00A4770A" w:rsidP="00C059F3">
      <w:pPr>
        <w:pStyle w:val="Body1"/>
        <w:keepNext/>
        <w:widowControl w:val="0"/>
        <w:spacing w:before="240" w:after="200"/>
        <w:ind w:left="0" w:firstLine="0"/>
        <w:jc w:val="center"/>
        <w:rPr>
          <w:rFonts w:cs="Arial"/>
          <w:b/>
        </w:rPr>
      </w:pPr>
    </w:p>
    <w:p w14:paraId="36CA4C81" w14:textId="77777777" w:rsidR="00833C3B" w:rsidRPr="00DE5A4C" w:rsidRDefault="00344F03" w:rsidP="00C059F3">
      <w:pPr>
        <w:pStyle w:val="Body1"/>
        <w:keepNext/>
        <w:widowControl w:val="0"/>
        <w:spacing w:before="240" w:after="200"/>
        <w:ind w:left="0" w:firstLine="0"/>
        <w:jc w:val="center"/>
        <w:rPr>
          <w:rFonts w:cs="Arial"/>
          <w:b/>
        </w:rPr>
      </w:pPr>
      <w:r w:rsidRPr="005010FA">
        <w:rPr>
          <w:rFonts w:cs="Arial"/>
          <w:b/>
        </w:rPr>
        <w:t>Paragraph</w:t>
      </w:r>
      <w:r w:rsidR="00884324" w:rsidRPr="005010FA">
        <w:rPr>
          <w:rFonts w:cs="Arial"/>
          <w:b/>
        </w:rPr>
        <w:t xml:space="preserve"> 2</w:t>
      </w:r>
    </w:p>
    <w:p w14:paraId="09E5C3F6" w14:textId="4154392F" w:rsidR="00833C3B" w:rsidRPr="00DE5A4C" w:rsidRDefault="00884324" w:rsidP="00C059F3">
      <w:pPr>
        <w:pStyle w:val="Body1"/>
        <w:keepNext/>
        <w:widowControl w:val="0"/>
        <w:tabs>
          <w:tab w:val="left" w:pos="720"/>
        </w:tabs>
        <w:spacing w:before="240" w:after="200"/>
        <w:ind w:left="720"/>
        <w:jc w:val="center"/>
        <w:rPr>
          <w:rFonts w:cs="Arial"/>
          <w:b/>
        </w:rPr>
      </w:pPr>
      <w:r w:rsidRPr="005010FA">
        <w:rPr>
          <w:rFonts w:cs="Arial"/>
          <w:b/>
        </w:rPr>
        <w:t xml:space="preserve">REGISTRATION OF </w:t>
      </w:r>
      <w:r w:rsidR="000D39FE">
        <w:rPr>
          <w:rFonts w:cs="Arial"/>
          <w:b/>
        </w:rPr>
        <w:t>SERBIAN</w:t>
      </w:r>
      <w:r w:rsidRPr="005010FA">
        <w:rPr>
          <w:rFonts w:cs="Arial"/>
          <w:b/>
        </w:rPr>
        <w:t xml:space="preserve"> FINANCIAL INSTITUTIONS</w:t>
      </w:r>
    </w:p>
    <w:p w14:paraId="4E9B78B4" w14:textId="3A2F5A0E" w:rsidR="00C30D70" w:rsidRPr="00C059F3" w:rsidRDefault="00884324" w:rsidP="00C059F3">
      <w:pPr>
        <w:pStyle w:val="Body1"/>
        <w:widowControl w:val="0"/>
        <w:spacing w:before="240" w:after="200"/>
        <w:ind w:left="720"/>
        <w:rPr>
          <w:rFonts w:cs="Arial"/>
        </w:rPr>
      </w:pPr>
      <w:r w:rsidRPr="005010FA">
        <w:rPr>
          <w:rFonts w:cs="Arial"/>
        </w:rPr>
        <w:t>2.1</w:t>
      </w:r>
      <w:r w:rsidRPr="005010FA">
        <w:rPr>
          <w:rFonts w:cs="Arial"/>
        </w:rPr>
        <w:tab/>
      </w:r>
      <w:r w:rsidRPr="005010FA">
        <w:rPr>
          <w:rFonts w:cs="Arial"/>
          <w:u w:val="single"/>
        </w:rPr>
        <w:t>In General</w:t>
      </w:r>
      <w:r w:rsidRPr="005010FA">
        <w:rPr>
          <w:rFonts w:cs="Arial"/>
        </w:rPr>
        <w:t xml:space="preserve">: The Competent Authorities </w:t>
      </w:r>
      <w:r w:rsidR="00012B2A" w:rsidRPr="005010FA">
        <w:rPr>
          <w:rFonts w:cs="Arial"/>
        </w:rPr>
        <w:t xml:space="preserve">note </w:t>
      </w:r>
      <w:r w:rsidRPr="005010FA">
        <w:rPr>
          <w:rFonts w:cs="Arial"/>
        </w:rPr>
        <w:t>that</w:t>
      </w:r>
      <w:r w:rsidR="008A11CB" w:rsidRPr="005010FA">
        <w:rPr>
          <w:rFonts w:cs="Arial"/>
        </w:rPr>
        <w:t>,</w:t>
      </w:r>
      <w:r w:rsidRPr="005010FA">
        <w:rPr>
          <w:rFonts w:cs="Arial"/>
        </w:rPr>
        <w:t xml:space="preserve"> </w:t>
      </w:r>
      <w:r w:rsidR="003044ED" w:rsidRPr="005010FA">
        <w:rPr>
          <w:rFonts w:cs="Arial"/>
        </w:rPr>
        <w:t>under</w:t>
      </w:r>
      <w:r w:rsidRPr="005010FA">
        <w:rPr>
          <w:rFonts w:cs="Arial"/>
        </w:rPr>
        <w:t xml:space="preserve"> Article 4(1)(c</w:t>
      </w:r>
      <w:r w:rsidR="008A11CB" w:rsidRPr="005010FA">
        <w:rPr>
          <w:rFonts w:cs="Arial"/>
        </w:rPr>
        <w:t xml:space="preserve">) and Annex II </w:t>
      </w:r>
      <w:r w:rsidR="002503D8" w:rsidRPr="005010FA">
        <w:rPr>
          <w:rFonts w:cs="Arial"/>
        </w:rPr>
        <w:t>of the IG</w:t>
      </w:r>
      <w:r w:rsidR="008A11CB" w:rsidRPr="005010FA">
        <w:rPr>
          <w:rFonts w:cs="Arial"/>
        </w:rPr>
        <w:t xml:space="preserve">A, </w:t>
      </w:r>
      <w:r w:rsidR="00933852">
        <w:rPr>
          <w:rFonts w:cs="Arial"/>
        </w:rPr>
        <w:t>a R</w:t>
      </w:r>
      <w:r w:rsidR="00C025C8">
        <w:rPr>
          <w:rFonts w:cs="Arial"/>
        </w:rPr>
        <w:t xml:space="preserve">eporting </w:t>
      </w:r>
      <w:r w:rsidR="003F0492">
        <w:rPr>
          <w:rFonts w:cs="Arial"/>
        </w:rPr>
        <w:t>Serbian</w:t>
      </w:r>
      <w:r w:rsidR="00C025C8">
        <w:rPr>
          <w:rFonts w:cs="Arial"/>
        </w:rPr>
        <w:t xml:space="preserve"> Financial Institution </w:t>
      </w:r>
      <w:r w:rsidR="00057CE1">
        <w:rPr>
          <w:rFonts w:cs="Arial"/>
        </w:rPr>
        <w:t>or Paragraph 1.1</w:t>
      </w:r>
      <w:r w:rsidR="004F09EC">
        <w:rPr>
          <w:rFonts w:cs="Arial"/>
        </w:rPr>
        <w:t>.</w:t>
      </w:r>
      <w:r w:rsidR="00057CE1">
        <w:rPr>
          <w:rFonts w:cs="Arial"/>
        </w:rPr>
        <w:t xml:space="preserve">2 Financial Institution </w:t>
      </w:r>
      <w:r w:rsidR="001C20B4">
        <w:rPr>
          <w:rFonts w:cs="Arial"/>
        </w:rPr>
        <w:t xml:space="preserve">would be </w:t>
      </w:r>
      <w:r w:rsidR="00C025C8">
        <w:rPr>
          <w:rFonts w:cs="Arial"/>
        </w:rPr>
        <w:t xml:space="preserve">treated </w:t>
      </w:r>
      <w:r w:rsidR="008A11CB" w:rsidRPr="005010FA">
        <w:rPr>
          <w:rFonts w:cs="Arial"/>
        </w:rPr>
        <w:t xml:space="preserve">as </w:t>
      </w:r>
      <w:r w:rsidR="005115CC" w:rsidRPr="005010FA">
        <w:rPr>
          <w:rFonts w:cs="Arial"/>
        </w:rPr>
        <w:t>compl</w:t>
      </w:r>
      <w:r w:rsidR="005115CC">
        <w:rPr>
          <w:rFonts w:cs="Arial"/>
        </w:rPr>
        <w:t>iant</w:t>
      </w:r>
      <w:r w:rsidR="005115CC" w:rsidRPr="005010FA">
        <w:rPr>
          <w:rFonts w:cs="Arial"/>
        </w:rPr>
        <w:t xml:space="preserve"> </w:t>
      </w:r>
      <w:r w:rsidR="008A11CB" w:rsidRPr="005010FA">
        <w:rPr>
          <w:rFonts w:cs="Arial"/>
        </w:rPr>
        <w:t xml:space="preserve">with, and </w:t>
      </w:r>
      <w:r w:rsidR="002A7E65">
        <w:rPr>
          <w:rFonts w:cs="Arial"/>
        </w:rPr>
        <w:t>not</w:t>
      </w:r>
      <w:r w:rsidR="002A7E65" w:rsidRPr="005010FA">
        <w:rPr>
          <w:rFonts w:cs="Arial"/>
        </w:rPr>
        <w:t xml:space="preserve"> </w:t>
      </w:r>
      <w:r w:rsidR="008A11CB" w:rsidRPr="005010FA">
        <w:rPr>
          <w:rFonts w:cs="Arial"/>
        </w:rPr>
        <w:t xml:space="preserve">subject to </w:t>
      </w:r>
      <w:r w:rsidR="008A11CB" w:rsidRPr="005010FA">
        <w:rPr>
          <w:rFonts w:cs="Arial"/>
        </w:rPr>
        <w:lastRenderedPageBreak/>
        <w:t>withholding under, section 1471 of the U.S. Internal Revenue Code</w:t>
      </w:r>
      <w:r w:rsidR="00BA0E4E">
        <w:rPr>
          <w:rFonts w:cs="Arial"/>
        </w:rPr>
        <w:t xml:space="preserve"> </w:t>
      </w:r>
      <w:r w:rsidR="00C025C8">
        <w:rPr>
          <w:rFonts w:cs="Arial"/>
        </w:rPr>
        <w:t xml:space="preserve">if the Reporting </w:t>
      </w:r>
      <w:r w:rsidR="003F0492">
        <w:rPr>
          <w:rFonts w:cs="Arial"/>
        </w:rPr>
        <w:t>Serbian</w:t>
      </w:r>
      <w:r w:rsidR="00C025C8">
        <w:rPr>
          <w:rFonts w:cs="Arial"/>
        </w:rPr>
        <w:t xml:space="preserve"> Financial Institution</w:t>
      </w:r>
      <w:r w:rsidR="00057CE1">
        <w:rPr>
          <w:rFonts w:cs="Arial"/>
        </w:rPr>
        <w:t xml:space="preserve"> or Paragraph 1.1.2 Financial Institution (or</w:t>
      </w:r>
      <w:r w:rsidR="004F09EC">
        <w:rPr>
          <w:rFonts w:cs="Arial"/>
        </w:rPr>
        <w:t>, as applicable,</w:t>
      </w:r>
      <w:r w:rsidR="00057CE1">
        <w:rPr>
          <w:rFonts w:cs="Arial"/>
        </w:rPr>
        <w:t xml:space="preserve"> its sponsor or trustee)</w:t>
      </w:r>
      <w:r w:rsidR="00C025C8">
        <w:rPr>
          <w:rFonts w:cs="Arial"/>
        </w:rPr>
        <w:t>, among other requirements, complies with the applicable registration requirements on the FATCA registration website</w:t>
      </w:r>
      <w:r w:rsidR="008A11CB" w:rsidRPr="005010FA">
        <w:rPr>
          <w:rFonts w:cs="Arial"/>
        </w:rPr>
        <w:t>.</w:t>
      </w:r>
      <w:r w:rsidR="00BF6809">
        <w:rPr>
          <w:rFonts w:cs="Arial"/>
        </w:rPr>
        <w:t xml:space="preserve"> </w:t>
      </w:r>
      <w:r w:rsidR="004E633B">
        <w:rPr>
          <w:rFonts w:cs="Arial"/>
        </w:rPr>
        <w:t xml:space="preserve">The Competent Authorities also note the IRS intends to issue a unique Global Intermediary Identification Number (“GIIN”) to </w:t>
      </w:r>
      <w:r w:rsidR="002A7E65">
        <w:rPr>
          <w:rFonts w:cs="Arial"/>
        </w:rPr>
        <w:t xml:space="preserve">each </w:t>
      </w:r>
      <w:r w:rsidR="00D705CE">
        <w:rPr>
          <w:rFonts w:cs="Arial"/>
        </w:rPr>
        <w:t xml:space="preserve">Reporting </w:t>
      </w:r>
      <w:r w:rsidR="003F0492">
        <w:rPr>
          <w:rFonts w:cs="Arial"/>
        </w:rPr>
        <w:t>Serbian</w:t>
      </w:r>
      <w:r w:rsidR="00D705CE">
        <w:rPr>
          <w:rFonts w:cs="Arial"/>
        </w:rPr>
        <w:t xml:space="preserve"> Financial Institution</w:t>
      </w:r>
      <w:r w:rsidR="002A7E65">
        <w:rPr>
          <w:rFonts w:cs="Arial"/>
        </w:rPr>
        <w:t xml:space="preserve"> </w:t>
      </w:r>
      <w:r w:rsidR="00D705CE">
        <w:rPr>
          <w:rFonts w:cs="Arial"/>
        </w:rPr>
        <w:t>and Paragraph 1.1.2 Financial Institution that successfully complete</w:t>
      </w:r>
      <w:r w:rsidR="002A7E65">
        <w:rPr>
          <w:rFonts w:cs="Arial"/>
        </w:rPr>
        <w:t>s</w:t>
      </w:r>
      <w:r w:rsidR="00D705CE">
        <w:rPr>
          <w:rFonts w:cs="Arial"/>
        </w:rPr>
        <w:t xml:space="preserve"> </w:t>
      </w:r>
      <w:r w:rsidR="00216F94">
        <w:rPr>
          <w:rFonts w:cs="Arial"/>
        </w:rPr>
        <w:t xml:space="preserve">the </w:t>
      </w:r>
      <w:r w:rsidR="00D705CE">
        <w:rPr>
          <w:rFonts w:cs="Arial"/>
        </w:rPr>
        <w:t>FATCA registration</w:t>
      </w:r>
      <w:r w:rsidR="00216F94">
        <w:rPr>
          <w:rFonts w:cs="Arial"/>
        </w:rPr>
        <w:t xml:space="preserve"> requirements</w:t>
      </w:r>
      <w:r w:rsidR="00D705CE">
        <w:rPr>
          <w:rFonts w:cs="Arial"/>
        </w:rPr>
        <w:t>.</w:t>
      </w:r>
    </w:p>
    <w:p w14:paraId="3D725E0B" w14:textId="46CB4946" w:rsidR="00833C3B" w:rsidRPr="00DE5A4C" w:rsidRDefault="00884324" w:rsidP="00C059F3">
      <w:pPr>
        <w:pStyle w:val="Body1"/>
        <w:spacing w:before="240" w:after="200"/>
        <w:ind w:left="720"/>
        <w:rPr>
          <w:rFonts w:cs="Arial"/>
        </w:rPr>
      </w:pPr>
      <w:r w:rsidRPr="005010FA">
        <w:rPr>
          <w:rFonts w:cs="Arial"/>
        </w:rPr>
        <w:t>2.</w:t>
      </w:r>
      <w:r w:rsidR="008A11CB" w:rsidRPr="005010FA">
        <w:rPr>
          <w:rFonts w:cs="Arial"/>
        </w:rPr>
        <w:t>2</w:t>
      </w:r>
      <w:r w:rsidRPr="005010FA">
        <w:rPr>
          <w:rFonts w:cs="Arial"/>
        </w:rPr>
        <w:tab/>
      </w:r>
      <w:r w:rsidRPr="005010FA">
        <w:rPr>
          <w:rFonts w:cs="Arial"/>
          <w:u w:val="single"/>
        </w:rPr>
        <w:t xml:space="preserve">Inclusion of </w:t>
      </w:r>
      <w:r w:rsidR="003F0492">
        <w:rPr>
          <w:rFonts w:cs="Arial"/>
          <w:u w:val="single"/>
        </w:rPr>
        <w:t>Serbian</w:t>
      </w:r>
      <w:r w:rsidRPr="005010FA">
        <w:rPr>
          <w:rFonts w:cs="Arial"/>
          <w:u w:val="single"/>
        </w:rPr>
        <w:t xml:space="preserve"> Financial Institutions on IRS FFI List</w:t>
      </w:r>
      <w:r w:rsidR="00967BDB">
        <w:rPr>
          <w:rFonts w:cs="Arial"/>
        </w:rPr>
        <w:t xml:space="preserve">: </w:t>
      </w:r>
      <w:r w:rsidRPr="005010FA">
        <w:rPr>
          <w:rFonts w:cs="Arial"/>
        </w:rPr>
        <w:t xml:space="preserve">The IRS </w:t>
      </w:r>
      <w:r w:rsidR="007B665A" w:rsidRPr="005010FA">
        <w:rPr>
          <w:rFonts w:cs="Arial"/>
        </w:rPr>
        <w:t xml:space="preserve">intends to </w:t>
      </w:r>
      <w:r w:rsidRPr="005010FA">
        <w:rPr>
          <w:rFonts w:cs="Arial"/>
        </w:rPr>
        <w:t xml:space="preserve">include on the “IRS FFI list” </w:t>
      </w:r>
      <w:r w:rsidR="003469BF" w:rsidRPr="005010FA">
        <w:rPr>
          <w:rFonts w:cs="Arial"/>
        </w:rPr>
        <w:t xml:space="preserve">(as </w:t>
      </w:r>
      <w:r w:rsidRPr="005010FA">
        <w:rPr>
          <w:rFonts w:cs="Arial"/>
        </w:rPr>
        <w:t>defined in section 1.1471-1(b)(73) of the U.S. Treasury Regulations</w:t>
      </w:r>
      <w:r w:rsidR="00F13540" w:rsidRPr="005010FA">
        <w:rPr>
          <w:rFonts w:cs="Arial"/>
        </w:rPr>
        <w:t>)</w:t>
      </w:r>
      <w:r w:rsidRPr="005010FA">
        <w:rPr>
          <w:rFonts w:cs="Arial"/>
        </w:rPr>
        <w:t xml:space="preserve"> the name and GIIN of each </w:t>
      </w:r>
      <w:r w:rsidR="003F0492">
        <w:rPr>
          <w:rFonts w:cs="Arial"/>
        </w:rPr>
        <w:t>Serbian</w:t>
      </w:r>
      <w:r w:rsidRPr="005010FA">
        <w:rPr>
          <w:rFonts w:cs="Arial"/>
        </w:rPr>
        <w:t xml:space="preserve"> Financial Institution</w:t>
      </w:r>
      <w:r w:rsidR="001A5917" w:rsidRPr="005010FA">
        <w:rPr>
          <w:rFonts w:cs="Arial"/>
        </w:rPr>
        <w:t xml:space="preserve"> issued a GIIN</w:t>
      </w:r>
      <w:r w:rsidR="007B665A" w:rsidRPr="005010FA">
        <w:rPr>
          <w:rFonts w:cs="Arial"/>
        </w:rPr>
        <w:t xml:space="preserve"> by the FATCA Registration System</w:t>
      </w:r>
      <w:r w:rsidR="002564CF" w:rsidRPr="005010FA">
        <w:rPr>
          <w:rFonts w:cs="Arial"/>
        </w:rPr>
        <w:t>.</w:t>
      </w:r>
      <w:r w:rsidR="00BF6809">
        <w:rPr>
          <w:rFonts w:cs="Arial"/>
        </w:rPr>
        <w:t xml:space="preserve"> </w:t>
      </w:r>
      <w:r w:rsidR="007B665A" w:rsidRPr="005010FA">
        <w:rPr>
          <w:rFonts w:cs="Arial"/>
        </w:rPr>
        <w:t>Pursuant</w:t>
      </w:r>
      <w:r w:rsidR="005F310C" w:rsidRPr="005010FA">
        <w:rPr>
          <w:rFonts w:cs="Arial"/>
        </w:rPr>
        <w:t xml:space="preserve"> to </w:t>
      </w:r>
      <w:r w:rsidR="00216F94">
        <w:rPr>
          <w:rFonts w:cs="Arial"/>
        </w:rPr>
        <w:t>Article 5(</w:t>
      </w:r>
      <w:r w:rsidR="00335F4E">
        <w:rPr>
          <w:rFonts w:cs="Arial"/>
        </w:rPr>
        <w:t>3</w:t>
      </w:r>
      <w:r w:rsidR="00216F94">
        <w:rPr>
          <w:rFonts w:cs="Arial"/>
        </w:rPr>
        <w:t>)(b)</w:t>
      </w:r>
      <w:r w:rsidR="00016736">
        <w:rPr>
          <w:rFonts w:cs="Arial"/>
        </w:rPr>
        <w:t xml:space="preserve"> </w:t>
      </w:r>
      <w:r w:rsidR="00216F94">
        <w:rPr>
          <w:rFonts w:cs="Arial"/>
        </w:rPr>
        <w:t xml:space="preserve">of the IGA and </w:t>
      </w:r>
      <w:r w:rsidR="00344F03" w:rsidRPr="005010FA">
        <w:rPr>
          <w:rFonts w:cs="Arial"/>
        </w:rPr>
        <w:t>Paragraph</w:t>
      </w:r>
      <w:r w:rsidRPr="005010FA">
        <w:rPr>
          <w:rFonts w:cs="Arial"/>
        </w:rPr>
        <w:t xml:space="preserve"> 4.3.2.2</w:t>
      </w:r>
      <w:r w:rsidR="005F310C" w:rsidRPr="005010FA">
        <w:rPr>
          <w:rFonts w:cs="Arial"/>
        </w:rPr>
        <w:t>,</w:t>
      </w:r>
      <w:r w:rsidR="007B665A" w:rsidRPr="005010FA">
        <w:rPr>
          <w:rFonts w:cs="Arial"/>
        </w:rPr>
        <w:t xml:space="preserve"> however,</w:t>
      </w:r>
      <w:r w:rsidRPr="005010FA">
        <w:rPr>
          <w:rFonts w:cs="Arial"/>
        </w:rPr>
        <w:t xml:space="preserve"> a </w:t>
      </w:r>
      <w:r w:rsidR="00877615" w:rsidRPr="005010FA">
        <w:rPr>
          <w:rFonts w:cs="Arial"/>
        </w:rPr>
        <w:t>registered</w:t>
      </w:r>
      <w:r w:rsidRPr="005010FA">
        <w:rPr>
          <w:rFonts w:cs="Arial"/>
        </w:rPr>
        <w:t xml:space="preserve"> </w:t>
      </w:r>
      <w:r w:rsidR="003F0492">
        <w:rPr>
          <w:rFonts w:cs="Arial"/>
        </w:rPr>
        <w:t>Serbian</w:t>
      </w:r>
      <w:r w:rsidR="00D705CE">
        <w:rPr>
          <w:rFonts w:cs="Arial"/>
        </w:rPr>
        <w:t xml:space="preserve"> </w:t>
      </w:r>
      <w:r w:rsidRPr="005010FA">
        <w:rPr>
          <w:rFonts w:cs="Arial"/>
        </w:rPr>
        <w:t>Financial Institution</w:t>
      </w:r>
      <w:r w:rsidR="005F310C" w:rsidRPr="005010FA">
        <w:rPr>
          <w:rFonts w:cs="Arial"/>
        </w:rPr>
        <w:t xml:space="preserve"> </w:t>
      </w:r>
      <w:r w:rsidR="009F499F">
        <w:rPr>
          <w:rFonts w:cs="Arial"/>
        </w:rPr>
        <w:t>would</w:t>
      </w:r>
      <w:r w:rsidR="00CA0EF7">
        <w:rPr>
          <w:rFonts w:cs="Arial"/>
        </w:rPr>
        <w:t xml:space="preserve"> be</w:t>
      </w:r>
      <w:r w:rsidR="006E127F">
        <w:rPr>
          <w:rFonts w:cs="Arial"/>
        </w:rPr>
        <w:t xml:space="preserve"> </w:t>
      </w:r>
      <w:r w:rsidR="005F310C" w:rsidRPr="005010FA">
        <w:rPr>
          <w:rFonts w:cs="Arial"/>
        </w:rPr>
        <w:t>removed</w:t>
      </w:r>
      <w:r w:rsidRPr="005010FA">
        <w:rPr>
          <w:rFonts w:cs="Arial"/>
        </w:rPr>
        <w:t xml:space="preserve"> from the IRS FFI list </w:t>
      </w:r>
      <w:r w:rsidR="00BA0E4E">
        <w:rPr>
          <w:rFonts w:cs="Arial"/>
        </w:rPr>
        <w:t>i</w:t>
      </w:r>
      <w:r w:rsidR="006072D5">
        <w:rPr>
          <w:rFonts w:cs="Arial"/>
        </w:rPr>
        <w:t>f an issue of</w:t>
      </w:r>
      <w:r w:rsidRPr="005010FA">
        <w:rPr>
          <w:rFonts w:cs="Arial"/>
        </w:rPr>
        <w:t xml:space="preserve"> significant non-compliance</w:t>
      </w:r>
      <w:r w:rsidR="009E1262">
        <w:rPr>
          <w:rFonts w:cs="Arial"/>
        </w:rPr>
        <w:t xml:space="preserve"> </w:t>
      </w:r>
      <w:r w:rsidR="00BA0E4E">
        <w:rPr>
          <w:rFonts w:cs="Arial"/>
        </w:rPr>
        <w:t xml:space="preserve">is not resolved </w:t>
      </w:r>
      <w:r w:rsidR="009E1262">
        <w:rPr>
          <w:rFonts w:cs="Arial"/>
        </w:rPr>
        <w:t>within a period of 18 months</w:t>
      </w:r>
      <w:r w:rsidRPr="005010FA">
        <w:rPr>
          <w:rFonts w:cs="Arial"/>
        </w:rPr>
        <w:t>.</w:t>
      </w:r>
    </w:p>
    <w:p w14:paraId="678E9EDD" w14:textId="0D307B65" w:rsidR="00833C3B" w:rsidRPr="00F24DA9" w:rsidRDefault="00884324" w:rsidP="00C059F3">
      <w:pPr>
        <w:pStyle w:val="Body1"/>
        <w:spacing w:before="240" w:after="200"/>
        <w:ind w:left="720"/>
        <w:rPr>
          <w:rFonts w:cs="Arial"/>
        </w:rPr>
      </w:pPr>
      <w:r w:rsidRPr="005010FA">
        <w:rPr>
          <w:rFonts w:cs="Arial"/>
        </w:rPr>
        <w:t>2.</w:t>
      </w:r>
      <w:r w:rsidR="008A11CB" w:rsidRPr="005010FA">
        <w:rPr>
          <w:rFonts w:cs="Arial"/>
        </w:rPr>
        <w:t>3</w:t>
      </w:r>
      <w:r w:rsidRPr="005010FA">
        <w:rPr>
          <w:rFonts w:cs="Arial"/>
        </w:rPr>
        <w:tab/>
      </w:r>
      <w:r w:rsidRPr="005010FA">
        <w:rPr>
          <w:rFonts w:cs="Arial"/>
          <w:u w:val="single"/>
        </w:rPr>
        <w:t>Exchange of Registration Information</w:t>
      </w:r>
      <w:r w:rsidR="00B8377B">
        <w:rPr>
          <w:rFonts w:cs="Arial"/>
        </w:rPr>
        <w:t xml:space="preserve">: </w:t>
      </w:r>
      <w:r w:rsidRPr="005010FA">
        <w:rPr>
          <w:rFonts w:cs="Arial"/>
        </w:rPr>
        <w:t xml:space="preserve">The U.S. Competent Authority </w:t>
      </w:r>
      <w:r w:rsidR="00F709AB" w:rsidRPr="005010FA">
        <w:rPr>
          <w:rFonts w:cs="Arial"/>
        </w:rPr>
        <w:t xml:space="preserve">intends to </w:t>
      </w:r>
      <w:r w:rsidRPr="005010FA">
        <w:rPr>
          <w:rFonts w:cs="Arial"/>
        </w:rPr>
        <w:t xml:space="preserve">provide the </w:t>
      </w:r>
      <w:r w:rsidR="003F0492">
        <w:rPr>
          <w:rFonts w:cs="Arial"/>
        </w:rPr>
        <w:t>Serbian</w:t>
      </w:r>
      <w:r w:rsidRPr="005010FA">
        <w:rPr>
          <w:rFonts w:cs="Arial"/>
        </w:rPr>
        <w:t xml:space="preserve"> Competent Authority annually with the information necessary to identify </w:t>
      </w:r>
      <w:r w:rsidR="00D705CE">
        <w:rPr>
          <w:rFonts w:cs="Arial"/>
        </w:rPr>
        <w:t xml:space="preserve">each registered </w:t>
      </w:r>
      <w:r w:rsidR="003F0492">
        <w:rPr>
          <w:rFonts w:cs="Arial"/>
        </w:rPr>
        <w:t>Serbian</w:t>
      </w:r>
      <w:r w:rsidRPr="005010FA">
        <w:rPr>
          <w:rFonts w:cs="Arial"/>
        </w:rPr>
        <w:t xml:space="preserve"> Financial Institution</w:t>
      </w:r>
      <w:r w:rsidR="007B665A" w:rsidRPr="005010FA">
        <w:rPr>
          <w:rFonts w:cs="Arial"/>
        </w:rPr>
        <w:t xml:space="preserve"> </w:t>
      </w:r>
      <w:r w:rsidR="00D705CE" w:rsidRPr="00574AAE">
        <w:rPr>
          <w:rFonts w:cs="Arial"/>
        </w:rPr>
        <w:t>included on the IRS FFI list</w:t>
      </w:r>
      <w:r w:rsidR="00803FBE" w:rsidRPr="00574AAE">
        <w:rPr>
          <w:rFonts w:cs="Arial"/>
        </w:rPr>
        <w:t>.</w:t>
      </w:r>
      <w:r w:rsidR="00F24DA9">
        <w:rPr>
          <w:rFonts w:cs="Arial"/>
        </w:rPr>
        <w:t xml:space="preserve">  </w:t>
      </w:r>
    </w:p>
    <w:p w14:paraId="65718070" w14:textId="77777777" w:rsidR="00A4770A" w:rsidRDefault="00A4770A" w:rsidP="00C059F3">
      <w:pPr>
        <w:pStyle w:val="Body1"/>
        <w:keepNext/>
        <w:widowControl w:val="0"/>
        <w:spacing w:before="240" w:after="200"/>
        <w:ind w:left="0" w:firstLine="0"/>
        <w:jc w:val="center"/>
        <w:rPr>
          <w:rFonts w:cs="Arial"/>
          <w:b/>
        </w:rPr>
      </w:pPr>
    </w:p>
    <w:p w14:paraId="4E594811" w14:textId="77777777" w:rsidR="00833C3B" w:rsidRPr="00DE5A4C" w:rsidRDefault="00344F03" w:rsidP="00C059F3">
      <w:pPr>
        <w:pStyle w:val="Body1"/>
        <w:keepNext/>
        <w:widowControl w:val="0"/>
        <w:spacing w:before="240" w:after="200"/>
        <w:ind w:left="0" w:firstLine="0"/>
        <w:jc w:val="center"/>
        <w:rPr>
          <w:rFonts w:cs="Arial"/>
          <w:b/>
        </w:rPr>
      </w:pPr>
      <w:r w:rsidRPr="005010FA">
        <w:rPr>
          <w:rFonts w:cs="Arial"/>
          <w:b/>
        </w:rPr>
        <w:t>Paragraph</w:t>
      </w:r>
      <w:r w:rsidR="00884324" w:rsidRPr="005010FA">
        <w:rPr>
          <w:rFonts w:cs="Arial"/>
          <w:b/>
        </w:rPr>
        <w:t xml:space="preserve"> 3</w:t>
      </w:r>
    </w:p>
    <w:p w14:paraId="522E85EC" w14:textId="77777777" w:rsidR="00833C3B" w:rsidRPr="00DE5A4C" w:rsidRDefault="00884324" w:rsidP="00C059F3">
      <w:pPr>
        <w:pStyle w:val="Body1"/>
        <w:keepNext/>
        <w:widowControl w:val="0"/>
        <w:spacing w:before="240" w:after="200"/>
        <w:ind w:left="0" w:firstLine="0"/>
        <w:jc w:val="center"/>
        <w:rPr>
          <w:rFonts w:cs="Arial"/>
          <w:b/>
        </w:rPr>
      </w:pPr>
      <w:r w:rsidRPr="005010FA">
        <w:rPr>
          <w:rFonts w:cs="Arial"/>
          <w:b/>
        </w:rPr>
        <w:t>TIME AND MANNER OF EXCHANGE OF INFORMATION</w:t>
      </w:r>
    </w:p>
    <w:p w14:paraId="5DD48F17" w14:textId="6D3FB0FE" w:rsidR="00877615" w:rsidRPr="005010FA" w:rsidRDefault="00884324" w:rsidP="00C059F3">
      <w:pPr>
        <w:pStyle w:val="Body1"/>
        <w:widowControl w:val="0"/>
        <w:spacing w:before="240" w:after="200"/>
        <w:ind w:left="720"/>
        <w:rPr>
          <w:rFonts w:cs="Arial"/>
        </w:rPr>
      </w:pPr>
      <w:r w:rsidRPr="005010FA">
        <w:rPr>
          <w:rFonts w:cs="Arial"/>
        </w:rPr>
        <w:t>3.1</w:t>
      </w:r>
      <w:r w:rsidRPr="005010FA">
        <w:rPr>
          <w:rFonts w:cs="Arial"/>
        </w:rPr>
        <w:tab/>
      </w:r>
      <w:r w:rsidRPr="005010FA">
        <w:rPr>
          <w:rFonts w:cs="Arial"/>
          <w:u w:val="single"/>
        </w:rPr>
        <w:t xml:space="preserve">Automatic Exchange within </w:t>
      </w:r>
      <w:r w:rsidR="00F13540" w:rsidRPr="005010FA">
        <w:rPr>
          <w:rFonts w:cs="Arial"/>
          <w:u w:val="single"/>
        </w:rPr>
        <w:t xml:space="preserve">Nine </w:t>
      </w:r>
      <w:r w:rsidRPr="005010FA">
        <w:rPr>
          <w:rFonts w:cs="Arial"/>
          <w:u w:val="single"/>
        </w:rPr>
        <w:t>Months</w:t>
      </w:r>
      <w:r w:rsidR="00B8377B">
        <w:rPr>
          <w:rFonts w:cs="Arial"/>
        </w:rPr>
        <w:t xml:space="preserve">:  </w:t>
      </w:r>
      <w:r w:rsidR="00EF270C">
        <w:rPr>
          <w:rFonts w:cs="Arial"/>
        </w:rPr>
        <w:t xml:space="preserve">Consistent with </w:t>
      </w:r>
      <w:r w:rsidR="00AF6678" w:rsidRPr="005010FA">
        <w:rPr>
          <w:rFonts w:cs="Arial"/>
        </w:rPr>
        <w:t>Article</w:t>
      </w:r>
      <w:r w:rsidR="000739FD">
        <w:rPr>
          <w:rFonts w:cs="Arial"/>
        </w:rPr>
        <w:t>s</w:t>
      </w:r>
      <w:r w:rsidR="00AF6678" w:rsidRPr="005010FA">
        <w:rPr>
          <w:rFonts w:cs="Arial"/>
        </w:rPr>
        <w:t xml:space="preserve"> 3(5)</w:t>
      </w:r>
      <w:r w:rsidR="00AB73FE">
        <w:rPr>
          <w:rFonts w:cs="Arial"/>
        </w:rPr>
        <w:t xml:space="preserve"> </w:t>
      </w:r>
      <w:r w:rsidR="00EF270C">
        <w:rPr>
          <w:rFonts w:cs="Arial"/>
        </w:rPr>
        <w:t xml:space="preserve">and 3(6) </w:t>
      </w:r>
      <w:r w:rsidR="00AF6678" w:rsidRPr="005010FA">
        <w:rPr>
          <w:rFonts w:cs="Arial"/>
        </w:rPr>
        <w:t xml:space="preserve">of the IGA, </w:t>
      </w:r>
      <w:r w:rsidR="00EF270C">
        <w:rPr>
          <w:rFonts w:cs="Arial"/>
        </w:rPr>
        <w:t xml:space="preserve">the </w:t>
      </w:r>
      <w:r w:rsidR="003F0492">
        <w:rPr>
          <w:rFonts w:cs="Arial"/>
        </w:rPr>
        <w:t>Serbian</w:t>
      </w:r>
      <w:r w:rsidR="00DD7276">
        <w:rPr>
          <w:rFonts w:cs="Arial"/>
        </w:rPr>
        <w:t xml:space="preserve"> </w:t>
      </w:r>
      <w:r w:rsidR="00EF270C">
        <w:rPr>
          <w:rFonts w:cs="Arial"/>
        </w:rPr>
        <w:t>Competent Authorit</w:t>
      </w:r>
      <w:r w:rsidR="00DD7276">
        <w:rPr>
          <w:rFonts w:cs="Arial"/>
        </w:rPr>
        <w:t>y</w:t>
      </w:r>
      <w:r w:rsidR="00EF270C">
        <w:rPr>
          <w:rFonts w:cs="Arial"/>
        </w:rPr>
        <w:t xml:space="preserve"> intend</w:t>
      </w:r>
      <w:r w:rsidR="00DD7276">
        <w:rPr>
          <w:rFonts w:cs="Arial"/>
        </w:rPr>
        <w:t>s</w:t>
      </w:r>
      <w:r w:rsidR="00EF270C">
        <w:rPr>
          <w:rFonts w:cs="Arial"/>
        </w:rPr>
        <w:t xml:space="preserve"> to exchange </w:t>
      </w:r>
      <w:r w:rsidR="000739FD">
        <w:rPr>
          <w:rFonts w:cs="Arial"/>
        </w:rPr>
        <w:t xml:space="preserve">automatically </w:t>
      </w:r>
      <w:r w:rsidR="00805E2A">
        <w:rPr>
          <w:rFonts w:cs="Arial"/>
        </w:rPr>
        <w:t xml:space="preserve">with the U.S. Competent Authority </w:t>
      </w:r>
      <w:r w:rsidRPr="005010FA">
        <w:rPr>
          <w:rFonts w:cs="Arial"/>
        </w:rPr>
        <w:t xml:space="preserve">the information </w:t>
      </w:r>
      <w:r w:rsidR="00F13540" w:rsidRPr="005010FA">
        <w:rPr>
          <w:rFonts w:cs="Arial"/>
        </w:rPr>
        <w:t>described in Article</w:t>
      </w:r>
      <w:r w:rsidR="000739FD">
        <w:rPr>
          <w:rFonts w:cs="Arial"/>
        </w:rPr>
        <w:t>s</w:t>
      </w:r>
      <w:r w:rsidR="00F13540" w:rsidRPr="005010FA">
        <w:rPr>
          <w:rFonts w:cs="Arial"/>
        </w:rPr>
        <w:t xml:space="preserve"> 2</w:t>
      </w:r>
      <w:r w:rsidR="00AB73FE">
        <w:rPr>
          <w:rFonts w:cs="Arial"/>
        </w:rPr>
        <w:t xml:space="preserve"> </w:t>
      </w:r>
      <w:r w:rsidR="00EF270C">
        <w:rPr>
          <w:rFonts w:cs="Arial"/>
        </w:rPr>
        <w:t xml:space="preserve">and </w:t>
      </w:r>
      <w:r w:rsidR="006072D5">
        <w:rPr>
          <w:rFonts w:cs="Arial"/>
        </w:rPr>
        <w:t xml:space="preserve">4(1)(b) of the IGA within nine months after the end of the calendar </w:t>
      </w:r>
      <w:r w:rsidR="00B4107A">
        <w:rPr>
          <w:rFonts w:cs="Arial"/>
        </w:rPr>
        <w:t xml:space="preserve">year </w:t>
      </w:r>
      <w:r w:rsidR="006072D5">
        <w:rPr>
          <w:rFonts w:cs="Arial"/>
        </w:rPr>
        <w:t>to which the information relates</w:t>
      </w:r>
      <w:r w:rsidR="00F13540" w:rsidRPr="005010FA">
        <w:rPr>
          <w:rFonts w:cs="Arial"/>
        </w:rPr>
        <w:t>.</w:t>
      </w:r>
    </w:p>
    <w:p w14:paraId="3E8255D3" w14:textId="77777777" w:rsidR="00AB73FE" w:rsidRDefault="00877615" w:rsidP="00C059F3">
      <w:pPr>
        <w:pStyle w:val="Body1"/>
        <w:widowControl w:val="0"/>
        <w:spacing w:before="240" w:after="200"/>
        <w:ind w:left="720"/>
        <w:rPr>
          <w:rFonts w:cs="Arial"/>
        </w:rPr>
      </w:pPr>
      <w:r w:rsidRPr="005010FA">
        <w:rPr>
          <w:rFonts w:cs="Arial"/>
        </w:rPr>
        <w:t>3.</w:t>
      </w:r>
      <w:r w:rsidR="00884324" w:rsidRPr="005010FA">
        <w:rPr>
          <w:rFonts w:cs="Arial"/>
        </w:rPr>
        <w:t>2</w:t>
      </w:r>
      <w:r w:rsidR="00884324" w:rsidRPr="005010FA">
        <w:rPr>
          <w:rFonts w:cs="Arial"/>
        </w:rPr>
        <w:tab/>
      </w:r>
      <w:r w:rsidR="00F24DA9">
        <w:rPr>
          <w:rFonts w:cs="Arial"/>
          <w:u w:val="single"/>
        </w:rPr>
        <w:t>Format</w:t>
      </w:r>
      <w:r w:rsidR="00216F94" w:rsidRPr="00574AAE">
        <w:rPr>
          <w:rFonts w:cs="Arial"/>
        </w:rPr>
        <w:t>:</w:t>
      </w:r>
    </w:p>
    <w:p w14:paraId="29234BC8" w14:textId="77777777" w:rsidR="00AB73FE" w:rsidRDefault="00AB73FE" w:rsidP="00C059F3">
      <w:pPr>
        <w:pStyle w:val="Body1"/>
        <w:widowControl w:val="0"/>
        <w:spacing w:before="240" w:after="200"/>
        <w:ind w:left="1440"/>
        <w:rPr>
          <w:rFonts w:cs="Arial"/>
        </w:rPr>
      </w:pPr>
      <w:r>
        <w:rPr>
          <w:rFonts w:cs="Arial"/>
        </w:rPr>
        <w:t>3.2.1</w:t>
      </w:r>
      <w:r>
        <w:rPr>
          <w:rFonts w:cs="Arial"/>
        </w:rPr>
        <w:tab/>
      </w:r>
      <w:r>
        <w:rPr>
          <w:rFonts w:cs="Arial"/>
          <w:u w:val="single"/>
        </w:rPr>
        <w:t xml:space="preserve">Information </w:t>
      </w:r>
      <w:r w:rsidR="00216F94">
        <w:rPr>
          <w:rFonts w:cs="Arial"/>
          <w:u w:val="single"/>
        </w:rPr>
        <w:t>D</w:t>
      </w:r>
      <w:r>
        <w:rPr>
          <w:rFonts w:cs="Arial"/>
          <w:u w:val="single"/>
        </w:rPr>
        <w:t>escribed in Articles 2</w:t>
      </w:r>
      <w:r w:rsidR="00D705CE">
        <w:rPr>
          <w:rFonts w:cs="Arial"/>
          <w:u w:val="single"/>
        </w:rPr>
        <w:t>(2)</w:t>
      </w:r>
      <w:r>
        <w:rPr>
          <w:rFonts w:cs="Arial"/>
          <w:u w:val="single"/>
        </w:rPr>
        <w:t xml:space="preserve"> and 4(1)(b) of the IGA</w:t>
      </w:r>
      <w:r w:rsidR="00216F94">
        <w:rPr>
          <w:rFonts w:cs="Arial"/>
        </w:rPr>
        <w:t>:</w:t>
      </w:r>
      <w:r>
        <w:rPr>
          <w:rFonts w:cs="Arial"/>
        </w:rPr>
        <w:t xml:space="preserve"> </w:t>
      </w:r>
      <w:r w:rsidR="00F13540" w:rsidRPr="005010FA">
        <w:rPr>
          <w:rFonts w:cs="Arial"/>
        </w:rPr>
        <w:t>T</w:t>
      </w:r>
      <w:r w:rsidR="00884324" w:rsidRPr="005010FA">
        <w:rPr>
          <w:rFonts w:cs="Arial"/>
        </w:rPr>
        <w:t xml:space="preserve">he FATCA XML Schema, as reflected in the FATCA XML Schema User Guide </w:t>
      </w:r>
      <w:r w:rsidR="00216F94">
        <w:rPr>
          <w:rFonts w:cs="Arial"/>
        </w:rPr>
        <w:t>(</w:t>
      </w:r>
      <w:r w:rsidR="005B189A">
        <w:rPr>
          <w:rFonts w:cs="Arial"/>
        </w:rPr>
        <w:t xml:space="preserve">IRS </w:t>
      </w:r>
      <w:r w:rsidR="00216F94">
        <w:rPr>
          <w:rFonts w:cs="Arial"/>
        </w:rPr>
        <w:t>Publication 5124)</w:t>
      </w:r>
      <w:r w:rsidR="004924B0">
        <w:rPr>
          <w:rFonts w:cs="Arial"/>
        </w:rPr>
        <w:t>,</w:t>
      </w:r>
      <w:r w:rsidR="00456A1A">
        <w:rPr>
          <w:rFonts w:cs="Arial"/>
        </w:rPr>
        <w:t xml:space="preserve"> and the FATCA Metadata XML Schema, as reflected in the FATCA Metadata XML Schema User Guide</w:t>
      </w:r>
      <w:r w:rsidR="005B189A">
        <w:rPr>
          <w:rFonts w:cs="Arial"/>
        </w:rPr>
        <w:t xml:space="preserve"> (IRS Publication 5188)</w:t>
      </w:r>
      <w:r w:rsidR="004924B0">
        <w:rPr>
          <w:rFonts w:cs="Arial"/>
        </w:rPr>
        <w:t>,</w:t>
      </w:r>
      <w:r w:rsidR="00456A1A">
        <w:rPr>
          <w:rFonts w:cs="Arial"/>
        </w:rPr>
        <w:t xml:space="preserve"> </w:t>
      </w:r>
      <w:r w:rsidR="00884324" w:rsidRPr="005010FA">
        <w:rPr>
          <w:rFonts w:cs="Arial"/>
        </w:rPr>
        <w:t xml:space="preserve">posted </w:t>
      </w:r>
      <w:r w:rsidR="00D5539E" w:rsidRPr="005010FA">
        <w:rPr>
          <w:rFonts w:cs="Arial"/>
        </w:rPr>
        <w:t xml:space="preserve">on </w:t>
      </w:r>
      <w:hyperlink r:id="rId8" w:history="1">
        <w:r w:rsidR="000F51ED" w:rsidRPr="00295032">
          <w:rPr>
            <w:rStyle w:val="Hyperlink"/>
            <w:rFonts w:cs="Arial"/>
          </w:rPr>
          <w:t>http://www.irs.gov/FATCA</w:t>
        </w:r>
      </w:hyperlink>
      <w:r w:rsidR="000F51ED">
        <w:rPr>
          <w:rFonts w:cs="Arial"/>
        </w:rPr>
        <w:t xml:space="preserve"> (“IRS.gov”) </w:t>
      </w:r>
      <w:r w:rsidR="00456A1A">
        <w:rPr>
          <w:rFonts w:cs="Arial"/>
        </w:rPr>
        <w:t xml:space="preserve">are </w:t>
      </w:r>
      <w:r w:rsidR="00D705CE">
        <w:rPr>
          <w:rFonts w:cs="Arial"/>
        </w:rPr>
        <w:t xml:space="preserve">intended to be used </w:t>
      </w:r>
      <w:r w:rsidR="00923B8A" w:rsidRPr="005010FA">
        <w:rPr>
          <w:rStyle w:val="Hyperlink"/>
          <w:rFonts w:cs="Arial"/>
          <w:color w:val="auto"/>
          <w:u w:val="none"/>
        </w:rPr>
        <w:t xml:space="preserve">as the format </w:t>
      </w:r>
      <w:r w:rsidR="00F13540" w:rsidRPr="005010FA">
        <w:rPr>
          <w:rStyle w:val="Hyperlink"/>
          <w:rFonts w:cs="Arial"/>
          <w:color w:val="auto"/>
          <w:u w:val="none"/>
        </w:rPr>
        <w:t>for the exchange of information described in Articles 2</w:t>
      </w:r>
      <w:r w:rsidR="00D705CE">
        <w:rPr>
          <w:rStyle w:val="Hyperlink"/>
          <w:rFonts w:cs="Arial"/>
          <w:color w:val="auto"/>
          <w:u w:val="none"/>
        </w:rPr>
        <w:t>(2)</w:t>
      </w:r>
      <w:r w:rsidR="00F13540" w:rsidRPr="005010FA">
        <w:rPr>
          <w:rStyle w:val="Hyperlink"/>
          <w:rFonts w:cs="Arial"/>
          <w:color w:val="auto"/>
          <w:u w:val="none"/>
        </w:rPr>
        <w:t xml:space="preserve"> and 4(1)(b) of the IGA.</w:t>
      </w:r>
      <w:r w:rsidR="00884324" w:rsidRPr="005010FA">
        <w:rPr>
          <w:rFonts w:cs="Arial"/>
        </w:rPr>
        <w:t xml:space="preserve"> Th</w:t>
      </w:r>
      <w:r w:rsidR="00923B8A" w:rsidRPr="005010FA">
        <w:rPr>
          <w:rFonts w:cs="Arial"/>
        </w:rPr>
        <w:t>e</w:t>
      </w:r>
      <w:r w:rsidR="00884324" w:rsidRPr="005010FA">
        <w:rPr>
          <w:rFonts w:cs="Arial"/>
        </w:rPr>
        <w:t xml:space="preserve"> </w:t>
      </w:r>
      <w:r w:rsidR="00923B8A" w:rsidRPr="005010FA">
        <w:rPr>
          <w:rFonts w:cs="Arial"/>
        </w:rPr>
        <w:t>FATCA XML Schema User G</w:t>
      </w:r>
      <w:r w:rsidR="00884324" w:rsidRPr="005010FA">
        <w:rPr>
          <w:rFonts w:cs="Arial"/>
        </w:rPr>
        <w:t xml:space="preserve">uide </w:t>
      </w:r>
      <w:r w:rsidR="006703F7">
        <w:rPr>
          <w:rFonts w:cs="Arial"/>
        </w:rPr>
        <w:t xml:space="preserve">(IRS Publication 5124) </w:t>
      </w:r>
      <w:r w:rsidR="0041440D">
        <w:rPr>
          <w:rFonts w:cs="Arial"/>
        </w:rPr>
        <w:t xml:space="preserve">and the FATCA Metadata XML Schema User Guide </w:t>
      </w:r>
      <w:r w:rsidR="006703F7">
        <w:rPr>
          <w:rFonts w:cs="Arial"/>
        </w:rPr>
        <w:t xml:space="preserve">(IRS Publication 5188) </w:t>
      </w:r>
      <w:r w:rsidR="00884324" w:rsidRPr="005010FA">
        <w:rPr>
          <w:rFonts w:cs="Arial"/>
        </w:rPr>
        <w:t>describe the structure of the schema</w:t>
      </w:r>
      <w:r w:rsidR="0041440D">
        <w:rPr>
          <w:rFonts w:cs="Arial"/>
        </w:rPr>
        <w:t>ta</w:t>
      </w:r>
      <w:r w:rsidR="00884324" w:rsidRPr="005010FA">
        <w:rPr>
          <w:rFonts w:cs="Arial"/>
        </w:rPr>
        <w:t xml:space="preserve"> and include data dictionar</w:t>
      </w:r>
      <w:r w:rsidR="0041440D">
        <w:rPr>
          <w:rFonts w:cs="Arial"/>
        </w:rPr>
        <w:t>ies</w:t>
      </w:r>
      <w:r w:rsidR="00884324" w:rsidRPr="005010FA">
        <w:rPr>
          <w:rFonts w:cs="Arial"/>
        </w:rPr>
        <w:t xml:space="preserve"> with summar</w:t>
      </w:r>
      <w:r w:rsidR="0041440D">
        <w:rPr>
          <w:rFonts w:cs="Arial"/>
        </w:rPr>
        <w:t>ies</w:t>
      </w:r>
      <w:r w:rsidR="00884324" w:rsidRPr="005010FA">
        <w:rPr>
          <w:rFonts w:cs="Arial"/>
        </w:rPr>
        <w:t xml:space="preserve"> of the relevant data elements.  </w:t>
      </w:r>
    </w:p>
    <w:p w14:paraId="4A1F001D" w14:textId="77777777" w:rsidR="00AB73FE" w:rsidRDefault="00AB73FE" w:rsidP="00C059F3">
      <w:pPr>
        <w:pStyle w:val="Body1"/>
        <w:widowControl w:val="0"/>
        <w:spacing w:before="240" w:after="200"/>
        <w:ind w:left="1440"/>
        <w:rPr>
          <w:rFonts w:cs="Arial"/>
        </w:rPr>
      </w:pPr>
      <w:r>
        <w:rPr>
          <w:rFonts w:cs="Arial"/>
        </w:rPr>
        <w:t>3.2.2</w:t>
      </w:r>
      <w:r>
        <w:rPr>
          <w:rFonts w:cs="Arial"/>
        </w:rPr>
        <w:tab/>
      </w:r>
      <w:r>
        <w:rPr>
          <w:rFonts w:cs="Arial"/>
          <w:u w:val="single"/>
        </w:rPr>
        <w:t>Notices</w:t>
      </w:r>
      <w:r w:rsidR="00216F94">
        <w:rPr>
          <w:rFonts w:cs="Arial"/>
        </w:rPr>
        <w:t>:</w:t>
      </w:r>
      <w:r>
        <w:rPr>
          <w:rFonts w:cs="Arial"/>
        </w:rPr>
        <w:t xml:space="preserve"> </w:t>
      </w:r>
      <w:r w:rsidR="00456A1A">
        <w:rPr>
          <w:rFonts w:cs="Arial"/>
        </w:rPr>
        <w:t xml:space="preserve">The U.S. Competent Authority intends to use the schemata </w:t>
      </w:r>
      <w:r w:rsidR="00456A1A">
        <w:rPr>
          <w:rFonts w:cs="Arial"/>
        </w:rPr>
        <w:lastRenderedPageBreak/>
        <w:t>described in the FATCA XML Schema User Guide</w:t>
      </w:r>
      <w:r w:rsidR="006703F7">
        <w:rPr>
          <w:rFonts w:cs="Arial"/>
        </w:rPr>
        <w:t xml:space="preserve"> (IRS Publication 5124)</w:t>
      </w:r>
      <w:r w:rsidR="00456A1A">
        <w:rPr>
          <w:rFonts w:cs="Arial"/>
        </w:rPr>
        <w:t>, FATCA Metadata XML Schema User Guide</w:t>
      </w:r>
      <w:r w:rsidR="006703F7">
        <w:rPr>
          <w:rFonts w:cs="Arial"/>
        </w:rPr>
        <w:t xml:space="preserve"> (IRS Publication 5188)</w:t>
      </w:r>
      <w:r w:rsidR="00456A1A">
        <w:rPr>
          <w:rFonts w:cs="Arial"/>
        </w:rPr>
        <w:t>, and FATCA Reports ICMM Notification XML Schema User Guide (IRS Publication 5</w:t>
      </w:r>
      <w:r w:rsidR="00E13B28">
        <w:rPr>
          <w:rFonts w:cs="Arial"/>
        </w:rPr>
        <w:t>216</w:t>
      </w:r>
      <w:r w:rsidR="00456A1A">
        <w:rPr>
          <w:rFonts w:cs="Arial"/>
        </w:rPr>
        <w:t>) posted on IRS.gov as the format for providing notices pursuant to this Arrangement.</w:t>
      </w:r>
    </w:p>
    <w:p w14:paraId="225424D0" w14:textId="77777777" w:rsidR="00D705CE" w:rsidRPr="00C059F3" w:rsidRDefault="00D705CE" w:rsidP="00C059F3">
      <w:pPr>
        <w:pStyle w:val="Body1"/>
        <w:widowControl w:val="0"/>
        <w:spacing w:before="240" w:after="200"/>
        <w:ind w:left="1440"/>
        <w:rPr>
          <w:rFonts w:cs="Arial"/>
        </w:rPr>
      </w:pPr>
      <w:r>
        <w:rPr>
          <w:rFonts w:cs="Arial"/>
        </w:rPr>
        <w:t>3.2.3</w:t>
      </w:r>
      <w:r>
        <w:rPr>
          <w:rFonts w:cs="Arial"/>
        </w:rPr>
        <w:tab/>
      </w:r>
      <w:r>
        <w:rPr>
          <w:rFonts w:cs="Arial"/>
          <w:u w:val="single"/>
        </w:rPr>
        <w:t>Schema Changes</w:t>
      </w:r>
      <w:r>
        <w:rPr>
          <w:rFonts w:cs="Arial"/>
        </w:rPr>
        <w:t xml:space="preserve">: </w:t>
      </w:r>
      <w:r w:rsidR="00456A1A" w:rsidRPr="005010FA">
        <w:rPr>
          <w:rFonts w:cs="Arial"/>
        </w:rPr>
        <w:t xml:space="preserve">The IRS intends to post any changes to </w:t>
      </w:r>
      <w:r w:rsidR="00D52A9D">
        <w:rPr>
          <w:rFonts w:cs="Arial"/>
        </w:rPr>
        <w:t xml:space="preserve">the </w:t>
      </w:r>
      <w:r w:rsidR="00456A1A">
        <w:rPr>
          <w:rFonts w:cs="Arial"/>
        </w:rPr>
        <w:t>schemata</w:t>
      </w:r>
      <w:r w:rsidR="00456A1A" w:rsidRPr="005010FA">
        <w:rPr>
          <w:rFonts w:cs="Arial"/>
        </w:rPr>
        <w:t xml:space="preserve"> applicable to a particular calendar year on </w:t>
      </w:r>
      <w:r w:rsidR="000F51ED">
        <w:rPr>
          <w:rFonts w:cs="Arial"/>
        </w:rPr>
        <w:t>IRS.gov</w:t>
      </w:r>
      <w:r w:rsidR="00B8377B">
        <w:rPr>
          <w:rFonts w:cs="Arial"/>
        </w:rPr>
        <w:t xml:space="preserve"> as soon as possible. </w:t>
      </w:r>
      <w:r w:rsidRPr="005010FA">
        <w:rPr>
          <w:rFonts w:cs="Arial"/>
        </w:rPr>
        <w:t>When feasible, IRS intends to provide notice of such changes prior to posting.</w:t>
      </w:r>
      <w:r w:rsidR="009626EC">
        <w:rPr>
          <w:rFonts w:cs="Arial"/>
        </w:rPr>
        <w:t xml:space="preserve"> </w:t>
      </w:r>
      <w:r w:rsidRPr="005010FA">
        <w:rPr>
          <w:rFonts w:cs="Arial"/>
        </w:rPr>
        <w:t>The Competent Authorities anticipate a collaborative process concerning schema</w:t>
      </w:r>
      <w:r w:rsidR="00456A1A">
        <w:rPr>
          <w:rFonts w:cs="Arial"/>
        </w:rPr>
        <w:t>ta</w:t>
      </w:r>
      <w:r w:rsidRPr="005010FA">
        <w:rPr>
          <w:rFonts w:cs="Arial"/>
        </w:rPr>
        <w:t xml:space="preserve"> changes.</w:t>
      </w:r>
    </w:p>
    <w:p w14:paraId="111515F5" w14:textId="77777777" w:rsidR="00833C3B" w:rsidRPr="00DE5A4C" w:rsidRDefault="00884324" w:rsidP="00C059F3">
      <w:pPr>
        <w:pStyle w:val="Body1"/>
        <w:widowControl w:val="0"/>
        <w:spacing w:before="240" w:after="200"/>
        <w:ind w:left="720"/>
        <w:rPr>
          <w:rFonts w:cs="Arial"/>
        </w:rPr>
      </w:pPr>
      <w:r w:rsidRPr="005010FA">
        <w:rPr>
          <w:rFonts w:cs="Arial"/>
        </w:rPr>
        <w:t>3.3</w:t>
      </w:r>
      <w:r w:rsidRPr="005010FA">
        <w:rPr>
          <w:rFonts w:cs="Arial"/>
        </w:rPr>
        <w:tab/>
      </w:r>
      <w:r w:rsidR="00913FF7">
        <w:rPr>
          <w:rFonts w:cs="Arial"/>
          <w:u w:val="single"/>
        </w:rPr>
        <w:t>Information</w:t>
      </w:r>
      <w:r w:rsidR="00913FF7" w:rsidRPr="005010FA">
        <w:rPr>
          <w:rFonts w:cs="Arial"/>
          <w:u w:val="single"/>
        </w:rPr>
        <w:t xml:space="preserve"> </w:t>
      </w:r>
      <w:r w:rsidRPr="005010FA">
        <w:rPr>
          <w:rFonts w:cs="Arial"/>
          <w:u w:val="single"/>
        </w:rPr>
        <w:t>Transmission</w:t>
      </w:r>
      <w:r w:rsidRPr="005010FA">
        <w:rPr>
          <w:rFonts w:cs="Arial"/>
        </w:rPr>
        <w:t>:</w:t>
      </w:r>
    </w:p>
    <w:p w14:paraId="70F81C09" w14:textId="77777777" w:rsidR="00327E0E" w:rsidRDefault="00884324" w:rsidP="00C059F3">
      <w:pPr>
        <w:pStyle w:val="Body1"/>
        <w:widowControl w:val="0"/>
        <w:spacing w:before="240" w:after="200"/>
        <w:ind w:left="1440"/>
        <w:rPr>
          <w:rFonts w:cs="Arial"/>
        </w:rPr>
      </w:pPr>
      <w:r w:rsidRPr="005010FA">
        <w:rPr>
          <w:rFonts w:cs="Arial"/>
        </w:rPr>
        <w:t>3.3.1</w:t>
      </w:r>
      <w:r w:rsidR="006A0720" w:rsidRPr="005010FA">
        <w:rPr>
          <w:rFonts w:cs="Arial"/>
        </w:rPr>
        <w:tab/>
      </w:r>
      <w:r w:rsidRPr="005010FA">
        <w:rPr>
          <w:rFonts w:cs="Arial"/>
          <w:u w:val="single"/>
        </w:rPr>
        <w:t>Method</w:t>
      </w:r>
      <w:r w:rsidR="00B8377B">
        <w:rPr>
          <w:rFonts w:cs="Arial"/>
        </w:rPr>
        <w:t xml:space="preserve">: </w:t>
      </w:r>
      <w:r w:rsidR="00923B8A" w:rsidRPr="005010FA">
        <w:rPr>
          <w:rFonts w:cs="Arial"/>
        </w:rPr>
        <w:t>T</w:t>
      </w:r>
      <w:r w:rsidRPr="005010FA">
        <w:rPr>
          <w:rFonts w:cs="Arial"/>
        </w:rPr>
        <w:t>he</w:t>
      </w:r>
      <w:r w:rsidR="006A0720" w:rsidRPr="005010FA">
        <w:rPr>
          <w:rFonts w:cs="Arial"/>
        </w:rPr>
        <w:t xml:space="preserve"> Competent Authorities intend to use the</w:t>
      </w:r>
      <w:r w:rsidRPr="005010FA">
        <w:rPr>
          <w:rFonts w:cs="Arial"/>
        </w:rPr>
        <w:t xml:space="preserve"> International Data Exchange </w:t>
      </w:r>
      <w:r w:rsidR="00B143F7">
        <w:rPr>
          <w:rFonts w:cs="Arial"/>
        </w:rPr>
        <w:t>Service</w:t>
      </w:r>
      <w:r w:rsidR="00B143F7" w:rsidRPr="005010FA">
        <w:rPr>
          <w:rFonts w:cs="Arial"/>
        </w:rPr>
        <w:t xml:space="preserve"> </w:t>
      </w:r>
      <w:r w:rsidRPr="005010FA">
        <w:rPr>
          <w:rFonts w:cs="Arial"/>
        </w:rPr>
        <w:t>(</w:t>
      </w:r>
      <w:r w:rsidR="00923B8A" w:rsidRPr="005010FA">
        <w:rPr>
          <w:rFonts w:cs="Arial"/>
        </w:rPr>
        <w:t>“</w:t>
      </w:r>
      <w:r w:rsidRPr="005010FA">
        <w:rPr>
          <w:rFonts w:cs="Arial"/>
        </w:rPr>
        <w:t>IDES</w:t>
      </w:r>
      <w:r w:rsidR="00923B8A" w:rsidRPr="005010FA">
        <w:rPr>
          <w:rFonts w:cs="Arial"/>
        </w:rPr>
        <w:t>”</w:t>
      </w:r>
      <w:r w:rsidRPr="005010FA">
        <w:rPr>
          <w:rFonts w:cs="Arial"/>
        </w:rPr>
        <w:t xml:space="preserve">), as </w:t>
      </w:r>
      <w:r w:rsidR="002D4500">
        <w:rPr>
          <w:rFonts w:cs="Arial"/>
        </w:rPr>
        <w:t xml:space="preserve">reflected in the FATCA IDES User Guide </w:t>
      </w:r>
      <w:r w:rsidR="00216F94">
        <w:rPr>
          <w:rFonts w:cs="Arial"/>
        </w:rPr>
        <w:t xml:space="preserve">(IRS Publication 5190) </w:t>
      </w:r>
      <w:r w:rsidR="005B189A">
        <w:rPr>
          <w:rFonts w:cs="Arial"/>
        </w:rPr>
        <w:t xml:space="preserve">and the FATCA Metadata XML Schema User Guide </w:t>
      </w:r>
      <w:r w:rsidR="006703F7">
        <w:rPr>
          <w:rFonts w:cs="Arial"/>
        </w:rPr>
        <w:t xml:space="preserve">(IRS Publication 5188) </w:t>
      </w:r>
      <w:r w:rsidR="002D4500">
        <w:rPr>
          <w:rFonts w:cs="Arial"/>
        </w:rPr>
        <w:t xml:space="preserve">posted on </w:t>
      </w:r>
      <w:r w:rsidR="002D4500" w:rsidRPr="001D4E85">
        <w:rPr>
          <w:rFonts w:cs="Arial"/>
        </w:rPr>
        <w:t>IRS.gov</w:t>
      </w:r>
      <w:r w:rsidR="00923B8A" w:rsidRPr="005010FA">
        <w:rPr>
          <w:rFonts w:cs="Arial"/>
        </w:rPr>
        <w:t xml:space="preserve">, for </w:t>
      </w:r>
      <w:r w:rsidR="006A0720" w:rsidRPr="005010FA">
        <w:rPr>
          <w:rFonts w:cs="Arial"/>
        </w:rPr>
        <w:t xml:space="preserve">all </w:t>
      </w:r>
      <w:r w:rsidR="00923B8A" w:rsidRPr="005010FA">
        <w:rPr>
          <w:rFonts w:cs="Arial"/>
        </w:rPr>
        <w:t>exchange of information</w:t>
      </w:r>
      <w:r w:rsidR="005B189A">
        <w:rPr>
          <w:rFonts w:cs="Arial"/>
        </w:rPr>
        <w:t xml:space="preserve">, including notices </w:t>
      </w:r>
      <w:r w:rsidR="00730D3A">
        <w:rPr>
          <w:rFonts w:cs="Arial"/>
        </w:rPr>
        <w:t>described in</w:t>
      </w:r>
      <w:r w:rsidR="005B189A">
        <w:rPr>
          <w:rFonts w:cs="Arial"/>
        </w:rPr>
        <w:t xml:space="preserve"> Paragraph 4.3,</w:t>
      </w:r>
      <w:r w:rsidR="0046442F" w:rsidRPr="005010FA">
        <w:rPr>
          <w:rFonts w:cs="Arial"/>
        </w:rPr>
        <w:t xml:space="preserve"> pursuant to </w:t>
      </w:r>
      <w:r w:rsidR="000F7896">
        <w:rPr>
          <w:rFonts w:cs="Arial"/>
        </w:rPr>
        <w:t>the IGA</w:t>
      </w:r>
      <w:r w:rsidR="0028528C" w:rsidRPr="005010FA">
        <w:rPr>
          <w:rFonts w:cs="Arial"/>
        </w:rPr>
        <w:t>.</w:t>
      </w:r>
    </w:p>
    <w:p w14:paraId="795882C5" w14:textId="3F75E2CE" w:rsidR="009221C5" w:rsidRDefault="009221C5" w:rsidP="009E1EDF">
      <w:pPr>
        <w:pStyle w:val="Body1"/>
        <w:widowControl w:val="0"/>
        <w:spacing w:before="240" w:after="200"/>
        <w:ind w:left="2347" w:hanging="907"/>
        <w:rPr>
          <w:rFonts w:cs="Arial"/>
        </w:rPr>
      </w:pPr>
      <w:r>
        <w:rPr>
          <w:rFonts w:cs="Arial"/>
        </w:rPr>
        <w:t>3.3.1.</w:t>
      </w:r>
      <w:r w:rsidR="009E412F">
        <w:rPr>
          <w:rFonts w:cs="Arial"/>
        </w:rPr>
        <w:t>1</w:t>
      </w:r>
      <w:r w:rsidR="00814E18" w:rsidRPr="007E42F2">
        <w:rPr>
          <w:rFonts w:cs="Arial"/>
        </w:rPr>
        <w:t xml:space="preserve"> </w:t>
      </w:r>
      <w:r w:rsidR="00E10ED9" w:rsidRPr="007E42F2">
        <w:rPr>
          <w:rFonts w:cs="Arial"/>
        </w:rPr>
        <w:tab/>
      </w:r>
      <w:r w:rsidR="00327E0E" w:rsidRPr="00C059F3">
        <w:rPr>
          <w:rFonts w:cs="Arial"/>
          <w:u w:val="single"/>
        </w:rPr>
        <w:t>Use o</w:t>
      </w:r>
      <w:r w:rsidR="00327E0E">
        <w:rPr>
          <w:rFonts w:cs="Arial"/>
          <w:u w:val="single"/>
        </w:rPr>
        <w:t>f Regional Router</w:t>
      </w:r>
      <w:r w:rsidR="00AA0427">
        <w:rPr>
          <w:rFonts w:cs="Arial"/>
          <w:u w:val="single"/>
        </w:rPr>
        <w:t xml:space="preserve"> for Transmission</w:t>
      </w:r>
      <w:r w:rsidR="00327E0E">
        <w:rPr>
          <w:rFonts w:cs="Arial"/>
        </w:rPr>
        <w:t>:</w:t>
      </w:r>
      <w:r>
        <w:rPr>
          <w:rFonts w:cs="Arial"/>
        </w:rPr>
        <w:t xml:space="preserve"> </w:t>
      </w:r>
      <w:r w:rsidR="00AA0427">
        <w:rPr>
          <w:rFonts w:cs="Arial"/>
        </w:rPr>
        <w:t>The</w:t>
      </w:r>
      <w:r w:rsidR="002D4500">
        <w:rPr>
          <w:rFonts w:cs="Arial"/>
        </w:rPr>
        <w:t xml:space="preserve"> </w:t>
      </w:r>
      <w:r w:rsidR="003F0492">
        <w:rPr>
          <w:rFonts w:cs="Arial"/>
        </w:rPr>
        <w:t>Serbian</w:t>
      </w:r>
      <w:r w:rsidR="002D4500">
        <w:rPr>
          <w:rFonts w:cs="Arial"/>
        </w:rPr>
        <w:t xml:space="preserve"> Competent Authority may elect to use </w:t>
      </w:r>
      <w:r w:rsidR="00AA0427">
        <w:rPr>
          <w:rFonts w:cs="Arial"/>
        </w:rPr>
        <w:t>a</w:t>
      </w:r>
      <w:r w:rsidR="002D4500">
        <w:rPr>
          <w:rFonts w:cs="Arial"/>
        </w:rPr>
        <w:t xml:space="preserve"> regional router</w:t>
      </w:r>
      <w:r w:rsidR="00AA0427">
        <w:rPr>
          <w:rFonts w:cs="Arial"/>
        </w:rPr>
        <w:t xml:space="preserve"> (</w:t>
      </w:r>
      <w:r w:rsidR="00AA0427" w:rsidRPr="00C059F3">
        <w:rPr>
          <w:rFonts w:cs="Arial"/>
          <w:u w:val="single"/>
        </w:rPr>
        <w:t>e.g.</w:t>
      </w:r>
      <w:r w:rsidR="00AA0427">
        <w:rPr>
          <w:rFonts w:cs="Arial"/>
        </w:rPr>
        <w:t xml:space="preserve"> the European Union’s “Speed 2”)</w:t>
      </w:r>
      <w:r w:rsidR="002D4500">
        <w:rPr>
          <w:rFonts w:cs="Arial"/>
        </w:rPr>
        <w:t xml:space="preserve"> to transmit information to</w:t>
      </w:r>
      <w:r w:rsidR="00AA0427">
        <w:rPr>
          <w:rFonts w:cs="Arial"/>
        </w:rPr>
        <w:t xml:space="preserve">, and </w:t>
      </w:r>
      <w:r w:rsidR="00B8099E">
        <w:rPr>
          <w:rFonts w:cs="Arial"/>
        </w:rPr>
        <w:t>download</w:t>
      </w:r>
      <w:r w:rsidR="00AA0427">
        <w:rPr>
          <w:rFonts w:cs="Arial"/>
        </w:rPr>
        <w:t xml:space="preserve"> information from,</w:t>
      </w:r>
      <w:r w:rsidR="002D4500">
        <w:rPr>
          <w:rFonts w:cs="Arial"/>
        </w:rPr>
        <w:t xml:space="preserve"> IDES</w:t>
      </w:r>
      <w:r w:rsidR="00AA0427">
        <w:rPr>
          <w:rFonts w:cs="Arial"/>
        </w:rPr>
        <w:t xml:space="preserve"> where the U.S. Competent Authority has approved that regional router </w:t>
      </w:r>
      <w:r w:rsidR="00E328F1">
        <w:rPr>
          <w:rFonts w:cs="Arial"/>
        </w:rPr>
        <w:t xml:space="preserve">in writing </w:t>
      </w:r>
      <w:r w:rsidR="00AA0427">
        <w:rPr>
          <w:rFonts w:cs="Arial"/>
        </w:rPr>
        <w:t xml:space="preserve">for compliance with specified standards, including encryption and </w:t>
      </w:r>
      <w:r w:rsidR="005B189A">
        <w:rPr>
          <w:rFonts w:cs="Arial"/>
        </w:rPr>
        <w:t>internet transmission protocols</w:t>
      </w:r>
      <w:r w:rsidR="00BF6809">
        <w:rPr>
          <w:rFonts w:cs="Arial"/>
        </w:rPr>
        <w:t xml:space="preserve">. </w:t>
      </w:r>
      <w:r w:rsidR="00AA0427">
        <w:rPr>
          <w:rFonts w:cs="Arial"/>
        </w:rPr>
        <w:t>This election should be made in writing and delivered to the</w:t>
      </w:r>
      <w:r w:rsidR="00FE7081">
        <w:rPr>
          <w:rFonts w:cs="Arial"/>
        </w:rPr>
        <w:t xml:space="preserve"> U.S. Competent Authority prior to transmitting information via the regional router to IDES</w:t>
      </w:r>
      <w:r w:rsidR="00CF55B5" w:rsidRPr="00CF55B5">
        <w:rPr>
          <w:rFonts w:cs="Arial"/>
        </w:rPr>
        <w:t xml:space="preserve"> </w:t>
      </w:r>
      <w:r w:rsidR="00CF55B5">
        <w:rPr>
          <w:rFonts w:cs="Arial"/>
        </w:rPr>
        <w:t>or downloading information from IDES via the regional router</w:t>
      </w:r>
      <w:r w:rsidR="00FE7081">
        <w:rPr>
          <w:rFonts w:cs="Arial"/>
        </w:rPr>
        <w:t>.</w:t>
      </w:r>
    </w:p>
    <w:p w14:paraId="539DC95C" w14:textId="6FF211D4" w:rsidR="009E412F" w:rsidRDefault="009221C5" w:rsidP="00E10ED9">
      <w:pPr>
        <w:pStyle w:val="Body1"/>
        <w:widowControl w:val="0"/>
        <w:spacing w:before="240" w:after="200"/>
        <w:ind w:left="2340" w:hanging="900"/>
        <w:rPr>
          <w:rFonts w:cs="Arial"/>
        </w:rPr>
      </w:pPr>
      <w:r>
        <w:rPr>
          <w:rFonts w:cs="Arial"/>
        </w:rPr>
        <w:t>3.3.1.</w:t>
      </w:r>
      <w:r w:rsidR="009E412F">
        <w:rPr>
          <w:rFonts w:cs="Arial"/>
        </w:rPr>
        <w:t>2</w:t>
      </w:r>
      <w:r w:rsidR="00E10ED9">
        <w:rPr>
          <w:rFonts w:cs="Arial"/>
        </w:rPr>
        <w:tab/>
      </w:r>
      <w:r w:rsidRPr="00C059F3">
        <w:rPr>
          <w:rFonts w:cs="Arial"/>
          <w:u w:val="single"/>
        </w:rPr>
        <w:t>Use of IDES as a Data Collection Tool</w:t>
      </w:r>
      <w:r>
        <w:rPr>
          <w:rFonts w:cs="Arial"/>
        </w:rPr>
        <w:t xml:space="preserve">: </w:t>
      </w:r>
      <w:r w:rsidR="00FE7081">
        <w:rPr>
          <w:rFonts w:cs="Arial"/>
        </w:rPr>
        <w:t>The</w:t>
      </w:r>
      <w:r>
        <w:rPr>
          <w:rFonts w:cs="Arial"/>
        </w:rPr>
        <w:t xml:space="preserve"> </w:t>
      </w:r>
      <w:r w:rsidR="003F0492">
        <w:rPr>
          <w:rFonts w:cs="Arial"/>
        </w:rPr>
        <w:t>Serbian</w:t>
      </w:r>
      <w:r>
        <w:rPr>
          <w:rFonts w:cs="Arial"/>
        </w:rPr>
        <w:t xml:space="preserve"> Competent Authority may </w:t>
      </w:r>
      <w:r w:rsidR="00AA0427">
        <w:rPr>
          <w:rFonts w:cs="Arial"/>
        </w:rPr>
        <w:t>elect</w:t>
      </w:r>
      <w:r>
        <w:rPr>
          <w:rFonts w:cs="Arial"/>
        </w:rPr>
        <w:t xml:space="preserve"> to use IDES as </w:t>
      </w:r>
      <w:r w:rsidR="009E412F">
        <w:rPr>
          <w:rFonts w:cs="Arial"/>
        </w:rPr>
        <w:t xml:space="preserve">a Model 1 Option 2 (“M1O2”) </w:t>
      </w:r>
      <w:r>
        <w:rPr>
          <w:rFonts w:cs="Arial"/>
        </w:rPr>
        <w:t xml:space="preserve">data collection tool for its information exchange </w:t>
      </w:r>
      <w:r w:rsidR="00CF55B5">
        <w:rPr>
          <w:rFonts w:cs="Arial"/>
        </w:rPr>
        <w:t>pursuant to the IGA</w:t>
      </w:r>
      <w:r>
        <w:rPr>
          <w:rFonts w:cs="Arial"/>
        </w:rPr>
        <w:t>.</w:t>
      </w:r>
      <w:r w:rsidR="00B8377B">
        <w:rPr>
          <w:rFonts w:cs="Arial"/>
        </w:rPr>
        <w:t xml:space="preserve"> </w:t>
      </w:r>
      <w:r w:rsidR="00FE7081">
        <w:rPr>
          <w:rFonts w:cs="Arial"/>
        </w:rPr>
        <w:t xml:space="preserve">The procedures and methodology for using IDES in this manner </w:t>
      </w:r>
      <w:r w:rsidR="009E412F">
        <w:rPr>
          <w:rFonts w:cs="Arial"/>
        </w:rPr>
        <w:t>are</w:t>
      </w:r>
      <w:r w:rsidR="00FE7081">
        <w:rPr>
          <w:rFonts w:cs="Arial"/>
        </w:rPr>
        <w:t xml:space="preserve"> described in greater deta</w:t>
      </w:r>
      <w:r w:rsidR="009E412F">
        <w:rPr>
          <w:rFonts w:cs="Arial"/>
        </w:rPr>
        <w:t>il in the FATCA IDES User Guide</w:t>
      </w:r>
      <w:r w:rsidR="006703F7">
        <w:rPr>
          <w:rFonts w:cs="Arial"/>
        </w:rPr>
        <w:t xml:space="preserve"> (IRS Publication 5190)</w:t>
      </w:r>
      <w:r w:rsidR="009E412F">
        <w:rPr>
          <w:rFonts w:cs="Arial"/>
        </w:rPr>
        <w:t xml:space="preserve">. </w:t>
      </w:r>
      <w:r w:rsidR="00FE7081">
        <w:rPr>
          <w:rFonts w:cs="Arial"/>
        </w:rPr>
        <w:t xml:space="preserve">The </w:t>
      </w:r>
      <w:r w:rsidR="009E412F">
        <w:rPr>
          <w:rFonts w:cs="Arial"/>
        </w:rPr>
        <w:t xml:space="preserve">M1O2 election should be made in writing and delivered to the U.S. Competent Authority prior to </w:t>
      </w:r>
      <w:r w:rsidR="00CF55B5">
        <w:rPr>
          <w:rFonts w:cs="Arial"/>
        </w:rPr>
        <w:t xml:space="preserve">the </w:t>
      </w:r>
      <w:r w:rsidR="009E412F">
        <w:rPr>
          <w:rFonts w:cs="Arial"/>
        </w:rPr>
        <w:t>upload</w:t>
      </w:r>
      <w:r w:rsidR="00CF55B5">
        <w:rPr>
          <w:rFonts w:cs="Arial"/>
        </w:rPr>
        <w:t xml:space="preserve">ing or downloading </w:t>
      </w:r>
      <w:r w:rsidR="0070426D">
        <w:rPr>
          <w:rFonts w:cs="Arial"/>
        </w:rPr>
        <w:t xml:space="preserve">of </w:t>
      </w:r>
      <w:r w:rsidR="009E412F">
        <w:rPr>
          <w:rFonts w:cs="Arial"/>
        </w:rPr>
        <w:t xml:space="preserve">information </w:t>
      </w:r>
      <w:r w:rsidR="00761D66">
        <w:rPr>
          <w:rFonts w:cs="Arial"/>
        </w:rPr>
        <w:t>to or from</w:t>
      </w:r>
      <w:r w:rsidR="009E412F">
        <w:rPr>
          <w:rFonts w:cs="Arial"/>
        </w:rPr>
        <w:t xml:space="preserve"> IDES by a Reporting </w:t>
      </w:r>
      <w:r w:rsidR="003F0492">
        <w:rPr>
          <w:rFonts w:cs="Arial"/>
        </w:rPr>
        <w:t>Serbian</w:t>
      </w:r>
      <w:r w:rsidR="009E412F">
        <w:rPr>
          <w:rFonts w:cs="Arial"/>
        </w:rPr>
        <w:t xml:space="preserve"> Financial Institution or </w:t>
      </w:r>
      <w:r w:rsidR="00886D05">
        <w:rPr>
          <w:rFonts w:cs="Arial"/>
        </w:rPr>
        <w:t xml:space="preserve">by or on behalf of </w:t>
      </w:r>
      <w:r w:rsidR="008A735A">
        <w:rPr>
          <w:rFonts w:cs="Arial"/>
        </w:rPr>
        <w:t xml:space="preserve">a </w:t>
      </w:r>
      <w:r w:rsidR="009E412F">
        <w:rPr>
          <w:rFonts w:cs="Arial"/>
        </w:rPr>
        <w:t>Paragraph 1.1.2 Financial Institution.</w:t>
      </w:r>
    </w:p>
    <w:p w14:paraId="6742A9C2" w14:textId="77777777" w:rsidR="00B8099E" w:rsidRDefault="009E412F" w:rsidP="007E42F2">
      <w:pPr>
        <w:pStyle w:val="Body1"/>
        <w:widowControl w:val="0"/>
        <w:spacing w:before="240" w:after="200"/>
        <w:ind w:left="2340" w:hanging="900"/>
        <w:rPr>
          <w:rFonts w:cs="Arial"/>
        </w:rPr>
      </w:pPr>
      <w:r>
        <w:rPr>
          <w:rFonts w:cs="Arial"/>
        </w:rPr>
        <w:t>3.3.1.3</w:t>
      </w:r>
      <w:r w:rsidR="00814E18">
        <w:rPr>
          <w:rFonts w:cs="Arial"/>
        </w:rPr>
        <w:t xml:space="preserve"> </w:t>
      </w:r>
      <w:r w:rsidR="00E10ED9">
        <w:rPr>
          <w:rFonts w:cs="Arial"/>
        </w:rPr>
        <w:tab/>
      </w:r>
      <w:r>
        <w:rPr>
          <w:rFonts w:cs="Arial"/>
          <w:u w:val="single"/>
        </w:rPr>
        <w:t>Consistency</w:t>
      </w:r>
      <w:r>
        <w:rPr>
          <w:rFonts w:cs="Arial"/>
        </w:rPr>
        <w:t xml:space="preserve">: The Competent Authorities intend that </w:t>
      </w:r>
      <w:r w:rsidR="00CF55B5">
        <w:rPr>
          <w:rFonts w:cs="Arial"/>
        </w:rPr>
        <w:t xml:space="preserve">an </w:t>
      </w:r>
      <w:r>
        <w:rPr>
          <w:rFonts w:cs="Arial"/>
        </w:rPr>
        <w:t xml:space="preserve">election </w:t>
      </w:r>
      <w:r w:rsidR="00CF55B5">
        <w:rPr>
          <w:rFonts w:cs="Arial"/>
        </w:rPr>
        <w:t>described in</w:t>
      </w:r>
      <w:r>
        <w:rPr>
          <w:rFonts w:cs="Arial"/>
        </w:rPr>
        <w:t xml:space="preserve"> Paragraph 3.3.1.1 </w:t>
      </w:r>
      <w:r w:rsidR="00CF55B5">
        <w:rPr>
          <w:rFonts w:cs="Arial"/>
        </w:rPr>
        <w:t>or</w:t>
      </w:r>
      <w:r>
        <w:rPr>
          <w:rFonts w:cs="Arial"/>
        </w:rPr>
        <w:t xml:space="preserve"> 3.3.1.2 </w:t>
      </w:r>
      <w:r w:rsidR="00B8099E">
        <w:rPr>
          <w:rFonts w:cs="Arial"/>
        </w:rPr>
        <w:t>applie</w:t>
      </w:r>
      <w:r w:rsidR="0085360B">
        <w:rPr>
          <w:rFonts w:cs="Arial"/>
        </w:rPr>
        <w:t>s</w:t>
      </w:r>
      <w:r w:rsidR="00B8099E">
        <w:rPr>
          <w:rFonts w:cs="Arial"/>
        </w:rPr>
        <w:t xml:space="preserve"> consistently to all information uploaded or </w:t>
      </w:r>
      <w:r w:rsidR="005B189A">
        <w:rPr>
          <w:rFonts w:cs="Arial"/>
        </w:rPr>
        <w:t xml:space="preserve">downloaded </w:t>
      </w:r>
      <w:r w:rsidR="00B8099E">
        <w:rPr>
          <w:rFonts w:cs="Arial"/>
        </w:rPr>
        <w:t xml:space="preserve">from the time of the election, unless such election </w:t>
      </w:r>
      <w:r w:rsidR="005B189A">
        <w:rPr>
          <w:rFonts w:cs="Arial"/>
        </w:rPr>
        <w:t xml:space="preserve">is </w:t>
      </w:r>
      <w:r w:rsidR="00B8099E">
        <w:rPr>
          <w:rFonts w:cs="Arial"/>
        </w:rPr>
        <w:t>properly revoked</w:t>
      </w:r>
      <w:r w:rsidR="004A2F02">
        <w:rPr>
          <w:rFonts w:cs="Arial"/>
        </w:rPr>
        <w:t xml:space="preserve"> consistent with </w:t>
      </w:r>
      <w:r w:rsidR="004A2F02">
        <w:rPr>
          <w:rFonts w:cs="Arial"/>
        </w:rPr>
        <w:lastRenderedPageBreak/>
        <w:t>Paragraph 3.3.1.4</w:t>
      </w:r>
      <w:r w:rsidR="00B8099E">
        <w:rPr>
          <w:rFonts w:cs="Arial"/>
        </w:rPr>
        <w:t>.</w:t>
      </w:r>
    </w:p>
    <w:p w14:paraId="0377616E" w14:textId="34A2E794" w:rsidR="000B463A" w:rsidRPr="005010FA" w:rsidRDefault="00B8099E" w:rsidP="007E42F2">
      <w:pPr>
        <w:pStyle w:val="Body1"/>
        <w:widowControl w:val="0"/>
        <w:spacing w:before="240" w:after="200"/>
        <w:ind w:left="2340" w:hanging="900"/>
        <w:rPr>
          <w:rFonts w:cs="Arial"/>
          <w:b/>
        </w:rPr>
      </w:pPr>
      <w:r>
        <w:rPr>
          <w:rFonts w:cs="Arial"/>
        </w:rPr>
        <w:t>3.3.1.4</w:t>
      </w:r>
      <w:r w:rsidR="00DC04AD">
        <w:rPr>
          <w:rFonts w:cs="Arial"/>
        </w:rPr>
        <w:t xml:space="preserve"> </w:t>
      </w:r>
      <w:r w:rsidR="00E10ED9">
        <w:rPr>
          <w:rFonts w:cs="Arial"/>
        </w:rPr>
        <w:tab/>
      </w:r>
      <w:r>
        <w:rPr>
          <w:rFonts w:cs="Arial"/>
          <w:u w:val="single"/>
        </w:rPr>
        <w:t>Revocation of Election</w:t>
      </w:r>
      <w:r>
        <w:rPr>
          <w:rFonts w:cs="Arial"/>
        </w:rPr>
        <w:t xml:space="preserve">: The </w:t>
      </w:r>
      <w:r w:rsidR="003F0492">
        <w:rPr>
          <w:rFonts w:cs="Arial"/>
        </w:rPr>
        <w:t>Serbian</w:t>
      </w:r>
      <w:r>
        <w:rPr>
          <w:rFonts w:cs="Arial"/>
        </w:rPr>
        <w:t xml:space="preserve"> Competent Authority may revoke an election described in Paragraph 3.3.1.1 or 3.3.1.2 </w:t>
      </w:r>
      <w:r w:rsidR="005B189A">
        <w:rPr>
          <w:rFonts w:cs="Arial"/>
        </w:rPr>
        <w:t xml:space="preserve">following </w:t>
      </w:r>
      <w:r w:rsidR="00AB73FE">
        <w:rPr>
          <w:rFonts w:cs="Arial"/>
        </w:rPr>
        <w:t xml:space="preserve">consultation with, and written notice to, </w:t>
      </w:r>
      <w:r>
        <w:rPr>
          <w:rFonts w:cs="Arial"/>
        </w:rPr>
        <w:t>the U.S. Competent Authority.</w:t>
      </w:r>
    </w:p>
    <w:p w14:paraId="15E1664C" w14:textId="77777777" w:rsidR="00833C3B" w:rsidRPr="005010FA" w:rsidRDefault="000B463A" w:rsidP="00C059F3">
      <w:pPr>
        <w:pStyle w:val="Body1"/>
        <w:widowControl w:val="0"/>
        <w:spacing w:before="240" w:after="200"/>
        <w:ind w:left="1440"/>
        <w:rPr>
          <w:rFonts w:cs="Arial"/>
        </w:rPr>
      </w:pPr>
      <w:r w:rsidRPr="005010FA">
        <w:rPr>
          <w:rFonts w:cs="Arial"/>
        </w:rPr>
        <w:t>3.3.2</w:t>
      </w:r>
      <w:r w:rsidR="0046442F" w:rsidRPr="005010FA">
        <w:rPr>
          <w:rFonts w:cs="Arial"/>
        </w:rPr>
        <w:tab/>
      </w:r>
      <w:r w:rsidRPr="005010FA">
        <w:rPr>
          <w:rFonts w:cs="Arial"/>
          <w:u w:val="single"/>
        </w:rPr>
        <w:t>When Information is Exchanged</w:t>
      </w:r>
      <w:r w:rsidR="00CF55B5">
        <w:rPr>
          <w:rFonts w:cs="Arial"/>
        </w:rPr>
        <w:t>:</w:t>
      </w:r>
      <w:r w:rsidR="00884324" w:rsidRPr="005010FA">
        <w:rPr>
          <w:rFonts w:cs="Arial"/>
        </w:rPr>
        <w:t xml:space="preserve"> </w:t>
      </w:r>
      <w:r w:rsidRPr="005010FA">
        <w:rPr>
          <w:rFonts w:cs="Arial"/>
        </w:rPr>
        <w:t xml:space="preserve">Information </w:t>
      </w:r>
      <w:r w:rsidR="00D705CE">
        <w:rPr>
          <w:rFonts w:cs="Arial"/>
        </w:rPr>
        <w:t>described</w:t>
      </w:r>
      <w:r w:rsidR="00D705CE" w:rsidRPr="005010FA">
        <w:rPr>
          <w:rFonts w:cs="Arial"/>
        </w:rPr>
        <w:t xml:space="preserve"> </w:t>
      </w:r>
      <w:r w:rsidRPr="005010FA">
        <w:rPr>
          <w:rFonts w:cs="Arial"/>
        </w:rPr>
        <w:t>in Articles 2</w:t>
      </w:r>
      <w:r w:rsidR="00CF55B5">
        <w:rPr>
          <w:rFonts w:cs="Arial"/>
        </w:rPr>
        <w:t>(2)</w:t>
      </w:r>
      <w:r w:rsidRPr="005010FA">
        <w:rPr>
          <w:rFonts w:cs="Arial"/>
        </w:rPr>
        <w:t xml:space="preserve"> and 4(1)(b) </w:t>
      </w:r>
      <w:r w:rsidR="006703F7">
        <w:rPr>
          <w:rFonts w:cs="Arial"/>
        </w:rPr>
        <w:t xml:space="preserve">of the IGA </w:t>
      </w:r>
      <w:r w:rsidR="002B794A">
        <w:rPr>
          <w:rFonts w:cs="Arial"/>
        </w:rPr>
        <w:t>would be</w:t>
      </w:r>
      <w:r w:rsidRPr="005010FA">
        <w:rPr>
          <w:rFonts w:cs="Arial"/>
        </w:rPr>
        <w:t xml:space="preserve"> </w:t>
      </w:r>
      <w:r w:rsidR="006A0720" w:rsidRPr="005010FA">
        <w:rPr>
          <w:rFonts w:cs="Arial"/>
        </w:rPr>
        <w:t xml:space="preserve">considered </w:t>
      </w:r>
      <w:r w:rsidRPr="005010FA">
        <w:rPr>
          <w:rFonts w:cs="Arial"/>
        </w:rPr>
        <w:t>exchanged at the time of receipt</w:t>
      </w:r>
      <w:r w:rsidR="00B8377B">
        <w:rPr>
          <w:rFonts w:cs="Arial"/>
        </w:rPr>
        <w:t xml:space="preserve"> specified in Paragraph 3.3.4. </w:t>
      </w:r>
      <w:r w:rsidR="005C2004" w:rsidRPr="005010FA">
        <w:rPr>
          <w:rFonts w:cs="Arial"/>
          <w:i/>
        </w:rPr>
        <w:t xml:space="preserve">See </w:t>
      </w:r>
      <w:r w:rsidR="005C2004" w:rsidRPr="005010FA">
        <w:rPr>
          <w:rFonts w:cs="Arial"/>
        </w:rPr>
        <w:t xml:space="preserve">Paragraph 5.2 concerning </w:t>
      </w:r>
      <w:r w:rsidR="00684A66" w:rsidRPr="005010FA">
        <w:rPr>
          <w:rFonts w:cs="Arial"/>
        </w:rPr>
        <w:t xml:space="preserve">each Competent Authority’s </w:t>
      </w:r>
      <w:r w:rsidR="005C2004" w:rsidRPr="005010FA">
        <w:rPr>
          <w:rFonts w:cs="Arial"/>
        </w:rPr>
        <w:t xml:space="preserve">responsibility for </w:t>
      </w:r>
      <w:r w:rsidR="00D705CE">
        <w:rPr>
          <w:rFonts w:cs="Arial"/>
        </w:rPr>
        <w:t>maintaining confidentiality and other protections with respect to</w:t>
      </w:r>
      <w:r w:rsidR="00D705CE" w:rsidRPr="005010FA">
        <w:rPr>
          <w:rFonts w:cs="Arial"/>
        </w:rPr>
        <w:t xml:space="preserve"> </w:t>
      </w:r>
      <w:r w:rsidR="006A0720" w:rsidRPr="005010FA">
        <w:rPr>
          <w:rFonts w:cs="Arial"/>
        </w:rPr>
        <w:t xml:space="preserve">exchanged </w:t>
      </w:r>
      <w:r w:rsidR="005C2004" w:rsidRPr="005010FA">
        <w:rPr>
          <w:rFonts w:cs="Arial"/>
        </w:rPr>
        <w:t>information</w:t>
      </w:r>
      <w:r w:rsidR="00684A66" w:rsidRPr="005010FA">
        <w:rPr>
          <w:rFonts w:cs="Arial"/>
        </w:rPr>
        <w:t>.</w:t>
      </w:r>
      <w:r w:rsidR="005C2004" w:rsidRPr="005010FA">
        <w:rPr>
          <w:rFonts w:cs="Arial"/>
        </w:rPr>
        <w:t xml:space="preserve">  </w:t>
      </w:r>
    </w:p>
    <w:p w14:paraId="031E20F8" w14:textId="77777777" w:rsidR="00833C3B" w:rsidRPr="00DE5A4C" w:rsidRDefault="00884324" w:rsidP="00C059F3">
      <w:pPr>
        <w:pStyle w:val="Body1"/>
        <w:widowControl w:val="0"/>
        <w:spacing w:before="240" w:after="200"/>
        <w:ind w:left="1440"/>
        <w:rPr>
          <w:rFonts w:cs="Arial"/>
        </w:rPr>
      </w:pPr>
      <w:r w:rsidRPr="005010FA">
        <w:rPr>
          <w:rFonts w:cs="Arial"/>
        </w:rPr>
        <w:t>3.3.</w:t>
      </w:r>
      <w:r w:rsidR="000B463A" w:rsidRPr="005010FA">
        <w:rPr>
          <w:rFonts w:cs="Arial"/>
        </w:rPr>
        <w:t>3</w:t>
      </w:r>
      <w:r w:rsidR="0046442F" w:rsidRPr="005010FA">
        <w:rPr>
          <w:rFonts w:cs="Arial"/>
        </w:rPr>
        <w:tab/>
      </w:r>
      <w:r w:rsidRPr="005010FA">
        <w:rPr>
          <w:rFonts w:cs="Arial"/>
          <w:u w:val="single"/>
        </w:rPr>
        <w:t>Feedback and Consultation</w:t>
      </w:r>
      <w:r w:rsidRPr="005010FA">
        <w:rPr>
          <w:rFonts w:cs="Arial"/>
        </w:rPr>
        <w:t xml:space="preserve">: The Competent Authorities understand that feedback with regard to data quality and usability is an important element of the exchange process and </w:t>
      </w:r>
      <w:r w:rsidR="00D84DC3" w:rsidRPr="005010FA">
        <w:rPr>
          <w:rFonts w:cs="Arial"/>
        </w:rPr>
        <w:t xml:space="preserve">they </w:t>
      </w:r>
      <w:r w:rsidRPr="005010FA">
        <w:rPr>
          <w:rFonts w:cs="Arial"/>
        </w:rPr>
        <w:t xml:space="preserve">may consult with each other as provided in </w:t>
      </w:r>
      <w:r w:rsidR="00753BDA" w:rsidRPr="005010FA">
        <w:rPr>
          <w:rFonts w:cs="Arial"/>
        </w:rPr>
        <w:t>Paragraph</w:t>
      </w:r>
      <w:r w:rsidRPr="005010FA">
        <w:rPr>
          <w:rFonts w:cs="Arial"/>
        </w:rPr>
        <w:t xml:space="preserve"> 7.2 about data error or transmission problems inadequately addressed through standard notification processes over IDES.</w:t>
      </w:r>
    </w:p>
    <w:p w14:paraId="35E375C7" w14:textId="1B54363E" w:rsidR="00D02196" w:rsidRDefault="00884324" w:rsidP="00C059F3">
      <w:pPr>
        <w:pStyle w:val="Body1"/>
        <w:spacing w:before="240" w:after="200"/>
        <w:ind w:left="1440"/>
        <w:rPr>
          <w:rFonts w:cs="Arial"/>
        </w:rPr>
      </w:pPr>
      <w:r w:rsidRPr="005010FA">
        <w:rPr>
          <w:rFonts w:cs="Arial"/>
        </w:rPr>
        <w:t>3.3.</w:t>
      </w:r>
      <w:r w:rsidR="00353A4B" w:rsidRPr="005010FA">
        <w:rPr>
          <w:rFonts w:cs="Arial"/>
        </w:rPr>
        <w:t>4</w:t>
      </w:r>
      <w:r w:rsidR="006A0720" w:rsidRPr="005010FA">
        <w:rPr>
          <w:rFonts w:cs="Arial"/>
        </w:rPr>
        <w:tab/>
      </w:r>
      <w:r w:rsidRPr="005010FA">
        <w:rPr>
          <w:rFonts w:cs="Arial"/>
          <w:u w:val="single"/>
        </w:rPr>
        <w:t>Time of Receipt</w:t>
      </w:r>
      <w:r w:rsidR="00CF55B5" w:rsidRPr="00574AAE">
        <w:rPr>
          <w:rFonts w:cs="Arial"/>
        </w:rPr>
        <w:t>:</w:t>
      </w:r>
      <w:r w:rsidR="00CF55B5" w:rsidRPr="005010FA">
        <w:rPr>
          <w:rFonts w:cs="Arial"/>
        </w:rPr>
        <w:t xml:space="preserve"> </w:t>
      </w:r>
      <w:r w:rsidR="00B8099E">
        <w:rPr>
          <w:rFonts w:cs="Arial"/>
        </w:rPr>
        <w:t xml:space="preserve">Except as </w:t>
      </w:r>
      <w:r w:rsidR="00D02196">
        <w:rPr>
          <w:rFonts w:cs="Arial"/>
        </w:rPr>
        <w:t>described below</w:t>
      </w:r>
      <w:r w:rsidR="00B8099E">
        <w:rPr>
          <w:rFonts w:cs="Arial"/>
        </w:rPr>
        <w:t>, i</w:t>
      </w:r>
      <w:r w:rsidRPr="005010FA">
        <w:rPr>
          <w:rFonts w:cs="Arial"/>
        </w:rPr>
        <w:t xml:space="preserve">nformation transmitted </w:t>
      </w:r>
      <w:r w:rsidR="00841F63">
        <w:rPr>
          <w:rFonts w:cs="Arial"/>
        </w:rPr>
        <w:t xml:space="preserve">via IDES </w:t>
      </w:r>
      <w:r w:rsidRPr="005010FA">
        <w:rPr>
          <w:rFonts w:cs="Arial"/>
        </w:rPr>
        <w:t xml:space="preserve">by the </w:t>
      </w:r>
      <w:r w:rsidR="003F0492">
        <w:rPr>
          <w:rFonts w:cs="Arial"/>
        </w:rPr>
        <w:t>Serbian</w:t>
      </w:r>
      <w:r w:rsidRPr="005010FA">
        <w:rPr>
          <w:rFonts w:cs="Arial"/>
        </w:rPr>
        <w:t xml:space="preserve"> Competent Authority </w:t>
      </w:r>
      <w:r w:rsidR="00394F80">
        <w:rPr>
          <w:rFonts w:cs="Arial"/>
        </w:rPr>
        <w:t>would be</w:t>
      </w:r>
      <w:r w:rsidR="000F51ED">
        <w:rPr>
          <w:rFonts w:cs="Arial"/>
        </w:rPr>
        <w:t xml:space="preserve"> </w:t>
      </w:r>
      <w:r w:rsidR="00AF6678" w:rsidRPr="005010FA">
        <w:rPr>
          <w:rFonts w:cs="Arial"/>
        </w:rPr>
        <w:t>considered</w:t>
      </w:r>
      <w:r w:rsidR="00AB73FE">
        <w:rPr>
          <w:rFonts w:cs="Arial"/>
        </w:rPr>
        <w:t xml:space="preserve"> </w:t>
      </w:r>
      <w:r w:rsidR="00D644C1">
        <w:rPr>
          <w:rFonts w:cs="Arial"/>
        </w:rPr>
        <w:t xml:space="preserve">provided to, </w:t>
      </w:r>
      <w:r w:rsidR="00454D5C">
        <w:rPr>
          <w:rFonts w:cs="Arial"/>
        </w:rPr>
        <w:t xml:space="preserve">and </w:t>
      </w:r>
      <w:r w:rsidR="00734C3E" w:rsidRPr="005010FA">
        <w:rPr>
          <w:rFonts w:cs="Arial"/>
        </w:rPr>
        <w:t>receiv</w:t>
      </w:r>
      <w:r w:rsidR="00AF6678" w:rsidRPr="005010FA">
        <w:rPr>
          <w:rFonts w:cs="Arial"/>
        </w:rPr>
        <w:t xml:space="preserve">ed </w:t>
      </w:r>
      <w:r w:rsidR="00913FF7">
        <w:rPr>
          <w:rFonts w:cs="Arial"/>
        </w:rPr>
        <w:t>by</w:t>
      </w:r>
      <w:r w:rsidR="00D644C1">
        <w:rPr>
          <w:rFonts w:cs="Arial"/>
        </w:rPr>
        <w:t>,</w:t>
      </w:r>
      <w:r w:rsidR="00913FF7">
        <w:rPr>
          <w:rFonts w:cs="Arial"/>
        </w:rPr>
        <w:t xml:space="preserve"> the U.S. Competent Authority </w:t>
      </w:r>
      <w:r w:rsidR="00AF6678" w:rsidRPr="005010FA">
        <w:rPr>
          <w:rFonts w:cs="Arial"/>
        </w:rPr>
        <w:t>on the date</w:t>
      </w:r>
      <w:r w:rsidRPr="005010FA">
        <w:rPr>
          <w:rFonts w:cs="Arial"/>
        </w:rPr>
        <w:t xml:space="preserve"> </w:t>
      </w:r>
      <w:r w:rsidR="000B2244" w:rsidRPr="005010FA">
        <w:rPr>
          <w:rFonts w:cs="Arial"/>
        </w:rPr>
        <w:t xml:space="preserve">the information </w:t>
      </w:r>
      <w:r w:rsidRPr="005010FA">
        <w:rPr>
          <w:rFonts w:cs="Arial"/>
        </w:rPr>
        <w:t>is successfully uploaded onto IDES</w:t>
      </w:r>
      <w:r w:rsidR="00913FF7">
        <w:rPr>
          <w:rFonts w:cs="Arial"/>
        </w:rPr>
        <w:t>. Except as described below,</w:t>
      </w:r>
      <w:r w:rsidR="006A0720" w:rsidRPr="005010FA">
        <w:rPr>
          <w:rFonts w:cs="Arial"/>
        </w:rPr>
        <w:t xml:space="preserve"> </w:t>
      </w:r>
      <w:r w:rsidR="00D02196">
        <w:rPr>
          <w:rFonts w:cs="Arial"/>
        </w:rPr>
        <w:t>i</w:t>
      </w:r>
      <w:r w:rsidRPr="005010FA">
        <w:rPr>
          <w:rFonts w:cs="Arial"/>
        </w:rPr>
        <w:t>nformation transmitted by the U.S. Competent Authority</w:t>
      </w:r>
      <w:r w:rsidR="00841F63">
        <w:rPr>
          <w:rFonts w:cs="Arial"/>
        </w:rPr>
        <w:t xml:space="preserve"> via IDES</w:t>
      </w:r>
      <w:r w:rsidRPr="005010FA">
        <w:rPr>
          <w:rFonts w:cs="Arial"/>
        </w:rPr>
        <w:t xml:space="preserve"> </w:t>
      </w:r>
      <w:r w:rsidR="00394F80">
        <w:rPr>
          <w:rFonts w:cs="Arial"/>
        </w:rPr>
        <w:t xml:space="preserve">would be </w:t>
      </w:r>
      <w:r w:rsidR="006A0720" w:rsidRPr="005010FA">
        <w:rPr>
          <w:rFonts w:cs="Arial"/>
        </w:rPr>
        <w:t>considered</w:t>
      </w:r>
      <w:r w:rsidR="00AF6678" w:rsidRPr="005010FA">
        <w:rPr>
          <w:rFonts w:cs="Arial"/>
        </w:rPr>
        <w:t xml:space="preserve"> </w:t>
      </w:r>
      <w:r w:rsidR="00D644C1">
        <w:rPr>
          <w:rFonts w:cs="Arial"/>
        </w:rPr>
        <w:t xml:space="preserve">provided to, </w:t>
      </w:r>
      <w:r w:rsidR="00454D5C">
        <w:rPr>
          <w:rFonts w:cs="Arial"/>
        </w:rPr>
        <w:t xml:space="preserve">and </w:t>
      </w:r>
      <w:r w:rsidR="007316CD" w:rsidRPr="005010FA">
        <w:rPr>
          <w:rFonts w:cs="Arial"/>
        </w:rPr>
        <w:t>received</w:t>
      </w:r>
      <w:r w:rsidR="00AF6678" w:rsidRPr="005010FA">
        <w:rPr>
          <w:rFonts w:cs="Arial"/>
        </w:rPr>
        <w:t xml:space="preserve"> </w:t>
      </w:r>
      <w:r w:rsidR="00913FF7">
        <w:rPr>
          <w:rFonts w:cs="Arial"/>
        </w:rPr>
        <w:t>by</w:t>
      </w:r>
      <w:r w:rsidR="00D644C1">
        <w:rPr>
          <w:rFonts w:cs="Arial"/>
        </w:rPr>
        <w:t>,</w:t>
      </w:r>
      <w:r w:rsidR="00913FF7">
        <w:rPr>
          <w:rFonts w:cs="Arial"/>
        </w:rPr>
        <w:t xml:space="preserve"> the </w:t>
      </w:r>
      <w:r w:rsidR="003F0492">
        <w:rPr>
          <w:rFonts w:cs="Arial"/>
        </w:rPr>
        <w:t>Serbian</w:t>
      </w:r>
      <w:r w:rsidR="00913FF7">
        <w:rPr>
          <w:rFonts w:cs="Arial"/>
        </w:rPr>
        <w:t xml:space="preserve"> Competent Authority </w:t>
      </w:r>
      <w:r w:rsidR="00AF6678" w:rsidRPr="005010FA">
        <w:rPr>
          <w:rFonts w:cs="Arial"/>
        </w:rPr>
        <w:t>on the date</w:t>
      </w:r>
      <w:r w:rsidR="007316CD" w:rsidRPr="005010FA">
        <w:rPr>
          <w:rFonts w:cs="Arial"/>
        </w:rPr>
        <w:t xml:space="preserve"> </w:t>
      </w:r>
      <w:r w:rsidR="00913FF7">
        <w:rPr>
          <w:rFonts w:cs="Arial"/>
        </w:rPr>
        <w:t>the information</w:t>
      </w:r>
      <w:r w:rsidR="00913FF7" w:rsidRPr="005010FA">
        <w:rPr>
          <w:rFonts w:cs="Arial"/>
        </w:rPr>
        <w:t xml:space="preserve"> </w:t>
      </w:r>
      <w:r w:rsidRPr="005010FA">
        <w:rPr>
          <w:rFonts w:cs="Arial"/>
        </w:rPr>
        <w:t xml:space="preserve">is </w:t>
      </w:r>
      <w:r w:rsidR="00AF6678" w:rsidRPr="005010FA">
        <w:rPr>
          <w:rFonts w:cs="Arial"/>
        </w:rPr>
        <w:t xml:space="preserve">available for </w:t>
      </w:r>
      <w:r w:rsidRPr="005010FA">
        <w:rPr>
          <w:rFonts w:cs="Arial"/>
        </w:rPr>
        <w:t>download</w:t>
      </w:r>
      <w:r w:rsidR="00AF6678" w:rsidRPr="005010FA">
        <w:rPr>
          <w:rFonts w:cs="Arial"/>
        </w:rPr>
        <w:t>ing</w:t>
      </w:r>
      <w:r w:rsidRPr="005010FA">
        <w:rPr>
          <w:rFonts w:cs="Arial"/>
        </w:rPr>
        <w:t xml:space="preserve"> from IDES.</w:t>
      </w:r>
    </w:p>
    <w:p w14:paraId="722A2929" w14:textId="21E57039" w:rsidR="00D02196" w:rsidRDefault="00D02196" w:rsidP="007E42F2">
      <w:pPr>
        <w:pStyle w:val="Body1"/>
        <w:spacing w:before="240" w:after="200"/>
        <w:ind w:left="2340" w:hanging="900"/>
        <w:rPr>
          <w:rFonts w:cs="Arial"/>
        </w:rPr>
      </w:pPr>
      <w:r>
        <w:rPr>
          <w:rFonts w:cs="Arial"/>
        </w:rPr>
        <w:t>3.3.4.</w:t>
      </w:r>
      <w:r w:rsidR="000718CC">
        <w:rPr>
          <w:rFonts w:cs="Arial"/>
        </w:rPr>
        <w:t>1</w:t>
      </w:r>
      <w:r w:rsidR="009369D1">
        <w:rPr>
          <w:rFonts w:cs="Arial"/>
        </w:rPr>
        <w:t xml:space="preserve"> </w:t>
      </w:r>
      <w:r w:rsidR="00E10ED9">
        <w:rPr>
          <w:rFonts w:cs="Arial"/>
        </w:rPr>
        <w:tab/>
      </w:r>
      <w:r>
        <w:rPr>
          <w:rFonts w:cs="Arial"/>
          <w:u w:val="single"/>
        </w:rPr>
        <w:t>Regional Router</w:t>
      </w:r>
      <w:r>
        <w:rPr>
          <w:rFonts w:cs="Arial"/>
        </w:rPr>
        <w:t>: If</w:t>
      </w:r>
      <w:r w:rsidR="006A0720" w:rsidRPr="005010FA">
        <w:rPr>
          <w:rFonts w:cs="Arial"/>
        </w:rPr>
        <w:t xml:space="preserve"> </w:t>
      </w:r>
      <w:r w:rsidR="00CF55B5">
        <w:rPr>
          <w:rFonts w:cs="Arial"/>
        </w:rPr>
        <w:t xml:space="preserve">the </w:t>
      </w:r>
      <w:r w:rsidR="003F0492">
        <w:rPr>
          <w:rFonts w:cs="Arial"/>
        </w:rPr>
        <w:t>Serbian</w:t>
      </w:r>
      <w:r w:rsidR="006A0720" w:rsidRPr="005010FA">
        <w:rPr>
          <w:rFonts w:cs="Arial"/>
        </w:rPr>
        <w:t xml:space="preserve"> </w:t>
      </w:r>
      <w:r w:rsidR="00CF55B5">
        <w:rPr>
          <w:rFonts w:cs="Arial"/>
        </w:rPr>
        <w:t xml:space="preserve">Competent Authority </w:t>
      </w:r>
      <w:r>
        <w:rPr>
          <w:rFonts w:cs="Arial"/>
        </w:rPr>
        <w:t>elects the use of</w:t>
      </w:r>
      <w:r w:rsidRPr="005010FA">
        <w:rPr>
          <w:rFonts w:cs="Arial"/>
        </w:rPr>
        <w:t xml:space="preserve"> </w:t>
      </w:r>
      <w:r w:rsidR="006A0720" w:rsidRPr="005010FA">
        <w:rPr>
          <w:rFonts w:cs="Arial"/>
        </w:rPr>
        <w:t>a regional router</w:t>
      </w:r>
      <w:r w:rsidR="00454D5C">
        <w:rPr>
          <w:rFonts w:cs="Arial"/>
        </w:rPr>
        <w:t xml:space="preserve"> for information transmission</w:t>
      </w:r>
      <w:r w:rsidR="0063457A">
        <w:rPr>
          <w:rFonts w:cs="Arial"/>
        </w:rPr>
        <w:t xml:space="preserve"> via IDES</w:t>
      </w:r>
      <w:r w:rsidR="006A0720" w:rsidRPr="005010FA">
        <w:rPr>
          <w:rFonts w:cs="Arial"/>
        </w:rPr>
        <w:t xml:space="preserve">, information the regional router transmits </w:t>
      </w:r>
      <w:r w:rsidR="00394F80">
        <w:rPr>
          <w:rFonts w:cs="Arial"/>
        </w:rPr>
        <w:t xml:space="preserve">would </w:t>
      </w:r>
      <w:r w:rsidR="006C04F9">
        <w:rPr>
          <w:rFonts w:cs="Arial"/>
        </w:rPr>
        <w:t>be considered</w:t>
      </w:r>
      <w:r w:rsidR="006A0720" w:rsidRPr="005010FA">
        <w:rPr>
          <w:rFonts w:cs="Arial"/>
        </w:rPr>
        <w:t xml:space="preserve"> </w:t>
      </w:r>
      <w:r w:rsidR="00D644C1">
        <w:rPr>
          <w:rFonts w:cs="Arial"/>
        </w:rPr>
        <w:t xml:space="preserve">provided to, </w:t>
      </w:r>
      <w:r w:rsidR="00454D5C">
        <w:rPr>
          <w:rFonts w:cs="Arial"/>
        </w:rPr>
        <w:t xml:space="preserve">and </w:t>
      </w:r>
      <w:r w:rsidR="006A0720" w:rsidRPr="005010FA">
        <w:rPr>
          <w:rFonts w:cs="Arial"/>
        </w:rPr>
        <w:t xml:space="preserve">received </w:t>
      </w:r>
      <w:r w:rsidR="00D644C1">
        <w:rPr>
          <w:rFonts w:cs="Arial"/>
        </w:rPr>
        <w:t xml:space="preserve">by, the U.S. Competent Authority </w:t>
      </w:r>
      <w:r w:rsidR="006A0720" w:rsidRPr="005010FA">
        <w:rPr>
          <w:rFonts w:cs="Arial"/>
        </w:rPr>
        <w:t>on the date it is successfully uploaded from the router to IDES</w:t>
      </w:r>
      <w:r w:rsidR="00D644C1">
        <w:rPr>
          <w:rFonts w:cs="Arial"/>
        </w:rPr>
        <w:t>, and i</w:t>
      </w:r>
      <w:r w:rsidR="006A0720" w:rsidRPr="005010FA">
        <w:rPr>
          <w:rFonts w:cs="Arial"/>
        </w:rPr>
        <w:t xml:space="preserve">nformation transmitted by the U.S. Competent Authority </w:t>
      </w:r>
      <w:r w:rsidR="00394F80">
        <w:rPr>
          <w:rFonts w:cs="Arial"/>
        </w:rPr>
        <w:t>would be</w:t>
      </w:r>
      <w:r w:rsidR="006A0720" w:rsidRPr="005010FA">
        <w:rPr>
          <w:rFonts w:cs="Arial"/>
        </w:rPr>
        <w:t xml:space="preserve"> considered </w:t>
      </w:r>
      <w:r w:rsidR="00D644C1">
        <w:rPr>
          <w:rFonts w:cs="Arial"/>
        </w:rPr>
        <w:t xml:space="preserve">provided to, and </w:t>
      </w:r>
      <w:r w:rsidR="006A0720" w:rsidRPr="005010FA">
        <w:rPr>
          <w:rFonts w:cs="Arial"/>
        </w:rPr>
        <w:t>received by</w:t>
      </w:r>
      <w:r w:rsidR="00454D5C">
        <w:rPr>
          <w:rFonts w:cs="Arial"/>
        </w:rPr>
        <w:t>,</w:t>
      </w:r>
      <w:r w:rsidR="006A0720" w:rsidRPr="005010FA">
        <w:rPr>
          <w:rFonts w:cs="Arial"/>
        </w:rPr>
        <w:t xml:space="preserve"> the </w:t>
      </w:r>
      <w:r w:rsidR="003F0492">
        <w:rPr>
          <w:rFonts w:cs="Arial"/>
        </w:rPr>
        <w:t>Serbian</w:t>
      </w:r>
      <w:r w:rsidR="006A0720" w:rsidRPr="005010FA">
        <w:rPr>
          <w:rFonts w:cs="Arial"/>
        </w:rPr>
        <w:t xml:space="preserve"> Competent Authority on the date it is available for downloading to the router from IDES.</w:t>
      </w:r>
    </w:p>
    <w:p w14:paraId="567A00E1" w14:textId="60702912" w:rsidR="00913FF7" w:rsidRPr="00C059F3" w:rsidRDefault="00D02196" w:rsidP="007E42F2">
      <w:pPr>
        <w:pStyle w:val="Body1"/>
        <w:spacing w:before="240" w:after="200"/>
        <w:ind w:left="2340" w:hanging="900"/>
        <w:rPr>
          <w:rFonts w:cs="Arial"/>
        </w:rPr>
      </w:pPr>
      <w:r>
        <w:rPr>
          <w:rFonts w:cs="Arial"/>
        </w:rPr>
        <w:t>3.3.4.</w:t>
      </w:r>
      <w:r w:rsidR="000718CC">
        <w:rPr>
          <w:rFonts w:cs="Arial"/>
        </w:rPr>
        <w:t>2</w:t>
      </w:r>
      <w:r w:rsidR="009369D1">
        <w:rPr>
          <w:rFonts w:cs="Arial"/>
        </w:rPr>
        <w:t xml:space="preserve"> </w:t>
      </w:r>
      <w:r w:rsidR="00E10ED9">
        <w:rPr>
          <w:rFonts w:cs="Arial"/>
        </w:rPr>
        <w:tab/>
      </w:r>
      <w:r>
        <w:rPr>
          <w:rFonts w:cs="Arial"/>
          <w:u w:val="single"/>
        </w:rPr>
        <w:t>M1O2 Data Collection</w:t>
      </w:r>
      <w:r w:rsidR="00454D5C">
        <w:rPr>
          <w:rFonts w:cs="Arial"/>
          <w:u w:val="single"/>
        </w:rPr>
        <w:t xml:space="preserve"> Tool</w:t>
      </w:r>
      <w:r>
        <w:rPr>
          <w:rFonts w:cs="Arial"/>
        </w:rPr>
        <w:t xml:space="preserve">: If </w:t>
      </w:r>
      <w:r w:rsidR="003F0492">
        <w:rPr>
          <w:rFonts w:cs="Arial"/>
        </w:rPr>
        <w:t>Serbian</w:t>
      </w:r>
      <w:r>
        <w:rPr>
          <w:rFonts w:cs="Arial"/>
        </w:rPr>
        <w:t xml:space="preserve"> Competent Authority elects </w:t>
      </w:r>
      <w:r w:rsidR="00454D5C">
        <w:rPr>
          <w:rFonts w:cs="Arial"/>
        </w:rPr>
        <w:t>to use IDES as a</w:t>
      </w:r>
      <w:r w:rsidR="00DD2A6D">
        <w:rPr>
          <w:rFonts w:cs="Arial"/>
        </w:rPr>
        <w:t>n</w:t>
      </w:r>
      <w:r w:rsidR="00454D5C">
        <w:rPr>
          <w:rFonts w:cs="Arial"/>
        </w:rPr>
        <w:t xml:space="preserve"> </w:t>
      </w:r>
      <w:r>
        <w:rPr>
          <w:rFonts w:cs="Arial"/>
        </w:rPr>
        <w:t>M1O2 data collection</w:t>
      </w:r>
      <w:r w:rsidR="00454D5C">
        <w:rPr>
          <w:rFonts w:cs="Arial"/>
        </w:rPr>
        <w:t xml:space="preserve"> tool</w:t>
      </w:r>
      <w:r>
        <w:rPr>
          <w:rFonts w:cs="Arial"/>
        </w:rPr>
        <w:t xml:space="preserve">, information </w:t>
      </w:r>
      <w:r w:rsidR="00394F80">
        <w:rPr>
          <w:rFonts w:cs="Arial"/>
        </w:rPr>
        <w:t>would be</w:t>
      </w:r>
      <w:r>
        <w:rPr>
          <w:rFonts w:cs="Arial"/>
        </w:rPr>
        <w:t xml:space="preserve"> considered </w:t>
      </w:r>
      <w:r w:rsidR="00D644C1">
        <w:rPr>
          <w:rFonts w:cs="Arial"/>
        </w:rPr>
        <w:t xml:space="preserve">provided to, </w:t>
      </w:r>
      <w:r w:rsidR="00454D5C">
        <w:rPr>
          <w:rFonts w:cs="Arial"/>
        </w:rPr>
        <w:t xml:space="preserve">and </w:t>
      </w:r>
      <w:r>
        <w:rPr>
          <w:rFonts w:cs="Arial"/>
        </w:rPr>
        <w:t>received</w:t>
      </w:r>
      <w:r w:rsidR="00D644C1">
        <w:rPr>
          <w:rFonts w:cs="Arial"/>
        </w:rPr>
        <w:t xml:space="preserve"> by, the U.S. Competent Authority</w:t>
      </w:r>
      <w:r>
        <w:rPr>
          <w:rFonts w:cs="Arial"/>
        </w:rPr>
        <w:t xml:space="preserve"> on the date the </w:t>
      </w:r>
      <w:r w:rsidR="003F0492">
        <w:rPr>
          <w:rFonts w:cs="Arial"/>
        </w:rPr>
        <w:t>Serbian</w:t>
      </w:r>
      <w:r>
        <w:rPr>
          <w:rFonts w:cs="Arial"/>
        </w:rPr>
        <w:t xml:space="preserve"> </w:t>
      </w:r>
      <w:r w:rsidR="00454D5C">
        <w:rPr>
          <w:rFonts w:cs="Arial"/>
        </w:rPr>
        <w:t xml:space="preserve">Competent Authority </w:t>
      </w:r>
      <w:r w:rsidR="00657BC0">
        <w:rPr>
          <w:rFonts w:cs="Arial"/>
        </w:rPr>
        <w:t xml:space="preserve">approves and therefore </w:t>
      </w:r>
      <w:r>
        <w:rPr>
          <w:rFonts w:cs="Arial"/>
        </w:rPr>
        <w:t xml:space="preserve">releases </w:t>
      </w:r>
      <w:r w:rsidR="00D644C1">
        <w:rPr>
          <w:rFonts w:cs="Arial"/>
        </w:rPr>
        <w:t xml:space="preserve">the </w:t>
      </w:r>
      <w:r>
        <w:rPr>
          <w:rFonts w:cs="Arial"/>
        </w:rPr>
        <w:t xml:space="preserve">information </w:t>
      </w:r>
      <w:r w:rsidR="00D644C1">
        <w:rPr>
          <w:rFonts w:cs="Arial"/>
        </w:rPr>
        <w:t xml:space="preserve">on IDES </w:t>
      </w:r>
      <w:r>
        <w:rPr>
          <w:rFonts w:cs="Arial"/>
        </w:rPr>
        <w:t>to the U.S. Compe</w:t>
      </w:r>
      <w:r w:rsidR="00913FF7">
        <w:rPr>
          <w:rFonts w:cs="Arial"/>
        </w:rPr>
        <w:t>tent Authority</w:t>
      </w:r>
      <w:r w:rsidR="00454D5C">
        <w:rPr>
          <w:rFonts w:cs="Arial"/>
        </w:rPr>
        <w:t>,</w:t>
      </w:r>
      <w:r w:rsidR="00913FF7">
        <w:rPr>
          <w:rFonts w:cs="Arial"/>
        </w:rPr>
        <w:t xml:space="preserve"> and information transmitted by the U.S. Competent Authority </w:t>
      </w:r>
      <w:r w:rsidR="00394F80">
        <w:rPr>
          <w:rFonts w:cs="Arial"/>
        </w:rPr>
        <w:t>would be</w:t>
      </w:r>
      <w:r w:rsidR="00913FF7">
        <w:rPr>
          <w:rFonts w:cs="Arial"/>
        </w:rPr>
        <w:t xml:space="preserve"> considered </w:t>
      </w:r>
      <w:r w:rsidR="00D644C1">
        <w:rPr>
          <w:rFonts w:cs="Arial"/>
        </w:rPr>
        <w:t xml:space="preserve">provided </w:t>
      </w:r>
      <w:r w:rsidR="004924B0">
        <w:rPr>
          <w:rFonts w:cs="Arial"/>
        </w:rPr>
        <w:t xml:space="preserve">to, </w:t>
      </w:r>
      <w:r w:rsidR="00454D5C">
        <w:rPr>
          <w:rFonts w:cs="Arial"/>
        </w:rPr>
        <w:t xml:space="preserve">and </w:t>
      </w:r>
      <w:r w:rsidR="00913FF7">
        <w:rPr>
          <w:rFonts w:cs="Arial"/>
        </w:rPr>
        <w:t xml:space="preserve">received </w:t>
      </w:r>
      <w:r w:rsidR="004924B0">
        <w:rPr>
          <w:rFonts w:cs="Arial"/>
        </w:rPr>
        <w:t xml:space="preserve">by, the </w:t>
      </w:r>
      <w:r w:rsidR="003F0492">
        <w:rPr>
          <w:rFonts w:cs="Arial"/>
        </w:rPr>
        <w:t>Serbian</w:t>
      </w:r>
      <w:r w:rsidR="004924B0">
        <w:rPr>
          <w:rFonts w:cs="Arial"/>
        </w:rPr>
        <w:t xml:space="preserve"> Competent Authority </w:t>
      </w:r>
      <w:r w:rsidR="000718CC">
        <w:rPr>
          <w:rFonts w:cs="Arial"/>
        </w:rPr>
        <w:t>on</w:t>
      </w:r>
      <w:r w:rsidR="00454D5C">
        <w:rPr>
          <w:rFonts w:cs="Arial"/>
        </w:rPr>
        <w:t xml:space="preserve"> </w:t>
      </w:r>
      <w:r w:rsidR="00913FF7">
        <w:rPr>
          <w:rFonts w:cs="Arial"/>
        </w:rPr>
        <w:t>the date it is available for downloading from IDES.</w:t>
      </w:r>
      <w:r w:rsidR="00657BC0">
        <w:rPr>
          <w:rFonts w:cs="Arial"/>
        </w:rPr>
        <w:t xml:space="preserve"> </w:t>
      </w:r>
      <w:r w:rsidR="00657BC0" w:rsidRPr="00FB2EFD">
        <w:rPr>
          <w:i/>
        </w:rPr>
        <w:t>See</w:t>
      </w:r>
      <w:r w:rsidR="00657BC0">
        <w:rPr>
          <w:rFonts w:cs="Arial"/>
        </w:rPr>
        <w:t xml:space="preserve"> </w:t>
      </w:r>
      <w:r w:rsidR="004924B0">
        <w:rPr>
          <w:rFonts w:cs="Arial"/>
        </w:rPr>
        <w:t xml:space="preserve">FATCA </w:t>
      </w:r>
      <w:r w:rsidR="00657BC0">
        <w:rPr>
          <w:rFonts w:cs="Arial"/>
        </w:rPr>
        <w:t xml:space="preserve">IDES User Guide </w:t>
      </w:r>
      <w:r w:rsidR="006703F7">
        <w:rPr>
          <w:rFonts w:cs="Arial"/>
        </w:rPr>
        <w:t xml:space="preserve">(IRS </w:t>
      </w:r>
      <w:r w:rsidR="00657BC0">
        <w:rPr>
          <w:rFonts w:cs="Arial"/>
        </w:rPr>
        <w:t>Publication 5190</w:t>
      </w:r>
      <w:r w:rsidR="006703F7">
        <w:rPr>
          <w:rFonts w:cs="Arial"/>
        </w:rPr>
        <w:t>)</w:t>
      </w:r>
      <w:r w:rsidR="00657BC0">
        <w:rPr>
          <w:rFonts w:cs="Arial"/>
        </w:rPr>
        <w:t>.</w:t>
      </w:r>
    </w:p>
    <w:p w14:paraId="2180A2AA" w14:textId="77777777" w:rsidR="005500CF" w:rsidRPr="005010FA" w:rsidRDefault="00884324" w:rsidP="007E42F2">
      <w:pPr>
        <w:pStyle w:val="Body1"/>
        <w:widowControl w:val="0"/>
        <w:spacing w:before="240" w:after="200"/>
        <w:ind w:left="720"/>
        <w:rPr>
          <w:rFonts w:cs="Arial"/>
        </w:rPr>
      </w:pPr>
      <w:r w:rsidRPr="005010FA">
        <w:rPr>
          <w:rFonts w:cs="Arial"/>
        </w:rPr>
        <w:t>3.4</w:t>
      </w:r>
      <w:r w:rsidR="008143FD" w:rsidRPr="005010FA">
        <w:rPr>
          <w:rFonts w:cs="Arial"/>
        </w:rPr>
        <w:tab/>
      </w:r>
      <w:r w:rsidRPr="005010FA">
        <w:rPr>
          <w:rFonts w:cs="Arial"/>
          <w:u w:val="single"/>
        </w:rPr>
        <w:t xml:space="preserve">Notification of </w:t>
      </w:r>
      <w:r w:rsidR="00841F63">
        <w:rPr>
          <w:rFonts w:cs="Arial"/>
          <w:u w:val="single"/>
        </w:rPr>
        <w:t>File Processing Success or Failure</w:t>
      </w:r>
      <w:r w:rsidR="0029161B">
        <w:rPr>
          <w:rFonts w:cs="Arial"/>
        </w:rPr>
        <w:t>:</w:t>
      </w:r>
      <w:r w:rsidR="005500CF" w:rsidRPr="005010FA">
        <w:rPr>
          <w:rFonts w:cs="Arial"/>
        </w:rPr>
        <w:t xml:space="preserve">  </w:t>
      </w:r>
    </w:p>
    <w:p w14:paraId="5EED0EF3" w14:textId="631B3B66" w:rsidR="005500CF" w:rsidRPr="005010FA" w:rsidRDefault="005500CF" w:rsidP="00C059F3">
      <w:pPr>
        <w:pStyle w:val="Body1"/>
        <w:widowControl w:val="0"/>
        <w:spacing w:before="240" w:after="200"/>
        <w:ind w:left="1440"/>
        <w:rPr>
          <w:rFonts w:cs="Arial"/>
        </w:rPr>
      </w:pPr>
      <w:r w:rsidRPr="005010FA">
        <w:rPr>
          <w:rFonts w:cs="Arial"/>
        </w:rPr>
        <w:t>3.4.1.</w:t>
      </w:r>
      <w:r w:rsidR="008143FD" w:rsidRPr="005010FA">
        <w:rPr>
          <w:rFonts w:cs="Arial"/>
        </w:rPr>
        <w:tab/>
      </w:r>
      <w:r w:rsidR="00234BC7" w:rsidRPr="005010FA">
        <w:rPr>
          <w:rFonts w:cs="Arial"/>
          <w:u w:val="single"/>
        </w:rPr>
        <w:t xml:space="preserve">Notification </w:t>
      </w:r>
      <w:r w:rsidR="00841F63">
        <w:rPr>
          <w:rFonts w:cs="Arial"/>
          <w:u w:val="single"/>
        </w:rPr>
        <w:t>of File Processing Success</w:t>
      </w:r>
      <w:r w:rsidR="0029161B">
        <w:rPr>
          <w:rFonts w:cs="Arial"/>
        </w:rPr>
        <w:t>:</w:t>
      </w:r>
      <w:r w:rsidR="00BF6809">
        <w:rPr>
          <w:rFonts w:cs="Arial"/>
        </w:rPr>
        <w:t xml:space="preserve"> </w:t>
      </w:r>
      <w:r w:rsidR="00884324" w:rsidRPr="005010FA">
        <w:rPr>
          <w:rFonts w:cs="Arial"/>
        </w:rPr>
        <w:t xml:space="preserve">Within </w:t>
      </w:r>
      <w:r w:rsidR="00C708F9" w:rsidRPr="005010FA">
        <w:rPr>
          <w:rFonts w:cs="Arial"/>
        </w:rPr>
        <w:t>1</w:t>
      </w:r>
      <w:r w:rsidR="00884324" w:rsidRPr="005010FA">
        <w:rPr>
          <w:rFonts w:cs="Arial"/>
        </w:rPr>
        <w:t xml:space="preserve">5 days of </w:t>
      </w:r>
      <w:r w:rsidR="0041440D">
        <w:rPr>
          <w:rFonts w:cs="Arial"/>
        </w:rPr>
        <w:t xml:space="preserve">successfully </w:t>
      </w:r>
      <w:r w:rsidR="00884324" w:rsidRPr="005010FA">
        <w:rPr>
          <w:rFonts w:cs="Arial"/>
        </w:rPr>
        <w:t xml:space="preserve">receiving </w:t>
      </w:r>
      <w:r w:rsidR="0041440D">
        <w:rPr>
          <w:rFonts w:cs="Arial"/>
        </w:rPr>
        <w:t xml:space="preserve">a file containing </w:t>
      </w:r>
      <w:r w:rsidR="00884324" w:rsidRPr="005010FA">
        <w:rPr>
          <w:rFonts w:cs="Arial"/>
        </w:rPr>
        <w:t>the information described in Articles 2</w:t>
      </w:r>
      <w:r w:rsidR="00913FF7">
        <w:rPr>
          <w:rFonts w:cs="Arial"/>
        </w:rPr>
        <w:t>(2)</w:t>
      </w:r>
      <w:r w:rsidR="00884324" w:rsidRPr="005010FA">
        <w:rPr>
          <w:rFonts w:cs="Arial"/>
        </w:rPr>
        <w:t xml:space="preserve"> and 4(1)(b) </w:t>
      </w:r>
      <w:r w:rsidR="00FD56B8" w:rsidRPr="005010FA">
        <w:rPr>
          <w:rFonts w:cs="Arial"/>
        </w:rPr>
        <w:t xml:space="preserve">of the IGA </w:t>
      </w:r>
      <w:r w:rsidR="00884324" w:rsidRPr="005010FA">
        <w:rPr>
          <w:rFonts w:cs="Arial"/>
        </w:rPr>
        <w:t>in the time and manner described in</w:t>
      </w:r>
      <w:r w:rsidR="00A60EA1" w:rsidRPr="005010FA">
        <w:rPr>
          <w:rFonts w:cs="Arial"/>
        </w:rPr>
        <w:t xml:space="preserve"> Article 3</w:t>
      </w:r>
      <w:r w:rsidR="00C708F9" w:rsidRPr="005010FA">
        <w:rPr>
          <w:rFonts w:cs="Arial"/>
        </w:rPr>
        <w:t>(</w:t>
      </w:r>
      <w:r w:rsidR="00A60EA1" w:rsidRPr="005010FA">
        <w:rPr>
          <w:rFonts w:cs="Arial"/>
        </w:rPr>
        <w:t>5</w:t>
      </w:r>
      <w:r w:rsidR="00C708F9" w:rsidRPr="005010FA">
        <w:rPr>
          <w:rFonts w:cs="Arial"/>
        </w:rPr>
        <w:t>)</w:t>
      </w:r>
      <w:r w:rsidR="00A60EA1" w:rsidRPr="005010FA">
        <w:rPr>
          <w:rFonts w:cs="Arial"/>
        </w:rPr>
        <w:t xml:space="preserve"> of the IGA and in</w:t>
      </w:r>
      <w:r w:rsidR="00884324" w:rsidRPr="005010FA">
        <w:rPr>
          <w:rFonts w:cs="Arial"/>
        </w:rPr>
        <w:t xml:space="preserve"> </w:t>
      </w:r>
      <w:r w:rsidR="00BC2E82" w:rsidRPr="005010FA">
        <w:rPr>
          <w:rFonts w:cs="Arial"/>
        </w:rPr>
        <w:t>Paragraph</w:t>
      </w:r>
      <w:r w:rsidR="00884324" w:rsidRPr="005010FA">
        <w:rPr>
          <w:rFonts w:cs="Arial"/>
        </w:rPr>
        <w:t xml:space="preserve"> 3, the </w:t>
      </w:r>
      <w:r w:rsidR="00890B31">
        <w:rPr>
          <w:rFonts w:cs="Arial"/>
        </w:rPr>
        <w:t xml:space="preserve">U.S. </w:t>
      </w:r>
      <w:r w:rsidR="00884324" w:rsidRPr="005010FA">
        <w:rPr>
          <w:rFonts w:cs="Arial"/>
        </w:rPr>
        <w:t xml:space="preserve">Competent Authority </w:t>
      </w:r>
      <w:r w:rsidR="00670399" w:rsidRPr="005010FA">
        <w:rPr>
          <w:rFonts w:cs="Arial"/>
        </w:rPr>
        <w:t xml:space="preserve">should </w:t>
      </w:r>
      <w:r w:rsidR="00884324" w:rsidRPr="005010FA">
        <w:rPr>
          <w:rFonts w:cs="Arial"/>
        </w:rPr>
        <w:t xml:space="preserve">provide notice of such </w:t>
      </w:r>
      <w:r w:rsidR="0041440D">
        <w:rPr>
          <w:rFonts w:cs="Arial"/>
        </w:rPr>
        <w:t xml:space="preserve">successful </w:t>
      </w:r>
      <w:r w:rsidR="00884324" w:rsidRPr="005010FA">
        <w:rPr>
          <w:rFonts w:cs="Arial"/>
        </w:rPr>
        <w:t xml:space="preserve">receipt to the </w:t>
      </w:r>
      <w:r w:rsidR="003F0492">
        <w:rPr>
          <w:rFonts w:cs="Arial"/>
        </w:rPr>
        <w:t>Serbian</w:t>
      </w:r>
      <w:r w:rsidR="00890B31">
        <w:rPr>
          <w:rFonts w:cs="Arial"/>
        </w:rPr>
        <w:t xml:space="preserve"> </w:t>
      </w:r>
      <w:r w:rsidR="00884324" w:rsidRPr="005010FA">
        <w:rPr>
          <w:rFonts w:cs="Arial"/>
        </w:rPr>
        <w:t>Competent Authority</w:t>
      </w:r>
      <w:r w:rsidR="00BF6809">
        <w:rPr>
          <w:rFonts w:cs="Arial"/>
        </w:rPr>
        <w:t xml:space="preserve">. </w:t>
      </w:r>
      <w:r w:rsidRPr="005010FA">
        <w:rPr>
          <w:rFonts w:cs="Arial"/>
        </w:rPr>
        <w:t>The U</w:t>
      </w:r>
      <w:r w:rsidR="00C708F9" w:rsidRPr="005010FA">
        <w:rPr>
          <w:rFonts w:cs="Arial"/>
        </w:rPr>
        <w:t>.</w:t>
      </w:r>
      <w:r w:rsidRPr="005010FA">
        <w:rPr>
          <w:rFonts w:cs="Arial"/>
        </w:rPr>
        <w:t>S</w:t>
      </w:r>
      <w:r w:rsidR="00C708F9" w:rsidRPr="005010FA">
        <w:rPr>
          <w:rFonts w:cs="Arial"/>
        </w:rPr>
        <w:t>.</w:t>
      </w:r>
      <w:r w:rsidRPr="005010FA">
        <w:rPr>
          <w:rFonts w:cs="Arial"/>
        </w:rPr>
        <w:t xml:space="preserve"> Competent Authority</w:t>
      </w:r>
      <w:r w:rsidR="00D35A0F" w:rsidRPr="005010FA">
        <w:rPr>
          <w:rFonts w:cs="Arial"/>
        </w:rPr>
        <w:t xml:space="preserve"> </w:t>
      </w:r>
      <w:r w:rsidR="00D47399" w:rsidRPr="005010FA">
        <w:rPr>
          <w:rFonts w:cs="Arial"/>
        </w:rPr>
        <w:t xml:space="preserve">expects to </w:t>
      </w:r>
      <w:r w:rsidR="00D3185F" w:rsidRPr="005010FA">
        <w:rPr>
          <w:rFonts w:cs="Arial"/>
        </w:rPr>
        <w:t xml:space="preserve">generate </w:t>
      </w:r>
      <w:r w:rsidRPr="005010FA">
        <w:rPr>
          <w:rFonts w:cs="Arial"/>
        </w:rPr>
        <w:t xml:space="preserve">such </w:t>
      </w:r>
      <w:r w:rsidR="00D35A0F" w:rsidRPr="005010FA">
        <w:rPr>
          <w:rFonts w:cs="Arial"/>
        </w:rPr>
        <w:t>noti</w:t>
      </w:r>
      <w:r w:rsidRPr="005010FA">
        <w:rPr>
          <w:rFonts w:cs="Arial"/>
        </w:rPr>
        <w:t>fication</w:t>
      </w:r>
      <w:r w:rsidR="00D35A0F" w:rsidRPr="005010FA">
        <w:rPr>
          <w:rFonts w:cs="Arial"/>
        </w:rPr>
        <w:t xml:space="preserve"> automatically through the International Compliance Management Model (</w:t>
      </w:r>
      <w:r w:rsidR="00C708F9" w:rsidRPr="005010FA">
        <w:rPr>
          <w:rFonts w:cs="Arial"/>
        </w:rPr>
        <w:t>“</w:t>
      </w:r>
      <w:r w:rsidR="00D35A0F" w:rsidRPr="005010FA">
        <w:rPr>
          <w:rFonts w:cs="Arial"/>
        </w:rPr>
        <w:t>ICMM</w:t>
      </w:r>
      <w:r w:rsidR="00C708F9" w:rsidRPr="005010FA">
        <w:rPr>
          <w:rFonts w:cs="Arial"/>
        </w:rPr>
        <w:t>”</w:t>
      </w:r>
      <w:r w:rsidR="00D35A0F" w:rsidRPr="005010FA">
        <w:rPr>
          <w:rFonts w:cs="Arial"/>
        </w:rPr>
        <w:t>)</w:t>
      </w:r>
      <w:r w:rsidR="00C708F9" w:rsidRPr="005010FA">
        <w:rPr>
          <w:rFonts w:cs="Arial"/>
        </w:rPr>
        <w:t xml:space="preserve"> and </w:t>
      </w:r>
      <w:r w:rsidR="00454D5C">
        <w:rPr>
          <w:rFonts w:cs="Arial"/>
        </w:rPr>
        <w:t>transmit</w:t>
      </w:r>
      <w:r w:rsidR="00454D5C" w:rsidRPr="005010FA">
        <w:rPr>
          <w:rFonts w:cs="Arial"/>
        </w:rPr>
        <w:t xml:space="preserve"> </w:t>
      </w:r>
      <w:r w:rsidR="00D644C1">
        <w:rPr>
          <w:rFonts w:cs="Arial"/>
        </w:rPr>
        <w:t xml:space="preserve">it </w:t>
      </w:r>
      <w:r w:rsidR="0029161B">
        <w:rPr>
          <w:rFonts w:cs="Arial"/>
        </w:rPr>
        <w:t>via</w:t>
      </w:r>
      <w:r w:rsidR="0029161B" w:rsidRPr="005010FA">
        <w:rPr>
          <w:rFonts w:cs="Arial"/>
        </w:rPr>
        <w:t xml:space="preserve"> </w:t>
      </w:r>
      <w:r w:rsidR="00C708F9" w:rsidRPr="005010FA">
        <w:rPr>
          <w:rFonts w:cs="Arial"/>
        </w:rPr>
        <w:t>IDES</w:t>
      </w:r>
      <w:r w:rsidR="00562D03">
        <w:rPr>
          <w:rFonts w:cs="Arial"/>
        </w:rPr>
        <w:t xml:space="preserve">. </w:t>
      </w:r>
      <w:r w:rsidR="00A8239C" w:rsidRPr="005010FA">
        <w:rPr>
          <w:rFonts w:cs="Arial"/>
        </w:rPr>
        <w:t>The notice</w:t>
      </w:r>
      <w:r w:rsidRPr="005010FA">
        <w:rPr>
          <w:rFonts w:cs="Arial"/>
        </w:rPr>
        <w:t xml:space="preserve"> </w:t>
      </w:r>
      <w:r w:rsidR="00884324" w:rsidRPr="005010FA">
        <w:rPr>
          <w:rFonts w:cs="Arial"/>
        </w:rPr>
        <w:t xml:space="preserve">need not express the </w:t>
      </w:r>
      <w:r w:rsidR="001622D7">
        <w:rPr>
          <w:rFonts w:cs="Arial"/>
        </w:rPr>
        <w:t>U.S.</w:t>
      </w:r>
      <w:r w:rsidR="001622D7" w:rsidRPr="005010FA">
        <w:rPr>
          <w:rFonts w:cs="Arial"/>
        </w:rPr>
        <w:t xml:space="preserve"> </w:t>
      </w:r>
      <w:r w:rsidR="00884324" w:rsidRPr="005010FA">
        <w:rPr>
          <w:rFonts w:cs="Arial"/>
        </w:rPr>
        <w:t>C</w:t>
      </w:r>
      <w:r w:rsidR="004D507F" w:rsidRPr="005010FA">
        <w:rPr>
          <w:rFonts w:cs="Arial"/>
        </w:rPr>
        <w:t>ompetent</w:t>
      </w:r>
      <w:r w:rsidR="00884324" w:rsidRPr="005010FA">
        <w:rPr>
          <w:rFonts w:cs="Arial"/>
        </w:rPr>
        <w:t xml:space="preserve"> Authority’s view about the adequacy of the information received </w:t>
      </w:r>
      <w:r w:rsidR="00A8239C" w:rsidRPr="005010FA">
        <w:rPr>
          <w:rFonts w:cs="Arial"/>
        </w:rPr>
        <w:t xml:space="preserve">or </w:t>
      </w:r>
      <w:r w:rsidR="00884324" w:rsidRPr="005010FA">
        <w:rPr>
          <w:rFonts w:cs="Arial"/>
        </w:rPr>
        <w:t xml:space="preserve">whether </w:t>
      </w:r>
      <w:r w:rsidR="00A8239C" w:rsidRPr="005010FA">
        <w:rPr>
          <w:rFonts w:cs="Arial"/>
        </w:rPr>
        <w:t xml:space="preserve">the </w:t>
      </w:r>
      <w:r w:rsidR="001622D7">
        <w:rPr>
          <w:rFonts w:cs="Arial"/>
        </w:rPr>
        <w:t>U.S.</w:t>
      </w:r>
      <w:r w:rsidR="001622D7" w:rsidRPr="005010FA">
        <w:rPr>
          <w:rFonts w:cs="Arial"/>
        </w:rPr>
        <w:t xml:space="preserve"> </w:t>
      </w:r>
      <w:r w:rsidR="00884324" w:rsidRPr="005010FA">
        <w:rPr>
          <w:rFonts w:cs="Arial"/>
        </w:rPr>
        <w:t>C</w:t>
      </w:r>
      <w:r w:rsidR="004D507F" w:rsidRPr="005010FA">
        <w:rPr>
          <w:rFonts w:cs="Arial"/>
        </w:rPr>
        <w:t>ompetent</w:t>
      </w:r>
      <w:r w:rsidR="00884324" w:rsidRPr="005010FA">
        <w:rPr>
          <w:rFonts w:cs="Arial"/>
        </w:rPr>
        <w:t xml:space="preserve"> Authority </w:t>
      </w:r>
      <w:r w:rsidR="00D47399" w:rsidRPr="005010FA">
        <w:rPr>
          <w:rFonts w:cs="Arial"/>
        </w:rPr>
        <w:t xml:space="preserve">believes that the </w:t>
      </w:r>
      <w:r w:rsidR="003F0492">
        <w:rPr>
          <w:rFonts w:cs="Arial"/>
        </w:rPr>
        <w:t>Serbian</w:t>
      </w:r>
      <w:r w:rsidR="001622D7" w:rsidRPr="005010FA">
        <w:rPr>
          <w:rFonts w:cs="Arial"/>
        </w:rPr>
        <w:t xml:space="preserve"> </w:t>
      </w:r>
      <w:r w:rsidR="00586D8E" w:rsidRPr="005010FA">
        <w:rPr>
          <w:rFonts w:cs="Arial"/>
        </w:rPr>
        <w:t xml:space="preserve">Competent Authority should </w:t>
      </w:r>
      <w:r w:rsidR="00884324" w:rsidRPr="005010FA">
        <w:rPr>
          <w:rFonts w:cs="Arial"/>
        </w:rPr>
        <w:t xml:space="preserve">take measures pursuant to Article 5 </w:t>
      </w:r>
      <w:r w:rsidR="00A8239C" w:rsidRPr="005010FA">
        <w:rPr>
          <w:rFonts w:cs="Arial"/>
        </w:rPr>
        <w:t xml:space="preserve">of the IGA </w:t>
      </w:r>
      <w:r w:rsidR="00884324" w:rsidRPr="005010FA">
        <w:rPr>
          <w:rFonts w:cs="Arial"/>
        </w:rPr>
        <w:t xml:space="preserve">to </w:t>
      </w:r>
      <w:r w:rsidR="00A8239C" w:rsidRPr="005010FA">
        <w:rPr>
          <w:rFonts w:cs="Arial"/>
        </w:rPr>
        <w:t xml:space="preserve">obtain </w:t>
      </w:r>
      <w:r w:rsidR="00586D8E" w:rsidRPr="005010FA">
        <w:rPr>
          <w:rFonts w:cs="Arial"/>
        </w:rPr>
        <w:t xml:space="preserve">corrected or complete </w:t>
      </w:r>
      <w:r w:rsidR="00884324" w:rsidRPr="005010FA">
        <w:rPr>
          <w:rFonts w:cs="Arial"/>
        </w:rPr>
        <w:t>information.</w:t>
      </w:r>
    </w:p>
    <w:p w14:paraId="47636D26" w14:textId="07FD685A" w:rsidR="00D220BF" w:rsidRDefault="005500CF" w:rsidP="00C059F3">
      <w:pPr>
        <w:pStyle w:val="Body1"/>
        <w:widowControl w:val="0"/>
        <w:spacing w:before="240" w:after="200"/>
        <w:ind w:left="1440"/>
        <w:rPr>
          <w:rFonts w:cs="Arial"/>
        </w:rPr>
      </w:pPr>
      <w:r w:rsidRPr="005010FA">
        <w:rPr>
          <w:rFonts w:cs="Arial"/>
        </w:rPr>
        <w:t>3.4.2.</w:t>
      </w:r>
      <w:r w:rsidR="008143FD" w:rsidRPr="005010FA">
        <w:rPr>
          <w:rFonts w:cs="Arial"/>
        </w:rPr>
        <w:tab/>
      </w:r>
      <w:r w:rsidR="00234BC7" w:rsidRPr="005010FA">
        <w:rPr>
          <w:rFonts w:cs="Arial"/>
          <w:u w:val="single"/>
        </w:rPr>
        <w:t xml:space="preserve">Notification of </w:t>
      </w:r>
      <w:r w:rsidR="00841F63">
        <w:rPr>
          <w:rFonts w:cs="Arial"/>
          <w:u w:val="single"/>
        </w:rPr>
        <w:t>File Processing Failure</w:t>
      </w:r>
      <w:r w:rsidR="0029161B" w:rsidRPr="00574AAE">
        <w:rPr>
          <w:rFonts w:cs="Arial"/>
        </w:rPr>
        <w:t>:</w:t>
      </w:r>
      <w:r w:rsidR="00562D03">
        <w:rPr>
          <w:rFonts w:cs="Arial"/>
        </w:rPr>
        <w:t xml:space="preserve"> </w:t>
      </w:r>
      <w:r w:rsidRPr="005010FA">
        <w:rPr>
          <w:rFonts w:cs="Arial"/>
        </w:rPr>
        <w:t xml:space="preserve">Within </w:t>
      </w:r>
      <w:r w:rsidR="00234BC7" w:rsidRPr="005010FA">
        <w:rPr>
          <w:rFonts w:cs="Arial"/>
        </w:rPr>
        <w:t xml:space="preserve">15 </w:t>
      </w:r>
      <w:r w:rsidRPr="005010FA">
        <w:rPr>
          <w:rFonts w:cs="Arial"/>
        </w:rPr>
        <w:t xml:space="preserve">days of receiving </w:t>
      </w:r>
      <w:r w:rsidR="0041440D">
        <w:rPr>
          <w:rFonts w:cs="Arial"/>
        </w:rPr>
        <w:t xml:space="preserve">a file containing </w:t>
      </w:r>
      <w:r w:rsidR="002A3450">
        <w:rPr>
          <w:rFonts w:cs="Arial"/>
        </w:rPr>
        <w:t>information</w:t>
      </w:r>
      <w:r w:rsidRPr="005010FA">
        <w:rPr>
          <w:rFonts w:cs="Arial"/>
        </w:rPr>
        <w:t xml:space="preserve"> that cannot be processed, the </w:t>
      </w:r>
      <w:r w:rsidR="00E85CB5">
        <w:rPr>
          <w:rFonts w:cs="Arial"/>
        </w:rPr>
        <w:t>U.S.</w:t>
      </w:r>
      <w:r w:rsidR="00E85CB5" w:rsidRPr="005010FA">
        <w:rPr>
          <w:rFonts w:cs="Arial"/>
        </w:rPr>
        <w:t xml:space="preserve"> </w:t>
      </w:r>
      <w:r w:rsidRPr="005010FA">
        <w:rPr>
          <w:rFonts w:cs="Arial"/>
        </w:rPr>
        <w:t xml:space="preserve">Competent Authority </w:t>
      </w:r>
      <w:r w:rsidR="00586D8E" w:rsidRPr="005010FA">
        <w:rPr>
          <w:rFonts w:cs="Arial"/>
        </w:rPr>
        <w:t xml:space="preserve">should </w:t>
      </w:r>
      <w:r w:rsidRPr="005010FA">
        <w:rPr>
          <w:rFonts w:cs="Arial"/>
        </w:rPr>
        <w:t xml:space="preserve">provide notice of such processing failure to the </w:t>
      </w:r>
      <w:r w:rsidR="003F0492">
        <w:rPr>
          <w:rFonts w:cs="Arial"/>
        </w:rPr>
        <w:t>Serbian</w:t>
      </w:r>
      <w:r w:rsidR="00E85CB5">
        <w:rPr>
          <w:rFonts w:cs="Arial"/>
        </w:rPr>
        <w:t xml:space="preserve"> </w:t>
      </w:r>
      <w:r w:rsidR="00562D03">
        <w:rPr>
          <w:rFonts w:cs="Arial"/>
        </w:rPr>
        <w:t xml:space="preserve">Competent Authority. </w:t>
      </w:r>
      <w:r w:rsidRPr="005010FA">
        <w:rPr>
          <w:rFonts w:cs="Arial"/>
        </w:rPr>
        <w:t>The U</w:t>
      </w:r>
      <w:r w:rsidR="00A8239C" w:rsidRPr="005010FA">
        <w:rPr>
          <w:rFonts w:cs="Arial"/>
        </w:rPr>
        <w:t>.</w:t>
      </w:r>
      <w:r w:rsidRPr="005010FA">
        <w:rPr>
          <w:rFonts w:cs="Arial"/>
        </w:rPr>
        <w:t>S</w:t>
      </w:r>
      <w:r w:rsidR="00A8239C" w:rsidRPr="005010FA">
        <w:rPr>
          <w:rFonts w:cs="Arial"/>
        </w:rPr>
        <w:t>.</w:t>
      </w:r>
      <w:r w:rsidRPr="005010FA">
        <w:rPr>
          <w:rFonts w:cs="Arial"/>
        </w:rPr>
        <w:t xml:space="preserve"> Competent Authority </w:t>
      </w:r>
      <w:r w:rsidR="00586D8E" w:rsidRPr="005010FA">
        <w:rPr>
          <w:rFonts w:cs="Arial"/>
        </w:rPr>
        <w:t xml:space="preserve">expects to </w:t>
      </w:r>
      <w:r w:rsidR="00D3185F" w:rsidRPr="005010FA">
        <w:rPr>
          <w:rFonts w:cs="Arial"/>
        </w:rPr>
        <w:t xml:space="preserve">generate </w:t>
      </w:r>
      <w:r w:rsidRPr="005010FA">
        <w:rPr>
          <w:rFonts w:cs="Arial"/>
        </w:rPr>
        <w:t>such notification automatically through the</w:t>
      </w:r>
      <w:r w:rsidR="00C708F9" w:rsidRPr="005010FA">
        <w:rPr>
          <w:rFonts w:cs="Arial"/>
        </w:rPr>
        <w:t xml:space="preserve"> ICMM and </w:t>
      </w:r>
      <w:r w:rsidR="005115CC">
        <w:rPr>
          <w:rFonts w:cs="Arial"/>
        </w:rPr>
        <w:t>transmit</w:t>
      </w:r>
      <w:r w:rsidR="005115CC" w:rsidRPr="005010FA">
        <w:rPr>
          <w:rFonts w:cs="Arial"/>
        </w:rPr>
        <w:t xml:space="preserve"> </w:t>
      </w:r>
      <w:r w:rsidR="0029161B">
        <w:rPr>
          <w:rFonts w:cs="Arial"/>
        </w:rPr>
        <w:t>it via</w:t>
      </w:r>
      <w:r w:rsidR="0029161B" w:rsidRPr="005010FA">
        <w:rPr>
          <w:rFonts w:cs="Arial"/>
        </w:rPr>
        <w:t xml:space="preserve"> </w:t>
      </w:r>
      <w:r w:rsidR="00C708F9" w:rsidRPr="005010FA">
        <w:rPr>
          <w:rFonts w:cs="Arial"/>
        </w:rPr>
        <w:t>IDES</w:t>
      </w:r>
      <w:r w:rsidRPr="005010FA">
        <w:rPr>
          <w:rFonts w:cs="Arial"/>
        </w:rPr>
        <w:t>.</w:t>
      </w:r>
    </w:p>
    <w:p w14:paraId="4C5F21B9" w14:textId="77777777" w:rsidR="00833C3B" w:rsidRPr="005010FA" w:rsidRDefault="00D220BF" w:rsidP="00C059F3">
      <w:pPr>
        <w:pStyle w:val="Body1"/>
        <w:widowControl w:val="0"/>
        <w:spacing w:before="240" w:after="200"/>
        <w:ind w:left="1440"/>
        <w:rPr>
          <w:rFonts w:cs="Arial"/>
        </w:rPr>
      </w:pPr>
      <w:r>
        <w:rPr>
          <w:rFonts w:cs="Arial"/>
        </w:rPr>
        <w:t>3.4.3</w:t>
      </w:r>
      <w:r>
        <w:rPr>
          <w:rFonts w:cs="Arial"/>
        </w:rPr>
        <w:tab/>
      </w:r>
      <w:r>
        <w:rPr>
          <w:rFonts w:cs="Arial"/>
          <w:u w:val="single"/>
        </w:rPr>
        <w:t>ICMM</w:t>
      </w:r>
      <w:r>
        <w:rPr>
          <w:rFonts w:cs="Arial"/>
        </w:rPr>
        <w:t xml:space="preserve">: </w:t>
      </w:r>
      <w:r w:rsidRPr="00C059F3">
        <w:rPr>
          <w:rFonts w:cs="Arial"/>
        </w:rPr>
        <w:t>A description of, and additional information regarding, ICMM, including the (i) FATCA Reports ICMM Notifications User Guide</w:t>
      </w:r>
      <w:r w:rsidR="00E13B28">
        <w:rPr>
          <w:rFonts w:cs="Arial"/>
        </w:rPr>
        <w:t xml:space="preserve"> (IRS Publication 5189)</w:t>
      </w:r>
      <w:r w:rsidRPr="00C059F3">
        <w:rPr>
          <w:rFonts w:cs="Arial"/>
        </w:rPr>
        <w:t>, and (ii) FATCA Reports ICMM Notification XML Schema User Guide</w:t>
      </w:r>
      <w:r w:rsidR="006B387C">
        <w:rPr>
          <w:rFonts w:cs="Arial"/>
        </w:rPr>
        <w:t xml:space="preserve"> (IRS Publication 5</w:t>
      </w:r>
      <w:r w:rsidR="00E13B28">
        <w:rPr>
          <w:rFonts w:cs="Arial"/>
        </w:rPr>
        <w:t>216</w:t>
      </w:r>
      <w:r w:rsidR="006B387C">
        <w:rPr>
          <w:rFonts w:cs="Arial"/>
        </w:rPr>
        <w:t>)</w:t>
      </w:r>
      <w:r w:rsidRPr="00C059F3">
        <w:rPr>
          <w:rFonts w:cs="Arial"/>
        </w:rPr>
        <w:t>, can be found on IRS.gov.</w:t>
      </w:r>
      <w:r w:rsidRPr="005010FA">
        <w:rPr>
          <w:rFonts w:cs="Arial"/>
        </w:rPr>
        <w:t xml:space="preserve">  </w:t>
      </w:r>
    </w:p>
    <w:p w14:paraId="789D84A7" w14:textId="44949812" w:rsidR="000A1771" w:rsidRPr="00DE5A4C" w:rsidRDefault="00884324" w:rsidP="00C059F3">
      <w:pPr>
        <w:widowControl w:val="0"/>
        <w:spacing w:before="240"/>
        <w:ind w:left="720"/>
        <w:rPr>
          <w:rFonts w:ascii="Arial" w:hAnsi="Arial" w:cs="Arial"/>
        </w:rPr>
      </w:pPr>
      <w:r w:rsidRPr="005010FA">
        <w:rPr>
          <w:rFonts w:ascii="Arial" w:hAnsi="Arial" w:cs="Arial"/>
        </w:rPr>
        <w:t>3.5</w:t>
      </w:r>
      <w:r w:rsidRPr="005010FA">
        <w:rPr>
          <w:rFonts w:ascii="Arial" w:hAnsi="Arial" w:cs="Arial"/>
        </w:rPr>
        <w:tab/>
      </w:r>
      <w:r w:rsidRPr="00DE5A4C">
        <w:rPr>
          <w:rFonts w:ascii="Arial" w:hAnsi="Arial" w:cs="Arial"/>
          <w:u w:val="single"/>
        </w:rPr>
        <w:t>Transliteration</w:t>
      </w:r>
      <w:r w:rsidRPr="00DE5A4C">
        <w:rPr>
          <w:rFonts w:ascii="Arial" w:hAnsi="Arial" w:cs="Arial"/>
        </w:rPr>
        <w:t xml:space="preserve">: </w:t>
      </w:r>
      <w:r w:rsidR="000A1771" w:rsidRPr="00DE5A4C">
        <w:rPr>
          <w:rFonts w:ascii="Arial" w:hAnsi="Arial" w:cs="Arial"/>
        </w:rPr>
        <w:t xml:space="preserve">Any information the </w:t>
      </w:r>
      <w:r w:rsidR="003F0492">
        <w:rPr>
          <w:rFonts w:ascii="Arial" w:hAnsi="Arial" w:cs="Arial"/>
        </w:rPr>
        <w:t>Serbian</w:t>
      </w:r>
      <w:r w:rsidR="000A1771" w:rsidRPr="00DE5A4C">
        <w:rPr>
          <w:rFonts w:ascii="Arial" w:hAnsi="Arial" w:cs="Arial"/>
        </w:rPr>
        <w:t xml:space="preserve"> C</w:t>
      </w:r>
      <w:r w:rsidR="00DC199C" w:rsidRPr="00DE5A4C">
        <w:rPr>
          <w:rFonts w:ascii="Arial" w:hAnsi="Arial" w:cs="Arial"/>
        </w:rPr>
        <w:t xml:space="preserve">ompetent Authority </w:t>
      </w:r>
      <w:r w:rsidR="00D220BF">
        <w:rPr>
          <w:rFonts w:ascii="Arial" w:hAnsi="Arial" w:cs="Arial"/>
        </w:rPr>
        <w:t>exchanges</w:t>
      </w:r>
      <w:r w:rsidR="000A1771" w:rsidRPr="00DE5A4C">
        <w:rPr>
          <w:rFonts w:ascii="Arial" w:hAnsi="Arial" w:cs="Arial"/>
        </w:rPr>
        <w:t xml:space="preserve"> that is reported in a non-Latin domestic alphabet or literation </w:t>
      </w:r>
      <w:r w:rsidR="00C708F9" w:rsidRPr="00DE5A4C">
        <w:rPr>
          <w:rFonts w:ascii="Arial" w:hAnsi="Arial" w:cs="Arial"/>
        </w:rPr>
        <w:t>is expected</w:t>
      </w:r>
      <w:r w:rsidR="009F499F">
        <w:rPr>
          <w:rFonts w:ascii="Arial" w:hAnsi="Arial" w:cs="Arial"/>
        </w:rPr>
        <w:t xml:space="preserve"> to</w:t>
      </w:r>
      <w:r w:rsidR="00D3185F" w:rsidRPr="00DE5A4C">
        <w:rPr>
          <w:rFonts w:ascii="Arial" w:hAnsi="Arial" w:cs="Arial"/>
        </w:rPr>
        <w:t xml:space="preserve"> </w:t>
      </w:r>
      <w:r w:rsidR="000A1771" w:rsidRPr="00DE5A4C">
        <w:rPr>
          <w:rFonts w:ascii="Arial" w:hAnsi="Arial" w:cs="Arial"/>
        </w:rPr>
        <w:t xml:space="preserve">be transliterated pursuant to </w:t>
      </w:r>
      <w:r w:rsidR="003F0492">
        <w:rPr>
          <w:rFonts w:ascii="Arial" w:hAnsi="Arial" w:cs="Arial"/>
        </w:rPr>
        <w:t>Serbian</w:t>
      </w:r>
      <w:r w:rsidR="000A1771" w:rsidRPr="00DE5A4C">
        <w:rPr>
          <w:rFonts w:ascii="Arial" w:hAnsi="Arial" w:cs="Arial"/>
        </w:rPr>
        <w:t xml:space="preserve"> domestic procedures</w:t>
      </w:r>
      <w:r w:rsidR="00C708F9" w:rsidRPr="00DE5A4C">
        <w:rPr>
          <w:rFonts w:ascii="Arial" w:hAnsi="Arial" w:cs="Arial"/>
        </w:rPr>
        <w:t xml:space="preserve"> or </w:t>
      </w:r>
      <w:r w:rsidR="000A1771" w:rsidRPr="00DE5A4C">
        <w:rPr>
          <w:rFonts w:ascii="Arial" w:hAnsi="Arial" w:cs="Arial"/>
        </w:rPr>
        <w:t xml:space="preserve">rules aligned with international standards for transliteration (for example as specified in ISO 8859) </w:t>
      </w:r>
      <w:r w:rsidR="0029161B" w:rsidRPr="00DE5A4C">
        <w:rPr>
          <w:rFonts w:ascii="Arial" w:hAnsi="Arial" w:cs="Arial"/>
        </w:rPr>
        <w:t xml:space="preserve">into </w:t>
      </w:r>
      <w:r w:rsidR="00B143F7">
        <w:rPr>
          <w:rFonts w:ascii="Arial" w:hAnsi="Arial" w:cs="Arial"/>
        </w:rPr>
        <w:t>the</w:t>
      </w:r>
      <w:r w:rsidR="00B143F7" w:rsidRPr="00DE5A4C">
        <w:rPr>
          <w:rFonts w:ascii="Arial" w:hAnsi="Arial" w:cs="Arial"/>
        </w:rPr>
        <w:t xml:space="preserve"> </w:t>
      </w:r>
      <w:r w:rsidR="0029161B" w:rsidRPr="00DE5A4C">
        <w:rPr>
          <w:rFonts w:ascii="Arial" w:hAnsi="Arial" w:cs="Arial"/>
        </w:rPr>
        <w:t>Latin alphabet</w:t>
      </w:r>
      <w:r w:rsidR="0029161B">
        <w:rPr>
          <w:rFonts w:ascii="Arial" w:hAnsi="Arial" w:cs="Arial"/>
        </w:rPr>
        <w:t>.</w:t>
      </w:r>
      <w:r w:rsidR="0029161B" w:rsidRPr="00DE5A4C">
        <w:rPr>
          <w:rFonts w:ascii="Arial" w:hAnsi="Arial" w:cs="Arial"/>
        </w:rPr>
        <w:t xml:space="preserve"> </w:t>
      </w:r>
      <w:r w:rsidR="000A1771" w:rsidRPr="00DE5A4C">
        <w:rPr>
          <w:rFonts w:ascii="Arial" w:hAnsi="Arial" w:cs="Arial"/>
        </w:rPr>
        <w:t xml:space="preserve">The </w:t>
      </w:r>
      <w:r w:rsidR="003F0492">
        <w:rPr>
          <w:rFonts w:ascii="Arial" w:hAnsi="Arial" w:cs="Arial"/>
        </w:rPr>
        <w:t>Serbian</w:t>
      </w:r>
      <w:r w:rsidR="000A1771" w:rsidRPr="00DE5A4C">
        <w:rPr>
          <w:rFonts w:ascii="Arial" w:hAnsi="Arial" w:cs="Arial"/>
        </w:rPr>
        <w:t xml:space="preserve"> Competent Authority may send designatory data (</w:t>
      </w:r>
      <w:r w:rsidR="000A1771" w:rsidRPr="00DE5A4C">
        <w:rPr>
          <w:rFonts w:ascii="Arial" w:hAnsi="Arial" w:cs="Arial"/>
          <w:i/>
        </w:rPr>
        <w:t>e.g.</w:t>
      </w:r>
      <w:r w:rsidR="000A1771" w:rsidRPr="00DE5A4C">
        <w:rPr>
          <w:rFonts w:ascii="Arial" w:hAnsi="Arial" w:cs="Arial"/>
        </w:rPr>
        <w:t xml:space="preserve">, name or address) both in its domestic alphabet or literation and separately in the Latin alphabet within each account record if it so chooses. The </w:t>
      </w:r>
      <w:r w:rsidR="003F0492">
        <w:rPr>
          <w:rFonts w:ascii="Arial" w:hAnsi="Arial" w:cs="Arial"/>
        </w:rPr>
        <w:t>Serbian</w:t>
      </w:r>
      <w:r w:rsidR="000A1771" w:rsidRPr="00DE5A4C">
        <w:rPr>
          <w:rFonts w:ascii="Arial" w:hAnsi="Arial" w:cs="Arial"/>
        </w:rPr>
        <w:t xml:space="preserve"> Competent Authority should also be prepared to transliterate </w:t>
      </w:r>
      <w:r w:rsidR="00D3185F" w:rsidRPr="00DE5A4C">
        <w:rPr>
          <w:rFonts w:ascii="Arial" w:hAnsi="Arial" w:cs="Arial"/>
        </w:rPr>
        <w:t xml:space="preserve">the information it receives from the U.S. Competent Authority </w:t>
      </w:r>
      <w:r w:rsidR="00982F9B" w:rsidRPr="00DE5A4C">
        <w:rPr>
          <w:rFonts w:ascii="Arial" w:hAnsi="Arial" w:cs="Arial"/>
        </w:rPr>
        <w:t xml:space="preserve">from the </w:t>
      </w:r>
      <w:r w:rsidR="000A1771" w:rsidRPr="00DE5A4C">
        <w:rPr>
          <w:rFonts w:ascii="Arial" w:hAnsi="Arial" w:cs="Arial"/>
        </w:rPr>
        <w:t xml:space="preserve">Latin </w:t>
      </w:r>
      <w:r w:rsidR="00982F9B" w:rsidRPr="00DE5A4C">
        <w:rPr>
          <w:rFonts w:ascii="Arial" w:hAnsi="Arial" w:cs="Arial"/>
        </w:rPr>
        <w:t xml:space="preserve">alphabet to </w:t>
      </w:r>
      <w:r w:rsidR="000A1771" w:rsidRPr="00DE5A4C">
        <w:rPr>
          <w:rFonts w:ascii="Arial" w:hAnsi="Arial" w:cs="Arial"/>
        </w:rPr>
        <w:t>any non-Latin domestic alphabet or literation</w:t>
      </w:r>
      <w:r w:rsidR="00982F9B" w:rsidRPr="00DE5A4C">
        <w:rPr>
          <w:rFonts w:ascii="Arial" w:hAnsi="Arial" w:cs="Arial"/>
        </w:rPr>
        <w:t xml:space="preserve"> it uses or accepts</w:t>
      </w:r>
      <w:r w:rsidR="000A1771" w:rsidRPr="00DE5A4C">
        <w:rPr>
          <w:rFonts w:ascii="Arial" w:hAnsi="Arial" w:cs="Arial"/>
        </w:rPr>
        <w:t>.</w:t>
      </w:r>
    </w:p>
    <w:p w14:paraId="4DF701B0" w14:textId="77777777" w:rsidR="00A4770A" w:rsidRDefault="00A4770A" w:rsidP="00C059F3">
      <w:pPr>
        <w:pStyle w:val="Body1"/>
        <w:widowControl w:val="0"/>
        <w:spacing w:before="240" w:after="200"/>
        <w:jc w:val="center"/>
        <w:rPr>
          <w:rFonts w:cs="Arial"/>
          <w:b/>
        </w:rPr>
      </w:pPr>
    </w:p>
    <w:p w14:paraId="1808A311" w14:textId="77777777" w:rsidR="00833C3B" w:rsidRPr="00DE5A4C" w:rsidRDefault="00FD1407" w:rsidP="00C059F3">
      <w:pPr>
        <w:pStyle w:val="Body1"/>
        <w:widowControl w:val="0"/>
        <w:spacing w:before="240" w:after="200"/>
        <w:ind w:left="720"/>
        <w:jc w:val="center"/>
        <w:rPr>
          <w:rFonts w:cs="Arial"/>
          <w:b/>
        </w:rPr>
      </w:pPr>
      <w:r w:rsidRPr="005010FA">
        <w:rPr>
          <w:rFonts w:cs="Arial"/>
          <w:b/>
        </w:rPr>
        <w:t>Paragraph</w:t>
      </w:r>
      <w:r w:rsidR="00884324" w:rsidRPr="005010FA">
        <w:rPr>
          <w:rFonts w:cs="Arial"/>
          <w:b/>
        </w:rPr>
        <w:t xml:space="preserve"> 4</w:t>
      </w:r>
    </w:p>
    <w:p w14:paraId="1E648CC2" w14:textId="77777777" w:rsidR="00833C3B" w:rsidRPr="00DE5A4C" w:rsidRDefault="00884324" w:rsidP="00C059F3">
      <w:pPr>
        <w:pStyle w:val="Body1"/>
        <w:widowControl w:val="0"/>
        <w:spacing w:before="240" w:after="200"/>
        <w:ind w:left="720"/>
        <w:jc w:val="center"/>
        <w:rPr>
          <w:rFonts w:cs="Arial"/>
          <w:b/>
        </w:rPr>
      </w:pPr>
      <w:r w:rsidRPr="005010FA">
        <w:rPr>
          <w:rFonts w:cs="Arial"/>
          <w:b/>
        </w:rPr>
        <w:t>REMEDIATION AND ENFORCEMENT</w:t>
      </w:r>
    </w:p>
    <w:p w14:paraId="1278B031" w14:textId="3AE9EEEB" w:rsidR="00875F70" w:rsidRPr="00DE5A4C" w:rsidRDefault="00884324" w:rsidP="0084407E">
      <w:pPr>
        <w:pStyle w:val="Body1"/>
        <w:widowControl w:val="0"/>
        <w:spacing w:before="240" w:after="200"/>
        <w:ind w:left="720"/>
        <w:rPr>
          <w:rFonts w:cs="Arial"/>
          <w:u w:val="single"/>
        </w:rPr>
      </w:pPr>
      <w:r w:rsidRPr="005010FA">
        <w:rPr>
          <w:rFonts w:cs="Arial"/>
        </w:rPr>
        <w:t>4.1</w:t>
      </w:r>
      <w:r w:rsidRPr="005010FA">
        <w:rPr>
          <w:rFonts w:cs="Arial"/>
        </w:rPr>
        <w:tab/>
      </w:r>
      <w:r w:rsidRPr="005010FA">
        <w:rPr>
          <w:rFonts w:cs="Arial"/>
          <w:u w:val="single"/>
        </w:rPr>
        <w:t>In General</w:t>
      </w:r>
      <w:r w:rsidR="00BF6809">
        <w:rPr>
          <w:rFonts w:cs="Arial"/>
        </w:rPr>
        <w:t xml:space="preserve">: </w:t>
      </w:r>
      <w:r w:rsidR="00D220BF">
        <w:rPr>
          <w:rFonts w:cs="Arial"/>
        </w:rPr>
        <w:t>The</w:t>
      </w:r>
      <w:r w:rsidR="001555C5" w:rsidRPr="005010FA">
        <w:rPr>
          <w:rFonts w:cs="Arial"/>
        </w:rPr>
        <w:t xml:space="preserve"> </w:t>
      </w:r>
      <w:r w:rsidR="003F0492">
        <w:rPr>
          <w:rFonts w:cs="Arial"/>
        </w:rPr>
        <w:t>Serbian</w:t>
      </w:r>
      <w:r w:rsidR="001555C5" w:rsidRPr="005010FA">
        <w:rPr>
          <w:rFonts w:cs="Arial"/>
        </w:rPr>
        <w:t xml:space="preserve"> Competent</w:t>
      </w:r>
      <w:r w:rsidR="00310DE0" w:rsidRPr="005010FA">
        <w:rPr>
          <w:rFonts w:cs="Arial"/>
        </w:rPr>
        <w:t xml:space="preserve"> Authority</w:t>
      </w:r>
      <w:r w:rsidR="005260E9" w:rsidRPr="005010FA">
        <w:rPr>
          <w:rFonts w:cs="Arial"/>
        </w:rPr>
        <w:t xml:space="preserve"> should</w:t>
      </w:r>
      <w:r w:rsidR="00D220BF">
        <w:rPr>
          <w:rFonts w:cs="Arial"/>
        </w:rPr>
        <w:t xml:space="preserve"> </w:t>
      </w:r>
      <w:r w:rsidR="005260E9" w:rsidRPr="005010FA">
        <w:rPr>
          <w:rFonts w:cs="Arial"/>
        </w:rPr>
        <w:t>seek</w:t>
      </w:r>
      <w:r w:rsidR="00BE15D3" w:rsidRPr="005010FA">
        <w:rPr>
          <w:rFonts w:cs="Arial"/>
        </w:rPr>
        <w:t xml:space="preserve"> to </w:t>
      </w:r>
      <w:r w:rsidRPr="005010FA">
        <w:rPr>
          <w:rFonts w:cs="Arial"/>
        </w:rPr>
        <w:t xml:space="preserve">ensure that </w:t>
      </w:r>
      <w:r w:rsidR="007B2AB2" w:rsidRPr="005010FA">
        <w:rPr>
          <w:rFonts w:cs="Arial"/>
        </w:rPr>
        <w:t>all of the information specified in Article</w:t>
      </w:r>
      <w:r w:rsidR="000E36DC">
        <w:rPr>
          <w:rFonts w:cs="Arial"/>
        </w:rPr>
        <w:t>s</w:t>
      </w:r>
      <w:r w:rsidR="007B2AB2" w:rsidRPr="005010FA">
        <w:rPr>
          <w:rFonts w:cs="Arial"/>
        </w:rPr>
        <w:t xml:space="preserve"> 2(2) </w:t>
      </w:r>
      <w:r w:rsidR="00D3185F" w:rsidRPr="005010FA">
        <w:rPr>
          <w:rFonts w:cs="Arial"/>
        </w:rPr>
        <w:t>and</w:t>
      </w:r>
      <w:r w:rsidR="007B2AB2" w:rsidRPr="005010FA">
        <w:rPr>
          <w:rFonts w:cs="Arial"/>
        </w:rPr>
        <w:t xml:space="preserve"> 4(1)(b) of the IGA has been identified and </w:t>
      </w:r>
      <w:r w:rsidR="00E53C3C" w:rsidRPr="005010FA">
        <w:rPr>
          <w:rFonts w:cs="Arial"/>
        </w:rPr>
        <w:t xml:space="preserve">reported </w:t>
      </w:r>
      <w:r w:rsidR="00240197">
        <w:rPr>
          <w:rFonts w:cs="Arial"/>
        </w:rPr>
        <w:t xml:space="preserve">by Reporting </w:t>
      </w:r>
      <w:r w:rsidR="003F0492">
        <w:rPr>
          <w:rFonts w:cs="Arial"/>
        </w:rPr>
        <w:t>Serbian</w:t>
      </w:r>
      <w:r w:rsidR="00240197">
        <w:rPr>
          <w:rFonts w:cs="Arial"/>
        </w:rPr>
        <w:t xml:space="preserve"> Financial Institution</w:t>
      </w:r>
      <w:r w:rsidR="00805E2A">
        <w:rPr>
          <w:rFonts w:cs="Arial"/>
        </w:rPr>
        <w:t>s</w:t>
      </w:r>
      <w:r w:rsidR="00240197">
        <w:rPr>
          <w:rFonts w:cs="Arial"/>
        </w:rPr>
        <w:t xml:space="preserve"> </w:t>
      </w:r>
      <w:r w:rsidR="00805E2A">
        <w:rPr>
          <w:rFonts w:cs="Arial"/>
        </w:rPr>
        <w:t>and</w:t>
      </w:r>
      <w:r w:rsidR="00240197">
        <w:rPr>
          <w:rFonts w:cs="Arial"/>
        </w:rPr>
        <w:t xml:space="preserve"> </w:t>
      </w:r>
      <w:r w:rsidR="00F057FB">
        <w:rPr>
          <w:rFonts w:cs="Arial"/>
        </w:rPr>
        <w:t xml:space="preserve">by or </w:t>
      </w:r>
      <w:r w:rsidR="00240197">
        <w:rPr>
          <w:rFonts w:cs="Arial"/>
        </w:rPr>
        <w:t>on behalf of Paragraph 1.1.2 Financial Institution</w:t>
      </w:r>
      <w:r w:rsidR="00805E2A">
        <w:rPr>
          <w:rFonts w:cs="Arial"/>
        </w:rPr>
        <w:t>s</w:t>
      </w:r>
      <w:r w:rsidR="00240197">
        <w:rPr>
          <w:rFonts w:cs="Arial"/>
        </w:rPr>
        <w:t xml:space="preserve"> </w:t>
      </w:r>
      <w:r w:rsidR="00E53C3C" w:rsidRPr="005010FA">
        <w:rPr>
          <w:rFonts w:cs="Arial"/>
        </w:rPr>
        <w:t xml:space="preserve">to </w:t>
      </w:r>
      <w:r w:rsidR="00D220BF">
        <w:rPr>
          <w:rFonts w:cs="Arial"/>
        </w:rPr>
        <w:t xml:space="preserve">the </w:t>
      </w:r>
      <w:r w:rsidR="003F0492">
        <w:rPr>
          <w:rFonts w:cs="Arial"/>
        </w:rPr>
        <w:t>Serbian</w:t>
      </w:r>
      <w:r w:rsidR="00D220BF">
        <w:rPr>
          <w:rFonts w:cs="Arial"/>
        </w:rPr>
        <w:t xml:space="preserve"> Competent Authority</w:t>
      </w:r>
      <w:r w:rsidR="001555C5" w:rsidRPr="005010FA">
        <w:rPr>
          <w:rFonts w:cs="Arial"/>
        </w:rPr>
        <w:t xml:space="preserve">, </w:t>
      </w:r>
      <w:r w:rsidRPr="005010FA">
        <w:rPr>
          <w:rFonts w:cs="Arial"/>
        </w:rPr>
        <w:t xml:space="preserve">so that </w:t>
      </w:r>
      <w:r w:rsidR="003F6822" w:rsidRPr="005010FA">
        <w:rPr>
          <w:rFonts w:cs="Arial"/>
        </w:rPr>
        <w:t xml:space="preserve">such information </w:t>
      </w:r>
      <w:r w:rsidRPr="005010FA">
        <w:rPr>
          <w:rFonts w:cs="Arial"/>
        </w:rPr>
        <w:t xml:space="preserve">is available </w:t>
      </w:r>
      <w:r w:rsidR="00BE15D3" w:rsidRPr="005010FA">
        <w:rPr>
          <w:rFonts w:cs="Arial"/>
        </w:rPr>
        <w:t xml:space="preserve">to be </w:t>
      </w:r>
      <w:r w:rsidR="00507B78">
        <w:rPr>
          <w:rFonts w:cs="Arial"/>
        </w:rPr>
        <w:t>exchanged with</w:t>
      </w:r>
      <w:r w:rsidR="000E5A62">
        <w:rPr>
          <w:rFonts w:cs="Arial"/>
        </w:rPr>
        <w:t xml:space="preserve"> the U.S. Competent Authority</w:t>
      </w:r>
      <w:r w:rsidRPr="005010FA">
        <w:rPr>
          <w:rFonts w:cs="Arial"/>
        </w:rPr>
        <w:t xml:space="preserve"> in the time and manner described in Article 3(5) </w:t>
      </w:r>
      <w:r w:rsidR="003F6822" w:rsidRPr="005010FA">
        <w:rPr>
          <w:rFonts w:cs="Arial"/>
        </w:rPr>
        <w:t xml:space="preserve">of the IGA </w:t>
      </w:r>
      <w:r w:rsidRPr="005010FA">
        <w:rPr>
          <w:rFonts w:cs="Arial"/>
        </w:rPr>
        <w:t xml:space="preserve">and in </w:t>
      </w:r>
      <w:r w:rsidR="00FD1407" w:rsidRPr="005010FA">
        <w:rPr>
          <w:rFonts w:cs="Arial"/>
        </w:rPr>
        <w:t>Paragraph</w:t>
      </w:r>
      <w:r w:rsidRPr="005010FA">
        <w:rPr>
          <w:rFonts w:cs="Arial"/>
        </w:rPr>
        <w:t xml:space="preserve"> 3.  </w:t>
      </w:r>
    </w:p>
    <w:p w14:paraId="3B0C06BE" w14:textId="77777777" w:rsidR="008143FD" w:rsidRPr="005010FA" w:rsidRDefault="00884324" w:rsidP="00C059F3">
      <w:pPr>
        <w:pStyle w:val="Body1"/>
        <w:spacing w:before="240"/>
        <w:ind w:left="720"/>
        <w:rPr>
          <w:rFonts w:cs="Arial"/>
        </w:rPr>
      </w:pPr>
      <w:r w:rsidRPr="005010FA">
        <w:rPr>
          <w:rFonts w:cs="Arial"/>
        </w:rPr>
        <w:t>4.2</w:t>
      </w:r>
      <w:r w:rsidRPr="005010FA">
        <w:rPr>
          <w:rFonts w:cs="Arial"/>
        </w:rPr>
        <w:tab/>
      </w:r>
      <w:r w:rsidRPr="005010FA">
        <w:rPr>
          <w:rFonts w:cs="Arial"/>
          <w:u w:val="single"/>
        </w:rPr>
        <w:t>Categories of Non-Compliance</w:t>
      </w:r>
      <w:r w:rsidR="00BF6809">
        <w:rPr>
          <w:rFonts w:cs="Arial"/>
        </w:rPr>
        <w:t xml:space="preserve">: </w:t>
      </w:r>
      <w:r w:rsidR="0039641B" w:rsidRPr="005010FA">
        <w:rPr>
          <w:rFonts w:cs="Arial"/>
        </w:rPr>
        <w:t>N</w:t>
      </w:r>
      <w:r w:rsidRPr="005010FA">
        <w:rPr>
          <w:rFonts w:cs="Arial"/>
        </w:rPr>
        <w:t xml:space="preserve">on-compliance </w:t>
      </w:r>
      <w:r w:rsidR="0039641B" w:rsidRPr="005010FA">
        <w:rPr>
          <w:rFonts w:cs="Arial"/>
        </w:rPr>
        <w:t xml:space="preserve">with the IGA </w:t>
      </w:r>
      <w:r w:rsidRPr="005010FA">
        <w:rPr>
          <w:rFonts w:cs="Arial"/>
        </w:rPr>
        <w:t>may be administrative or minor in nature, or may constitute significant non-compliance</w:t>
      </w:r>
      <w:r w:rsidR="008143FD" w:rsidRPr="005010FA">
        <w:rPr>
          <w:rFonts w:cs="Arial"/>
        </w:rPr>
        <w:t>.</w:t>
      </w:r>
      <w:r w:rsidR="000E36DC">
        <w:rPr>
          <w:rFonts w:cs="Arial"/>
        </w:rPr>
        <w:t xml:space="preserve">  </w:t>
      </w:r>
    </w:p>
    <w:p w14:paraId="576B70AD" w14:textId="112ED7C5" w:rsidR="00833C3B" w:rsidRPr="005010FA" w:rsidRDefault="00884324" w:rsidP="007E42F2">
      <w:pPr>
        <w:pStyle w:val="Body1"/>
        <w:spacing w:before="240" w:after="200"/>
        <w:ind w:left="1440"/>
        <w:rPr>
          <w:rFonts w:cs="Arial"/>
        </w:rPr>
      </w:pPr>
      <w:r w:rsidRPr="005010FA">
        <w:rPr>
          <w:rFonts w:cs="Arial"/>
        </w:rPr>
        <w:t>4.2.1</w:t>
      </w:r>
      <w:r w:rsidRPr="005010FA">
        <w:rPr>
          <w:rFonts w:cs="Arial"/>
        </w:rPr>
        <w:tab/>
      </w:r>
      <w:r w:rsidRPr="005010FA">
        <w:rPr>
          <w:rFonts w:cs="Arial"/>
          <w:u w:val="single"/>
        </w:rPr>
        <w:t>Significant Non-Compliance</w:t>
      </w:r>
      <w:r w:rsidR="00562D03">
        <w:rPr>
          <w:rFonts w:cs="Arial"/>
        </w:rPr>
        <w:t xml:space="preserve">: </w:t>
      </w:r>
      <w:r w:rsidR="00AF6678" w:rsidRPr="005010FA">
        <w:rPr>
          <w:rFonts w:cs="Arial"/>
        </w:rPr>
        <w:t>Under Article 5(</w:t>
      </w:r>
      <w:r w:rsidR="00371B0A">
        <w:rPr>
          <w:rFonts w:cs="Arial"/>
        </w:rPr>
        <w:t>3</w:t>
      </w:r>
      <w:r w:rsidR="00AF6678" w:rsidRPr="005010FA">
        <w:rPr>
          <w:rFonts w:cs="Arial"/>
        </w:rPr>
        <w:t>) of the IGA, t</w:t>
      </w:r>
      <w:r w:rsidRPr="005010FA">
        <w:rPr>
          <w:rFonts w:cs="Arial"/>
        </w:rPr>
        <w:t xml:space="preserve">he </w:t>
      </w:r>
      <w:r w:rsidR="00596BD5">
        <w:rPr>
          <w:rFonts w:cs="Arial"/>
        </w:rPr>
        <w:t>U.S.</w:t>
      </w:r>
      <w:r w:rsidR="00596BD5" w:rsidRPr="005010FA">
        <w:rPr>
          <w:rFonts w:cs="Arial"/>
        </w:rPr>
        <w:t xml:space="preserve"> </w:t>
      </w:r>
      <w:r w:rsidRPr="005010FA">
        <w:rPr>
          <w:rFonts w:cs="Arial"/>
        </w:rPr>
        <w:t>Competent Authority has the discretion to determine whether</w:t>
      </w:r>
      <w:r w:rsidR="008143FD" w:rsidRPr="005010FA">
        <w:rPr>
          <w:rFonts w:cs="Arial"/>
        </w:rPr>
        <w:t xml:space="preserve"> </w:t>
      </w:r>
      <w:r w:rsidR="0039641B" w:rsidRPr="005010FA">
        <w:rPr>
          <w:rFonts w:cs="Arial"/>
        </w:rPr>
        <w:t>there</w:t>
      </w:r>
      <w:r w:rsidRPr="005010FA">
        <w:rPr>
          <w:rFonts w:cs="Arial"/>
        </w:rPr>
        <w:t xml:space="preserve"> is significant non-compliance with </w:t>
      </w:r>
      <w:r w:rsidR="003F6822" w:rsidRPr="005010FA">
        <w:rPr>
          <w:rFonts w:cs="Arial"/>
        </w:rPr>
        <w:t xml:space="preserve">the </w:t>
      </w:r>
      <w:r w:rsidRPr="005010FA">
        <w:rPr>
          <w:rFonts w:cs="Arial"/>
        </w:rPr>
        <w:t xml:space="preserve">obligations to </w:t>
      </w:r>
      <w:r w:rsidR="00D220BF">
        <w:rPr>
          <w:rFonts w:cs="Arial"/>
        </w:rPr>
        <w:t>obtain</w:t>
      </w:r>
      <w:r w:rsidR="00461CB2">
        <w:rPr>
          <w:rFonts w:cs="Arial"/>
        </w:rPr>
        <w:t xml:space="preserve"> and exchange</w:t>
      </w:r>
      <w:r w:rsidR="00D220BF">
        <w:rPr>
          <w:rFonts w:cs="Arial"/>
        </w:rPr>
        <w:t xml:space="preserve"> information </w:t>
      </w:r>
      <w:r w:rsidR="00305651">
        <w:rPr>
          <w:rFonts w:cs="Arial"/>
        </w:rPr>
        <w:t>described</w:t>
      </w:r>
      <w:r w:rsidR="00305651" w:rsidRPr="005010FA">
        <w:rPr>
          <w:rFonts w:cs="Arial"/>
        </w:rPr>
        <w:t xml:space="preserve"> in Articles 2(2) </w:t>
      </w:r>
      <w:r w:rsidR="00305651">
        <w:rPr>
          <w:rFonts w:cs="Arial"/>
        </w:rPr>
        <w:t>and</w:t>
      </w:r>
      <w:r w:rsidR="00305651" w:rsidRPr="005010FA">
        <w:rPr>
          <w:rFonts w:cs="Arial"/>
        </w:rPr>
        <w:t xml:space="preserve"> 4(1)(b) of the IGA</w:t>
      </w:r>
      <w:r w:rsidR="00EF270C">
        <w:rPr>
          <w:rFonts w:cs="Arial"/>
        </w:rPr>
        <w:t xml:space="preserve"> with respect to a Reporting </w:t>
      </w:r>
      <w:r w:rsidR="003F0492">
        <w:rPr>
          <w:rFonts w:cs="Arial"/>
        </w:rPr>
        <w:t>Serbian</w:t>
      </w:r>
      <w:r w:rsidR="0044112D">
        <w:rPr>
          <w:rFonts w:cs="Arial"/>
        </w:rPr>
        <w:t xml:space="preserve"> </w:t>
      </w:r>
      <w:r w:rsidR="00EF270C">
        <w:rPr>
          <w:rFonts w:cs="Arial"/>
        </w:rPr>
        <w:t>Financial Institution</w:t>
      </w:r>
      <w:r w:rsidRPr="005010FA">
        <w:rPr>
          <w:rFonts w:cs="Arial"/>
        </w:rPr>
        <w:t xml:space="preserve">. The U.S. Competent Authority also has the discretion to determine significant non-compliance based on failure to satisfy </w:t>
      </w:r>
      <w:r w:rsidR="00CC397B">
        <w:rPr>
          <w:rFonts w:cs="Arial"/>
        </w:rPr>
        <w:t xml:space="preserve">due diligence, reporting, </w:t>
      </w:r>
      <w:r w:rsidRPr="005010FA">
        <w:rPr>
          <w:rFonts w:cs="Arial"/>
        </w:rPr>
        <w:t xml:space="preserve">withholding and other obligations </w:t>
      </w:r>
      <w:r w:rsidR="0039641B" w:rsidRPr="005010FA">
        <w:rPr>
          <w:rFonts w:cs="Arial"/>
        </w:rPr>
        <w:t xml:space="preserve">with respect to </w:t>
      </w:r>
      <w:r w:rsidRPr="005010FA">
        <w:rPr>
          <w:rFonts w:cs="Arial"/>
        </w:rPr>
        <w:t>a</w:t>
      </w:r>
      <w:r w:rsidR="00D220BF">
        <w:rPr>
          <w:rFonts w:cs="Arial"/>
        </w:rPr>
        <w:t xml:space="preserve"> Reporting</w:t>
      </w:r>
      <w:r w:rsidRPr="005010FA">
        <w:rPr>
          <w:rFonts w:cs="Arial"/>
        </w:rPr>
        <w:t xml:space="preserve"> </w:t>
      </w:r>
      <w:r w:rsidR="003F0492">
        <w:rPr>
          <w:rFonts w:cs="Arial"/>
        </w:rPr>
        <w:t>Serbian</w:t>
      </w:r>
      <w:r w:rsidRPr="005010FA">
        <w:rPr>
          <w:rFonts w:cs="Arial"/>
        </w:rPr>
        <w:t xml:space="preserve"> Financial Institution.</w:t>
      </w:r>
      <w:r w:rsidR="00727CC2">
        <w:rPr>
          <w:rFonts w:cs="Arial"/>
        </w:rPr>
        <w:t xml:space="preserve"> </w:t>
      </w:r>
      <w:r w:rsidR="00CC397B" w:rsidRPr="00DE5A4C">
        <w:rPr>
          <w:rFonts w:cs="Arial"/>
        </w:rPr>
        <w:t xml:space="preserve">The </w:t>
      </w:r>
      <w:r w:rsidR="00596BD5">
        <w:rPr>
          <w:rFonts w:cs="Arial"/>
        </w:rPr>
        <w:t>U.S.</w:t>
      </w:r>
      <w:r w:rsidR="00596BD5" w:rsidRPr="00DE5A4C">
        <w:rPr>
          <w:rFonts w:cs="Arial"/>
        </w:rPr>
        <w:t xml:space="preserve"> </w:t>
      </w:r>
      <w:r w:rsidR="00CC397B" w:rsidRPr="00DE5A4C">
        <w:rPr>
          <w:rFonts w:cs="Arial"/>
        </w:rPr>
        <w:t xml:space="preserve">Competent Authority may determine that certain failures </w:t>
      </w:r>
      <w:r w:rsidR="00CC397B">
        <w:rPr>
          <w:rFonts w:cs="Arial"/>
        </w:rPr>
        <w:t>constitute</w:t>
      </w:r>
      <w:r w:rsidR="00CC397B" w:rsidRPr="00DE5A4C">
        <w:rPr>
          <w:rFonts w:cs="Arial"/>
        </w:rPr>
        <w:t xml:space="preserve"> significant non-compliance</w:t>
      </w:r>
      <w:r w:rsidR="00CC397B">
        <w:rPr>
          <w:rFonts w:cs="Arial"/>
        </w:rPr>
        <w:t xml:space="preserve"> with respect to a Reporting </w:t>
      </w:r>
      <w:r w:rsidR="003F0492">
        <w:rPr>
          <w:rFonts w:cs="Arial"/>
        </w:rPr>
        <w:t>Serbian</w:t>
      </w:r>
      <w:r w:rsidR="001A3E60">
        <w:rPr>
          <w:rFonts w:cs="Arial"/>
        </w:rPr>
        <w:t xml:space="preserve"> </w:t>
      </w:r>
      <w:r w:rsidR="00CC397B">
        <w:rPr>
          <w:rFonts w:cs="Arial"/>
        </w:rPr>
        <w:t xml:space="preserve">Financial Institution regardless of whether the failure is attributable to the </w:t>
      </w:r>
      <w:r w:rsidR="003F0492">
        <w:rPr>
          <w:rFonts w:cs="Arial"/>
        </w:rPr>
        <w:t>Serbian</w:t>
      </w:r>
      <w:r w:rsidR="00596BD5">
        <w:rPr>
          <w:rFonts w:cs="Arial"/>
        </w:rPr>
        <w:t xml:space="preserve"> </w:t>
      </w:r>
      <w:r w:rsidR="00CC397B">
        <w:rPr>
          <w:rFonts w:cs="Arial"/>
        </w:rPr>
        <w:t>Competent Authority</w:t>
      </w:r>
      <w:r w:rsidR="00714CA6">
        <w:rPr>
          <w:rFonts w:cs="Arial"/>
        </w:rPr>
        <w:t xml:space="preserve"> or the</w:t>
      </w:r>
      <w:r w:rsidR="00CC397B">
        <w:rPr>
          <w:rFonts w:cs="Arial"/>
        </w:rPr>
        <w:t xml:space="preserve"> Reporting </w:t>
      </w:r>
      <w:r w:rsidR="003F0492">
        <w:rPr>
          <w:rFonts w:cs="Arial"/>
        </w:rPr>
        <w:t>Serbian</w:t>
      </w:r>
      <w:r w:rsidR="001A3E60">
        <w:rPr>
          <w:rFonts w:cs="Arial"/>
        </w:rPr>
        <w:t xml:space="preserve"> </w:t>
      </w:r>
      <w:r w:rsidR="00CC397B">
        <w:rPr>
          <w:rFonts w:cs="Arial"/>
        </w:rPr>
        <w:t>Financial Institution</w:t>
      </w:r>
      <w:r w:rsidR="00CC397B" w:rsidRPr="00DE5A4C">
        <w:rPr>
          <w:rFonts w:cs="Arial"/>
        </w:rPr>
        <w:t>.</w:t>
      </w:r>
      <w:r w:rsidR="00CC397B">
        <w:rPr>
          <w:rFonts w:cs="Arial"/>
        </w:rPr>
        <w:t xml:space="preserve"> </w:t>
      </w:r>
      <w:r w:rsidR="00D32C1B" w:rsidRPr="00114289">
        <w:rPr>
          <w:rFonts w:cs="Arial"/>
          <w:color w:val="auto"/>
        </w:rPr>
        <w:t>E</w:t>
      </w:r>
      <w:r w:rsidR="00CD6FF0" w:rsidRPr="00114289">
        <w:rPr>
          <w:rFonts w:cs="Arial"/>
          <w:color w:val="auto"/>
        </w:rPr>
        <w:t>xamples of s</w:t>
      </w:r>
      <w:r w:rsidR="00CF4728">
        <w:rPr>
          <w:rFonts w:cs="Arial"/>
        </w:rPr>
        <w:t xml:space="preserve">ignificant non-compliance </w:t>
      </w:r>
      <w:r w:rsidR="003D0EBA">
        <w:rPr>
          <w:rFonts w:cs="Arial"/>
        </w:rPr>
        <w:t>are set forth in Paragraphs 4.2.1.1</w:t>
      </w:r>
      <w:r w:rsidR="00794E29">
        <w:rPr>
          <w:rFonts w:cs="Arial"/>
        </w:rPr>
        <w:t xml:space="preserve"> through</w:t>
      </w:r>
      <w:r w:rsidR="003D0EBA">
        <w:rPr>
          <w:rFonts w:cs="Arial"/>
        </w:rPr>
        <w:t xml:space="preserve"> 4.2.1.3.</w:t>
      </w:r>
    </w:p>
    <w:p w14:paraId="4FCE8BE4" w14:textId="4D184F3F" w:rsidR="004D5AA8" w:rsidRPr="005010FA" w:rsidRDefault="00884324" w:rsidP="007E42F2">
      <w:pPr>
        <w:pStyle w:val="Body1"/>
        <w:tabs>
          <w:tab w:val="left" w:pos="2340"/>
        </w:tabs>
        <w:spacing w:before="240"/>
        <w:ind w:left="2340" w:hanging="900"/>
        <w:rPr>
          <w:rFonts w:cs="Arial"/>
        </w:rPr>
      </w:pPr>
      <w:r w:rsidRPr="005010FA">
        <w:rPr>
          <w:rFonts w:cs="Arial"/>
        </w:rPr>
        <w:t xml:space="preserve">4.2.1.1 </w:t>
      </w:r>
      <w:r w:rsidR="00E10ED9">
        <w:rPr>
          <w:rFonts w:cs="Arial"/>
        </w:rPr>
        <w:tab/>
      </w:r>
      <w:r w:rsidRPr="005010FA">
        <w:rPr>
          <w:rFonts w:cs="Arial"/>
          <w:u w:val="single"/>
        </w:rPr>
        <w:t xml:space="preserve">Reporting </w:t>
      </w:r>
      <w:r w:rsidR="00DC199C" w:rsidRPr="005010FA">
        <w:rPr>
          <w:rFonts w:cs="Arial"/>
          <w:u w:val="single"/>
        </w:rPr>
        <w:t>Failures</w:t>
      </w:r>
      <w:r w:rsidRPr="005010FA">
        <w:rPr>
          <w:rFonts w:cs="Arial"/>
        </w:rPr>
        <w:t>:</w:t>
      </w:r>
      <w:r w:rsidR="00BF6809">
        <w:rPr>
          <w:rFonts w:cs="Arial"/>
        </w:rPr>
        <w:t xml:space="preserve"> </w:t>
      </w:r>
      <w:r w:rsidR="00794E29">
        <w:rPr>
          <w:rFonts w:cs="Arial"/>
        </w:rPr>
        <w:t>T</w:t>
      </w:r>
      <w:r w:rsidR="00485E6A">
        <w:rPr>
          <w:rFonts w:cs="Arial"/>
        </w:rPr>
        <w:t xml:space="preserve">he </w:t>
      </w:r>
      <w:r w:rsidR="004A32C9" w:rsidRPr="00DE5A4C">
        <w:rPr>
          <w:rFonts w:cs="Arial"/>
        </w:rPr>
        <w:t>U.S.</w:t>
      </w:r>
      <w:r w:rsidRPr="00DE5A4C">
        <w:rPr>
          <w:rFonts w:cs="Arial"/>
        </w:rPr>
        <w:t xml:space="preserve"> Competent Authority may find</w:t>
      </w:r>
      <w:r w:rsidR="00BF63AD">
        <w:rPr>
          <w:rFonts w:cs="Arial"/>
        </w:rPr>
        <w:t xml:space="preserve"> </w:t>
      </w:r>
      <w:r w:rsidRPr="00DE5A4C">
        <w:rPr>
          <w:rFonts w:cs="Arial"/>
        </w:rPr>
        <w:t xml:space="preserve">significant non-compliance </w:t>
      </w:r>
      <w:r w:rsidR="00CF4728">
        <w:rPr>
          <w:rFonts w:cs="Arial"/>
        </w:rPr>
        <w:t xml:space="preserve">based on a failure by </w:t>
      </w:r>
      <w:r w:rsidR="00CC397B">
        <w:rPr>
          <w:rFonts w:cs="Arial"/>
        </w:rPr>
        <w:t>a</w:t>
      </w:r>
      <w:r w:rsidR="00BB6BC3" w:rsidRPr="00DE5A4C">
        <w:rPr>
          <w:rFonts w:cs="Arial"/>
        </w:rPr>
        <w:t xml:space="preserve"> </w:t>
      </w:r>
      <w:r w:rsidR="00B143F7">
        <w:rPr>
          <w:rFonts w:cs="Arial"/>
        </w:rPr>
        <w:t xml:space="preserve">Reporting </w:t>
      </w:r>
      <w:r w:rsidR="003F0492">
        <w:rPr>
          <w:rFonts w:cs="Arial"/>
        </w:rPr>
        <w:t>Serbian</w:t>
      </w:r>
      <w:r w:rsidR="00BB6BC3" w:rsidRPr="00DE5A4C">
        <w:rPr>
          <w:rFonts w:cs="Arial"/>
        </w:rPr>
        <w:t xml:space="preserve"> </w:t>
      </w:r>
      <w:r w:rsidR="00CC397B">
        <w:rPr>
          <w:rFonts w:cs="Arial"/>
        </w:rPr>
        <w:t>Financial Institution</w:t>
      </w:r>
      <w:r w:rsidR="00D6686D">
        <w:rPr>
          <w:rFonts w:cs="Arial"/>
        </w:rPr>
        <w:t xml:space="preserve"> </w:t>
      </w:r>
      <w:r w:rsidR="004D5AA8" w:rsidRPr="00DE5A4C">
        <w:rPr>
          <w:rFonts w:cs="Arial"/>
        </w:rPr>
        <w:t xml:space="preserve">to </w:t>
      </w:r>
      <w:r w:rsidR="00CC397B">
        <w:rPr>
          <w:rFonts w:cs="Arial"/>
        </w:rPr>
        <w:t>report</w:t>
      </w:r>
      <w:r w:rsidR="004D5AA8" w:rsidRPr="00DE5A4C">
        <w:rPr>
          <w:rFonts w:cs="Arial"/>
        </w:rPr>
        <w:t xml:space="preserve"> information on</w:t>
      </w:r>
      <w:r w:rsidR="00BB6BC3" w:rsidRPr="00DE5A4C">
        <w:rPr>
          <w:rFonts w:cs="Arial"/>
        </w:rPr>
        <w:t xml:space="preserve"> </w:t>
      </w:r>
      <w:r w:rsidR="00CC397B">
        <w:rPr>
          <w:rFonts w:cs="Arial"/>
        </w:rPr>
        <w:t xml:space="preserve">U.S. Reportable Accounts, as </w:t>
      </w:r>
      <w:r w:rsidR="0084012B">
        <w:rPr>
          <w:rFonts w:cs="Arial"/>
        </w:rPr>
        <w:t>specified in</w:t>
      </w:r>
      <w:r w:rsidR="00CC397B">
        <w:rPr>
          <w:rFonts w:cs="Arial"/>
        </w:rPr>
        <w:t xml:space="preserve"> Article 4(1)(a) of the IGA, or on </w:t>
      </w:r>
      <w:r w:rsidR="00BB6BC3" w:rsidRPr="00DE5A4C">
        <w:rPr>
          <w:rFonts w:cs="Arial"/>
        </w:rPr>
        <w:t xml:space="preserve">2015 and 2016 </w:t>
      </w:r>
      <w:r w:rsidRPr="00DE5A4C">
        <w:rPr>
          <w:rFonts w:cs="Arial"/>
        </w:rPr>
        <w:t>payments</w:t>
      </w:r>
      <w:r w:rsidR="004D5AA8" w:rsidRPr="00DE5A4C">
        <w:rPr>
          <w:rFonts w:cs="Arial"/>
        </w:rPr>
        <w:t xml:space="preserve"> </w:t>
      </w:r>
      <w:r w:rsidRPr="00DE5A4C">
        <w:rPr>
          <w:rFonts w:cs="Arial"/>
        </w:rPr>
        <w:t>to Nonparticipating Financial Institutions</w:t>
      </w:r>
      <w:r w:rsidR="00521AFC">
        <w:rPr>
          <w:rFonts w:cs="Arial"/>
        </w:rPr>
        <w:t>,</w:t>
      </w:r>
      <w:r w:rsidRPr="00DE5A4C">
        <w:rPr>
          <w:rFonts w:cs="Arial"/>
        </w:rPr>
        <w:t xml:space="preserve"> as </w:t>
      </w:r>
      <w:r w:rsidR="0084012B">
        <w:rPr>
          <w:rFonts w:cs="Arial"/>
        </w:rPr>
        <w:t>specified in</w:t>
      </w:r>
      <w:r w:rsidRPr="00DE5A4C">
        <w:rPr>
          <w:rFonts w:cs="Arial"/>
        </w:rPr>
        <w:t xml:space="preserve"> Article 4(1)(b)</w:t>
      </w:r>
      <w:r w:rsidR="00751015" w:rsidRPr="00DE5A4C">
        <w:rPr>
          <w:rFonts w:cs="Arial"/>
        </w:rPr>
        <w:t xml:space="preserve"> of the IGA</w:t>
      </w:r>
      <w:r w:rsidR="00D6686D">
        <w:rPr>
          <w:rFonts w:cs="Arial"/>
        </w:rPr>
        <w:t>.</w:t>
      </w:r>
    </w:p>
    <w:p w14:paraId="41D98B03" w14:textId="41AB8110" w:rsidR="00791792" w:rsidRPr="005010FA" w:rsidRDefault="00884324" w:rsidP="007E42F2">
      <w:pPr>
        <w:pStyle w:val="Body1"/>
        <w:tabs>
          <w:tab w:val="left" w:pos="2250"/>
        </w:tabs>
        <w:spacing w:before="240" w:after="200"/>
        <w:ind w:left="2340" w:hanging="900"/>
        <w:rPr>
          <w:rFonts w:cs="Arial"/>
        </w:rPr>
      </w:pPr>
      <w:r w:rsidRPr="005010FA">
        <w:rPr>
          <w:rFonts w:cs="Arial"/>
        </w:rPr>
        <w:t xml:space="preserve">4.2.1.2 </w:t>
      </w:r>
      <w:r w:rsidR="00E10ED9">
        <w:rPr>
          <w:rFonts w:cs="Arial"/>
        </w:rPr>
        <w:tab/>
      </w:r>
      <w:r w:rsidR="003F0B76">
        <w:rPr>
          <w:rFonts w:cs="Arial"/>
        </w:rPr>
        <w:tab/>
      </w:r>
      <w:r w:rsidRPr="005010FA">
        <w:rPr>
          <w:rFonts w:cs="Arial"/>
          <w:u w:val="single"/>
        </w:rPr>
        <w:t>Failure to Timely Correct</w:t>
      </w:r>
      <w:r w:rsidR="00BF6809">
        <w:rPr>
          <w:rFonts w:cs="Arial"/>
        </w:rPr>
        <w:t xml:space="preserve">: </w:t>
      </w:r>
      <w:r w:rsidR="00E42E4E" w:rsidRPr="005010FA">
        <w:rPr>
          <w:rFonts w:cs="Arial"/>
        </w:rPr>
        <w:t xml:space="preserve">Failure by </w:t>
      </w:r>
      <w:r w:rsidR="0039641B" w:rsidRPr="005010FA">
        <w:rPr>
          <w:rFonts w:cs="Arial"/>
        </w:rPr>
        <w:t>a</w:t>
      </w:r>
      <w:r w:rsidRPr="005010FA">
        <w:rPr>
          <w:rFonts w:cs="Arial"/>
        </w:rPr>
        <w:t xml:space="preserve"> Reporting </w:t>
      </w:r>
      <w:r w:rsidR="003F0492">
        <w:rPr>
          <w:rFonts w:cs="Arial"/>
        </w:rPr>
        <w:t>Serbian</w:t>
      </w:r>
      <w:r w:rsidR="0018279F">
        <w:rPr>
          <w:rFonts w:cs="Arial"/>
        </w:rPr>
        <w:t xml:space="preserve"> </w:t>
      </w:r>
      <w:r w:rsidRPr="005010FA">
        <w:rPr>
          <w:rFonts w:cs="Arial"/>
        </w:rPr>
        <w:t xml:space="preserve">Financial </w:t>
      </w:r>
      <w:r w:rsidR="00967C64" w:rsidRPr="005010FA">
        <w:rPr>
          <w:rFonts w:cs="Arial"/>
        </w:rPr>
        <w:t>Institution</w:t>
      </w:r>
      <w:r w:rsidR="00CF4728">
        <w:rPr>
          <w:rFonts w:cs="Arial"/>
        </w:rPr>
        <w:t xml:space="preserve"> </w:t>
      </w:r>
      <w:r w:rsidR="00967C64" w:rsidRPr="00DE5A4C">
        <w:rPr>
          <w:rFonts w:cs="Arial"/>
        </w:rPr>
        <w:t>to</w:t>
      </w:r>
      <w:r w:rsidRPr="005010FA">
        <w:rPr>
          <w:rFonts w:cs="Arial"/>
        </w:rPr>
        <w:t xml:space="preserve"> correct administrative or other minor errors</w:t>
      </w:r>
      <w:r w:rsidR="00967C64" w:rsidRPr="005010FA">
        <w:rPr>
          <w:rFonts w:cs="Arial"/>
        </w:rPr>
        <w:t xml:space="preserve"> may</w:t>
      </w:r>
      <w:r w:rsidR="004D5AA8" w:rsidRPr="005010FA">
        <w:rPr>
          <w:rFonts w:cs="Arial"/>
        </w:rPr>
        <w:t xml:space="preserve">, in the discretion of the </w:t>
      </w:r>
      <w:r w:rsidR="00596BD5">
        <w:rPr>
          <w:rFonts w:cs="Arial"/>
        </w:rPr>
        <w:t>U.S.</w:t>
      </w:r>
      <w:r w:rsidR="00596BD5" w:rsidRPr="005010FA">
        <w:rPr>
          <w:rFonts w:cs="Arial"/>
        </w:rPr>
        <w:t xml:space="preserve"> </w:t>
      </w:r>
      <w:r w:rsidR="004D5AA8" w:rsidRPr="005010FA">
        <w:rPr>
          <w:rFonts w:cs="Arial"/>
        </w:rPr>
        <w:t>Competent Authority,</w:t>
      </w:r>
      <w:r w:rsidRPr="005010FA">
        <w:rPr>
          <w:rFonts w:cs="Arial"/>
        </w:rPr>
        <w:t xml:space="preserve"> </w:t>
      </w:r>
      <w:r w:rsidR="0039641B" w:rsidRPr="005010FA">
        <w:rPr>
          <w:rFonts w:cs="Arial"/>
        </w:rPr>
        <w:t>lead to</w:t>
      </w:r>
      <w:r w:rsidR="00897426" w:rsidRPr="005010FA">
        <w:rPr>
          <w:rFonts w:cs="Arial"/>
        </w:rPr>
        <w:t xml:space="preserve"> a determination of </w:t>
      </w:r>
      <w:r w:rsidRPr="005010FA">
        <w:rPr>
          <w:rFonts w:cs="Arial"/>
        </w:rPr>
        <w:t>significant non-compliance</w:t>
      </w:r>
      <w:r w:rsidR="00897426" w:rsidRPr="005010FA">
        <w:rPr>
          <w:rFonts w:cs="Arial"/>
        </w:rPr>
        <w:t xml:space="preserve">. The Competent Authorities </w:t>
      </w:r>
      <w:r w:rsidR="004D5AA8" w:rsidRPr="005010FA">
        <w:rPr>
          <w:rFonts w:cs="Arial"/>
        </w:rPr>
        <w:t>expect, however, that</w:t>
      </w:r>
      <w:r w:rsidR="00967C64" w:rsidRPr="005010FA">
        <w:rPr>
          <w:rFonts w:cs="Arial"/>
        </w:rPr>
        <w:t xml:space="preserve"> </w:t>
      </w:r>
      <w:r w:rsidR="009257D7" w:rsidRPr="005010FA">
        <w:rPr>
          <w:rFonts w:cs="Arial"/>
        </w:rPr>
        <w:t xml:space="preserve">in the ordinary course </w:t>
      </w:r>
      <w:r w:rsidR="00002E5A" w:rsidRPr="005010FA">
        <w:rPr>
          <w:rFonts w:cs="Arial"/>
        </w:rPr>
        <w:t xml:space="preserve">a determination of </w:t>
      </w:r>
      <w:r w:rsidR="00CF4728">
        <w:rPr>
          <w:rFonts w:cs="Arial"/>
        </w:rPr>
        <w:t xml:space="preserve">such </w:t>
      </w:r>
      <w:r w:rsidR="00002E5A" w:rsidRPr="005010FA">
        <w:rPr>
          <w:rFonts w:cs="Arial"/>
        </w:rPr>
        <w:t xml:space="preserve">significant non-compliance </w:t>
      </w:r>
      <w:r w:rsidR="00CF4728">
        <w:rPr>
          <w:rFonts w:cs="Arial"/>
        </w:rPr>
        <w:t>would</w:t>
      </w:r>
      <w:r w:rsidR="00CF4728" w:rsidRPr="005010FA">
        <w:rPr>
          <w:rFonts w:cs="Arial"/>
        </w:rPr>
        <w:t xml:space="preserve"> </w:t>
      </w:r>
      <w:r w:rsidR="004D5AA8" w:rsidRPr="005010FA">
        <w:rPr>
          <w:rFonts w:cs="Arial"/>
        </w:rPr>
        <w:t>not occur</w:t>
      </w:r>
      <w:r w:rsidR="00002E5A" w:rsidRPr="005010FA">
        <w:rPr>
          <w:rFonts w:cs="Arial"/>
        </w:rPr>
        <w:t xml:space="preserve"> until at least</w:t>
      </w:r>
      <w:r w:rsidR="00897426" w:rsidRPr="005010FA">
        <w:rPr>
          <w:rFonts w:cs="Arial"/>
        </w:rPr>
        <w:t xml:space="preserve"> </w:t>
      </w:r>
      <w:r w:rsidR="000A62FD" w:rsidRPr="005010FA">
        <w:rPr>
          <w:rFonts w:cs="Arial"/>
        </w:rPr>
        <w:t>120</w:t>
      </w:r>
      <w:r w:rsidRPr="005010FA">
        <w:rPr>
          <w:rFonts w:cs="Arial"/>
        </w:rPr>
        <w:t xml:space="preserve"> days after the notice specified in </w:t>
      </w:r>
      <w:r w:rsidR="005B28B9" w:rsidRPr="005010FA">
        <w:rPr>
          <w:rFonts w:cs="Arial"/>
        </w:rPr>
        <w:t>Paragraph</w:t>
      </w:r>
      <w:r w:rsidRPr="005010FA">
        <w:rPr>
          <w:rFonts w:cs="Arial"/>
        </w:rPr>
        <w:t xml:space="preserve"> 4.3.1 is </w:t>
      </w:r>
      <w:r w:rsidR="00B621E1">
        <w:rPr>
          <w:rFonts w:cs="Arial"/>
        </w:rPr>
        <w:t xml:space="preserve">provided to, and </w:t>
      </w:r>
      <w:r w:rsidR="00552778">
        <w:rPr>
          <w:rFonts w:cs="Arial"/>
        </w:rPr>
        <w:t>received</w:t>
      </w:r>
      <w:r w:rsidR="00552778" w:rsidRPr="005010FA">
        <w:rPr>
          <w:rFonts w:cs="Arial"/>
        </w:rPr>
        <w:t xml:space="preserve"> </w:t>
      </w:r>
      <w:r w:rsidR="00B621E1">
        <w:rPr>
          <w:rFonts w:cs="Arial"/>
        </w:rPr>
        <w:t>by,</w:t>
      </w:r>
      <w:r w:rsidRPr="005010FA">
        <w:rPr>
          <w:rFonts w:cs="Arial"/>
        </w:rPr>
        <w:t xml:space="preserve"> the </w:t>
      </w:r>
      <w:r w:rsidR="003F0492">
        <w:rPr>
          <w:rFonts w:cs="Arial"/>
        </w:rPr>
        <w:t>Serbian</w:t>
      </w:r>
      <w:r w:rsidR="00596BD5" w:rsidRPr="005010FA">
        <w:rPr>
          <w:rFonts w:cs="Arial"/>
        </w:rPr>
        <w:t xml:space="preserve"> </w:t>
      </w:r>
      <w:r w:rsidRPr="005010FA">
        <w:rPr>
          <w:rFonts w:cs="Arial"/>
        </w:rPr>
        <w:t>Competent Authority</w:t>
      </w:r>
      <w:r w:rsidR="00552778">
        <w:rPr>
          <w:rFonts w:cs="Arial"/>
        </w:rPr>
        <w:t xml:space="preserve"> (per Paragraph 3.3.4)</w:t>
      </w:r>
      <w:r w:rsidRPr="005010FA">
        <w:rPr>
          <w:rFonts w:cs="Arial"/>
        </w:rPr>
        <w:t>.</w:t>
      </w:r>
    </w:p>
    <w:p w14:paraId="51B6BC1E" w14:textId="20032370" w:rsidR="00DD487F" w:rsidRPr="005010FA" w:rsidRDefault="00884324" w:rsidP="007E42F2">
      <w:pPr>
        <w:pStyle w:val="Body1"/>
        <w:tabs>
          <w:tab w:val="left" w:pos="2340"/>
        </w:tabs>
        <w:spacing w:before="240" w:after="200"/>
        <w:ind w:left="2340" w:hanging="900"/>
        <w:rPr>
          <w:rFonts w:cs="Arial"/>
        </w:rPr>
      </w:pPr>
      <w:r w:rsidRPr="005010FA">
        <w:rPr>
          <w:rFonts w:cs="Arial"/>
        </w:rPr>
        <w:t xml:space="preserve">4.2.1.3 </w:t>
      </w:r>
      <w:r w:rsidR="00E10ED9">
        <w:rPr>
          <w:rFonts w:cs="Arial"/>
        </w:rPr>
        <w:tab/>
      </w:r>
      <w:r w:rsidRPr="005010FA">
        <w:rPr>
          <w:rFonts w:cs="Arial"/>
          <w:u w:val="single"/>
        </w:rPr>
        <w:t xml:space="preserve">Other </w:t>
      </w:r>
      <w:r w:rsidR="00C34F3D" w:rsidRPr="005010FA">
        <w:rPr>
          <w:rFonts w:cs="Arial"/>
          <w:u w:val="single"/>
        </w:rPr>
        <w:t>Non-compliance</w:t>
      </w:r>
      <w:r w:rsidRPr="005010FA">
        <w:rPr>
          <w:rFonts w:cs="Arial"/>
          <w:u w:val="single"/>
        </w:rPr>
        <w:t xml:space="preserve"> </w:t>
      </w:r>
      <w:r w:rsidR="000A62FD" w:rsidRPr="005010FA">
        <w:rPr>
          <w:rFonts w:cs="Arial"/>
          <w:u w:val="single"/>
        </w:rPr>
        <w:t>U</w:t>
      </w:r>
      <w:r w:rsidRPr="005010FA">
        <w:rPr>
          <w:rFonts w:cs="Arial"/>
          <w:u w:val="single"/>
        </w:rPr>
        <w:t>nder the IGA</w:t>
      </w:r>
      <w:r w:rsidRPr="005010FA">
        <w:rPr>
          <w:rFonts w:cs="Arial"/>
        </w:rPr>
        <w:t xml:space="preserve">: The U.S. Competent Authority may </w:t>
      </w:r>
      <w:r w:rsidR="004D5AA8" w:rsidRPr="005010FA">
        <w:rPr>
          <w:rFonts w:cs="Arial"/>
        </w:rPr>
        <w:t>make a determination of significant non-compliance</w:t>
      </w:r>
      <w:r w:rsidR="00FB14F2" w:rsidRPr="005010FA">
        <w:rPr>
          <w:rFonts w:cs="Arial"/>
        </w:rPr>
        <w:t xml:space="preserve"> with respect to</w:t>
      </w:r>
      <w:r w:rsidR="00CD0EDD" w:rsidRPr="005010FA">
        <w:rPr>
          <w:rFonts w:cs="Arial"/>
        </w:rPr>
        <w:t xml:space="preserve"> </w:t>
      </w:r>
      <w:r w:rsidRPr="005010FA">
        <w:rPr>
          <w:rFonts w:cs="Arial"/>
        </w:rPr>
        <w:t xml:space="preserve">a </w:t>
      </w:r>
      <w:r w:rsidR="00CF4728">
        <w:rPr>
          <w:rFonts w:cs="Arial"/>
        </w:rPr>
        <w:t xml:space="preserve">Reporting </w:t>
      </w:r>
      <w:r w:rsidR="003F0492">
        <w:rPr>
          <w:rFonts w:cs="Arial"/>
        </w:rPr>
        <w:t>Serbian</w:t>
      </w:r>
      <w:r w:rsidRPr="005010FA">
        <w:rPr>
          <w:rFonts w:cs="Arial"/>
        </w:rPr>
        <w:t xml:space="preserve"> Financial Institution</w:t>
      </w:r>
      <w:r w:rsidR="0087541D" w:rsidRPr="005010FA">
        <w:rPr>
          <w:rFonts w:cs="Arial"/>
        </w:rPr>
        <w:t xml:space="preserve"> </w:t>
      </w:r>
      <w:r w:rsidR="0084012B">
        <w:rPr>
          <w:rFonts w:cs="Arial"/>
        </w:rPr>
        <w:t>to the extent it does not meet</w:t>
      </w:r>
      <w:r w:rsidRPr="005010FA">
        <w:rPr>
          <w:rFonts w:cs="Arial"/>
        </w:rPr>
        <w:t xml:space="preserve"> </w:t>
      </w:r>
      <w:r w:rsidR="00FB14F2" w:rsidRPr="005010FA">
        <w:rPr>
          <w:rFonts w:cs="Arial"/>
        </w:rPr>
        <w:t xml:space="preserve">the </w:t>
      </w:r>
      <w:r w:rsidR="00002E5A" w:rsidRPr="005010FA">
        <w:rPr>
          <w:rFonts w:cs="Arial"/>
        </w:rPr>
        <w:t xml:space="preserve">conditions set forth in </w:t>
      </w:r>
      <w:r w:rsidRPr="005010FA">
        <w:rPr>
          <w:rFonts w:cs="Arial"/>
        </w:rPr>
        <w:t>Article 4</w:t>
      </w:r>
      <w:r w:rsidR="00751015" w:rsidRPr="005010FA">
        <w:rPr>
          <w:rFonts w:cs="Arial"/>
        </w:rPr>
        <w:t xml:space="preserve"> of the IGA</w:t>
      </w:r>
      <w:r w:rsidR="00FB14F2" w:rsidRPr="005010FA">
        <w:rPr>
          <w:rFonts w:cs="Arial"/>
        </w:rPr>
        <w:t>, including</w:t>
      </w:r>
      <w:r w:rsidR="00182AF0" w:rsidRPr="005010FA">
        <w:rPr>
          <w:rFonts w:cs="Arial"/>
        </w:rPr>
        <w:t xml:space="preserve"> by failing </w:t>
      </w:r>
      <w:r w:rsidR="00CF4728">
        <w:rPr>
          <w:rFonts w:cs="Arial"/>
        </w:rPr>
        <w:t xml:space="preserve">to </w:t>
      </w:r>
      <w:r w:rsidR="00182AF0" w:rsidRPr="005010FA">
        <w:rPr>
          <w:rFonts w:cs="Arial"/>
        </w:rPr>
        <w:t>(i) withhold on any U.S. Source With</w:t>
      </w:r>
      <w:r w:rsidR="008F314A" w:rsidRPr="005010FA">
        <w:rPr>
          <w:rFonts w:cs="Arial"/>
        </w:rPr>
        <w:t>h</w:t>
      </w:r>
      <w:r w:rsidR="00182AF0" w:rsidRPr="005010FA">
        <w:rPr>
          <w:rFonts w:cs="Arial"/>
        </w:rPr>
        <w:t>oldable Paymen</w:t>
      </w:r>
      <w:r w:rsidR="008F314A" w:rsidRPr="005010FA">
        <w:rPr>
          <w:rFonts w:cs="Arial"/>
        </w:rPr>
        <w:t>t made to any Nonparticipating F</w:t>
      </w:r>
      <w:r w:rsidR="00182AF0" w:rsidRPr="005010FA">
        <w:rPr>
          <w:rFonts w:cs="Arial"/>
        </w:rPr>
        <w:t>inancial Institution to the ext</w:t>
      </w:r>
      <w:r w:rsidR="008F314A" w:rsidRPr="005010FA">
        <w:rPr>
          <w:rFonts w:cs="Arial"/>
        </w:rPr>
        <w:t>ent required under Article 4(1)(</w:t>
      </w:r>
      <w:r w:rsidR="00182AF0" w:rsidRPr="005010FA">
        <w:rPr>
          <w:rFonts w:cs="Arial"/>
        </w:rPr>
        <w:t xml:space="preserve">d) of the IGA; (ii) provide to any immediate payor </w:t>
      </w:r>
      <w:r w:rsidR="008F314A" w:rsidRPr="005010FA">
        <w:rPr>
          <w:rFonts w:cs="Arial"/>
        </w:rPr>
        <w:t>of a U.S. Source Withholdable Payment the information required for withholding and reporting on any such payment to a Nonparticipating Financial Institution to the extent required under Article 4(1)(e) of the IGA; and (iii) comply with Article 4(5) of the IGA with respect to Related Entities and branches that are Nonparticipating Financial Institutions</w:t>
      </w:r>
      <w:r w:rsidRPr="005010FA">
        <w:rPr>
          <w:rFonts w:cs="Arial"/>
        </w:rPr>
        <w:t>.</w:t>
      </w:r>
      <w:r w:rsidR="000627C2" w:rsidRPr="005010FA">
        <w:rPr>
          <w:rFonts w:cs="Arial"/>
        </w:rPr>
        <w:t xml:space="preserve"> </w:t>
      </w:r>
      <w:r w:rsidR="00FB14F2" w:rsidRPr="00DE5A4C">
        <w:rPr>
          <w:rFonts w:cs="Arial"/>
        </w:rPr>
        <w:t>Lack of compliance</w:t>
      </w:r>
      <w:r w:rsidR="000627C2" w:rsidRPr="005010FA">
        <w:rPr>
          <w:rFonts w:cs="Arial"/>
        </w:rPr>
        <w:t xml:space="preserve"> with other conditions </w:t>
      </w:r>
      <w:r w:rsidR="00FB14F2" w:rsidRPr="00DE5A4C">
        <w:rPr>
          <w:rFonts w:cs="Arial"/>
        </w:rPr>
        <w:t>set forth in Article 4</w:t>
      </w:r>
      <w:r w:rsidR="00CF4728">
        <w:rPr>
          <w:rFonts w:cs="Arial"/>
        </w:rPr>
        <w:t>,</w:t>
      </w:r>
      <w:r w:rsidR="00FB14F2" w:rsidRPr="00DE5A4C">
        <w:rPr>
          <w:rFonts w:cs="Arial"/>
        </w:rPr>
        <w:t xml:space="preserve"> </w:t>
      </w:r>
      <w:r w:rsidR="000627C2" w:rsidRPr="005010FA">
        <w:rPr>
          <w:rFonts w:cs="Arial"/>
        </w:rPr>
        <w:t xml:space="preserve">such as compliance with </w:t>
      </w:r>
      <w:r w:rsidR="00FB14F2" w:rsidRPr="00DE5A4C">
        <w:rPr>
          <w:rFonts w:cs="Arial"/>
        </w:rPr>
        <w:t xml:space="preserve">applicable </w:t>
      </w:r>
      <w:r w:rsidR="000627C2" w:rsidRPr="005010FA">
        <w:rPr>
          <w:rFonts w:cs="Arial"/>
        </w:rPr>
        <w:t>registration requirements, may also lead to a determination of significant non-compliance</w:t>
      </w:r>
      <w:r w:rsidR="00FB14F2" w:rsidRPr="00DE5A4C">
        <w:rPr>
          <w:rFonts w:cs="Arial"/>
        </w:rPr>
        <w:t xml:space="preserve"> with regard to a </w:t>
      </w:r>
      <w:r w:rsidR="00CF4728">
        <w:rPr>
          <w:rFonts w:cs="Arial"/>
        </w:rPr>
        <w:t xml:space="preserve">Reporting </w:t>
      </w:r>
      <w:r w:rsidR="003F0492">
        <w:rPr>
          <w:rFonts w:cs="Arial"/>
        </w:rPr>
        <w:t>Serbian</w:t>
      </w:r>
      <w:r w:rsidR="00FB14F2" w:rsidRPr="00DE5A4C">
        <w:rPr>
          <w:rFonts w:cs="Arial"/>
        </w:rPr>
        <w:t xml:space="preserve"> Financial Institution</w:t>
      </w:r>
      <w:r w:rsidR="000627C2" w:rsidRPr="005010FA">
        <w:rPr>
          <w:rFonts w:cs="Arial"/>
        </w:rPr>
        <w:t>.</w:t>
      </w:r>
    </w:p>
    <w:p w14:paraId="6A5BB66B" w14:textId="77777777" w:rsidR="00DD487F" w:rsidRPr="005010FA" w:rsidRDefault="005238AE" w:rsidP="007E42F2">
      <w:pPr>
        <w:pStyle w:val="Body1"/>
        <w:tabs>
          <w:tab w:val="left" w:pos="2340"/>
        </w:tabs>
        <w:spacing w:before="240" w:after="200"/>
        <w:ind w:left="2340" w:hanging="900"/>
        <w:rPr>
          <w:rFonts w:cs="Arial"/>
        </w:rPr>
      </w:pPr>
      <w:r w:rsidRPr="005010FA">
        <w:rPr>
          <w:rFonts w:cs="Arial"/>
        </w:rPr>
        <w:t>4.2.1.4</w:t>
      </w:r>
      <w:r w:rsidR="005E3E8D" w:rsidRPr="005010FA">
        <w:rPr>
          <w:rFonts w:cs="Arial"/>
        </w:rPr>
        <w:t xml:space="preserve"> </w:t>
      </w:r>
      <w:r w:rsidR="00E10ED9">
        <w:rPr>
          <w:rFonts w:cs="Arial"/>
        </w:rPr>
        <w:tab/>
      </w:r>
      <w:r w:rsidR="005E3E8D" w:rsidRPr="005010FA">
        <w:rPr>
          <w:rFonts w:cs="Arial"/>
          <w:u w:val="single"/>
        </w:rPr>
        <w:t>Consultation</w:t>
      </w:r>
      <w:r w:rsidR="0029161B">
        <w:rPr>
          <w:rFonts w:cs="Arial"/>
        </w:rPr>
        <w:t>:</w:t>
      </w:r>
      <w:r w:rsidR="00BF6809">
        <w:rPr>
          <w:rFonts w:cs="Arial"/>
        </w:rPr>
        <w:t xml:space="preserve"> </w:t>
      </w:r>
      <w:r w:rsidR="00CD0EDD" w:rsidRPr="005010FA">
        <w:rPr>
          <w:rFonts w:cs="Arial"/>
        </w:rPr>
        <w:t>In the ordinary course, t</w:t>
      </w:r>
      <w:r w:rsidR="005E3E8D" w:rsidRPr="005010FA">
        <w:rPr>
          <w:rFonts w:cs="Arial"/>
        </w:rPr>
        <w:t>he Competent Authorities anticipate consultation prior to a determination of significant non-compliance.</w:t>
      </w:r>
    </w:p>
    <w:p w14:paraId="5B7219CF" w14:textId="77777777" w:rsidR="00833C3B" w:rsidRPr="005010FA" w:rsidRDefault="00884324" w:rsidP="00C059F3">
      <w:pPr>
        <w:pStyle w:val="Body1"/>
        <w:spacing w:before="240" w:after="200"/>
        <w:ind w:left="1440"/>
        <w:rPr>
          <w:rFonts w:cs="Arial"/>
        </w:rPr>
      </w:pPr>
      <w:r w:rsidRPr="005010FA">
        <w:rPr>
          <w:rFonts w:cs="Arial"/>
        </w:rPr>
        <w:t>4.2.2</w:t>
      </w:r>
      <w:r w:rsidRPr="005010FA">
        <w:rPr>
          <w:rFonts w:cs="Arial"/>
        </w:rPr>
        <w:tab/>
      </w:r>
      <w:r w:rsidRPr="005010FA">
        <w:rPr>
          <w:rFonts w:cs="Arial"/>
          <w:u w:val="single"/>
        </w:rPr>
        <w:t>Administrative or Other Minor Errors</w:t>
      </w:r>
      <w:r w:rsidRPr="005010FA">
        <w:rPr>
          <w:rFonts w:cs="Arial"/>
        </w:rPr>
        <w:t xml:space="preserve">: </w:t>
      </w:r>
      <w:r w:rsidR="00EC4B09">
        <w:rPr>
          <w:rFonts w:cs="Arial"/>
        </w:rPr>
        <w:t>Under</w:t>
      </w:r>
      <w:r w:rsidR="008A7D69" w:rsidRPr="005010FA">
        <w:rPr>
          <w:rFonts w:cs="Arial"/>
        </w:rPr>
        <w:t xml:space="preserve"> Article 5(</w:t>
      </w:r>
      <w:r w:rsidR="00214ED2">
        <w:rPr>
          <w:rFonts w:cs="Arial"/>
        </w:rPr>
        <w:t>2</w:t>
      </w:r>
      <w:r w:rsidR="008A7D69" w:rsidRPr="005010FA">
        <w:rPr>
          <w:rFonts w:cs="Arial"/>
        </w:rPr>
        <w:t xml:space="preserve">) of the IGA, administrative and other minor errors </w:t>
      </w:r>
      <w:r w:rsidR="001719F3">
        <w:rPr>
          <w:rFonts w:cs="Arial"/>
        </w:rPr>
        <w:t xml:space="preserve">include </w:t>
      </w:r>
      <w:r w:rsidR="00EC4B09">
        <w:rPr>
          <w:rFonts w:cs="Arial"/>
        </w:rPr>
        <w:t xml:space="preserve">incorrect or incomplete </w:t>
      </w:r>
      <w:r w:rsidR="001719F3">
        <w:rPr>
          <w:rFonts w:cs="Arial"/>
        </w:rPr>
        <w:t>reporting</w:t>
      </w:r>
      <w:r w:rsidR="0029161B">
        <w:rPr>
          <w:rFonts w:cs="Arial"/>
        </w:rPr>
        <w:t xml:space="preserve"> of</w:t>
      </w:r>
      <w:r w:rsidR="001719F3">
        <w:rPr>
          <w:rFonts w:cs="Arial"/>
        </w:rPr>
        <w:t xml:space="preserve"> </w:t>
      </w:r>
      <w:r w:rsidR="0029161B">
        <w:rPr>
          <w:rFonts w:cs="Arial"/>
        </w:rPr>
        <w:t xml:space="preserve">information </w:t>
      </w:r>
      <w:r w:rsidR="001719F3">
        <w:rPr>
          <w:rFonts w:cs="Arial"/>
        </w:rPr>
        <w:t xml:space="preserve">described </w:t>
      </w:r>
      <w:r w:rsidR="00EC4B09">
        <w:rPr>
          <w:rFonts w:cs="Arial"/>
        </w:rPr>
        <w:t>under Article</w:t>
      </w:r>
      <w:r w:rsidR="00CF4728">
        <w:rPr>
          <w:rFonts w:cs="Arial"/>
        </w:rPr>
        <w:t>s</w:t>
      </w:r>
      <w:r w:rsidR="00EC4B09">
        <w:rPr>
          <w:rFonts w:cs="Arial"/>
        </w:rPr>
        <w:t xml:space="preserve"> 2(2) and 4(1)(b) of the IGA </w:t>
      </w:r>
      <w:r w:rsidR="001719F3">
        <w:rPr>
          <w:rFonts w:cs="Arial"/>
        </w:rPr>
        <w:t xml:space="preserve">or other errors that result in </w:t>
      </w:r>
      <w:r w:rsidR="00EC4B09">
        <w:rPr>
          <w:rFonts w:cs="Arial"/>
        </w:rPr>
        <w:t>infringements of the IGA.</w:t>
      </w:r>
    </w:p>
    <w:p w14:paraId="43550C77" w14:textId="53F23183" w:rsidR="005965A7" w:rsidRPr="00B96DF3" w:rsidRDefault="00884324" w:rsidP="007E42F2">
      <w:pPr>
        <w:pStyle w:val="Body1"/>
        <w:spacing w:before="240" w:after="200"/>
        <w:ind w:left="2340" w:hanging="900"/>
        <w:rPr>
          <w:rFonts w:cs="Arial"/>
        </w:rPr>
      </w:pPr>
      <w:r w:rsidRPr="005010FA">
        <w:rPr>
          <w:rFonts w:cs="Arial"/>
        </w:rPr>
        <w:t xml:space="preserve">4.2.2.1 </w:t>
      </w:r>
      <w:r w:rsidR="00E10ED9">
        <w:rPr>
          <w:rFonts w:cs="Arial"/>
        </w:rPr>
        <w:tab/>
      </w:r>
      <w:r w:rsidRPr="005010FA">
        <w:rPr>
          <w:rFonts w:cs="Arial"/>
          <w:u w:val="single"/>
        </w:rPr>
        <w:t>Self-initiated Reporting Changes</w:t>
      </w:r>
      <w:r w:rsidR="00BF6809">
        <w:rPr>
          <w:rFonts w:cs="Arial"/>
        </w:rPr>
        <w:t xml:space="preserve">: </w:t>
      </w:r>
      <w:r w:rsidR="006D01AD" w:rsidRPr="005010FA">
        <w:rPr>
          <w:rFonts w:cs="Arial"/>
        </w:rPr>
        <w:t xml:space="preserve">In the event </w:t>
      </w:r>
      <w:r w:rsidR="00596BD5">
        <w:rPr>
          <w:rFonts w:cs="Arial"/>
        </w:rPr>
        <w:t xml:space="preserve">the </w:t>
      </w:r>
      <w:r w:rsidR="003F0492">
        <w:rPr>
          <w:rFonts w:cs="Arial"/>
        </w:rPr>
        <w:t>Serbian</w:t>
      </w:r>
      <w:r w:rsidR="006D01AD" w:rsidRPr="005010FA">
        <w:rPr>
          <w:rFonts w:cs="Arial"/>
        </w:rPr>
        <w:t xml:space="preserve"> Competent Authority receives a notice from a</w:t>
      </w:r>
      <w:r w:rsidRPr="005010FA">
        <w:rPr>
          <w:rFonts w:cs="Arial"/>
        </w:rPr>
        <w:t xml:space="preserve"> Reporting </w:t>
      </w:r>
      <w:r w:rsidR="003F0492">
        <w:rPr>
          <w:rFonts w:cs="Arial"/>
        </w:rPr>
        <w:t>Serbian</w:t>
      </w:r>
      <w:r w:rsidR="00240197">
        <w:rPr>
          <w:rFonts w:cs="Arial"/>
        </w:rPr>
        <w:t xml:space="preserve"> </w:t>
      </w:r>
      <w:r w:rsidRPr="005010FA">
        <w:rPr>
          <w:rFonts w:cs="Arial"/>
        </w:rPr>
        <w:t xml:space="preserve">Financial Institution </w:t>
      </w:r>
      <w:r w:rsidR="00CF4728">
        <w:rPr>
          <w:rFonts w:cs="Arial"/>
        </w:rPr>
        <w:t xml:space="preserve">or </w:t>
      </w:r>
      <w:r w:rsidR="0008014A">
        <w:rPr>
          <w:rFonts w:cs="Arial"/>
        </w:rPr>
        <w:t xml:space="preserve">by or on behalf of </w:t>
      </w:r>
      <w:r w:rsidR="000774B9">
        <w:rPr>
          <w:rFonts w:cs="Arial"/>
        </w:rPr>
        <w:t xml:space="preserve">a </w:t>
      </w:r>
      <w:r w:rsidR="00CF4728">
        <w:rPr>
          <w:rFonts w:cs="Arial"/>
        </w:rPr>
        <w:t xml:space="preserve">Paragraph 1.1.2 Financial Institution </w:t>
      </w:r>
      <w:r w:rsidR="006D01AD" w:rsidRPr="005010FA">
        <w:rPr>
          <w:rFonts w:cs="Arial"/>
        </w:rPr>
        <w:t xml:space="preserve">regarding </w:t>
      </w:r>
      <w:r w:rsidRPr="005010FA">
        <w:rPr>
          <w:rFonts w:cs="Arial"/>
        </w:rPr>
        <w:t xml:space="preserve">an omission or other error in </w:t>
      </w:r>
      <w:r w:rsidR="006D01AD" w:rsidRPr="005010FA">
        <w:rPr>
          <w:rFonts w:cs="Arial"/>
        </w:rPr>
        <w:t>a</w:t>
      </w:r>
      <w:r w:rsidR="001719F3">
        <w:rPr>
          <w:rFonts w:cs="Arial"/>
        </w:rPr>
        <w:t xml:space="preserve">n exchanged </w:t>
      </w:r>
      <w:r w:rsidR="006D01AD" w:rsidRPr="005010FA">
        <w:rPr>
          <w:rFonts w:cs="Arial"/>
        </w:rPr>
        <w:t xml:space="preserve">report, the report </w:t>
      </w:r>
      <w:r w:rsidR="001719F3">
        <w:rPr>
          <w:rFonts w:cs="Arial"/>
        </w:rPr>
        <w:t>should</w:t>
      </w:r>
      <w:r w:rsidR="001719F3" w:rsidRPr="005010FA">
        <w:rPr>
          <w:rFonts w:cs="Arial"/>
        </w:rPr>
        <w:t xml:space="preserve"> </w:t>
      </w:r>
      <w:r w:rsidR="006D01AD" w:rsidRPr="005010FA">
        <w:rPr>
          <w:rFonts w:cs="Arial"/>
        </w:rPr>
        <w:t xml:space="preserve">be </w:t>
      </w:r>
      <w:r w:rsidR="00C54BBF">
        <w:rPr>
          <w:rFonts w:cs="Arial"/>
        </w:rPr>
        <w:t>amended</w:t>
      </w:r>
      <w:r w:rsidR="00BF6809">
        <w:rPr>
          <w:rFonts w:cs="Arial"/>
        </w:rPr>
        <w:t>.</w:t>
      </w:r>
      <w:r w:rsidR="00B305CB" w:rsidRPr="005010FA">
        <w:rPr>
          <w:rFonts w:cs="Arial"/>
        </w:rPr>
        <w:t xml:space="preserve"> The </w:t>
      </w:r>
      <w:r w:rsidR="003F0492">
        <w:rPr>
          <w:rFonts w:cs="Arial"/>
        </w:rPr>
        <w:t>Serbian</w:t>
      </w:r>
      <w:r w:rsidR="00596BD5">
        <w:rPr>
          <w:rFonts w:cs="Arial"/>
        </w:rPr>
        <w:t xml:space="preserve"> </w:t>
      </w:r>
      <w:r w:rsidR="00B305CB" w:rsidRPr="005010FA">
        <w:rPr>
          <w:rFonts w:cs="Arial"/>
        </w:rPr>
        <w:t xml:space="preserve">Competent Authority </w:t>
      </w:r>
      <w:r w:rsidR="001719F3">
        <w:rPr>
          <w:rFonts w:cs="Arial"/>
        </w:rPr>
        <w:t>should</w:t>
      </w:r>
      <w:r w:rsidR="001719F3" w:rsidRPr="005010FA">
        <w:rPr>
          <w:rFonts w:cs="Arial"/>
        </w:rPr>
        <w:t xml:space="preserve"> </w:t>
      </w:r>
      <w:r w:rsidR="00B305CB" w:rsidRPr="005010FA">
        <w:rPr>
          <w:rFonts w:cs="Arial"/>
        </w:rPr>
        <w:t xml:space="preserve">forward any </w:t>
      </w:r>
      <w:r w:rsidR="000F557C">
        <w:rPr>
          <w:rFonts w:cs="Arial"/>
        </w:rPr>
        <w:t>amended reports</w:t>
      </w:r>
      <w:r w:rsidR="00B305CB" w:rsidRPr="005010FA">
        <w:rPr>
          <w:rFonts w:cs="Arial"/>
        </w:rPr>
        <w:t xml:space="preserve"> to the </w:t>
      </w:r>
      <w:r w:rsidR="00596BD5">
        <w:rPr>
          <w:rFonts w:cs="Arial"/>
        </w:rPr>
        <w:t>U.S.</w:t>
      </w:r>
      <w:r w:rsidR="00596BD5" w:rsidRPr="005010FA">
        <w:rPr>
          <w:rFonts w:cs="Arial"/>
        </w:rPr>
        <w:t xml:space="preserve"> </w:t>
      </w:r>
      <w:r w:rsidR="00B305CB" w:rsidRPr="005010FA">
        <w:rPr>
          <w:rFonts w:cs="Arial"/>
        </w:rPr>
        <w:t>Competent Authority</w:t>
      </w:r>
      <w:r w:rsidR="000D102A" w:rsidRPr="005010FA">
        <w:rPr>
          <w:rFonts w:cs="Arial"/>
        </w:rPr>
        <w:t xml:space="preserve"> as </w:t>
      </w:r>
      <w:r w:rsidR="001719F3">
        <w:rPr>
          <w:rFonts w:cs="Arial"/>
        </w:rPr>
        <w:t>soon as practicable</w:t>
      </w:r>
      <w:r w:rsidR="00B305CB" w:rsidRPr="005010FA">
        <w:rPr>
          <w:rFonts w:cs="Arial"/>
        </w:rPr>
        <w:t xml:space="preserve">. </w:t>
      </w:r>
    </w:p>
    <w:p w14:paraId="30CC0B25" w14:textId="0D624429" w:rsidR="00CD0EDD" w:rsidRPr="005010FA" w:rsidRDefault="00884324" w:rsidP="00C059F3">
      <w:pPr>
        <w:pStyle w:val="Body1"/>
        <w:widowControl w:val="0"/>
        <w:spacing w:before="240" w:after="200"/>
        <w:ind w:left="720"/>
        <w:rPr>
          <w:rFonts w:cs="Arial"/>
        </w:rPr>
      </w:pPr>
      <w:r w:rsidRPr="005010FA">
        <w:rPr>
          <w:rFonts w:cs="Arial"/>
        </w:rPr>
        <w:t>4.3</w:t>
      </w:r>
      <w:r w:rsidRPr="005010FA">
        <w:rPr>
          <w:rFonts w:cs="Arial"/>
        </w:rPr>
        <w:tab/>
      </w:r>
      <w:r w:rsidRPr="005010FA">
        <w:rPr>
          <w:rFonts w:cs="Arial"/>
          <w:u w:val="single"/>
        </w:rPr>
        <w:t>Notification Procedures</w:t>
      </w:r>
      <w:r w:rsidR="008F5596">
        <w:rPr>
          <w:rFonts w:cs="Arial"/>
        </w:rPr>
        <w:t xml:space="preserve">: </w:t>
      </w:r>
      <w:r w:rsidR="001E40D0" w:rsidRPr="005010FA">
        <w:rPr>
          <w:rFonts w:cs="Arial"/>
        </w:rPr>
        <w:t>To address non</w:t>
      </w:r>
      <w:r w:rsidR="009072E9">
        <w:rPr>
          <w:rFonts w:cs="Arial"/>
        </w:rPr>
        <w:t>-</w:t>
      </w:r>
      <w:r w:rsidR="001E40D0" w:rsidRPr="005010FA">
        <w:rPr>
          <w:rFonts w:cs="Arial"/>
        </w:rPr>
        <w:t xml:space="preserve">compliance, </w:t>
      </w:r>
      <w:r w:rsidR="005C18F8">
        <w:rPr>
          <w:rFonts w:cs="Arial"/>
        </w:rPr>
        <w:t>the</w:t>
      </w:r>
      <w:r w:rsidR="005C18F8" w:rsidRPr="005010FA">
        <w:rPr>
          <w:rFonts w:cs="Arial"/>
        </w:rPr>
        <w:t xml:space="preserve"> </w:t>
      </w:r>
      <w:r w:rsidR="00542B51">
        <w:rPr>
          <w:rFonts w:cs="Arial"/>
        </w:rPr>
        <w:t>U.S.</w:t>
      </w:r>
      <w:r w:rsidR="00542B51" w:rsidRPr="005010FA">
        <w:rPr>
          <w:rFonts w:cs="Arial"/>
        </w:rPr>
        <w:t xml:space="preserve"> </w:t>
      </w:r>
      <w:r w:rsidRPr="005010FA">
        <w:rPr>
          <w:rFonts w:cs="Arial"/>
        </w:rPr>
        <w:t>Competent Authority</w:t>
      </w:r>
      <w:r w:rsidR="00AB0E17" w:rsidRPr="005010FA">
        <w:rPr>
          <w:rFonts w:cs="Arial"/>
        </w:rPr>
        <w:t xml:space="preserve"> </w:t>
      </w:r>
      <w:r w:rsidR="00394F80">
        <w:rPr>
          <w:rFonts w:cs="Arial"/>
        </w:rPr>
        <w:t xml:space="preserve">would </w:t>
      </w:r>
      <w:r w:rsidR="0050327E">
        <w:rPr>
          <w:rFonts w:cs="Arial"/>
        </w:rPr>
        <w:t>notify the</w:t>
      </w:r>
      <w:r w:rsidR="000A41ED" w:rsidRPr="005010FA">
        <w:rPr>
          <w:rFonts w:cs="Arial"/>
        </w:rPr>
        <w:t xml:space="preserve"> </w:t>
      </w:r>
      <w:r w:rsidR="003F0492">
        <w:rPr>
          <w:rFonts w:cs="Arial"/>
        </w:rPr>
        <w:t>Serbian</w:t>
      </w:r>
      <w:r w:rsidR="00542B51" w:rsidRPr="005010FA">
        <w:rPr>
          <w:rFonts w:cs="Arial"/>
        </w:rPr>
        <w:t xml:space="preserve"> </w:t>
      </w:r>
      <w:r w:rsidRPr="005010FA">
        <w:rPr>
          <w:rFonts w:cs="Arial"/>
        </w:rPr>
        <w:t>Competent Authority</w:t>
      </w:r>
      <w:r w:rsidR="00AB0E17" w:rsidRPr="005010FA">
        <w:rPr>
          <w:rFonts w:cs="Arial"/>
        </w:rPr>
        <w:t xml:space="preserve"> pursuant to Article 5 of the IGA.</w:t>
      </w:r>
      <w:r w:rsidR="008F5596">
        <w:rPr>
          <w:rFonts w:cs="Arial"/>
        </w:rPr>
        <w:t xml:space="preserve"> </w:t>
      </w:r>
      <w:r w:rsidRPr="005010FA">
        <w:rPr>
          <w:rFonts w:cs="Arial"/>
        </w:rPr>
        <w:t xml:space="preserve">The notification procedures </w:t>
      </w:r>
      <w:r w:rsidR="00394F80">
        <w:rPr>
          <w:rFonts w:cs="Arial"/>
        </w:rPr>
        <w:t>would</w:t>
      </w:r>
      <w:r w:rsidR="00672D0B">
        <w:rPr>
          <w:rFonts w:cs="Arial"/>
        </w:rPr>
        <w:t xml:space="preserve"> </w:t>
      </w:r>
      <w:r w:rsidRPr="005010FA">
        <w:rPr>
          <w:rFonts w:cs="Arial"/>
        </w:rPr>
        <w:t xml:space="preserve">differ depending upon whether the </w:t>
      </w:r>
      <w:r w:rsidR="00D84CB1">
        <w:rPr>
          <w:rFonts w:cs="Arial"/>
        </w:rPr>
        <w:t>U.S.</w:t>
      </w:r>
      <w:r w:rsidR="00D84CB1" w:rsidRPr="005010FA">
        <w:rPr>
          <w:rFonts w:cs="Arial"/>
        </w:rPr>
        <w:t xml:space="preserve"> </w:t>
      </w:r>
      <w:r w:rsidRPr="005010FA">
        <w:rPr>
          <w:rFonts w:cs="Arial"/>
        </w:rPr>
        <w:t xml:space="preserve">Competent Authority </w:t>
      </w:r>
      <w:r w:rsidR="001D1C2B">
        <w:rPr>
          <w:rFonts w:cs="Arial"/>
        </w:rPr>
        <w:t>seeks</w:t>
      </w:r>
      <w:r w:rsidR="001D1C2B" w:rsidRPr="005010FA">
        <w:rPr>
          <w:rFonts w:cs="Arial"/>
        </w:rPr>
        <w:t xml:space="preserve"> </w:t>
      </w:r>
      <w:r w:rsidRPr="005010FA">
        <w:rPr>
          <w:rFonts w:cs="Arial"/>
        </w:rPr>
        <w:t>to address administrative or other minor errors or significant non-compliance.</w:t>
      </w:r>
    </w:p>
    <w:p w14:paraId="1ED46315" w14:textId="09DD0D7A" w:rsidR="00833C3B" w:rsidRPr="005010FA" w:rsidRDefault="00884324" w:rsidP="00C059F3">
      <w:pPr>
        <w:pStyle w:val="Body1"/>
        <w:widowControl w:val="0"/>
        <w:spacing w:before="240" w:after="200"/>
        <w:ind w:left="1440"/>
        <w:rPr>
          <w:rFonts w:cs="Arial"/>
        </w:rPr>
      </w:pPr>
      <w:r w:rsidRPr="005010FA">
        <w:rPr>
          <w:rFonts w:cs="Arial"/>
        </w:rPr>
        <w:t>4.3.1</w:t>
      </w:r>
      <w:r w:rsidRPr="005010FA">
        <w:rPr>
          <w:rFonts w:cs="Arial"/>
        </w:rPr>
        <w:tab/>
      </w:r>
      <w:r w:rsidRPr="005010FA">
        <w:rPr>
          <w:rFonts w:cs="Arial"/>
          <w:u w:val="single"/>
        </w:rPr>
        <w:t>Procedures for Administrative or Other Minor Errors</w:t>
      </w:r>
      <w:r w:rsidR="008F5596">
        <w:rPr>
          <w:rFonts w:cs="Arial"/>
        </w:rPr>
        <w:t xml:space="preserve">: </w:t>
      </w:r>
      <w:r w:rsidR="00990627">
        <w:rPr>
          <w:rFonts w:cs="Arial"/>
        </w:rPr>
        <w:t>As provided in</w:t>
      </w:r>
      <w:r w:rsidR="000A41ED" w:rsidRPr="005010FA">
        <w:rPr>
          <w:rFonts w:cs="Arial"/>
        </w:rPr>
        <w:t xml:space="preserve"> Article 5(</w:t>
      </w:r>
      <w:r w:rsidR="00214ED2">
        <w:rPr>
          <w:rFonts w:cs="Arial"/>
        </w:rPr>
        <w:t>2</w:t>
      </w:r>
      <w:r w:rsidR="000A41ED" w:rsidRPr="005010FA">
        <w:rPr>
          <w:rFonts w:cs="Arial"/>
        </w:rPr>
        <w:t xml:space="preserve">) of the IGA, </w:t>
      </w:r>
      <w:r w:rsidR="005C18F8">
        <w:rPr>
          <w:rFonts w:cs="Arial"/>
        </w:rPr>
        <w:t xml:space="preserve">the </w:t>
      </w:r>
      <w:r w:rsidR="00D84CB1">
        <w:rPr>
          <w:rFonts w:cs="Arial"/>
        </w:rPr>
        <w:t xml:space="preserve">U.S. </w:t>
      </w:r>
      <w:r w:rsidRPr="005010FA">
        <w:rPr>
          <w:rFonts w:cs="Arial"/>
        </w:rPr>
        <w:t xml:space="preserve">Competent Authority </w:t>
      </w:r>
      <w:r w:rsidR="00394F80">
        <w:rPr>
          <w:rFonts w:cs="Arial"/>
        </w:rPr>
        <w:t xml:space="preserve">would notify </w:t>
      </w:r>
      <w:r w:rsidRPr="005010FA">
        <w:rPr>
          <w:rFonts w:cs="Arial"/>
        </w:rPr>
        <w:t xml:space="preserve">the </w:t>
      </w:r>
      <w:r w:rsidR="003F0492">
        <w:rPr>
          <w:rFonts w:cs="Arial"/>
        </w:rPr>
        <w:t>Serbian</w:t>
      </w:r>
      <w:r w:rsidR="00D84CB1" w:rsidRPr="005010FA">
        <w:rPr>
          <w:rFonts w:cs="Arial"/>
        </w:rPr>
        <w:t xml:space="preserve"> </w:t>
      </w:r>
      <w:r w:rsidRPr="005010FA">
        <w:rPr>
          <w:rFonts w:cs="Arial"/>
        </w:rPr>
        <w:t xml:space="preserve">Competent Authority </w:t>
      </w:r>
      <w:r w:rsidR="001C7A9F" w:rsidRPr="005010FA">
        <w:rPr>
          <w:rFonts w:cs="Arial"/>
        </w:rPr>
        <w:t xml:space="preserve">when the </w:t>
      </w:r>
      <w:r w:rsidR="009179B7">
        <w:rPr>
          <w:rFonts w:cs="Arial"/>
        </w:rPr>
        <w:t>U.S.</w:t>
      </w:r>
      <w:r w:rsidR="009179B7" w:rsidRPr="005010FA">
        <w:rPr>
          <w:rFonts w:cs="Arial"/>
        </w:rPr>
        <w:t xml:space="preserve"> </w:t>
      </w:r>
      <w:r w:rsidR="001C7A9F" w:rsidRPr="005010FA">
        <w:rPr>
          <w:rFonts w:cs="Arial"/>
        </w:rPr>
        <w:t>Competent Authority ha</w:t>
      </w:r>
      <w:r w:rsidR="00D01495">
        <w:rPr>
          <w:rFonts w:cs="Arial"/>
        </w:rPr>
        <w:t>s</w:t>
      </w:r>
      <w:r w:rsidR="001C7A9F" w:rsidRPr="005010FA">
        <w:rPr>
          <w:rFonts w:cs="Arial"/>
        </w:rPr>
        <w:t xml:space="preserve"> reason to </w:t>
      </w:r>
      <w:r w:rsidRPr="005010FA">
        <w:rPr>
          <w:rFonts w:cs="Arial"/>
        </w:rPr>
        <w:t xml:space="preserve">believe that administrative errors </w:t>
      </w:r>
      <w:r w:rsidR="001C7A9F" w:rsidRPr="005010FA">
        <w:rPr>
          <w:rFonts w:cs="Arial"/>
        </w:rPr>
        <w:t xml:space="preserve">or other minor errors </w:t>
      </w:r>
      <w:r w:rsidR="00D01495">
        <w:rPr>
          <w:rFonts w:cs="Arial"/>
        </w:rPr>
        <w:t>may have led</w:t>
      </w:r>
      <w:r w:rsidR="001C7A9F" w:rsidRPr="005010FA">
        <w:rPr>
          <w:rFonts w:cs="Arial"/>
        </w:rPr>
        <w:t xml:space="preserve"> to </w:t>
      </w:r>
      <w:r w:rsidRPr="005010FA">
        <w:rPr>
          <w:rFonts w:cs="Arial"/>
        </w:rPr>
        <w:t xml:space="preserve">incorrect or incomplete </w:t>
      </w:r>
      <w:r w:rsidR="001C7A9F" w:rsidRPr="005010FA">
        <w:rPr>
          <w:rFonts w:cs="Arial"/>
        </w:rPr>
        <w:t xml:space="preserve">information </w:t>
      </w:r>
      <w:r w:rsidRPr="005010FA">
        <w:rPr>
          <w:rFonts w:cs="Arial"/>
        </w:rPr>
        <w:t xml:space="preserve">reporting or </w:t>
      </w:r>
      <w:r w:rsidR="001C7A9F" w:rsidRPr="005010FA">
        <w:rPr>
          <w:rFonts w:cs="Arial"/>
        </w:rPr>
        <w:t>result in other</w:t>
      </w:r>
      <w:r w:rsidRPr="005010FA">
        <w:rPr>
          <w:rFonts w:cs="Arial"/>
        </w:rPr>
        <w:t xml:space="preserve"> </w:t>
      </w:r>
      <w:r w:rsidR="001D1C2B">
        <w:rPr>
          <w:rFonts w:cs="Arial"/>
        </w:rPr>
        <w:t>infringements of</w:t>
      </w:r>
      <w:r w:rsidR="008F5596">
        <w:rPr>
          <w:rFonts w:cs="Arial"/>
        </w:rPr>
        <w:t xml:space="preserve"> the IGA. </w:t>
      </w:r>
      <w:r w:rsidR="005C18F8">
        <w:rPr>
          <w:rFonts w:cs="Arial"/>
        </w:rPr>
        <w:t>The</w:t>
      </w:r>
      <w:r w:rsidR="005C18F8" w:rsidRPr="005010FA">
        <w:rPr>
          <w:rFonts w:cs="Arial"/>
        </w:rPr>
        <w:t xml:space="preserve"> </w:t>
      </w:r>
      <w:r w:rsidR="003F0492">
        <w:rPr>
          <w:rFonts w:cs="Arial"/>
        </w:rPr>
        <w:t>Serbian</w:t>
      </w:r>
      <w:r w:rsidR="009179B7" w:rsidRPr="005010FA">
        <w:rPr>
          <w:rFonts w:cs="Arial"/>
        </w:rPr>
        <w:t xml:space="preserve"> </w:t>
      </w:r>
      <w:r w:rsidRPr="005010FA">
        <w:rPr>
          <w:rFonts w:cs="Arial"/>
        </w:rPr>
        <w:t xml:space="preserve">Competent Authority </w:t>
      </w:r>
      <w:r w:rsidR="00394F80">
        <w:rPr>
          <w:rFonts w:cs="Arial"/>
        </w:rPr>
        <w:t xml:space="preserve">would </w:t>
      </w:r>
      <w:r w:rsidR="005C18F8">
        <w:rPr>
          <w:rFonts w:cs="Arial"/>
        </w:rPr>
        <w:t xml:space="preserve">then </w:t>
      </w:r>
      <w:r w:rsidR="00394F80">
        <w:rPr>
          <w:rFonts w:cs="Arial"/>
        </w:rPr>
        <w:t>apply</w:t>
      </w:r>
      <w:r w:rsidRPr="005010FA">
        <w:rPr>
          <w:rFonts w:cs="Arial"/>
        </w:rPr>
        <w:t xml:space="preserve"> </w:t>
      </w:r>
      <w:r w:rsidR="00EC1D98" w:rsidRPr="005010FA">
        <w:rPr>
          <w:rFonts w:cs="Arial"/>
        </w:rPr>
        <w:t xml:space="preserve">its </w:t>
      </w:r>
      <w:r w:rsidR="001C7A9F" w:rsidRPr="005010FA">
        <w:rPr>
          <w:rFonts w:cs="Arial"/>
        </w:rPr>
        <w:t>domestic</w:t>
      </w:r>
      <w:r w:rsidRPr="005010FA">
        <w:rPr>
          <w:rFonts w:cs="Arial"/>
        </w:rPr>
        <w:t xml:space="preserve"> law (including applicable penalties) to </w:t>
      </w:r>
      <w:r w:rsidR="001C7A9F" w:rsidRPr="005010FA">
        <w:rPr>
          <w:rFonts w:cs="Arial"/>
        </w:rPr>
        <w:t>obtain</w:t>
      </w:r>
      <w:r w:rsidR="005C18F8">
        <w:rPr>
          <w:rFonts w:cs="Arial"/>
        </w:rPr>
        <w:t xml:space="preserve"> </w:t>
      </w:r>
      <w:r w:rsidR="001D1C2B">
        <w:rPr>
          <w:rFonts w:cs="Arial"/>
        </w:rPr>
        <w:t>complete and correct</w:t>
      </w:r>
      <w:r w:rsidR="001C7A9F" w:rsidRPr="005010FA">
        <w:rPr>
          <w:rFonts w:cs="Arial"/>
        </w:rPr>
        <w:t xml:space="preserve"> information </w:t>
      </w:r>
      <w:r w:rsidR="006B6673">
        <w:rPr>
          <w:rFonts w:cs="Arial"/>
        </w:rPr>
        <w:t xml:space="preserve">or </w:t>
      </w:r>
      <w:r w:rsidR="001C7A9F" w:rsidRPr="005010FA">
        <w:rPr>
          <w:rFonts w:cs="Arial"/>
        </w:rPr>
        <w:t xml:space="preserve">to resolve other </w:t>
      </w:r>
      <w:r w:rsidR="007B7A2F" w:rsidRPr="005010FA">
        <w:rPr>
          <w:rFonts w:cs="Arial"/>
        </w:rPr>
        <w:t xml:space="preserve">minor or administrative </w:t>
      </w:r>
      <w:r w:rsidR="004628BA" w:rsidRPr="005010FA">
        <w:rPr>
          <w:rFonts w:cs="Arial"/>
        </w:rPr>
        <w:t>infringements of</w:t>
      </w:r>
      <w:r w:rsidR="001C7A9F" w:rsidRPr="005010FA">
        <w:rPr>
          <w:rFonts w:cs="Arial"/>
        </w:rPr>
        <w:t xml:space="preserve"> the IGA</w:t>
      </w:r>
      <w:r w:rsidR="005C18F8">
        <w:rPr>
          <w:rFonts w:cs="Arial"/>
        </w:rPr>
        <w:t xml:space="preserve"> and exchange such information with the </w:t>
      </w:r>
      <w:r w:rsidR="00D9387D">
        <w:rPr>
          <w:rFonts w:cs="Arial"/>
        </w:rPr>
        <w:t xml:space="preserve">U.S. </w:t>
      </w:r>
      <w:r w:rsidR="005C18F8">
        <w:rPr>
          <w:rFonts w:cs="Arial"/>
        </w:rPr>
        <w:t>Competent Authority</w:t>
      </w:r>
      <w:r w:rsidRPr="005010FA">
        <w:rPr>
          <w:rFonts w:cs="Arial"/>
        </w:rPr>
        <w:t>.</w:t>
      </w:r>
      <w:r w:rsidR="007F5FD6" w:rsidRPr="005010FA">
        <w:rPr>
          <w:rFonts w:cs="Arial"/>
        </w:rPr>
        <w:t xml:space="preserve"> </w:t>
      </w:r>
    </w:p>
    <w:p w14:paraId="54E9F1E5" w14:textId="77777777" w:rsidR="00833C3B" w:rsidRPr="00DE5A4C" w:rsidRDefault="00884324" w:rsidP="00C059F3">
      <w:pPr>
        <w:pStyle w:val="Body1"/>
        <w:widowControl w:val="0"/>
        <w:spacing w:before="240" w:after="200"/>
        <w:ind w:left="720" w:firstLine="0"/>
        <w:rPr>
          <w:rFonts w:cs="Arial"/>
        </w:rPr>
      </w:pPr>
      <w:r w:rsidRPr="005010FA">
        <w:rPr>
          <w:rFonts w:cs="Arial"/>
        </w:rPr>
        <w:t>4.3.2</w:t>
      </w:r>
      <w:r w:rsidRPr="005010FA">
        <w:rPr>
          <w:rFonts w:cs="Arial"/>
        </w:rPr>
        <w:tab/>
      </w:r>
      <w:r w:rsidRPr="005010FA">
        <w:rPr>
          <w:rFonts w:cs="Arial"/>
          <w:u w:val="single"/>
        </w:rPr>
        <w:t>Procedures for Significant Non-Compliance</w:t>
      </w:r>
      <w:r w:rsidRPr="005010FA">
        <w:rPr>
          <w:rFonts w:cs="Arial"/>
        </w:rPr>
        <w:t xml:space="preserve">:  </w:t>
      </w:r>
    </w:p>
    <w:p w14:paraId="2DF1D328" w14:textId="65616833" w:rsidR="00833C3B" w:rsidRPr="005010FA" w:rsidRDefault="00884324" w:rsidP="007E42F2">
      <w:pPr>
        <w:pStyle w:val="Body1"/>
        <w:spacing w:before="240" w:after="200"/>
        <w:ind w:left="2340" w:hanging="900"/>
        <w:rPr>
          <w:rFonts w:cs="Arial"/>
        </w:rPr>
      </w:pPr>
      <w:r w:rsidRPr="005010FA">
        <w:rPr>
          <w:rFonts w:cs="Arial"/>
        </w:rPr>
        <w:t xml:space="preserve">4.3.2.1 </w:t>
      </w:r>
      <w:r w:rsidR="00E10ED9">
        <w:rPr>
          <w:rFonts w:cs="Arial"/>
        </w:rPr>
        <w:tab/>
      </w:r>
      <w:r w:rsidRPr="005010FA">
        <w:rPr>
          <w:rFonts w:cs="Arial"/>
          <w:u w:val="single"/>
        </w:rPr>
        <w:t>In General</w:t>
      </w:r>
      <w:r w:rsidR="008F5596">
        <w:rPr>
          <w:rFonts w:cs="Arial"/>
        </w:rPr>
        <w:t xml:space="preserve">: </w:t>
      </w:r>
      <w:r w:rsidR="00EC1D98" w:rsidRPr="005010FA">
        <w:rPr>
          <w:rFonts w:cs="Arial"/>
        </w:rPr>
        <w:t>Under</w:t>
      </w:r>
      <w:r w:rsidR="00CC2768" w:rsidRPr="005010FA">
        <w:rPr>
          <w:rFonts w:cs="Arial"/>
        </w:rPr>
        <w:t xml:space="preserve"> Article 5(</w:t>
      </w:r>
      <w:r w:rsidR="00214ED2">
        <w:rPr>
          <w:rFonts w:cs="Arial"/>
        </w:rPr>
        <w:t>3</w:t>
      </w:r>
      <w:r w:rsidR="00CC2768" w:rsidRPr="005010FA">
        <w:rPr>
          <w:rFonts w:cs="Arial"/>
        </w:rPr>
        <w:t xml:space="preserve">) of the IGA, </w:t>
      </w:r>
      <w:r w:rsidR="005C18F8">
        <w:rPr>
          <w:rFonts w:cs="Arial"/>
        </w:rPr>
        <w:t>the</w:t>
      </w:r>
      <w:r w:rsidR="005C18F8" w:rsidRPr="005010FA">
        <w:rPr>
          <w:rFonts w:cs="Arial"/>
        </w:rPr>
        <w:t xml:space="preserve"> </w:t>
      </w:r>
      <w:r w:rsidR="00435674">
        <w:rPr>
          <w:rFonts w:cs="Arial"/>
        </w:rPr>
        <w:t>U.S.</w:t>
      </w:r>
      <w:r w:rsidR="00435674" w:rsidRPr="005010FA">
        <w:rPr>
          <w:rFonts w:cs="Arial"/>
        </w:rPr>
        <w:t xml:space="preserve"> </w:t>
      </w:r>
      <w:r w:rsidRPr="005010FA">
        <w:rPr>
          <w:rFonts w:cs="Arial"/>
        </w:rPr>
        <w:t xml:space="preserve">Competent Authority </w:t>
      </w:r>
      <w:r w:rsidR="0085360B">
        <w:rPr>
          <w:rFonts w:cs="Arial"/>
        </w:rPr>
        <w:t>notifies</w:t>
      </w:r>
      <w:r w:rsidR="00CC2768" w:rsidRPr="005010FA">
        <w:rPr>
          <w:rFonts w:cs="Arial"/>
        </w:rPr>
        <w:t xml:space="preserve"> the </w:t>
      </w:r>
      <w:r w:rsidR="003F0492">
        <w:rPr>
          <w:rFonts w:cs="Arial"/>
        </w:rPr>
        <w:t>Serbian</w:t>
      </w:r>
      <w:r w:rsidR="00435674" w:rsidRPr="005010FA">
        <w:rPr>
          <w:rFonts w:cs="Arial"/>
        </w:rPr>
        <w:t xml:space="preserve"> </w:t>
      </w:r>
      <w:r w:rsidRPr="005010FA">
        <w:rPr>
          <w:rFonts w:cs="Arial"/>
        </w:rPr>
        <w:t xml:space="preserve">Competent Authority </w:t>
      </w:r>
      <w:r w:rsidR="00CC2768" w:rsidRPr="005010FA">
        <w:rPr>
          <w:rFonts w:cs="Arial"/>
        </w:rPr>
        <w:t xml:space="preserve">when the </w:t>
      </w:r>
      <w:r w:rsidR="00435674">
        <w:rPr>
          <w:rFonts w:cs="Arial"/>
        </w:rPr>
        <w:t>U.S.</w:t>
      </w:r>
      <w:r w:rsidR="00435674" w:rsidRPr="005010FA">
        <w:rPr>
          <w:rFonts w:cs="Arial"/>
        </w:rPr>
        <w:t xml:space="preserve"> </w:t>
      </w:r>
      <w:r w:rsidR="00CC2768" w:rsidRPr="005010FA">
        <w:rPr>
          <w:rFonts w:cs="Arial"/>
        </w:rPr>
        <w:t>Competent Authority</w:t>
      </w:r>
      <w:r w:rsidR="00176D9A">
        <w:rPr>
          <w:rFonts w:cs="Arial"/>
        </w:rPr>
        <w:t xml:space="preserve"> has</w:t>
      </w:r>
      <w:r w:rsidR="00CC2768" w:rsidRPr="005010FA">
        <w:rPr>
          <w:rFonts w:cs="Arial"/>
        </w:rPr>
        <w:t xml:space="preserve"> </w:t>
      </w:r>
      <w:r w:rsidR="005C18F8">
        <w:rPr>
          <w:rFonts w:cs="Arial"/>
        </w:rPr>
        <w:t>determine</w:t>
      </w:r>
      <w:r w:rsidR="00176D9A">
        <w:rPr>
          <w:rFonts w:cs="Arial"/>
        </w:rPr>
        <w:t>d</w:t>
      </w:r>
      <w:r w:rsidR="005C18F8">
        <w:rPr>
          <w:rFonts w:cs="Arial"/>
        </w:rPr>
        <w:t xml:space="preserve"> there </w:t>
      </w:r>
      <w:r w:rsidR="00D01495">
        <w:rPr>
          <w:rFonts w:cs="Arial"/>
        </w:rPr>
        <w:t xml:space="preserve">is </w:t>
      </w:r>
      <w:r w:rsidR="005C18F8">
        <w:rPr>
          <w:rFonts w:cs="Arial"/>
        </w:rPr>
        <w:t>significant non-compliance with the obligations under the IGA with respect to</w:t>
      </w:r>
      <w:r w:rsidR="00990627">
        <w:rPr>
          <w:rFonts w:cs="Arial"/>
        </w:rPr>
        <w:t xml:space="preserve"> </w:t>
      </w:r>
      <w:r w:rsidR="007B7A2F" w:rsidRPr="005010FA">
        <w:rPr>
          <w:rFonts w:cs="Arial"/>
        </w:rPr>
        <w:t xml:space="preserve">a Reporting </w:t>
      </w:r>
      <w:r w:rsidR="003F0492">
        <w:rPr>
          <w:rFonts w:cs="Arial"/>
        </w:rPr>
        <w:t>Serbian</w:t>
      </w:r>
      <w:r w:rsidR="0018279F">
        <w:rPr>
          <w:rFonts w:cs="Arial"/>
        </w:rPr>
        <w:t xml:space="preserve"> </w:t>
      </w:r>
      <w:r w:rsidR="007B7A2F" w:rsidRPr="005010FA">
        <w:rPr>
          <w:rFonts w:cs="Arial"/>
        </w:rPr>
        <w:t>Financial Institution</w:t>
      </w:r>
      <w:r w:rsidR="00990627">
        <w:rPr>
          <w:rFonts w:cs="Arial"/>
        </w:rPr>
        <w:t>.</w:t>
      </w:r>
      <w:r w:rsidR="001D1C2B">
        <w:rPr>
          <w:rFonts w:cs="Arial"/>
        </w:rPr>
        <w:t xml:space="preserve"> </w:t>
      </w:r>
      <w:r w:rsidRPr="005010FA">
        <w:rPr>
          <w:rFonts w:cs="Arial"/>
        </w:rPr>
        <w:t xml:space="preserve">After </w:t>
      </w:r>
      <w:r w:rsidR="00CC2768" w:rsidRPr="005010FA">
        <w:rPr>
          <w:rFonts w:cs="Arial"/>
        </w:rPr>
        <w:t xml:space="preserve">such </w:t>
      </w:r>
      <w:r w:rsidRPr="005010FA">
        <w:rPr>
          <w:rFonts w:cs="Arial"/>
        </w:rPr>
        <w:t xml:space="preserve">notification of significant non-compliance from </w:t>
      </w:r>
      <w:r w:rsidR="006008D2">
        <w:rPr>
          <w:rFonts w:cs="Arial"/>
        </w:rPr>
        <w:t>the</w:t>
      </w:r>
      <w:r w:rsidR="006008D2" w:rsidRPr="005010FA">
        <w:rPr>
          <w:rFonts w:cs="Arial"/>
        </w:rPr>
        <w:t xml:space="preserve"> </w:t>
      </w:r>
      <w:r w:rsidR="00435674">
        <w:rPr>
          <w:rFonts w:cs="Arial"/>
        </w:rPr>
        <w:t xml:space="preserve">U.S. </w:t>
      </w:r>
      <w:r w:rsidRPr="005010FA">
        <w:rPr>
          <w:rFonts w:cs="Arial"/>
        </w:rPr>
        <w:t xml:space="preserve">Competent Authority, the </w:t>
      </w:r>
      <w:r w:rsidR="003F0492">
        <w:rPr>
          <w:rFonts w:cs="Arial"/>
        </w:rPr>
        <w:t>Serbian</w:t>
      </w:r>
      <w:r w:rsidR="00435674" w:rsidRPr="005010FA">
        <w:rPr>
          <w:rFonts w:cs="Arial"/>
        </w:rPr>
        <w:t xml:space="preserve"> </w:t>
      </w:r>
      <w:r w:rsidRPr="005010FA">
        <w:rPr>
          <w:rFonts w:cs="Arial"/>
        </w:rPr>
        <w:t xml:space="preserve">Competent Authority </w:t>
      </w:r>
      <w:r w:rsidR="00394F80">
        <w:rPr>
          <w:rFonts w:cs="Arial"/>
        </w:rPr>
        <w:t>would apply</w:t>
      </w:r>
      <w:r w:rsidR="00CC2768" w:rsidRPr="005010FA">
        <w:rPr>
          <w:rFonts w:cs="Arial"/>
        </w:rPr>
        <w:t xml:space="preserve"> its domestic laws (including applicable penalties) to address the significant non-compliance described in the notice</w:t>
      </w:r>
      <w:r w:rsidRPr="005010FA">
        <w:rPr>
          <w:rFonts w:cs="Arial"/>
        </w:rPr>
        <w:t>.</w:t>
      </w:r>
      <w:r w:rsidR="00CC2768" w:rsidRPr="005010FA">
        <w:rPr>
          <w:rFonts w:cs="Arial"/>
        </w:rPr>
        <w:t xml:space="preserve"> </w:t>
      </w:r>
      <w:r w:rsidR="001D1C2B">
        <w:rPr>
          <w:rFonts w:cs="Arial"/>
        </w:rPr>
        <w:t xml:space="preserve">The Competent Authorities </w:t>
      </w:r>
      <w:r w:rsidR="00D01495">
        <w:rPr>
          <w:rFonts w:cs="Arial"/>
        </w:rPr>
        <w:t xml:space="preserve">may </w:t>
      </w:r>
      <w:r w:rsidR="001D1C2B">
        <w:rPr>
          <w:rFonts w:cs="Arial"/>
        </w:rPr>
        <w:t xml:space="preserve">consult on the steps needed to address such non-compliance.  If the U.S. Competent Authority were to notify the </w:t>
      </w:r>
      <w:r w:rsidR="003F0492">
        <w:rPr>
          <w:rFonts w:cs="Arial"/>
        </w:rPr>
        <w:t>Serbian</w:t>
      </w:r>
      <w:r w:rsidR="001D1C2B">
        <w:rPr>
          <w:rFonts w:cs="Arial"/>
        </w:rPr>
        <w:t xml:space="preserve"> Competent Authority of a determination of significant non-compliance, the date </w:t>
      </w:r>
      <w:r w:rsidR="00D01495">
        <w:rPr>
          <w:rFonts w:cs="Arial"/>
        </w:rPr>
        <w:t xml:space="preserve">on which </w:t>
      </w:r>
      <w:r w:rsidR="001D1C2B">
        <w:rPr>
          <w:rFonts w:cs="Arial"/>
        </w:rPr>
        <w:t>notification</w:t>
      </w:r>
      <w:r w:rsidRPr="005010FA">
        <w:rPr>
          <w:rFonts w:cs="Arial"/>
        </w:rPr>
        <w:t xml:space="preserve"> </w:t>
      </w:r>
      <w:r w:rsidR="00D01495">
        <w:rPr>
          <w:rFonts w:cs="Arial"/>
        </w:rPr>
        <w:t xml:space="preserve">was </w:t>
      </w:r>
      <w:r w:rsidR="0029161B">
        <w:rPr>
          <w:rFonts w:cs="Arial"/>
        </w:rPr>
        <w:t xml:space="preserve">provided </w:t>
      </w:r>
      <w:r w:rsidR="00B621E1">
        <w:rPr>
          <w:rFonts w:cs="Arial"/>
        </w:rPr>
        <w:t xml:space="preserve">to, and received by, </w:t>
      </w:r>
      <w:r w:rsidR="0029161B">
        <w:rPr>
          <w:rFonts w:cs="Arial"/>
        </w:rPr>
        <w:t xml:space="preserve">the </w:t>
      </w:r>
      <w:r w:rsidR="003F0492">
        <w:rPr>
          <w:rFonts w:cs="Arial"/>
        </w:rPr>
        <w:t>Serbian</w:t>
      </w:r>
      <w:r w:rsidR="0029161B">
        <w:rPr>
          <w:rFonts w:cs="Arial"/>
        </w:rPr>
        <w:t xml:space="preserve"> Competent Authority </w:t>
      </w:r>
      <w:r w:rsidR="00B621E1">
        <w:rPr>
          <w:rFonts w:cs="Arial"/>
        </w:rPr>
        <w:t xml:space="preserve">(per Paragraph 3.3.4) </w:t>
      </w:r>
      <w:r w:rsidR="00907CF3">
        <w:rPr>
          <w:rFonts w:cs="Arial"/>
        </w:rPr>
        <w:t>would constitute the beginning of the 18 month period set forth in Article 5(</w:t>
      </w:r>
      <w:r w:rsidR="00214ED2">
        <w:rPr>
          <w:rFonts w:cs="Arial"/>
        </w:rPr>
        <w:t>3</w:t>
      </w:r>
      <w:r w:rsidR="00907CF3">
        <w:rPr>
          <w:rFonts w:cs="Arial"/>
        </w:rPr>
        <w:t>)(b) of the IGA.</w:t>
      </w:r>
    </w:p>
    <w:p w14:paraId="313E6DC3" w14:textId="0A9D31D4" w:rsidR="00317208" w:rsidRPr="00DE5A4C" w:rsidRDefault="00884324" w:rsidP="007E42F2">
      <w:pPr>
        <w:pStyle w:val="Body1"/>
        <w:tabs>
          <w:tab w:val="left" w:pos="2340"/>
        </w:tabs>
        <w:spacing w:before="240" w:after="200"/>
        <w:ind w:left="2340" w:hanging="900"/>
        <w:rPr>
          <w:rFonts w:cs="Arial"/>
        </w:rPr>
      </w:pPr>
      <w:r w:rsidRPr="005010FA">
        <w:rPr>
          <w:rFonts w:cs="Arial"/>
        </w:rPr>
        <w:t xml:space="preserve">4.3.2.2 </w:t>
      </w:r>
      <w:r w:rsidR="00E10ED9">
        <w:rPr>
          <w:rFonts w:cs="Arial"/>
        </w:rPr>
        <w:tab/>
      </w:r>
      <w:r w:rsidRPr="005010FA">
        <w:rPr>
          <w:rFonts w:cs="Arial"/>
          <w:u w:val="single"/>
        </w:rPr>
        <w:t xml:space="preserve">Notice to </w:t>
      </w:r>
      <w:r w:rsidR="00841F63">
        <w:rPr>
          <w:rFonts w:cs="Arial"/>
          <w:u w:val="single"/>
        </w:rPr>
        <w:t xml:space="preserve">Reporting </w:t>
      </w:r>
      <w:r w:rsidR="003F0492">
        <w:rPr>
          <w:rFonts w:cs="Arial"/>
          <w:u w:val="single"/>
        </w:rPr>
        <w:t>Serbian</w:t>
      </w:r>
      <w:r w:rsidRPr="005010FA">
        <w:rPr>
          <w:rFonts w:cs="Arial"/>
          <w:u w:val="single"/>
        </w:rPr>
        <w:t xml:space="preserve"> Financial Institution</w:t>
      </w:r>
      <w:r w:rsidR="008F5596">
        <w:rPr>
          <w:rFonts w:cs="Arial"/>
        </w:rPr>
        <w:t xml:space="preserve">: </w:t>
      </w:r>
      <w:r w:rsidR="00CD462A" w:rsidRPr="005010FA">
        <w:rPr>
          <w:rFonts w:cs="Arial"/>
        </w:rPr>
        <w:t>T</w:t>
      </w:r>
      <w:r w:rsidRPr="005010FA">
        <w:rPr>
          <w:rFonts w:cs="Arial"/>
        </w:rPr>
        <w:t xml:space="preserve">he </w:t>
      </w:r>
      <w:r w:rsidR="003F0492">
        <w:rPr>
          <w:rFonts w:cs="Arial"/>
        </w:rPr>
        <w:t>Serbian</w:t>
      </w:r>
      <w:r w:rsidRPr="005010FA">
        <w:rPr>
          <w:rFonts w:cs="Arial"/>
        </w:rPr>
        <w:t xml:space="preserve"> Competent Authority </w:t>
      </w:r>
      <w:r w:rsidR="00CD462A" w:rsidRPr="005010FA">
        <w:rPr>
          <w:rFonts w:cs="Arial"/>
        </w:rPr>
        <w:t>should notify the</w:t>
      </w:r>
      <w:r w:rsidR="00602847" w:rsidRPr="005010FA">
        <w:rPr>
          <w:rFonts w:cs="Arial"/>
        </w:rPr>
        <w:t xml:space="preserve"> relevant</w:t>
      </w:r>
      <w:r w:rsidRPr="005010FA">
        <w:rPr>
          <w:rFonts w:cs="Arial"/>
        </w:rPr>
        <w:t xml:space="preserve"> </w:t>
      </w:r>
      <w:r w:rsidR="00907CF3">
        <w:rPr>
          <w:rFonts w:cs="Arial"/>
        </w:rPr>
        <w:t>Reporting</w:t>
      </w:r>
      <w:r w:rsidRPr="005010FA">
        <w:rPr>
          <w:rFonts w:cs="Arial"/>
        </w:rPr>
        <w:t xml:space="preserve"> </w:t>
      </w:r>
      <w:r w:rsidR="003F0492">
        <w:rPr>
          <w:rFonts w:cs="Arial"/>
        </w:rPr>
        <w:t>Serbian</w:t>
      </w:r>
      <w:r w:rsidRPr="005010FA">
        <w:rPr>
          <w:rFonts w:cs="Arial"/>
        </w:rPr>
        <w:t xml:space="preserve"> Financial Institution</w:t>
      </w:r>
      <w:r w:rsidR="00907CF3">
        <w:rPr>
          <w:rFonts w:cs="Arial"/>
        </w:rPr>
        <w:t xml:space="preserve"> </w:t>
      </w:r>
      <w:r w:rsidRPr="005010FA">
        <w:rPr>
          <w:rFonts w:cs="Arial"/>
        </w:rPr>
        <w:t xml:space="preserve">of </w:t>
      </w:r>
      <w:r w:rsidR="00CD462A" w:rsidRPr="005010FA">
        <w:rPr>
          <w:rFonts w:cs="Arial"/>
        </w:rPr>
        <w:t xml:space="preserve">the </w:t>
      </w:r>
      <w:r w:rsidRPr="005010FA">
        <w:rPr>
          <w:rFonts w:cs="Arial"/>
        </w:rPr>
        <w:t>significant non-compliance</w:t>
      </w:r>
      <w:r w:rsidR="00CD462A" w:rsidRPr="005010FA">
        <w:rPr>
          <w:rFonts w:cs="Arial"/>
        </w:rPr>
        <w:t xml:space="preserve"> determination,</w:t>
      </w:r>
      <w:r w:rsidRPr="005010FA">
        <w:rPr>
          <w:rFonts w:cs="Arial"/>
        </w:rPr>
        <w:t xml:space="preserve"> includ</w:t>
      </w:r>
      <w:r w:rsidR="00CD462A" w:rsidRPr="005010FA">
        <w:rPr>
          <w:rFonts w:cs="Arial"/>
        </w:rPr>
        <w:t>ing</w:t>
      </w:r>
      <w:r w:rsidRPr="005010FA">
        <w:rPr>
          <w:rFonts w:cs="Arial"/>
        </w:rPr>
        <w:t xml:space="preserve"> the date the U.S. Competent Authority </w:t>
      </w:r>
      <w:r w:rsidR="006008D2">
        <w:rPr>
          <w:rFonts w:cs="Arial"/>
        </w:rPr>
        <w:t>provided</w:t>
      </w:r>
      <w:r w:rsidR="006008D2" w:rsidRPr="005010FA">
        <w:rPr>
          <w:rFonts w:cs="Arial"/>
        </w:rPr>
        <w:t xml:space="preserve"> </w:t>
      </w:r>
      <w:r w:rsidRPr="005010FA">
        <w:rPr>
          <w:rFonts w:cs="Arial"/>
        </w:rPr>
        <w:t xml:space="preserve">notice of such non-compliance to the </w:t>
      </w:r>
      <w:r w:rsidR="003F0492">
        <w:rPr>
          <w:rFonts w:cs="Arial"/>
        </w:rPr>
        <w:t>Serbian</w:t>
      </w:r>
      <w:r w:rsidRPr="005010FA">
        <w:rPr>
          <w:rFonts w:cs="Arial"/>
        </w:rPr>
        <w:t xml:space="preserve"> Competent Authority</w:t>
      </w:r>
      <w:r w:rsidR="00552778">
        <w:rPr>
          <w:rFonts w:cs="Arial"/>
        </w:rPr>
        <w:t xml:space="preserve"> (per Paragraph 3.3.4)</w:t>
      </w:r>
      <w:r w:rsidRPr="005010FA">
        <w:rPr>
          <w:rFonts w:cs="Arial"/>
        </w:rPr>
        <w:t xml:space="preserve">.  The notice should also indicate that if the significant non-compliance is not cured within </w:t>
      </w:r>
      <w:r w:rsidR="00907CF3">
        <w:rPr>
          <w:rFonts w:cs="Arial"/>
        </w:rPr>
        <w:t>18</w:t>
      </w:r>
      <w:r w:rsidR="00907CF3" w:rsidRPr="005010FA">
        <w:rPr>
          <w:rFonts w:cs="Arial"/>
        </w:rPr>
        <w:t xml:space="preserve"> </w:t>
      </w:r>
      <w:r w:rsidRPr="005010FA">
        <w:rPr>
          <w:rFonts w:cs="Arial"/>
        </w:rPr>
        <w:t xml:space="preserve">months after the date the U.S Competent Authority </w:t>
      </w:r>
      <w:r w:rsidR="006008D2">
        <w:rPr>
          <w:rFonts w:cs="Arial"/>
        </w:rPr>
        <w:t>provided</w:t>
      </w:r>
      <w:r w:rsidR="006008D2" w:rsidRPr="005010FA">
        <w:rPr>
          <w:rFonts w:cs="Arial"/>
        </w:rPr>
        <w:t xml:space="preserve"> </w:t>
      </w:r>
      <w:r w:rsidRPr="005010FA">
        <w:rPr>
          <w:rFonts w:cs="Arial"/>
        </w:rPr>
        <w:t xml:space="preserve">notice to the </w:t>
      </w:r>
      <w:r w:rsidR="003F0492">
        <w:rPr>
          <w:rFonts w:cs="Arial"/>
        </w:rPr>
        <w:t>Serbian</w:t>
      </w:r>
      <w:r w:rsidRPr="005010FA">
        <w:rPr>
          <w:rFonts w:cs="Arial"/>
        </w:rPr>
        <w:t xml:space="preserve"> Competent Authority, the</w:t>
      </w:r>
      <w:r w:rsidR="00CC2768" w:rsidRPr="005010FA">
        <w:rPr>
          <w:rFonts w:cs="Arial"/>
        </w:rPr>
        <w:t xml:space="preserve"> </w:t>
      </w:r>
      <w:r w:rsidR="00934127">
        <w:rPr>
          <w:rFonts w:cs="Arial"/>
        </w:rPr>
        <w:t xml:space="preserve">relevant </w:t>
      </w:r>
      <w:r w:rsidR="002D5E04">
        <w:rPr>
          <w:rFonts w:cs="Arial"/>
        </w:rPr>
        <w:t xml:space="preserve">Reporting </w:t>
      </w:r>
      <w:r w:rsidR="003F0492">
        <w:rPr>
          <w:rFonts w:cs="Arial"/>
        </w:rPr>
        <w:t>Serbian</w:t>
      </w:r>
      <w:r w:rsidR="00CC2768" w:rsidRPr="005010FA">
        <w:rPr>
          <w:rFonts w:cs="Arial"/>
        </w:rPr>
        <w:t xml:space="preserve"> </w:t>
      </w:r>
      <w:r w:rsidRPr="005010FA">
        <w:rPr>
          <w:rFonts w:cs="Arial"/>
        </w:rPr>
        <w:t xml:space="preserve">Financial Institution may be treated as a Nonparticipating Financial Institution, its name may be removed from the IRS FFI </w:t>
      </w:r>
      <w:r w:rsidR="00CC2768" w:rsidRPr="005010FA">
        <w:rPr>
          <w:rFonts w:cs="Arial"/>
        </w:rPr>
        <w:t>l</w:t>
      </w:r>
      <w:r w:rsidRPr="005010FA">
        <w:rPr>
          <w:rFonts w:cs="Arial"/>
        </w:rPr>
        <w:t>ist, and it may therefore be subject to 30-percent withholding under section 1471(a) of the U.S. Internal Revenue Code.</w:t>
      </w:r>
    </w:p>
    <w:p w14:paraId="4305AF93" w14:textId="77777777" w:rsidR="00CA3C4D" w:rsidRPr="005010FA" w:rsidRDefault="00CD0EDD" w:rsidP="00C059F3">
      <w:pPr>
        <w:pStyle w:val="Body1"/>
        <w:widowControl w:val="0"/>
        <w:spacing w:before="240" w:after="200"/>
        <w:ind w:left="720"/>
        <w:rPr>
          <w:rFonts w:cs="Arial"/>
        </w:rPr>
      </w:pPr>
      <w:r w:rsidRPr="005010FA">
        <w:rPr>
          <w:rFonts w:cs="Arial"/>
        </w:rPr>
        <w:t>4.4</w:t>
      </w:r>
      <w:r w:rsidRPr="005010FA">
        <w:rPr>
          <w:rFonts w:cs="Arial"/>
        </w:rPr>
        <w:tab/>
      </w:r>
      <w:r w:rsidRPr="005010FA">
        <w:rPr>
          <w:rFonts w:cs="Arial"/>
          <w:u w:val="single"/>
        </w:rPr>
        <w:t>Transition Period for Remediation and Enforcement</w:t>
      </w:r>
      <w:r w:rsidR="0029161B">
        <w:rPr>
          <w:rFonts w:cs="Arial"/>
        </w:rPr>
        <w:t>:</w:t>
      </w:r>
    </w:p>
    <w:p w14:paraId="4C2D7D28" w14:textId="6240FEFC" w:rsidR="00CD0EDD" w:rsidRPr="005010FA" w:rsidRDefault="00CA3C4D" w:rsidP="00C059F3">
      <w:pPr>
        <w:pStyle w:val="Body1"/>
        <w:widowControl w:val="0"/>
        <w:spacing w:before="240" w:after="200"/>
        <w:ind w:left="1440"/>
        <w:rPr>
          <w:rFonts w:cs="Arial"/>
        </w:rPr>
      </w:pPr>
      <w:r w:rsidRPr="005010FA">
        <w:rPr>
          <w:rFonts w:cs="Arial"/>
        </w:rPr>
        <w:t>4.4.1</w:t>
      </w:r>
      <w:r w:rsidRPr="005010FA">
        <w:rPr>
          <w:rFonts w:cs="Arial"/>
        </w:rPr>
        <w:tab/>
      </w:r>
      <w:r w:rsidR="00CD0EDD" w:rsidRPr="005010FA">
        <w:rPr>
          <w:rFonts w:cs="Arial"/>
        </w:rPr>
        <w:t xml:space="preserve">The Competent Authorities intend calendar years 2014 and 2015 to be a transition period for purposes of the enforcement and administration of </w:t>
      </w:r>
      <w:r w:rsidR="00EE718D">
        <w:rPr>
          <w:rFonts w:cs="Arial"/>
        </w:rPr>
        <w:t xml:space="preserve">any </w:t>
      </w:r>
      <w:r w:rsidR="006008D2" w:rsidRPr="00C059F3">
        <w:rPr>
          <w:rFonts w:cs="Arial"/>
        </w:rPr>
        <w:t>data collection</w:t>
      </w:r>
      <w:r w:rsidR="00CD0EDD" w:rsidRPr="00C059F3">
        <w:rPr>
          <w:rFonts w:cs="Arial"/>
        </w:rPr>
        <w:t>,</w:t>
      </w:r>
      <w:r w:rsidR="006008D2" w:rsidRPr="00C059F3">
        <w:rPr>
          <w:rFonts w:cs="Arial"/>
        </w:rPr>
        <w:t xml:space="preserve"> </w:t>
      </w:r>
      <w:r w:rsidR="00311F8E">
        <w:rPr>
          <w:rFonts w:cs="Arial"/>
        </w:rPr>
        <w:t xml:space="preserve">due diligence, </w:t>
      </w:r>
      <w:r w:rsidR="006008D2" w:rsidRPr="00C059F3">
        <w:rPr>
          <w:rFonts w:cs="Arial"/>
        </w:rPr>
        <w:t>information</w:t>
      </w:r>
      <w:r w:rsidR="00CD0EDD" w:rsidRPr="00C059F3">
        <w:rPr>
          <w:rFonts w:cs="Arial"/>
        </w:rPr>
        <w:t xml:space="preserve"> reporting, </w:t>
      </w:r>
      <w:r w:rsidR="006008D2" w:rsidRPr="00C059F3">
        <w:rPr>
          <w:rFonts w:cs="Arial"/>
        </w:rPr>
        <w:t xml:space="preserve">automatic information exchange, </w:t>
      </w:r>
      <w:r w:rsidR="00CD0EDD" w:rsidRPr="00C059F3">
        <w:rPr>
          <w:rFonts w:cs="Arial"/>
        </w:rPr>
        <w:t>and withholding</w:t>
      </w:r>
      <w:r w:rsidR="00EE718D">
        <w:rPr>
          <w:rFonts w:cs="Arial"/>
        </w:rPr>
        <w:t xml:space="preserve"> requirements</w:t>
      </w:r>
      <w:r w:rsidR="00B621E1">
        <w:rPr>
          <w:rFonts w:cs="Arial"/>
        </w:rPr>
        <w:t xml:space="preserve"> </w:t>
      </w:r>
      <w:r w:rsidR="000739FD">
        <w:rPr>
          <w:rFonts w:cs="Arial"/>
        </w:rPr>
        <w:t>d</w:t>
      </w:r>
      <w:r w:rsidR="006802F8">
        <w:rPr>
          <w:rFonts w:cs="Arial"/>
        </w:rPr>
        <w:t>escribed</w:t>
      </w:r>
      <w:r w:rsidR="000739FD">
        <w:rPr>
          <w:rFonts w:cs="Arial"/>
        </w:rPr>
        <w:t xml:space="preserve"> in</w:t>
      </w:r>
      <w:r w:rsidR="00B621E1">
        <w:rPr>
          <w:rFonts w:cs="Arial"/>
        </w:rPr>
        <w:t xml:space="preserve"> the IGA</w:t>
      </w:r>
      <w:r w:rsidR="00CD0EDD" w:rsidRPr="005010FA">
        <w:rPr>
          <w:rFonts w:cs="Arial"/>
        </w:rPr>
        <w:t xml:space="preserve">.  </w:t>
      </w:r>
      <w:r w:rsidR="006802F8">
        <w:rPr>
          <w:rFonts w:cs="Arial"/>
        </w:rPr>
        <w:t>T</w:t>
      </w:r>
      <w:r w:rsidRPr="005010FA">
        <w:rPr>
          <w:rFonts w:cs="Arial"/>
        </w:rPr>
        <w:t xml:space="preserve">he </w:t>
      </w:r>
      <w:r w:rsidR="008D5C5D">
        <w:rPr>
          <w:rFonts w:cs="Arial"/>
        </w:rPr>
        <w:t xml:space="preserve">U.S. </w:t>
      </w:r>
      <w:r w:rsidRPr="005010FA">
        <w:rPr>
          <w:rFonts w:cs="Arial"/>
        </w:rPr>
        <w:t>Competent Authorit</w:t>
      </w:r>
      <w:r w:rsidR="008D5C5D">
        <w:rPr>
          <w:rFonts w:cs="Arial"/>
        </w:rPr>
        <w:t>y</w:t>
      </w:r>
      <w:r w:rsidRPr="005010FA">
        <w:rPr>
          <w:rFonts w:cs="Arial"/>
        </w:rPr>
        <w:t xml:space="preserve"> intend</w:t>
      </w:r>
      <w:r w:rsidR="008D5C5D">
        <w:rPr>
          <w:rFonts w:cs="Arial"/>
        </w:rPr>
        <w:t>s</w:t>
      </w:r>
      <w:r w:rsidRPr="005010FA">
        <w:rPr>
          <w:rFonts w:cs="Arial"/>
        </w:rPr>
        <w:t xml:space="preserve"> </w:t>
      </w:r>
      <w:r w:rsidR="00751DA4">
        <w:rPr>
          <w:rFonts w:cs="Arial"/>
        </w:rPr>
        <w:t xml:space="preserve">to </w:t>
      </w:r>
      <w:r w:rsidRPr="005010FA">
        <w:rPr>
          <w:rFonts w:cs="Arial"/>
        </w:rPr>
        <w:t xml:space="preserve">take into account the good faith efforts of </w:t>
      </w:r>
      <w:r w:rsidR="008D5C5D">
        <w:rPr>
          <w:rFonts w:cs="Arial"/>
        </w:rPr>
        <w:t xml:space="preserve">the </w:t>
      </w:r>
      <w:r w:rsidR="003F0492">
        <w:rPr>
          <w:rFonts w:cs="Arial"/>
        </w:rPr>
        <w:t>Serbian</w:t>
      </w:r>
      <w:r w:rsidR="008D5C5D">
        <w:rPr>
          <w:rFonts w:cs="Arial"/>
        </w:rPr>
        <w:t xml:space="preserve"> Competent Authority</w:t>
      </w:r>
      <w:r w:rsidR="006008D2">
        <w:rPr>
          <w:rFonts w:cs="Arial"/>
        </w:rPr>
        <w:t xml:space="preserve">, Reporting </w:t>
      </w:r>
      <w:r w:rsidR="003F0492">
        <w:rPr>
          <w:rFonts w:cs="Arial"/>
        </w:rPr>
        <w:t>Serbian</w:t>
      </w:r>
      <w:r w:rsidR="0018279F">
        <w:rPr>
          <w:rFonts w:cs="Arial"/>
        </w:rPr>
        <w:t xml:space="preserve"> </w:t>
      </w:r>
      <w:r w:rsidR="006008D2">
        <w:rPr>
          <w:rFonts w:cs="Arial"/>
        </w:rPr>
        <w:t>Financial Institutions,</w:t>
      </w:r>
      <w:r w:rsidRPr="005010FA">
        <w:rPr>
          <w:rFonts w:cs="Arial"/>
        </w:rPr>
        <w:t xml:space="preserve"> and </w:t>
      </w:r>
      <w:r w:rsidR="006008D2">
        <w:rPr>
          <w:rFonts w:cs="Arial"/>
        </w:rPr>
        <w:t xml:space="preserve">Paragraph 1.1.2 </w:t>
      </w:r>
      <w:r w:rsidRPr="005010FA">
        <w:rPr>
          <w:rFonts w:cs="Arial"/>
        </w:rPr>
        <w:t xml:space="preserve">Financial Institutions </w:t>
      </w:r>
      <w:r w:rsidR="00552778">
        <w:rPr>
          <w:rFonts w:cs="Arial"/>
        </w:rPr>
        <w:t xml:space="preserve">toward compliance with </w:t>
      </w:r>
      <w:r w:rsidR="003A31B1">
        <w:rPr>
          <w:rFonts w:cs="Arial"/>
        </w:rPr>
        <w:t xml:space="preserve">any </w:t>
      </w:r>
      <w:r w:rsidR="00552778">
        <w:rPr>
          <w:rFonts w:cs="Arial"/>
        </w:rPr>
        <w:t xml:space="preserve">such requirements </w:t>
      </w:r>
      <w:r w:rsidR="006802F8">
        <w:rPr>
          <w:rFonts w:cs="Arial"/>
        </w:rPr>
        <w:t>d</w:t>
      </w:r>
      <w:r w:rsidR="006802F8" w:rsidRPr="005010FA">
        <w:rPr>
          <w:rFonts w:cs="Arial"/>
        </w:rPr>
        <w:t>uring this transition period</w:t>
      </w:r>
      <w:r w:rsidR="006802F8">
        <w:rPr>
          <w:rFonts w:cs="Arial"/>
        </w:rPr>
        <w:t xml:space="preserve"> </w:t>
      </w:r>
      <w:r w:rsidR="006008D2">
        <w:rPr>
          <w:rFonts w:cs="Arial"/>
        </w:rPr>
        <w:t>when pursuing enforcement.</w:t>
      </w:r>
    </w:p>
    <w:p w14:paraId="082750CF" w14:textId="131BC3C7" w:rsidR="00CA3C4D" w:rsidRDefault="00CA3C4D" w:rsidP="00C059F3">
      <w:pPr>
        <w:pStyle w:val="Body1"/>
        <w:widowControl w:val="0"/>
        <w:spacing w:before="240" w:after="200"/>
        <w:ind w:left="1440"/>
        <w:rPr>
          <w:rFonts w:cs="Arial"/>
        </w:rPr>
      </w:pPr>
      <w:r w:rsidRPr="005010FA">
        <w:rPr>
          <w:rFonts w:cs="Arial"/>
        </w:rPr>
        <w:t>4.4.2</w:t>
      </w:r>
      <w:r w:rsidRPr="005010FA">
        <w:rPr>
          <w:rFonts w:cs="Arial"/>
        </w:rPr>
        <w:tab/>
        <w:t xml:space="preserve">The transition period described in </w:t>
      </w:r>
      <w:r w:rsidR="00AE5433">
        <w:rPr>
          <w:rFonts w:cs="Arial"/>
        </w:rPr>
        <w:t>P</w:t>
      </w:r>
      <w:r w:rsidRPr="005010FA">
        <w:rPr>
          <w:rFonts w:cs="Arial"/>
        </w:rPr>
        <w:t xml:space="preserve">aragraph </w:t>
      </w:r>
      <w:r w:rsidR="00AE5433">
        <w:rPr>
          <w:rFonts w:cs="Arial"/>
        </w:rPr>
        <w:t xml:space="preserve">4.4.1 </w:t>
      </w:r>
      <w:r w:rsidRPr="005010FA">
        <w:rPr>
          <w:rFonts w:cs="Arial"/>
        </w:rPr>
        <w:t xml:space="preserve">may be extended by </w:t>
      </w:r>
      <w:r w:rsidR="007167A2">
        <w:rPr>
          <w:rFonts w:cs="Arial"/>
        </w:rPr>
        <w:t>the U.S. Competent Authority</w:t>
      </w:r>
      <w:r w:rsidR="00A419EC">
        <w:rPr>
          <w:rFonts w:cs="Arial"/>
        </w:rPr>
        <w:t xml:space="preserve"> following consultation with the </w:t>
      </w:r>
      <w:r w:rsidR="00862E1A">
        <w:rPr>
          <w:rFonts w:cs="Arial"/>
        </w:rPr>
        <w:t>Serbian</w:t>
      </w:r>
      <w:r w:rsidR="00A419EC">
        <w:rPr>
          <w:rFonts w:cs="Arial"/>
        </w:rPr>
        <w:t xml:space="preserve"> Competent Authority.</w:t>
      </w:r>
      <w:r w:rsidR="00FC5C99">
        <w:rPr>
          <w:rFonts w:cs="Arial"/>
        </w:rPr>
        <w:t xml:space="preserve"> </w:t>
      </w:r>
    </w:p>
    <w:p w14:paraId="6753D08A" w14:textId="2396534D" w:rsidR="00D10466" w:rsidRDefault="00D10466" w:rsidP="00026764">
      <w:pPr>
        <w:pStyle w:val="Body1"/>
        <w:widowControl w:val="0"/>
        <w:spacing w:before="240" w:after="200"/>
        <w:ind w:left="720"/>
        <w:rPr>
          <w:rFonts w:cs="Arial"/>
        </w:rPr>
      </w:pPr>
      <w:r w:rsidRPr="00BF2552">
        <w:rPr>
          <w:rFonts w:cs="Arial"/>
        </w:rPr>
        <w:t>4.5</w:t>
      </w:r>
      <w:r w:rsidRPr="00BF2552">
        <w:rPr>
          <w:rFonts w:cs="Arial"/>
        </w:rPr>
        <w:tab/>
      </w:r>
      <w:r w:rsidRPr="00026764">
        <w:rPr>
          <w:rFonts w:cs="Arial"/>
          <w:u w:val="single"/>
        </w:rPr>
        <w:t>General Inquiries</w:t>
      </w:r>
      <w:r w:rsidRPr="00BF2552">
        <w:rPr>
          <w:rFonts w:cs="Arial"/>
        </w:rPr>
        <w:t xml:space="preserve">: Under Article 5(1) of the IGA, the U.S. Competent Authority </w:t>
      </w:r>
      <w:r w:rsidR="00201E6C" w:rsidRPr="00BF2552">
        <w:rPr>
          <w:rFonts w:cs="Arial"/>
        </w:rPr>
        <w:t>intends to</w:t>
      </w:r>
      <w:r w:rsidR="002E0EE2" w:rsidRPr="00BF2552">
        <w:rPr>
          <w:rFonts w:cs="Arial"/>
        </w:rPr>
        <w:t xml:space="preserve"> </w:t>
      </w:r>
      <w:r w:rsidRPr="00BF2552">
        <w:rPr>
          <w:rFonts w:cs="Arial"/>
        </w:rPr>
        <w:t xml:space="preserve">make </w:t>
      </w:r>
      <w:r w:rsidR="00B2429A" w:rsidRPr="00BF2552">
        <w:rPr>
          <w:rFonts w:cs="Arial"/>
        </w:rPr>
        <w:t>follow-up requests described in Article 5(1) of the IGA (“</w:t>
      </w:r>
      <w:r w:rsidRPr="00BF2552">
        <w:rPr>
          <w:rFonts w:cs="Arial"/>
        </w:rPr>
        <w:t>Competent Authority Requests</w:t>
      </w:r>
      <w:r w:rsidR="00B2429A" w:rsidRPr="00BF2552">
        <w:rPr>
          <w:rFonts w:cs="Arial"/>
        </w:rPr>
        <w:t>”)</w:t>
      </w:r>
      <w:r w:rsidRPr="00BF2552">
        <w:rPr>
          <w:rFonts w:cs="Arial"/>
        </w:rPr>
        <w:t xml:space="preserve"> to the </w:t>
      </w:r>
      <w:r w:rsidR="00862E1A">
        <w:rPr>
          <w:rFonts w:cs="Arial"/>
        </w:rPr>
        <w:t>Serbian</w:t>
      </w:r>
      <w:r w:rsidRPr="00BF2552">
        <w:rPr>
          <w:rFonts w:cs="Arial"/>
        </w:rPr>
        <w:t xml:space="preserve"> Competent Authority</w:t>
      </w:r>
      <w:r w:rsidR="00C62097" w:rsidRPr="00BF2552">
        <w:rPr>
          <w:rFonts w:cs="Arial"/>
        </w:rPr>
        <w:t xml:space="preserve">. </w:t>
      </w:r>
      <w:r w:rsidR="00A93E13" w:rsidRPr="00BF2552">
        <w:rPr>
          <w:rFonts w:cs="Arial"/>
        </w:rPr>
        <w:t>In response, t</w:t>
      </w:r>
      <w:r w:rsidR="006946A7" w:rsidRPr="00BF2552">
        <w:rPr>
          <w:rFonts w:cs="Arial"/>
        </w:rPr>
        <w:t xml:space="preserve">he </w:t>
      </w:r>
      <w:r w:rsidR="00862E1A">
        <w:rPr>
          <w:rFonts w:cs="Arial"/>
        </w:rPr>
        <w:t>Serbian</w:t>
      </w:r>
      <w:r w:rsidR="006946A7" w:rsidRPr="00BF2552">
        <w:rPr>
          <w:rFonts w:cs="Arial"/>
        </w:rPr>
        <w:t xml:space="preserve"> Competent Authority intends to obtain </w:t>
      </w:r>
      <w:r w:rsidR="008934A6" w:rsidRPr="00BF2552">
        <w:rPr>
          <w:rFonts w:cs="Arial"/>
        </w:rPr>
        <w:t xml:space="preserve">the requested </w:t>
      </w:r>
      <w:r w:rsidR="006946A7" w:rsidRPr="00BF2552">
        <w:rPr>
          <w:rFonts w:cs="Arial"/>
        </w:rPr>
        <w:t xml:space="preserve">additional information from </w:t>
      </w:r>
      <w:r w:rsidR="00C95031" w:rsidRPr="00BF2552">
        <w:rPr>
          <w:rFonts w:cs="Arial"/>
        </w:rPr>
        <w:t xml:space="preserve">Reporting </w:t>
      </w:r>
      <w:r w:rsidR="00862E1A">
        <w:rPr>
          <w:rFonts w:cs="Arial"/>
        </w:rPr>
        <w:t>Serbian</w:t>
      </w:r>
      <w:r w:rsidR="006946A7" w:rsidRPr="00BF2552">
        <w:rPr>
          <w:rFonts w:cs="Arial"/>
        </w:rPr>
        <w:t xml:space="preserve"> Financial Institutions with respect to U.S. Reportable Accounts and to provide such additional information to the U.S. Competent Authority</w:t>
      </w:r>
      <w:r w:rsidRPr="00BF2552">
        <w:rPr>
          <w:rFonts w:cs="Arial"/>
        </w:rPr>
        <w:t>.</w:t>
      </w:r>
    </w:p>
    <w:p w14:paraId="157438F1" w14:textId="716A56CB" w:rsidR="00334E7F" w:rsidRDefault="0011252F" w:rsidP="00C715DB">
      <w:pPr>
        <w:pStyle w:val="Body1"/>
        <w:widowControl w:val="0"/>
        <w:spacing w:before="240" w:after="200"/>
        <w:ind w:left="1440"/>
        <w:rPr>
          <w:rFonts w:cs="Arial"/>
        </w:rPr>
      </w:pPr>
      <w:r>
        <w:rPr>
          <w:rFonts w:cs="Arial"/>
        </w:rPr>
        <w:t>4.5.1</w:t>
      </w:r>
      <w:r>
        <w:rPr>
          <w:rFonts w:cs="Arial"/>
        </w:rPr>
        <w:tab/>
      </w:r>
      <w:r w:rsidR="00516E19">
        <w:rPr>
          <w:rFonts w:cs="Arial"/>
          <w:u w:val="single"/>
        </w:rPr>
        <w:t>Competent Authority</w:t>
      </w:r>
      <w:r>
        <w:rPr>
          <w:rFonts w:cs="Arial"/>
        </w:rPr>
        <w:t xml:space="preserve">: </w:t>
      </w:r>
      <w:r w:rsidR="00460DE8">
        <w:rPr>
          <w:rFonts w:cs="Arial"/>
        </w:rPr>
        <w:t xml:space="preserve">Exchange of information </w:t>
      </w:r>
      <w:r w:rsidR="0017497F">
        <w:rPr>
          <w:rFonts w:cs="Arial"/>
        </w:rPr>
        <w:t>concerning</w:t>
      </w:r>
      <w:r w:rsidR="004B0363">
        <w:rPr>
          <w:rFonts w:cs="Arial"/>
        </w:rPr>
        <w:t xml:space="preserve"> </w:t>
      </w:r>
      <w:r w:rsidR="00460DE8">
        <w:rPr>
          <w:rFonts w:cs="Arial"/>
        </w:rPr>
        <w:t xml:space="preserve">Competent Authority Requests </w:t>
      </w:r>
      <w:r w:rsidR="00394F80">
        <w:rPr>
          <w:rFonts w:cs="Arial"/>
        </w:rPr>
        <w:t xml:space="preserve">is expected to </w:t>
      </w:r>
      <w:r w:rsidR="00460DE8">
        <w:rPr>
          <w:rFonts w:cs="Arial"/>
        </w:rPr>
        <w:t xml:space="preserve">take place between the </w:t>
      </w:r>
      <w:r w:rsidR="003D3C35">
        <w:rPr>
          <w:rFonts w:cs="Arial"/>
        </w:rPr>
        <w:t>Competent Authorities</w:t>
      </w:r>
      <w:r w:rsidR="00460DE8">
        <w:rPr>
          <w:rFonts w:cs="Arial"/>
        </w:rPr>
        <w:t xml:space="preserve"> or their authorized representatives. </w:t>
      </w:r>
      <w:r w:rsidR="00150EE3">
        <w:rPr>
          <w:rFonts w:cs="Arial"/>
        </w:rPr>
        <w:t>The Competent Authorit</w:t>
      </w:r>
      <w:r w:rsidR="00D42BAE">
        <w:rPr>
          <w:rFonts w:cs="Arial"/>
        </w:rPr>
        <w:t>ies</w:t>
      </w:r>
      <w:r w:rsidR="00150EE3">
        <w:rPr>
          <w:rFonts w:cs="Arial"/>
        </w:rPr>
        <w:t xml:space="preserve"> </w:t>
      </w:r>
      <w:r w:rsidR="00D42BAE">
        <w:rPr>
          <w:rFonts w:cs="Arial"/>
        </w:rPr>
        <w:t xml:space="preserve">intend to provide written notification to each other providing </w:t>
      </w:r>
      <w:r w:rsidR="003D3C35">
        <w:rPr>
          <w:rFonts w:cs="Arial"/>
        </w:rPr>
        <w:t>contact</w:t>
      </w:r>
      <w:r w:rsidR="00D42BAE">
        <w:rPr>
          <w:rFonts w:cs="Arial"/>
        </w:rPr>
        <w:t xml:space="preserve"> information (name, title, and</w:t>
      </w:r>
      <w:r w:rsidR="0017497F">
        <w:rPr>
          <w:rFonts w:cs="Arial"/>
        </w:rPr>
        <w:t xml:space="preserve"> mailing</w:t>
      </w:r>
      <w:r w:rsidR="00D42BAE">
        <w:rPr>
          <w:rFonts w:cs="Arial"/>
        </w:rPr>
        <w:t xml:space="preserve"> address) </w:t>
      </w:r>
      <w:r w:rsidR="0017497F">
        <w:rPr>
          <w:rFonts w:cs="Arial"/>
        </w:rPr>
        <w:t xml:space="preserve">for </w:t>
      </w:r>
      <w:r w:rsidR="00DB4F96">
        <w:rPr>
          <w:rFonts w:cs="Arial"/>
        </w:rPr>
        <w:t>each jurisdiction’s</w:t>
      </w:r>
      <w:r w:rsidR="00D42BAE">
        <w:rPr>
          <w:rFonts w:cs="Arial"/>
        </w:rPr>
        <w:t xml:space="preserve"> Competent Authority</w:t>
      </w:r>
      <w:r w:rsidR="0017497F">
        <w:rPr>
          <w:rFonts w:cs="Arial"/>
        </w:rPr>
        <w:t xml:space="preserve"> for purposes of the IGA</w:t>
      </w:r>
      <w:r w:rsidR="00D42BAE">
        <w:rPr>
          <w:rFonts w:cs="Arial"/>
        </w:rPr>
        <w:t>, and to update</w:t>
      </w:r>
      <w:r w:rsidR="004B0363">
        <w:rPr>
          <w:rFonts w:cs="Arial"/>
        </w:rPr>
        <w:t xml:space="preserve"> this contact information,</w:t>
      </w:r>
      <w:r w:rsidR="00FF61B9">
        <w:rPr>
          <w:rFonts w:cs="Arial"/>
        </w:rPr>
        <w:t xml:space="preserve"> </w:t>
      </w:r>
      <w:r w:rsidR="00D42BAE">
        <w:rPr>
          <w:rFonts w:cs="Arial"/>
        </w:rPr>
        <w:t xml:space="preserve">as </w:t>
      </w:r>
      <w:r w:rsidR="004B0363">
        <w:rPr>
          <w:rFonts w:cs="Arial"/>
        </w:rPr>
        <w:t>appropriate</w:t>
      </w:r>
      <w:r w:rsidR="009F18A1">
        <w:rPr>
          <w:rFonts w:cs="Arial"/>
        </w:rPr>
        <w:t xml:space="preserve">. </w:t>
      </w:r>
      <w:r w:rsidR="000A2918">
        <w:rPr>
          <w:rFonts w:cs="Arial"/>
        </w:rPr>
        <w:t xml:space="preserve"> </w:t>
      </w:r>
    </w:p>
    <w:p w14:paraId="26B9443A" w14:textId="17909EF0" w:rsidR="001D2DBE" w:rsidRDefault="001D2DBE" w:rsidP="00C715DB">
      <w:pPr>
        <w:pStyle w:val="Body1"/>
        <w:widowControl w:val="0"/>
        <w:spacing w:before="240" w:after="200"/>
        <w:ind w:left="1440"/>
        <w:rPr>
          <w:rFonts w:cs="Arial"/>
        </w:rPr>
      </w:pPr>
      <w:r>
        <w:rPr>
          <w:rFonts w:cs="Arial"/>
        </w:rPr>
        <w:t xml:space="preserve">4.5.2  </w:t>
      </w:r>
      <w:r w:rsidR="002E0C6B">
        <w:rPr>
          <w:rFonts w:cs="Arial"/>
        </w:rPr>
        <w:t xml:space="preserve"> </w:t>
      </w:r>
      <w:r w:rsidR="00DB55D0">
        <w:rPr>
          <w:rFonts w:cs="Arial"/>
          <w:u w:val="single"/>
        </w:rPr>
        <w:t xml:space="preserve">Content </w:t>
      </w:r>
      <w:r w:rsidR="00816C32" w:rsidRPr="00816C32">
        <w:rPr>
          <w:rFonts w:cs="Arial"/>
          <w:u w:val="single"/>
        </w:rPr>
        <w:t xml:space="preserve">of </w:t>
      </w:r>
      <w:r w:rsidRPr="00026764">
        <w:rPr>
          <w:rFonts w:cs="Arial"/>
          <w:u w:val="single"/>
        </w:rPr>
        <w:t>Request</w:t>
      </w:r>
      <w:r w:rsidR="00D234AE">
        <w:rPr>
          <w:rFonts w:cs="Arial"/>
          <w:u w:val="single"/>
        </w:rPr>
        <w:t>s</w:t>
      </w:r>
      <w:r>
        <w:rPr>
          <w:rFonts w:cs="Arial"/>
        </w:rPr>
        <w:t xml:space="preserve">: </w:t>
      </w:r>
      <w:r w:rsidR="0012586E">
        <w:rPr>
          <w:rFonts w:cs="Arial"/>
        </w:rPr>
        <w:t>A</w:t>
      </w:r>
      <w:r w:rsidR="00816C32">
        <w:rPr>
          <w:rFonts w:cs="Arial"/>
        </w:rPr>
        <w:t xml:space="preserve"> Competent Authority Request </w:t>
      </w:r>
      <w:r w:rsidR="00DB55D0">
        <w:rPr>
          <w:rFonts w:cs="Arial"/>
        </w:rPr>
        <w:t>should</w:t>
      </w:r>
      <w:r w:rsidR="00394F80">
        <w:rPr>
          <w:rFonts w:cs="Arial"/>
        </w:rPr>
        <w:t xml:space="preserve"> </w:t>
      </w:r>
      <w:r w:rsidR="0012586E">
        <w:rPr>
          <w:rFonts w:cs="Arial"/>
        </w:rPr>
        <w:t xml:space="preserve">generally contain sufficient background information to </w:t>
      </w:r>
      <w:r w:rsidR="003A41FF">
        <w:rPr>
          <w:rFonts w:cs="Arial"/>
        </w:rPr>
        <w:t xml:space="preserve">communicate </w:t>
      </w:r>
      <w:r w:rsidR="0012586E">
        <w:rPr>
          <w:rFonts w:cs="Arial"/>
        </w:rPr>
        <w:t>both the relevance of the request to an examination, investigation, or procedure and the nature of the information being requested. A Competent Authority Request</w:t>
      </w:r>
      <w:r w:rsidR="00DB55D0">
        <w:rPr>
          <w:rFonts w:cs="Arial"/>
        </w:rPr>
        <w:t xml:space="preserve"> </w:t>
      </w:r>
      <w:r w:rsidR="00394F80">
        <w:rPr>
          <w:rFonts w:cs="Arial"/>
        </w:rPr>
        <w:t xml:space="preserve">should </w:t>
      </w:r>
      <w:r w:rsidR="00295032">
        <w:rPr>
          <w:rFonts w:cs="Arial"/>
        </w:rPr>
        <w:t>contain identifying information regarding the individual person or group of persons (typically the name, address, and/or TIN)</w:t>
      </w:r>
      <w:r w:rsidR="0012586E">
        <w:rPr>
          <w:rFonts w:cs="Arial"/>
        </w:rPr>
        <w:t xml:space="preserve">, taxable periods for which information is sought, a detailed description of the specific information </w:t>
      </w:r>
      <w:r w:rsidR="0011455F">
        <w:rPr>
          <w:rFonts w:cs="Arial"/>
        </w:rPr>
        <w:t>requested</w:t>
      </w:r>
      <w:r w:rsidR="0012586E">
        <w:rPr>
          <w:rFonts w:cs="Arial"/>
        </w:rPr>
        <w:t>, e.g., account opening documents, signature cards, account statements, copies of canceled checks, deposit slips, wire transfers</w:t>
      </w:r>
      <w:r w:rsidR="0011455F">
        <w:rPr>
          <w:rFonts w:cs="Arial"/>
        </w:rPr>
        <w:t xml:space="preserve">, and the name and GIIN of the Reporting </w:t>
      </w:r>
      <w:r w:rsidR="00862E1A">
        <w:rPr>
          <w:rFonts w:cs="Arial"/>
        </w:rPr>
        <w:t>Serbian</w:t>
      </w:r>
      <w:r w:rsidR="0011455F">
        <w:rPr>
          <w:rFonts w:cs="Arial"/>
        </w:rPr>
        <w:t xml:space="preserve"> Financial Institution </w:t>
      </w:r>
      <w:r w:rsidR="000A2918">
        <w:rPr>
          <w:rFonts w:cs="Arial"/>
        </w:rPr>
        <w:t>believed to be in the possession of the requested information</w:t>
      </w:r>
      <w:r w:rsidR="0012586E">
        <w:rPr>
          <w:rFonts w:cs="Arial"/>
        </w:rPr>
        <w:t>.</w:t>
      </w:r>
      <w:r w:rsidR="0011455F">
        <w:rPr>
          <w:rFonts w:cs="Arial"/>
        </w:rPr>
        <w:t xml:space="preserve"> </w:t>
      </w:r>
      <w:r w:rsidR="0012586E">
        <w:rPr>
          <w:rFonts w:cs="Arial"/>
        </w:rPr>
        <w:t xml:space="preserve">For examples of additional </w:t>
      </w:r>
      <w:r w:rsidR="00295032">
        <w:rPr>
          <w:rFonts w:cs="Arial"/>
        </w:rPr>
        <w:t xml:space="preserve">information </w:t>
      </w:r>
      <w:r w:rsidR="0012586E">
        <w:rPr>
          <w:rFonts w:cs="Arial"/>
        </w:rPr>
        <w:t xml:space="preserve">that may be </w:t>
      </w:r>
      <w:r w:rsidR="0011455F">
        <w:rPr>
          <w:rFonts w:cs="Arial"/>
        </w:rPr>
        <w:t>included in a Competent Authority Request</w:t>
      </w:r>
      <w:r w:rsidR="0012586E">
        <w:rPr>
          <w:rFonts w:cs="Arial"/>
        </w:rPr>
        <w:t xml:space="preserve">, see </w:t>
      </w:r>
      <w:r w:rsidR="00A011A4">
        <w:rPr>
          <w:rFonts w:cs="Arial"/>
        </w:rPr>
        <w:t xml:space="preserve">Appendix 2 of the Global Forum on Transparency and Exchange of Information for Tax Purposes </w:t>
      </w:r>
      <w:r w:rsidR="00A011A4" w:rsidRPr="00026764">
        <w:rPr>
          <w:rFonts w:cs="Arial"/>
          <w:i/>
        </w:rPr>
        <w:t>Exchange of Information Working Manual</w:t>
      </w:r>
      <w:r w:rsidR="00CF1F4E">
        <w:rPr>
          <w:rFonts w:cs="Arial"/>
          <w:i/>
        </w:rPr>
        <w:t xml:space="preserve"> </w:t>
      </w:r>
      <w:r w:rsidR="00CF1F4E" w:rsidRPr="00026764">
        <w:rPr>
          <w:rFonts w:cs="Arial"/>
        </w:rPr>
        <w:t>(“EOI Working Manual”)</w:t>
      </w:r>
      <w:r w:rsidR="007C3B5A">
        <w:rPr>
          <w:rFonts w:cs="Arial"/>
        </w:rPr>
        <w:t xml:space="preserve">, </w:t>
      </w:r>
      <w:r w:rsidR="00295032">
        <w:rPr>
          <w:rFonts w:cs="Arial"/>
        </w:rPr>
        <w:t xml:space="preserve">currently </w:t>
      </w:r>
      <w:r w:rsidR="007C3B5A">
        <w:rPr>
          <w:rFonts w:cs="Arial"/>
        </w:rPr>
        <w:t xml:space="preserve">found </w:t>
      </w:r>
      <w:r w:rsidR="00043272">
        <w:rPr>
          <w:rFonts w:cs="Arial"/>
        </w:rPr>
        <w:t xml:space="preserve">at </w:t>
      </w:r>
      <w:hyperlink r:id="rId9" w:history="1">
        <w:r w:rsidR="0022014A" w:rsidRPr="006736D7">
          <w:rPr>
            <w:rStyle w:val="Hyperlink"/>
            <w:rFonts w:cs="Arial"/>
          </w:rPr>
          <w:t>http://www.oecd.org/tax/transparency/EOI%20manual.pdf</w:t>
        </w:r>
      </w:hyperlink>
      <w:r w:rsidR="00295032">
        <w:rPr>
          <w:rFonts w:cs="Arial"/>
        </w:rPr>
        <w:t>, and equivalent successor publications.</w:t>
      </w:r>
    </w:p>
    <w:p w14:paraId="2C7B3445" w14:textId="435427D8" w:rsidR="0011252F" w:rsidRDefault="00334E7F" w:rsidP="00D234AE">
      <w:pPr>
        <w:pStyle w:val="Body1"/>
        <w:widowControl w:val="0"/>
        <w:spacing w:before="240" w:after="200"/>
        <w:ind w:left="1440"/>
        <w:rPr>
          <w:rFonts w:cs="Arial"/>
        </w:rPr>
      </w:pPr>
      <w:r>
        <w:rPr>
          <w:rFonts w:cs="Arial"/>
        </w:rPr>
        <w:t>4.5.</w:t>
      </w:r>
      <w:r w:rsidR="001D2DBE">
        <w:rPr>
          <w:rFonts w:cs="Arial"/>
        </w:rPr>
        <w:t>3</w:t>
      </w:r>
      <w:r>
        <w:rPr>
          <w:rFonts w:cs="Arial"/>
        </w:rPr>
        <w:tab/>
      </w:r>
      <w:r w:rsidR="0070571D">
        <w:rPr>
          <w:rFonts w:cs="Arial"/>
          <w:u w:val="single"/>
        </w:rPr>
        <w:t>Procedure</w:t>
      </w:r>
      <w:r w:rsidRPr="00026764">
        <w:rPr>
          <w:rFonts w:cs="Arial"/>
          <w:u w:val="single"/>
        </w:rPr>
        <w:t>s</w:t>
      </w:r>
      <w:r w:rsidR="00D234AE">
        <w:rPr>
          <w:rFonts w:cs="Arial"/>
          <w:u w:val="single"/>
        </w:rPr>
        <w:t xml:space="preserve"> for Requests</w:t>
      </w:r>
      <w:r>
        <w:rPr>
          <w:rFonts w:cs="Arial"/>
        </w:rPr>
        <w:t xml:space="preserve">: </w:t>
      </w:r>
      <w:r w:rsidR="0011252F">
        <w:rPr>
          <w:rFonts w:cs="Arial"/>
        </w:rPr>
        <w:t xml:space="preserve">The </w:t>
      </w:r>
      <w:r w:rsidR="00862E1A">
        <w:rPr>
          <w:rFonts w:cs="Arial"/>
        </w:rPr>
        <w:t>Serbian</w:t>
      </w:r>
      <w:r w:rsidR="0011252F">
        <w:rPr>
          <w:rFonts w:cs="Arial"/>
        </w:rPr>
        <w:t xml:space="preserve"> Competent Authority should confirm receipt of </w:t>
      </w:r>
      <w:r w:rsidR="00200489">
        <w:rPr>
          <w:rFonts w:cs="Arial"/>
        </w:rPr>
        <w:t>a</w:t>
      </w:r>
      <w:r w:rsidR="0011252F">
        <w:rPr>
          <w:rFonts w:cs="Arial"/>
        </w:rPr>
        <w:t xml:space="preserve"> Competent Authority </w:t>
      </w:r>
      <w:r w:rsidR="00516E19">
        <w:rPr>
          <w:rFonts w:cs="Arial"/>
        </w:rPr>
        <w:t xml:space="preserve">Request </w:t>
      </w:r>
      <w:r w:rsidR="0011252F">
        <w:rPr>
          <w:rFonts w:cs="Arial"/>
        </w:rPr>
        <w:t xml:space="preserve">within </w:t>
      </w:r>
      <w:r w:rsidR="007E1E0B">
        <w:rPr>
          <w:rFonts w:cs="Arial"/>
        </w:rPr>
        <w:t>ten</w:t>
      </w:r>
      <w:r w:rsidR="00471A49">
        <w:rPr>
          <w:rFonts w:cs="Arial"/>
        </w:rPr>
        <w:t xml:space="preserve"> days</w:t>
      </w:r>
      <w:r w:rsidR="0011252F">
        <w:rPr>
          <w:rFonts w:cs="Arial"/>
        </w:rPr>
        <w:t xml:space="preserve"> of receipt.</w:t>
      </w:r>
      <w:r w:rsidR="000B35F1">
        <w:rPr>
          <w:rFonts w:cs="Arial"/>
        </w:rPr>
        <w:t xml:space="preserve"> </w:t>
      </w:r>
      <w:r w:rsidR="00D234AE">
        <w:rPr>
          <w:rFonts w:cs="Arial"/>
        </w:rPr>
        <w:t>T</w:t>
      </w:r>
      <w:r w:rsidR="00AB2F3C">
        <w:rPr>
          <w:rFonts w:cs="Arial"/>
        </w:rPr>
        <w:t xml:space="preserve">he </w:t>
      </w:r>
      <w:r w:rsidR="00862E1A">
        <w:rPr>
          <w:rFonts w:cs="Arial"/>
        </w:rPr>
        <w:t>Serbian</w:t>
      </w:r>
      <w:r w:rsidR="00DA14DE">
        <w:rPr>
          <w:rFonts w:cs="Arial"/>
        </w:rPr>
        <w:t xml:space="preserve"> Competent Authority</w:t>
      </w:r>
      <w:r w:rsidR="00AB2F3C">
        <w:rPr>
          <w:rFonts w:cs="Arial"/>
        </w:rPr>
        <w:t xml:space="preserve"> should take all </w:t>
      </w:r>
      <w:r w:rsidR="002E0EE2">
        <w:rPr>
          <w:rFonts w:cs="Arial"/>
        </w:rPr>
        <w:t xml:space="preserve">relevant </w:t>
      </w:r>
      <w:r w:rsidR="00AB2F3C">
        <w:rPr>
          <w:rFonts w:cs="Arial"/>
        </w:rPr>
        <w:t>information-gathering measures allowed under its domestic laws to provide the U.S. Competent Authority with the information requested</w:t>
      </w:r>
      <w:r w:rsidR="002E0EE2">
        <w:rPr>
          <w:rFonts w:cs="Arial"/>
        </w:rPr>
        <w:t xml:space="preserve">, notwithstanding that the </w:t>
      </w:r>
      <w:r w:rsidR="00862E1A">
        <w:rPr>
          <w:rFonts w:cs="Arial"/>
        </w:rPr>
        <w:t>Serbian</w:t>
      </w:r>
      <w:r w:rsidR="002E0EE2">
        <w:rPr>
          <w:rFonts w:cs="Arial"/>
        </w:rPr>
        <w:t xml:space="preserve"> may not need such information for its own tax purposes</w:t>
      </w:r>
      <w:r w:rsidR="00AB2F3C">
        <w:rPr>
          <w:rFonts w:cs="Arial"/>
        </w:rPr>
        <w:t>.</w:t>
      </w:r>
      <w:r w:rsidR="00B43CFB">
        <w:rPr>
          <w:rFonts w:cs="Arial"/>
        </w:rPr>
        <w:t xml:space="preserve">  </w:t>
      </w:r>
      <w:r w:rsidR="00B43CFB" w:rsidRPr="00026764">
        <w:rPr>
          <w:rFonts w:cs="Arial"/>
        </w:rPr>
        <w:t>In the event the Competent Autho</w:t>
      </w:r>
      <w:r w:rsidR="003B4612" w:rsidRPr="00026764">
        <w:rPr>
          <w:rFonts w:cs="Arial"/>
        </w:rPr>
        <w:t>rity Request seeks authentication of</w:t>
      </w:r>
      <w:r w:rsidR="00B43CFB" w:rsidRPr="00026764">
        <w:rPr>
          <w:rFonts w:cs="Arial"/>
        </w:rPr>
        <w:t xml:space="preserve"> copies of original records</w:t>
      </w:r>
      <w:r w:rsidR="003B4612" w:rsidRPr="00026764">
        <w:rPr>
          <w:rFonts w:cs="Arial"/>
        </w:rPr>
        <w:t>, such as a certificate of authenticity executed by the record keeper</w:t>
      </w:r>
      <w:r w:rsidR="00B43CFB" w:rsidRPr="00026764">
        <w:rPr>
          <w:rFonts w:cs="Arial"/>
        </w:rPr>
        <w:t xml:space="preserve">, the </w:t>
      </w:r>
      <w:r w:rsidR="00862E1A">
        <w:rPr>
          <w:rFonts w:cs="Arial"/>
        </w:rPr>
        <w:t>Serbian</w:t>
      </w:r>
      <w:r w:rsidR="00840CE7" w:rsidRPr="00026764">
        <w:rPr>
          <w:rFonts w:cs="Arial"/>
        </w:rPr>
        <w:t xml:space="preserve"> </w:t>
      </w:r>
      <w:r w:rsidR="00832508">
        <w:rPr>
          <w:rFonts w:cs="Arial"/>
        </w:rPr>
        <w:t xml:space="preserve">should </w:t>
      </w:r>
      <w:r w:rsidR="00840CE7" w:rsidRPr="00026764">
        <w:rPr>
          <w:rFonts w:cs="Arial"/>
        </w:rPr>
        <w:t>obtain and exchange</w:t>
      </w:r>
      <w:r w:rsidR="003B4612" w:rsidRPr="00026764">
        <w:rPr>
          <w:rFonts w:cs="Arial"/>
        </w:rPr>
        <w:t xml:space="preserve"> such</w:t>
      </w:r>
      <w:r w:rsidR="00840CE7" w:rsidRPr="00026764">
        <w:rPr>
          <w:rFonts w:cs="Arial"/>
        </w:rPr>
        <w:t xml:space="preserve"> authenticated copies</w:t>
      </w:r>
      <w:r w:rsidR="003B4612" w:rsidRPr="00026764">
        <w:rPr>
          <w:rFonts w:cs="Arial"/>
        </w:rPr>
        <w:t xml:space="preserve"> to the extent permitted under its law or administrative practice</w:t>
      </w:r>
      <w:r w:rsidR="00840CE7" w:rsidRPr="00026764">
        <w:rPr>
          <w:rFonts w:cs="Arial"/>
        </w:rPr>
        <w:t>.</w:t>
      </w:r>
    </w:p>
    <w:p w14:paraId="0D9114AF" w14:textId="548DB9F7" w:rsidR="00A95990" w:rsidRDefault="001E0AC8" w:rsidP="00F27146">
      <w:pPr>
        <w:pStyle w:val="Body1"/>
        <w:widowControl w:val="0"/>
        <w:spacing w:before="240" w:after="200"/>
        <w:ind w:left="1440"/>
        <w:rPr>
          <w:rFonts w:cs="Arial"/>
        </w:rPr>
      </w:pPr>
      <w:r w:rsidRPr="00BF2552">
        <w:rPr>
          <w:rFonts w:cs="Arial"/>
        </w:rPr>
        <w:t>4.5.</w:t>
      </w:r>
      <w:r w:rsidR="00202631" w:rsidRPr="00BF2552">
        <w:rPr>
          <w:rFonts w:cs="Arial"/>
        </w:rPr>
        <w:t>4</w:t>
      </w:r>
      <w:r w:rsidRPr="00BF2552">
        <w:rPr>
          <w:rFonts w:cs="Arial"/>
        </w:rPr>
        <w:tab/>
      </w:r>
      <w:r w:rsidRPr="00026764">
        <w:rPr>
          <w:rFonts w:cs="Arial"/>
          <w:u w:val="single"/>
        </w:rPr>
        <w:t xml:space="preserve">Timeframe </w:t>
      </w:r>
      <w:r w:rsidR="00435C15" w:rsidRPr="00026764">
        <w:rPr>
          <w:rFonts w:cs="Arial"/>
          <w:u w:val="single"/>
        </w:rPr>
        <w:t>to Respond</w:t>
      </w:r>
      <w:r w:rsidRPr="00BF2552">
        <w:rPr>
          <w:rFonts w:cs="Arial"/>
        </w:rPr>
        <w:t xml:space="preserve">: </w:t>
      </w:r>
      <w:r w:rsidR="00435C15" w:rsidRPr="00BF2552">
        <w:rPr>
          <w:rFonts w:cs="Arial"/>
        </w:rPr>
        <w:t xml:space="preserve">The </w:t>
      </w:r>
      <w:r w:rsidR="000D19E6" w:rsidRPr="00BF2552">
        <w:rPr>
          <w:rFonts w:cs="Arial"/>
        </w:rPr>
        <w:t xml:space="preserve">U.S. </w:t>
      </w:r>
      <w:r w:rsidR="00435C15" w:rsidRPr="00BF2552">
        <w:rPr>
          <w:rFonts w:cs="Arial"/>
        </w:rPr>
        <w:t>Competent Authorit</w:t>
      </w:r>
      <w:r w:rsidR="000D19E6" w:rsidRPr="00BF2552">
        <w:rPr>
          <w:rFonts w:cs="Arial"/>
        </w:rPr>
        <w:t>y</w:t>
      </w:r>
      <w:r w:rsidR="00435C15" w:rsidRPr="00BF2552">
        <w:rPr>
          <w:rFonts w:cs="Arial"/>
        </w:rPr>
        <w:t xml:space="preserve"> expect</w:t>
      </w:r>
      <w:r w:rsidR="000D19E6" w:rsidRPr="00BF2552">
        <w:rPr>
          <w:rFonts w:cs="Arial"/>
        </w:rPr>
        <w:t>s</w:t>
      </w:r>
      <w:r w:rsidR="00435C15" w:rsidRPr="00BF2552">
        <w:rPr>
          <w:rFonts w:cs="Arial"/>
        </w:rPr>
        <w:t xml:space="preserve"> that the </w:t>
      </w:r>
      <w:r w:rsidR="00862E1A">
        <w:rPr>
          <w:rFonts w:cs="Arial"/>
        </w:rPr>
        <w:t>Serbian</w:t>
      </w:r>
      <w:r w:rsidR="00435C15" w:rsidRPr="00BF2552">
        <w:rPr>
          <w:rFonts w:cs="Arial"/>
        </w:rPr>
        <w:t xml:space="preserve"> Competent Authority </w:t>
      </w:r>
      <w:r w:rsidR="00514B56">
        <w:rPr>
          <w:rFonts w:cs="Arial"/>
        </w:rPr>
        <w:t>provide</w:t>
      </w:r>
      <w:r w:rsidR="00435C15" w:rsidRPr="00BF2552">
        <w:rPr>
          <w:rFonts w:cs="Arial"/>
        </w:rPr>
        <w:t xml:space="preserve"> the requested additional information to the U.S. Competent Authority within 90 days after </w:t>
      </w:r>
      <w:r w:rsidR="003404BA" w:rsidRPr="00BF2552">
        <w:rPr>
          <w:rFonts w:cs="Arial"/>
        </w:rPr>
        <w:t>a</w:t>
      </w:r>
      <w:r w:rsidR="00435C15" w:rsidRPr="00BF2552">
        <w:rPr>
          <w:rFonts w:cs="Arial"/>
        </w:rPr>
        <w:t xml:space="preserve"> Competent Authority Request is received by the </w:t>
      </w:r>
      <w:r w:rsidR="00862E1A">
        <w:rPr>
          <w:rFonts w:cs="Arial"/>
        </w:rPr>
        <w:t>Serbian</w:t>
      </w:r>
      <w:r w:rsidR="00435C15" w:rsidRPr="00BF2552">
        <w:rPr>
          <w:rFonts w:cs="Arial"/>
        </w:rPr>
        <w:t xml:space="preserve"> Competent Authority.</w:t>
      </w:r>
    </w:p>
    <w:p w14:paraId="11D33A58" w14:textId="73168C99" w:rsidR="00516E19" w:rsidRPr="00DE5A4C" w:rsidRDefault="00516E19" w:rsidP="00F27146">
      <w:pPr>
        <w:pStyle w:val="Body1"/>
        <w:widowControl w:val="0"/>
        <w:spacing w:before="240" w:after="200"/>
        <w:ind w:left="1440"/>
        <w:rPr>
          <w:rFonts w:cs="Arial"/>
        </w:rPr>
      </w:pPr>
      <w:r>
        <w:rPr>
          <w:rFonts w:cs="Arial"/>
        </w:rPr>
        <w:t>4.5.</w:t>
      </w:r>
      <w:r w:rsidR="00202631">
        <w:rPr>
          <w:rFonts w:cs="Arial"/>
        </w:rPr>
        <w:t>5</w:t>
      </w:r>
      <w:r>
        <w:rPr>
          <w:rFonts w:cs="Arial"/>
        </w:rPr>
        <w:tab/>
      </w:r>
      <w:r w:rsidRPr="00026764">
        <w:rPr>
          <w:rFonts w:cs="Arial"/>
          <w:u w:val="single"/>
        </w:rPr>
        <w:t>Inability to Respond</w:t>
      </w:r>
      <w:r>
        <w:rPr>
          <w:rFonts w:cs="Arial"/>
        </w:rPr>
        <w:t xml:space="preserve">: </w:t>
      </w:r>
      <w:r w:rsidR="00BF2552">
        <w:rPr>
          <w:rFonts w:cs="Arial"/>
        </w:rPr>
        <w:t xml:space="preserve">In the event that the </w:t>
      </w:r>
      <w:r w:rsidR="00862E1A">
        <w:rPr>
          <w:rFonts w:cs="Arial"/>
        </w:rPr>
        <w:t>Serbian</w:t>
      </w:r>
      <w:r w:rsidR="00CB6F4B">
        <w:rPr>
          <w:rFonts w:cs="Arial"/>
        </w:rPr>
        <w:t xml:space="preserve"> Competent Authority </w:t>
      </w:r>
      <w:r w:rsidR="00BF2552">
        <w:rPr>
          <w:rFonts w:cs="Arial"/>
        </w:rPr>
        <w:t xml:space="preserve">is unable to </w:t>
      </w:r>
      <w:r w:rsidR="00394F80">
        <w:rPr>
          <w:rFonts w:cs="Arial"/>
        </w:rPr>
        <w:t xml:space="preserve">provide the requested information in response to </w:t>
      </w:r>
      <w:r w:rsidR="00BF2552">
        <w:rPr>
          <w:rFonts w:cs="Arial"/>
        </w:rPr>
        <w:t xml:space="preserve">a Competent Authority Request, it </w:t>
      </w:r>
      <w:r w:rsidR="00CB6F4B">
        <w:rPr>
          <w:rFonts w:cs="Arial"/>
        </w:rPr>
        <w:t xml:space="preserve">should </w:t>
      </w:r>
      <w:r w:rsidR="00257083">
        <w:rPr>
          <w:rFonts w:cs="Arial"/>
        </w:rPr>
        <w:t xml:space="preserve">promptly </w:t>
      </w:r>
      <w:r w:rsidR="00BF2552">
        <w:rPr>
          <w:rFonts w:cs="Arial"/>
        </w:rPr>
        <w:t xml:space="preserve">inform the U.S. Competent Authority and </w:t>
      </w:r>
      <w:r w:rsidR="00257083">
        <w:rPr>
          <w:rFonts w:cs="Arial"/>
        </w:rPr>
        <w:t xml:space="preserve">explain the reasons for </w:t>
      </w:r>
      <w:r w:rsidR="00BF2552">
        <w:rPr>
          <w:rFonts w:cs="Arial"/>
        </w:rPr>
        <w:t>its</w:t>
      </w:r>
      <w:r w:rsidR="00CB6F4B">
        <w:rPr>
          <w:rFonts w:cs="Arial"/>
        </w:rPr>
        <w:t xml:space="preserve"> </w:t>
      </w:r>
      <w:r w:rsidR="00257083">
        <w:rPr>
          <w:rFonts w:cs="Arial"/>
        </w:rPr>
        <w:t>inability to provide the requested information.</w:t>
      </w:r>
      <w:r w:rsidR="00670E00">
        <w:rPr>
          <w:rFonts w:cs="Arial"/>
        </w:rPr>
        <w:t xml:space="preserve"> </w:t>
      </w:r>
      <w:r w:rsidR="00CB6F4B">
        <w:rPr>
          <w:rFonts w:cs="Arial"/>
        </w:rPr>
        <w:t xml:space="preserve">In the event that the </w:t>
      </w:r>
      <w:r w:rsidR="00862E1A">
        <w:rPr>
          <w:rFonts w:cs="Arial"/>
        </w:rPr>
        <w:t>Serbian</w:t>
      </w:r>
      <w:r w:rsidR="00CB6F4B">
        <w:rPr>
          <w:rFonts w:cs="Arial"/>
        </w:rPr>
        <w:t xml:space="preserve"> Competent Authority </w:t>
      </w:r>
      <w:r w:rsidR="00832508">
        <w:rPr>
          <w:rFonts w:cs="Arial"/>
        </w:rPr>
        <w:t>can only partially respond to</w:t>
      </w:r>
      <w:r w:rsidR="00CB6F4B">
        <w:rPr>
          <w:rFonts w:cs="Arial"/>
        </w:rPr>
        <w:t xml:space="preserve"> a Competent Authority Request within the timeframe described in Paragraph 4.5.4, it should provide a partial response, to the extent possible, and an update on the status of the response.</w:t>
      </w:r>
    </w:p>
    <w:p w14:paraId="6F72015B" w14:textId="77777777" w:rsidR="00A4770A" w:rsidRDefault="00A4770A" w:rsidP="00C059F3">
      <w:pPr>
        <w:pStyle w:val="Body1"/>
        <w:keepNext/>
        <w:widowControl w:val="0"/>
        <w:tabs>
          <w:tab w:val="left" w:pos="90"/>
        </w:tabs>
        <w:spacing w:before="240" w:after="200"/>
        <w:ind w:left="90" w:firstLine="0"/>
        <w:jc w:val="center"/>
        <w:rPr>
          <w:rFonts w:cs="Arial"/>
          <w:b/>
        </w:rPr>
      </w:pPr>
    </w:p>
    <w:p w14:paraId="03AAF387" w14:textId="77777777" w:rsidR="00833C3B" w:rsidRPr="00DE5A4C" w:rsidRDefault="00C34F3D" w:rsidP="00C059F3">
      <w:pPr>
        <w:pStyle w:val="Body1"/>
        <w:keepNext/>
        <w:widowControl w:val="0"/>
        <w:tabs>
          <w:tab w:val="left" w:pos="90"/>
        </w:tabs>
        <w:spacing w:before="240" w:after="200"/>
        <w:ind w:left="90" w:firstLine="0"/>
        <w:jc w:val="center"/>
        <w:rPr>
          <w:rFonts w:cs="Arial"/>
          <w:u w:val="single"/>
        </w:rPr>
      </w:pPr>
      <w:r w:rsidRPr="005010FA">
        <w:rPr>
          <w:rFonts w:cs="Arial"/>
          <w:b/>
        </w:rPr>
        <w:t>Paragraph</w:t>
      </w:r>
      <w:r w:rsidR="00884324" w:rsidRPr="005010FA">
        <w:rPr>
          <w:rFonts w:cs="Arial"/>
          <w:b/>
        </w:rPr>
        <w:t xml:space="preserve"> 5</w:t>
      </w:r>
    </w:p>
    <w:p w14:paraId="504D3212" w14:textId="77777777" w:rsidR="00833C3B" w:rsidRPr="005010FA" w:rsidRDefault="00884324" w:rsidP="00C059F3">
      <w:pPr>
        <w:pStyle w:val="Body1"/>
        <w:widowControl w:val="0"/>
        <w:tabs>
          <w:tab w:val="left" w:pos="720"/>
        </w:tabs>
        <w:spacing w:before="240" w:after="200"/>
        <w:ind w:left="0" w:firstLine="0"/>
        <w:jc w:val="center"/>
        <w:rPr>
          <w:rFonts w:cs="Arial"/>
          <w:b/>
        </w:rPr>
      </w:pPr>
      <w:r w:rsidRPr="005010FA">
        <w:rPr>
          <w:rFonts w:cs="Arial"/>
          <w:b/>
        </w:rPr>
        <w:t xml:space="preserve">CONFIDENTIALITY </w:t>
      </w:r>
      <w:r w:rsidR="007447CA">
        <w:rPr>
          <w:rFonts w:cs="Arial"/>
          <w:b/>
        </w:rPr>
        <w:t>PROTECTIONS</w:t>
      </w:r>
    </w:p>
    <w:p w14:paraId="3C86C6F0" w14:textId="77777777" w:rsidR="00833C3B" w:rsidRPr="005010FA" w:rsidRDefault="00884324" w:rsidP="00C059F3">
      <w:pPr>
        <w:pStyle w:val="Body1"/>
        <w:widowControl w:val="0"/>
        <w:spacing w:before="240" w:after="200"/>
        <w:ind w:left="720"/>
        <w:rPr>
          <w:rFonts w:cs="Arial"/>
        </w:rPr>
      </w:pPr>
      <w:r w:rsidRPr="005010FA">
        <w:rPr>
          <w:rFonts w:cs="Arial"/>
        </w:rPr>
        <w:t>5.1</w:t>
      </w:r>
      <w:r w:rsidRPr="005010FA">
        <w:rPr>
          <w:rFonts w:cs="Arial"/>
        </w:rPr>
        <w:tab/>
      </w:r>
      <w:r w:rsidRPr="005010FA">
        <w:rPr>
          <w:rFonts w:cs="Arial"/>
          <w:u w:val="single"/>
        </w:rPr>
        <w:t>Confidentiality and Use</w:t>
      </w:r>
      <w:r w:rsidR="008F5596">
        <w:rPr>
          <w:rFonts w:cs="Arial"/>
        </w:rPr>
        <w:t xml:space="preserve">: </w:t>
      </w:r>
      <w:r w:rsidRPr="005010FA">
        <w:rPr>
          <w:rFonts w:cs="Arial"/>
        </w:rPr>
        <w:t>In accordance with Article 3(7)</w:t>
      </w:r>
      <w:r w:rsidR="007B7D54" w:rsidRPr="005010FA">
        <w:rPr>
          <w:rFonts w:cs="Arial"/>
        </w:rPr>
        <w:t xml:space="preserve"> of the IGA</w:t>
      </w:r>
      <w:r w:rsidRPr="005010FA">
        <w:rPr>
          <w:rFonts w:cs="Arial"/>
        </w:rPr>
        <w:t xml:space="preserve">, all information </w:t>
      </w:r>
      <w:r w:rsidR="004628BA" w:rsidRPr="005010FA">
        <w:rPr>
          <w:rFonts w:cs="Arial"/>
        </w:rPr>
        <w:t>exchanged</w:t>
      </w:r>
      <w:r w:rsidR="00CA3C4D" w:rsidRPr="005010FA">
        <w:rPr>
          <w:rFonts w:cs="Arial"/>
        </w:rPr>
        <w:t xml:space="preserve"> </w:t>
      </w:r>
      <w:r w:rsidR="00655B86">
        <w:rPr>
          <w:rFonts w:cs="Arial"/>
        </w:rPr>
        <w:t>pursuant to the IGA</w:t>
      </w:r>
      <w:r w:rsidR="00673269" w:rsidRPr="005010FA">
        <w:rPr>
          <w:rFonts w:cs="Arial"/>
        </w:rPr>
        <w:t xml:space="preserve"> is</w:t>
      </w:r>
      <w:r w:rsidR="007B7D54" w:rsidRPr="005010FA">
        <w:rPr>
          <w:rFonts w:cs="Arial"/>
        </w:rPr>
        <w:t xml:space="preserve"> subject to the confidentiality and other protections </w:t>
      </w:r>
      <w:r w:rsidRPr="005010FA">
        <w:rPr>
          <w:rFonts w:cs="Arial"/>
        </w:rPr>
        <w:t xml:space="preserve">provided </w:t>
      </w:r>
      <w:r w:rsidR="007B7D54" w:rsidRPr="005010FA">
        <w:rPr>
          <w:rFonts w:cs="Arial"/>
        </w:rPr>
        <w:t xml:space="preserve">for </w:t>
      </w:r>
      <w:r w:rsidRPr="005010FA">
        <w:rPr>
          <w:rFonts w:cs="Arial"/>
        </w:rPr>
        <w:t xml:space="preserve">in Article </w:t>
      </w:r>
      <w:r w:rsidR="007E1E0B">
        <w:rPr>
          <w:rFonts w:cs="Arial"/>
        </w:rPr>
        <w:t>9</w:t>
      </w:r>
      <w:r w:rsidR="006946A7">
        <w:rPr>
          <w:rFonts w:cs="Arial"/>
        </w:rPr>
        <w:t xml:space="preserve"> of the IGA</w:t>
      </w:r>
      <w:r w:rsidR="00655B86">
        <w:rPr>
          <w:rFonts w:cs="Arial"/>
        </w:rPr>
        <w:t xml:space="preserve"> </w:t>
      </w:r>
      <w:r w:rsidR="00907E4F" w:rsidRPr="005010FA">
        <w:rPr>
          <w:rFonts w:cs="Arial"/>
        </w:rPr>
        <w:t>(“Confidentiality Protections”)</w:t>
      </w:r>
      <w:r w:rsidRPr="005010FA">
        <w:rPr>
          <w:rFonts w:cs="Arial"/>
        </w:rPr>
        <w:t xml:space="preserve">, </w:t>
      </w:r>
      <w:r w:rsidR="007B7D54" w:rsidRPr="005010FA">
        <w:rPr>
          <w:rFonts w:cs="Arial"/>
        </w:rPr>
        <w:t>including the provisions limiting the use of the information</w:t>
      </w:r>
      <w:r w:rsidRPr="005010FA">
        <w:rPr>
          <w:rFonts w:cs="Arial"/>
        </w:rPr>
        <w:t xml:space="preserve"> exchange</w:t>
      </w:r>
      <w:r w:rsidR="007B7D54" w:rsidRPr="005010FA">
        <w:rPr>
          <w:rFonts w:cs="Arial"/>
        </w:rPr>
        <w:t>d</w:t>
      </w:r>
      <w:r w:rsidRPr="005010FA">
        <w:rPr>
          <w:rFonts w:cs="Arial"/>
        </w:rPr>
        <w:t>.</w:t>
      </w:r>
      <w:r w:rsidR="00562D03">
        <w:rPr>
          <w:rFonts w:cs="Arial"/>
        </w:rPr>
        <w:t xml:space="preserve"> </w:t>
      </w:r>
      <w:r w:rsidR="00E521E6">
        <w:rPr>
          <w:rFonts w:cs="Arial"/>
        </w:rPr>
        <w:t xml:space="preserve">The Competent Authorities intend to implement or continue to practice, as applicable, administrative policies and practices to protect the confidentiality of information exchanged, </w:t>
      </w:r>
      <w:r w:rsidR="00295032">
        <w:rPr>
          <w:rFonts w:cs="Arial"/>
        </w:rPr>
        <w:t>consistent with</w:t>
      </w:r>
      <w:r w:rsidR="00E521E6">
        <w:rPr>
          <w:rFonts w:cs="Arial"/>
        </w:rPr>
        <w:t xml:space="preserve"> the 2012 Joint OECD/Global Forum </w:t>
      </w:r>
      <w:r w:rsidR="00E521E6" w:rsidRPr="00026764">
        <w:rPr>
          <w:rFonts w:cs="Arial"/>
          <w:i/>
        </w:rPr>
        <w:t>Keeping it Safe</w:t>
      </w:r>
      <w:r w:rsidR="00E521E6">
        <w:rPr>
          <w:rFonts w:cs="Arial"/>
        </w:rPr>
        <w:t xml:space="preserve"> Guide, </w:t>
      </w:r>
      <w:r w:rsidR="00295032">
        <w:rPr>
          <w:rFonts w:cs="Arial"/>
        </w:rPr>
        <w:t xml:space="preserve">currently </w:t>
      </w:r>
      <w:r w:rsidR="00E521E6">
        <w:rPr>
          <w:rFonts w:cs="Arial"/>
        </w:rPr>
        <w:t xml:space="preserve">found at </w:t>
      </w:r>
      <w:r w:rsidR="00E521E6" w:rsidRPr="00026764">
        <w:rPr>
          <w:rFonts w:cs="Arial"/>
          <w:u w:val="single"/>
        </w:rPr>
        <w:t>http://www.oecd.org/tax/transparency/final%20Keeping%20it%20Safe%20with%20cover.pdf</w:t>
      </w:r>
      <w:r w:rsidR="00E521E6">
        <w:rPr>
          <w:rFonts w:cs="Arial"/>
        </w:rPr>
        <w:t>.</w:t>
      </w:r>
    </w:p>
    <w:p w14:paraId="198ABC55" w14:textId="229191B0" w:rsidR="00521AFC" w:rsidRDefault="00884324" w:rsidP="00521AFC">
      <w:pPr>
        <w:pStyle w:val="Body1"/>
        <w:spacing w:before="240" w:after="200"/>
        <w:ind w:left="720"/>
      </w:pPr>
      <w:r w:rsidRPr="00DE5A4C">
        <w:rPr>
          <w:rFonts w:cs="Arial"/>
        </w:rPr>
        <w:t>5.2</w:t>
      </w:r>
      <w:r w:rsidRPr="005010FA">
        <w:rPr>
          <w:rFonts w:cs="Arial"/>
        </w:rPr>
        <w:tab/>
      </w:r>
      <w:r w:rsidR="00D203FC" w:rsidRPr="005010FA">
        <w:rPr>
          <w:rFonts w:cs="Arial"/>
          <w:u w:val="single"/>
        </w:rPr>
        <w:t>Transmission Risk and Responsibility</w:t>
      </w:r>
      <w:r w:rsidR="00F212F5">
        <w:rPr>
          <w:rFonts w:cs="Arial"/>
          <w:u w:val="single"/>
        </w:rPr>
        <w:t xml:space="preserve"> for Information Transmitted</w:t>
      </w:r>
      <w:r w:rsidR="00F212F5" w:rsidRPr="00A830D1">
        <w:rPr>
          <w:u w:val="single"/>
        </w:rPr>
        <w:t xml:space="preserve"> via IDES</w:t>
      </w:r>
      <w:r w:rsidR="0029161B">
        <w:rPr>
          <w:rFonts w:cs="Arial"/>
        </w:rPr>
        <w:t>:</w:t>
      </w:r>
      <w:r w:rsidR="002F4FAC" w:rsidRPr="00DE5A4C">
        <w:rPr>
          <w:rFonts w:cs="Arial"/>
        </w:rPr>
        <w:t xml:space="preserve"> </w:t>
      </w:r>
      <w:r w:rsidR="003054D4" w:rsidRPr="00DE5A4C">
        <w:rPr>
          <w:rFonts w:cs="Arial"/>
        </w:rPr>
        <w:t xml:space="preserve">The U.S. Competent Authority </w:t>
      </w:r>
      <w:r w:rsidR="007D23BF">
        <w:rPr>
          <w:rFonts w:cs="Arial"/>
        </w:rPr>
        <w:t xml:space="preserve">intends </w:t>
      </w:r>
      <w:r w:rsidR="002F4FAC" w:rsidRPr="00DE5A4C">
        <w:rPr>
          <w:rFonts w:cs="Arial"/>
        </w:rPr>
        <w:t>to maintain Confidentiality Protections</w:t>
      </w:r>
      <w:r w:rsidR="001F1377">
        <w:rPr>
          <w:rFonts w:cs="Arial"/>
        </w:rPr>
        <w:t xml:space="preserve"> </w:t>
      </w:r>
      <w:r w:rsidR="00C059F3">
        <w:rPr>
          <w:rFonts w:cs="Arial"/>
        </w:rPr>
        <w:t xml:space="preserve">regarding information transmitted via IDES </w:t>
      </w:r>
      <w:r w:rsidR="00FF6B10" w:rsidRPr="00DE5A4C">
        <w:rPr>
          <w:rFonts w:cs="Arial"/>
        </w:rPr>
        <w:t xml:space="preserve">from the </w:t>
      </w:r>
      <w:r w:rsidR="003054D4" w:rsidRPr="00DE5A4C">
        <w:rPr>
          <w:rFonts w:cs="Arial"/>
        </w:rPr>
        <w:t xml:space="preserve">time </w:t>
      </w:r>
      <w:r w:rsidR="00655B86">
        <w:rPr>
          <w:rFonts w:cs="Arial"/>
        </w:rPr>
        <w:t>information is</w:t>
      </w:r>
      <w:r w:rsidR="00FF6B10" w:rsidRPr="00DE5A4C">
        <w:rPr>
          <w:rFonts w:cs="Arial"/>
        </w:rPr>
        <w:t xml:space="preserve"> </w:t>
      </w:r>
      <w:r w:rsidR="006D01AD" w:rsidRPr="00DE5A4C">
        <w:rPr>
          <w:rFonts w:cs="Arial"/>
        </w:rPr>
        <w:t xml:space="preserve">successfully </w:t>
      </w:r>
      <w:r w:rsidR="003054D4" w:rsidRPr="00DE5A4C">
        <w:rPr>
          <w:rFonts w:cs="Arial"/>
        </w:rPr>
        <w:t>upload</w:t>
      </w:r>
      <w:r w:rsidR="00655B86">
        <w:rPr>
          <w:rFonts w:cs="Arial"/>
        </w:rPr>
        <w:t>ed</w:t>
      </w:r>
      <w:r w:rsidR="00FF6B10" w:rsidRPr="00DE5A4C">
        <w:rPr>
          <w:rFonts w:cs="Arial"/>
        </w:rPr>
        <w:t xml:space="preserve"> to IDES</w:t>
      </w:r>
      <w:r w:rsidR="00BF034B">
        <w:rPr>
          <w:rFonts w:cs="Arial"/>
        </w:rPr>
        <w:t xml:space="preserve"> by the </w:t>
      </w:r>
      <w:r w:rsidR="00862E1A">
        <w:rPr>
          <w:rFonts w:cs="Arial"/>
        </w:rPr>
        <w:t>Serbian</w:t>
      </w:r>
      <w:r w:rsidR="00BF034B">
        <w:rPr>
          <w:rFonts w:cs="Arial"/>
        </w:rPr>
        <w:t xml:space="preserve"> Competent Authority</w:t>
      </w:r>
      <w:r w:rsidR="00311F8E">
        <w:rPr>
          <w:rFonts w:cs="Arial"/>
        </w:rPr>
        <w:t>.</w:t>
      </w:r>
      <w:r w:rsidR="008F5596">
        <w:rPr>
          <w:rFonts w:cs="Arial"/>
        </w:rPr>
        <w:t xml:space="preserve"> </w:t>
      </w:r>
      <w:r w:rsidR="005139B0">
        <w:t>Where</w:t>
      </w:r>
      <w:r w:rsidR="00521AFC">
        <w:t xml:space="preserve"> </w:t>
      </w:r>
      <w:r w:rsidR="00D01495">
        <w:t xml:space="preserve">the </w:t>
      </w:r>
      <w:r w:rsidR="00862E1A">
        <w:t>Serbian</w:t>
      </w:r>
      <w:r w:rsidR="00521AFC">
        <w:t xml:space="preserve"> Competent Authority elects to use IDES as an M1O2 data collection tool, the </w:t>
      </w:r>
      <w:r w:rsidR="00862E1A">
        <w:t>Serbian</w:t>
      </w:r>
      <w:r w:rsidR="00521AFC">
        <w:t xml:space="preserve"> Competent Authority</w:t>
      </w:r>
      <w:r w:rsidR="007D23BF">
        <w:t xml:space="preserve"> intends</w:t>
      </w:r>
      <w:r w:rsidR="00521AFC">
        <w:t xml:space="preserve"> to maintain Confidentiality Protections </w:t>
      </w:r>
      <w:r w:rsidR="005139B0">
        <w:t xml:space="preserve">from the time information is successfully uploaded by a Reporting </w:t>
      </w:r>
      <w:r w:rsidR="00862E1A">
        <w:t>Serbian</w:t>
      </w:r>
      <w:r w:rsidR="005139B0">
        <w:t xml:space="preserve"> Financial Institution or by or on behalf of a Paragraph 1.1.2 Financial Institution to IDES</w:t>
      </w:r>
      <w:r w:rsidR="00562D03">
        <w:t xml:space="preserve">. </w:t>
      </w:r>
      <w:r w:rsidR="00521AFC" w:rsidRPr="007E42F2">
        <w:rPr>
          <w:i/>
        </w:rPr>
        <w:t>See</w:t>
      </w:r>
      <w:r w:rsidR="00521AFC">
        <w:t xml:space="preserve"> </w:t>
      </w:r>
      <w:r w:rsidR="00D01495">
        <w:t xml:space="preserve">FATCA </w:t>
      </w:r>
      <w:r w:rsidR="00521AFC">
        <w:t>IDES User Guide</w:t>
      </w:r>
      <w:r w:rsidR="006703F7">
        <w:t xml:space="preserve"> (IRS</w:t>
      </w:r>
      <w:r w:rsidR="00521AFC">
        <w:t xml:space="preserve"> Publication 5190</w:t>
      </w:r>
      <w:r w:rsidR="006703F7">
        <w:t>)</w:t>
      </w:r>
      <w:r w:rsidR="00521AFC">
        <w:t>.</w:t>
      </w:r>
      <w:r w:rsidR="00410F42">
        <w:t xml:space="preserve"> </w:t>
      </w:r>
      <w:r w:rsidR="00410F42" w:rsidRPr="00DE5A4C">
        <w:rPr>
          <w:rFonts w:cs="Arial"/>
        </w:rPr>
        <w:t xml:space="preserve">The </w:t>
      </w:r>
      <w:r w:rsidR="00862E1A">
        <w:rPr>
          <w:rFonts w:cs="Arial"/>
        </w:rPr>
        <w:t>Serbian</w:t>
      </w:r>
      <w:r w:rsidR="00410F42" w:rsidRPr="00DE5A4C">
        <w:rPr>
          <w:rFonts w:cs="Arial"/>
        </w:rPr>
        <w:t xml:space="preserve"> Competent Authority </w:t>
      </w:r>
      <w:r w:rsidR="00410F42">
        <w:rPr>
          <w:rFonts w:cs="Arial"/>
        </w:rPr>
        <w:t xml:space="preserve">intends </w:t>
      </w:r>
      <w:r w:rsidR="00410F42" w:rsidRPr="00DE5A4C">
        <w:rPr>
          <w:rFonts w:cs="Arial"/>
        </w:rPr>
        <w:t xml:space="preserve">to maintain Confidentiality Protections </w:t>
      </w:r>
      <w:r w:rsidR="00410F42">
        <w:rPr>
          <w:rFonts w:cs="Arial"/>
        </w:rPr>
        <w:t xml:space="preserve">regarding information transmitted by the U.S. Competent Authority via IDES </w:t>
      </w:r>
      <w:r w:rsidR="00410F42" w:rsidRPr="00DE5A4C">
        <w:rPr>
          <w:rFonts w:cs="Arial"/>
        </w:rPr>
        <w:t xml:space="preserve">from the time it successfully downloads </w:t>
      </w:r>
      <w:r w:rsidR="00410F42">
        <w:rPr>
          <w:rFonts w:cs="Arial"/>
        </w:rPr>
        <w:t xml:space="preserve">such </w:t>
      </w:r>
      <w:r w:rsidR="00410F42" w:rsidRPr="00DE5A4C">
        <w:rPr>
          <w:rFonts w:cs="Arial"/>
        </w:rPr>
        <w:t>information</w:t>
      </w:r>
      <w:r w:rsidR="00410F42">
        <w:rPr>
          <w:rFonts w:cs="Arial"/>
        </w:rPr>
        <w:t xml:space="preserve"> from</w:t>
      </w:r>
      <w:r w:rsidR="00410F42" w:rsidRPr="00DE5A4C">
        <w:rPr>
          <w:rFonts w:cs="Arial"/>
        </w:rPr>
        <w:t xml:space="preserve"> IDES</w:t>
      </w:r>
      <w:r w:rsidR="00410F42">
        <w:rPr>
          <w:rFonts w:cs="Arial"/>
        </w:rPr>
        <w:t>.</w:t>
      </w:r>
    </w:p>
    <w:p w14:paraId="7A67C5DE" w14:textId="77777777" w:rsidR="001A7960" w:rsidRPr="005010FA" w:rsidRDefault="00884324" w:rsidP="00C059F3">
      <w:pPr>
        <w:pStyle w:val="Body1"/>
        <w:tabs>
          <w:tab w:val="left" w:pos="0"/>
        </w:tabs>
        <w:spacing w:before="240" w:after="200"/>
        <w:ind w:left="720"/>
        <w:rPr>
          <w:rFonts w:cs="Arial"/>
        </w:rPr>
      </w:pPr>
      <w:r w:rsidRPr="005010FA">
        <w:rPr>
          <w:rFonts w:cs="Arial"/>
        </w:rPr>
        <w:t>5.</w:t>
      </w:r>
      <w:r w:rsidR="007274D8" w:rsidRPr="005010FA">
        <w:rPr>
          <w:rFonts w:cs="Arial"/>
        </w:rPr>
        <w:t>3</w:t>
      </w:r>
      <w:r w:rsidRPr="005010FA">
        <w:rPr>
          <w:rFonts w:cs="Arial"/>
        </w:rPr>
        <w:tab/>
      </w:r>
      <w:r w:rsidRPr="005010FA">
        <w:rPr>
          <w:rFonts w:cs="Arial"/>
          <w:u w:val="single"/>
        </w:rPr>
        <w:t xml:space="preserve">Notification of </w:t>
      </w:r>
      <w:r w:rsidR="00DF3FFE" w:rsidRPr="005010FA">
        <w:rPr>
          <w:rFonts w:cs="Arial"/>
          <w:u w:val="single"/>
        </w:rPr>
        <w:t>Actual or Potential</w:t>
      </w:r>
      <w:r w:rsidR="00027A6D" w:rsidRPr="005010FA">
        <w:rPr>
          <w:rFonts w:cs="Arial"/>
          <w:u w:val="single"/>
        </w:rPr>
        <w:t xml:space="preserve"> </w:t>
      </w:r>
      <w:r w:rsidRPr="005010FA">
        <w:rPr>
          <w:rFonts w:cs="Arial"/>
          <w:u w:val="single"/>
        </w:rPr>
        <w:t xml:space="preserve">Breach of </w:t>
      </w:r>
      <w:r w:rsidR="00216C8D" w:rsidRPr="005010FA">
        <w:rPr>
          <w:rFonts w:cs="Arial"/>
          <w:u w:val="single"/>
        </w:rPr>
        <w:t xml:space="preserve">the </w:t>
      </w:r>
      <w:r w:rsidRPr="005010FA">
        <w:rPr>
          <w:rFonts w:cs="Arial"/>
          <w:u w:val="single"/>
        </w:rPr>
        <w:t>Confidentiality</w:t>
      </w:r>
      <w:r w:rsidR="00216C8D" w:rsidRPr="005010FA">
        <w:rPr>
          <w:rFonts w:cs="Arial"/>
          <w:u w:val="single"/>
        </w:rPr>
        <w:t xml:space="preserve"> </w:t>
      </w:r>
      <w:r w:rsidR="001F1377">
        <w:rPr>
          <w:rFonts w:cs="Arial"/>
          <w:u w:val="single"/>
        </w:rPr>
        <w:t xml:space="preserve">and Safeguard </w:t>
      </w:r>
      <w:r w:rsidR="00216C8D" w:rsidRPr="005010FA">
        <w:rPr>
          <w:rFonts w:cs="Arial"/>
          <w:u w:val="single"/>
        </w:rPr>
        <w:t>Protections</w:t>
      </w:r>
      <w:r w:rsidR="008F5596">
        <w:rPr>
          <w:rFonts w:cs="Arial"/>
        </w:rPr>
        <w:t>:</w:t>
      </w:r>
      <w:r w:rsidRPr="005010FA">
        <w:rPr>
          <w:rFonts w:cs="Arial"/>
        </w:rPr>
        <w:t xml:space="preserve"> </w:t>
      </w:r>
      <w:r w:rsidR="00655B86">
        <w:rPr>
          <w:rFonts w:cs="Arial"/>
        </w:rPr>
        <w:t>A</w:t>
      </w:r>
      <w:r w:rsidR="00655B86" w:rsidRPr="005010FA">
        <w:rPr>
          <w:rFonts w:cs="Arial"/>
        </w:rPr>
        <w:t xml:space="preserve"> </w:t>
      </w:r>
      <w:r w:rsidRPr="005010FA">
        <w:rPr>
          <w:rFonts w:cs="Arial"/>
        </w:rPr>
        <w:t xml:space="preserve">Competent Authority </w:t>
      </w:r>
      <w:r w:rsidR="00655B86">
        <w:rPr>
          <w:rFonts w:cs="Arial"/>
        </w:rPr>
        <w:t>should</w:t>
      </w:r>
      <w:r w:rsidR="00827BC6" w:rsidRPr="005010FA">
        <w:rPr>
          <w:rFonts w:cs="Arial"/>
        </w:rPr>
        <w:t xml:space="preserve"> </w:t>
      </w:r>
      <w:r w:rsidRPr="005010FA">
        <w:rPr>
          <w:rFonts w:cs="Arial"/>
        </w:rPr>
        <w:t>notif</w:t>
      </w:r>
      <w:r w:rsidR="00827BC6" w:rsidRPr="005010FA">
        <w:rPr>
          <w:rFonts w:cs="Arial"/>
        </w:rPr>
        <w:t>y</w:t>
      </w:r>
      <w:r w:rsidRPr="005010FA">
        <w:rPr>
          <w:rFonts w:cs="Arial"/>
        </w:rPr>
        <w:t xml:space="preserve"> the other Competent Authority </w:t>
      </w:r>
      <w:r w:rsidR="00311F8E">
        <w:rPr>
          <w:rFonts w:cs="Arial"/>
        </w:rPr>
        <w:t>promptly</w:t>
      </w:r>
      <w:r w:rsidR="00311F8E" w:rsidRPr="005010FA">
        <w:rPr>
          <w:rFonts w:cs="Arial"/>
        </w:rPr>
        <w:t xml:space="preserve"> </w:t>
      </w:r>
      <w:r w:rsidR="00FB7790" w:rsidRPr="005010FA">
        <w:rPr>
          <w:rFonts w:cs="Arial"/>
        </w:rPr>
        <w:t xml:space="preserve">regarding </w:t>
      </w:r>
      <w:r w:rsidRPr="005010FA">
        <w:rPr>
          <w:rFonts w:cs="Arial"/>
        </w:rPr>
        <w:t>any</w:t>
      </w:r>
      <w:r w:rsidR="00027A6D" w:rsidRPr="005010FA">
        <w:rPr>
          <w:rFonts w:cs="Arial"/>
        </w:rPr>
        <w:t xml:space="preserve"> </w:t>
      </w:r>
      <w:r w:rsidR="00407417" w:rsidRPr="005010FA">
        <w:rPr>
          <w:rFonts w:cs="Arial"/>
        </w:rPr>
        <w:t>actual or potential</w:t>
      </w:r>
      <w:r w:rsidRPr="005010FA">
        <w:rPr>
          <w:rFonts w:cs="Arial"/>
        </w:rPr>
        <w:t xml:space="preserve"> breach of</w:t>
      </w:r>
      <w:r w:rsidR="00216C8D" w:rsidRPr="005010FA">
        <w:rPr>
          <w:rFonts w:cs="Arial"/>
        </w:rPr>
        <w:t xml:space="preserve"> the Confidentiality Protections. </w:t>
      </w:r>
      <w:r w:rsidRPr="005010FA">
        <w:rPr>
          <w:rFonts w:cs="Arial"/>
        </w:rPr>
        <w:t xml:space="preserve"> </w:t>
      </w:r>
    </w:p>
    <w:p w14:paraId="7A1ED04E" w14:textId="77777777" w:rsidR="00A4770A" w:rsidRDefault="00A4770A" w:rsidP="00C059F3">
      <w:pPr>
        <w:pStyle w:val="Body1"/>
        <w:tabs>
          <w:tab w:val="left" w:pos="0"/>
        </w:tabs>
        <w:spacing w:before="240" w:after="200"/>
        <w:ind w:left="720"/>
        <w:jc w:val="center"/>
        <w:rPr>
          <w:rFonts w:cs="Arial"/>
          <w:b/>
        </w:rPr>
      </w:pPr>
    </w:p>
    <w:p w14:paraId="0B2A2784" w14:textId="77777777" w:rsidR="00833C3B" w:rsidRPr="00DE5A4C" w:rsidRDefault="00C34F3D" w:rsidP="00C059F3">
      <w:pPr>
        <w:pStyle w:val="Body1"/>
        <w:tabs>
          <w:tab w:val="left" w:pos="0"/>
        </w:tabs>
        <w:spacing w:before="240" w:after="200"/>
        <w:ind w:left="720"/>
        <w:jc w:val="center"/>
        <w:rPr>
          <w:rFonts w:cs="Arial"/>
          <w:b/>
        </w:rPr>
      </w:pPr>
      <w:r w:rsidRPr="005010FA">
        <w:rPr>
          <w:rFonts w:cs="Arial"/>
          <w:b/>
        </w:rPr>
        <w:t>Paragraph</w:t>
      </w:r>
      <w:r w:rsidR="00884324" w:rsidRPr="005010FA">
        <w:rPr>
          <w:rFonts w:cs="Arial"/>
          <w:b/>
        </w:rPr>
        <w:t xml:space="preserve"> 6</w:t>
      </w:r>
    </w:p>
    <w:p w14:paraId="6B3AAB12" w14:textId="77777777" w:rsidR="00833C3B" w:rsidRPr="00DE5A4C" w:rsidRDefault="00884324" w:rsidP="00C059F3">
      <w:pPr>
        <w:pStyle w:val="Body1"/>
        <w:keepNext/>
        <w:widowControl w:val="0"/>
        <w:tabs>
          <w:tab w:val="left" w:pos="0"/>
        </w:tabs>
        <w:spacing w:before="240" w:after="200"/>
        <w:ind w:left="720"/>
        <w:jc w:val="center"/>
        <w:rPr>
          <w:rFonts w:cs="Arial"/>
          <w:b/>
        </w:rPr>
      </w:pPr>
      <w:r w:rsidRPr="005010FA">
        <w:rPr>
          <w:rFonts w:cs="Arial"/>
          <w:b/>
        </w:rPr>
        <w:t>COSTS</w:t>
      </w:r>
    </w:p>
    <w:p w14:paraId="44C1D39D" w14:textId="458ECAC1" w:rsidR="00833C3B" w:rsidRPr="00DE5A4C" w:rsidRDefault="00884324" w:rsidP="00C059F3">
      <w:pPr>
        <w:pStyle w:val="Body1"/>
        <w:spacing w:before="240"/>
        <w:ind w:left="720"/>
        <w:rPr>
          <w:rFonts w:cs="Arial"/>
          <w:szCs w:val="17"/>
          <w:shd w:val="clear" w:color="auto" w:fill="FFFFFF"/>
        </w:rPr>
      </w:pPr>
      <w:r w:rsidRPr="005010FA">
        <w:rPr>
          <w:rFonts w:cs="Arial"/>
        </w:rPr>
        <w:t>6.1</w:t>
      </w:r>
      <w:r w:rsidRPr="005010FA">
        <w:rPr>
          <w:rFonts w:cs="Arial"/>
        </w:rPr>
        <w:tab/>
      </w:r>
      <w:r w:rsidR="00FD7F8D">
        <w:rPr>
          <w:rFonts w:cs="Arial"/>
          <w:shd w:val="clear" w:color="auto" w:fill="FFFFFF"/>
        </w:rPr>
        <w:t>E</w:t>
      </w:r>
      <w:r w:rsidR="0018660C" w:rsidRPr="0018660C">
        <w:rPr>
          <w:rFonts w:cs="Arial"/>
          <w:shd w:val="clear" w:color="auto" w:fill="FFFFFF"/>
        </w:rPr>
        <w:t xml:space="preserve">ach Competent Authority intends to bear its own costs incurred in administering the IGA and this Arrangement.  The </w:t>
      </w:r>
      <w:r w:rsidR="00862E1A">
        <w:rPr>
          <w:rFonts w:cs="Arial"/>
          <w:shd w:val="clear" w:color="auto" w:fill="FFFFFF"/>
        </w:rPr>
        <w:t>Serbian</w:t>
      </w:r>
      <w:r w:rsidR="0018660C" w:rsidRPr="0018660C">
        <w:rPr>
          <w:rFonts w:cs="Arial"/>
          <w:shd w:val="clear" w:color="auto" w:fill="FFFFFF"/>
        </w:rPr>
        <w:t xml:space="preserve"> Competent Authority intends to bear its own costs in enforcing its domestic laws and providing assistance under this Arrangement.  The Competent Authorities may consult with each other in advance of incurring extraordinary costs to consider whether, and if so how, to allocate such costs between the Competent Authorities.</w:t>
      </w:r>
      <w:r w:rsidRPr="005010FA">
        <w:rPr>
          <w:rFonts w:cs="Arial"/>
          <w:shd w:val="clear" w:color="auto" w:fill="FFFFFF"/>
        </w:rPr>
        <w:t xml:space="preserve"> </w:t>
      </w:r>
    </w:p>
    <w:p w14:paraId="5AE01476" w14:textId="77777777" w:rsidR="00833C3B" w:rsidRPr="00DE5A4C" w:rsidRDefault="00833C3B" w:rsidP="00C059F3">
      <w:pPr>
        <w:pStyle w:val="Body1"/>
        <w:keepNext/>
        <w:widowControl w:val="0"/>
        <w:tabs>
          <w:tab w:val="left" w:pos="0"/>
        </w:tabs>
        <w:spacing w:before="240" w:after="200"/>
        <w:ind w:left="720"/>
        <w:jc w:val="center"/>
        <w:rPr>
          <w:rFonts w:cs="Arial"/>
          <w:b/>
        </w:rPr>
      </w:pPr>
    </w:p>
    <w:p w14:paraId="617DD852" w14:textId="77777777" w:rsidR="00833C3B" w:rsidRPr="00DE5A4C" w:rsidRDefault="00C34F3D" w:rsidP="00C059F3">
      <w:pPr>
        <w:pStyle w:val="Body1"/>
        <w:keepNext/>
        <w:widowControl w:val="0"/>
        <w:tabs>
          <w:tab w:val="left" w:pos="0"/>
        </w:tabs>
        <w:spacing w:before="240" w:after="200"/>
        <w:ind w:left="720"/>
        <w:jc w:val="center"/>
        <w:rPr>
          <w:rFonts w:cs="Arial"/>
          <w:b/>
        </w:rPr>
      </w:pPr>
      <w:r w:rsidRPr="005010FA">
        <w:rPr>
          <w:rFonts w:cs="Arial"/>
          <w:b/>
        </w:rPr>
        <w:t>Paragraph</w:t>
      </w:r>
      <w:r w:rsidR="00884324" w:rsidRPr="005010FA">
        <w:rPr>
          <w:rFonts w:cs="Arial"/>
          <w:b/>
        </w:rPr>
        <w:t xml:space="preserve"> 7</w:t>
      </w:r>
    </w:p>
    <w:p w14:paraId="33E09962" w14:textId="77777777" w:rsidR="00833C3B" w:rsidRPr="00DE5A4C" w:rsidRDefault="00884324" w:rsidP="00C059F3">
      <w:pPr>
        <w:pStyle w:val="Body1"/>
        <w:keepNext/>
        <w:widowControl w:val="0"/>
        <w:spacing w:before="240" w:after="200"/>
        <w:ind w:left="0" w:firstLine="0"/>
        <w:jc w:val="center"/>
        <w:rPr>
          <w:rFonts w:cs="Arial"/>
          <w:b/>
        </w:rPr>
      </w:pPr>
      <w:r w:rsidRPr="005010FA">
        <w:rPr>
          <w:rFonts w:cs="Arial"/>
          <w:b/>
        </w:rPr>
        <w:t>EFFECT, CONSULTATION AND MODIFICATION</w:t>
      </w:r>
    </w:p>
    <w:p w14:paraId="4A69050A" w14:textId="12052256" w:rsidR="00833C3B" w:rsidRPr="00DE5A4C" w:rsidRDefault="00884324" w:rsidP="00C059F3">
      <w:pPr>
        <w:pStyle w:val="Body1"/>
        <w:tabs>
          <w:tab w:val="left" w:pos="720"/>
        </w:tabs>
        <w:spacing w:before="240" w:after="200"/>
        <w:ind w:left="720"/>
        <w:rPr>
          <w:rFonts w:cs="Arial"/>
        </w:rPr>
      </w:pPr>
      <w:r w:rsidRPr="005010FA">
        <w:rPr>
          <w:rFonts w:cs="Arial"/>
        </w:rPr>
        <w:t>7.1</w:t>
      </w:r>
      <w:r w:rsidRPr="005010FA">
        <w:rPr>
          <w:rFonts w:cs="Arial"/>
        </w:rPr>
        <w:tab/>
      </w:r>
      <w:r w:rsidR="00F84B80" w:rsidRPr="005010FA">
        <w:rPr>
          <w:rFonts w:cs="Arial"/>
          <w:u w:val="single"/>
        </w:rPr>
        <w:t xml:space="preserve">Operative </w:t>
      </w:r>
      <w:r w:rsidRPr="005010FA">
        <w:rPr>
          <w:rFonts w:cs="Arial"/>
          <w:u w:val="single"/>
        </w:rPr>
        <w:t>Date</w:t>
      </w:r>
      <w:r w:rsidR="008F5596">
        <w:rPr>
          <w:rFonts w:cs="Arial"/>
        </w:rPr>
        <w:t xml:space="preserve">: </w:t>
      </w:r>
      <w:r w:rsidRPr="005010FA">
        <w:rPr>
          <w:rFonts w:cs="Arial"/>
        </w:rPr>
        <w:t xml:space="preserve">This Arrangement </w:t>
      </w:r>
      <w:r w:rsidR="00827BC6" w:rsidRPr="005010FA">
        <w:rPr>
          <w:rFonts w:cs="Arial"/>
        </w:rPr>
        <w:t xml:space="preserve">becomes operative </w:t>
      </w:r>
      <w:r w:rsidRPr="005010FA">
        <w:rPr>
          <w:rFonts w:cs="Arial"/>
        </w:rPr>
        <w:t xml:space="preserve">on the later of (i) the </w:t>
      </w:r>
      <w:r w:rsidR="00655B86">
        <w:rPr>
          <w:rFonts w:cs="Arial"/>
        </w:rPr>
        <w:t>date</w:t>
      </w:r>
      <w:r w:rsidR="00655B86" w:rsidRPr="005010FA">
        <w:rPr>
          <w:rFonts w:cs="Arial"/>
        </w:rPr>
        <w:t xml:space="preserve"> </w:t>
      </w:r>
      <w:r w:rsidRPr="005010FA">
        <w:rPr>
          <w:rFonts w:cs="Arial"/>
        </w:rPr>
        <w:t xml:space="preserve">the IGA enters into force, or (ii) the date the Arrangement is signed by the </w:t>
      </w:r>
      <w:r w:rsidR="00655B86">
        <w:rPr>
          <w:rFonts w:cs="Arial"/>
        </w:rPr>
        <w:t xml:space="preserve">U.S. and </w:t>
      </w:r>
      <w:r w:rsidR="00862E1A">
        <w:rPr>
          <w:rFonts w:cs="Arial"/>
        </w:rPr>
        <w:t>Serbian</w:t>
      </w:r>
      <w:r w:rsidR="00655B86">
        <w:rPr>
          <w:rFonts w:cs="Arial"/>
        </w:rPr>
        <w:t xml:space="preserve"> </w:t>
      </w:r>
      <w:r w:rsidRPr="005010FA">
        <w:rPr>
          <w:rFonts w:cs="Arial"/>
        </w:rPr>
        <w:t xml:space="preserve">Competent Authorities. </w:t>
      </w:r>
      <w:r w:rsidR="00933852">
        <w:rPr>
          <w:rFonts w:cs="Arial"/>
        </w:rPr>
        <w:t>O</w:t>
      </w:r>
      <w:r w:rsidR="001E4243">
        <w:rPr>
          <w:rFonts w:cs="Arial"/>
        </w:rPr>
        <w:t>nce the A</w:t>
      </w:r>
      <w:r w:rsidR="00933852">
        <w:rPr>
          <w:rFonts w:cs="Arial"/>
        </w:rPr>
        <w:t>rrangement is operative, its provisions apply to all information that is exchanged pursuant to the IGA, including information for calendar years that precede the operative date.</w:t>
      </w:r>
    </w:p>
    <w:p w14:paraId="39F33291" w14:textId="50FE003A" w:rsidR="00833C3B" w:rsidRPr="00DE5A4C" w:rsidRDefault="00884324" w:rsidP="00C059F3">
      <w:pPr>
        <w:pStyle w:val="Body1"/>
        <w:tabs>
          <w:tab w:val="left" w:pos="720"/>
        </w:tabs>
        <w:spacing w:before="240" w:after="200"/>
        <w:ind w:left="720"/>
        <w:rPr>
          <w:rFonts w:cs="Arial"/>
        </w:rPr>
      </w:pPr>
      <w:r w:rsidRPr="005010FA">
        <w:rPr>
          <w:rFonts w:cs="Arial"/>
        </w:rPr>
        <w:t>7.2</w:t>
      </w:r>
      <w:r w:rsidRPr="005010FA">
        <w:rPr>
          <w:rFonts w:cs="Arial"/>
        </w:rPr>
        <w:tab/>
      </w:r>
      <w:r w:rsidRPr="005010FA">
        <w:rPr>
          <w:rFonts w:cs="Arial"/>
          <w:u w:val="single"/>
        </w:rPr>
        <w:t>Consultation</w:t>
      </w:r>
      <w:r w:rsidR="008F5596">
        <w:rPr>
          <w:rFonts w:cs="Arial"/>
        </w:rPr>
        <w:t xml:space="preserve">: </w:t>
      </w:r>
      <w:r w:rsidR="00382A3A" w:rsidRPr="005010FA">
        <w:rPr>
          <w:rFonts w:cs="Arial"/>
        </w:rPr>
        <w:t xml:space="preserve">Each </w:t>
      </w:r>
      <w:r w:rsidRPr="005010FA">
        <w:rPr>
          <w:rFonts w:cs="Arial"/>
        </w:rPr>
        <w:t xml:space="preserve">Competent Authority may at any time request consultations on the implementation, interpretation, application, or </w:t>
      </w:r>
      <w:r w:rsidR="006D138A" w:rsidRPr="005010FA">
        <w:rPr>
          <w:rFonts w:cs="Arial"/>
        </w:rPr>
        <w:t xml:space="preserve">modification </w:t>
      </w:r>
      <w:r w:rsidRPr="005010FA">
        <w:rPr>
          <w:rFonts w:cs="Arial"/>
        </w:rPr>
        <w:t xml:space="preserve">of this Arrangement. Such consultation (through discussion or correspondence) </w:t>
      </w:r>
      <w:r w:rsidR="006D138A" w:rsidRPr="005010FA">
        <w:rPr>
          <w:rFonts w:cs="Arial"/>
        </w:rPr>
        <w:t xml:space="preserve">should </w:t>
      </w:r>
      <w:r w:rsidRPr="005010FA">
        <w:rPr>
          <w:rFonts w:cs="Arial"/>
        </w:rPr>
        <w:t xml:space="preserve">take place within a period of </w:t>
      </w:r>
      <w:r w:rsidR="001F1377">
        <w:rPr>
          <w:rFonts w:cs="Arial"/>
        </w:rPr>
        <w:t>30</w:t>
      </w:r>
      <w:r w:rsidR="001F1377" w:rsidRPr="005010FA">
        <w:rPr>
          <w:rFonts w:cs="Arial"/>
        </w:rPr>
        <w:t xml:space="preserve"> </w:t>
      </w:r>
      <w:r w:rsidRPr="005010FA">
        <w:rPr>
          <w:rFonts w:cs="Arial"/>
        </w:rPr>
        <w:t xml:space="preserve">days </w:t>
      </w:r>
      <w:r w:rsidR="001F1377">
        <w:rPr>
          <w:rFonts w:cs="Arial"/>
        </w:rPr>
        <w:t xml:space="preserve">from </w:t>
      </w:r>
      <w:r w:rsidRPr="005010FA">
        <w:rPr>
          <w:rFonts w:cs="Arial"/>
        </w:rPr>
        <w:t xml:space="preserve">the date of receipt of such request, unless otherwise </w:t>
      </w:r>
      <w:r w:rsidR="002D45F0" w:rsidRPr="005010FA">
        <w:rPr>
          <w:rFonts w:cs="Arial"/>
        </w:rPr>
        <w:t>mutually decided</w:t>
      </w:r>
      <w:r w:rsidRPr="005010FA">
        <w:rPr>
          <w:rFonts w:cs="Arial"/>
        </w:rPr>
        <w:t>.</w:t>
      </w:r>
      <w:r w:rsidR="00374DF5" w:rsidRPr="005010FA">
        <w:rPr>
          <w:rFonts w:cs="Arial"/>
        </w:rPr>
        <w:t xml:space="preserve"> If </w:t>
      </w:r>
      <w:r w:rsidR="00655B86">
        <w:rPr>
          <w:rFonts w:cs="Arial"/>
        </w:rPr>
        <w:t>the</w:t>
      </w:r>
      <w:r w:rsidR="00655B86" w:rsidRPr="005010FA">
        <w:rPr>
          <w:rFonts w:cs="Arial"/>
        </w:rPr>
        <w:t xml:space="preserve"> </w:t>
      </w:r>
      <w:r w:rsidR="00374DF5" w:rsidRPr="005010FA">
        <w:rPr>
          <w:rFonts w:cs="Arial"/>
        </w:rPr>
        <w:t xml:space="preserve">Competent Authority of </w:t>
      </w:r>
      <w:r w:rsidR="00655B86">
        <w:rPr>
          <w:rFonts w:cs="Arial"/>
        </w:rPr>
        <w:t>a</w:t>
      </w:r>
      <w:r w:rsidR="00655B86" w:rsidRPr="005010FA">
        <w:rPr>
          <w:rFonts w:cs="Arial"/>
        </w:rPr>
        <w:t xml:space="preserve"> </w:t>
      </w:r>
      <w:r w:rsidR="00672D0B">
        <w:rPr>
          <w:rFonts w:cs="Arial"/>
        </w:rPr>
        <w:t xml:space="preserve">Party </w:t>
      </w:r>
      <w:r w:rsidR="00374DF5" w:rsidRPr="005010FA">
        <w:rPr>
          <w:rFonts w:cs="Arial"/>
        </w:rPr>
        <w:t xml:space="preserve">believes the other </w:t>
      </w:r>
      <w:r w:rsidR="00672D0B">
        <w:rPr>
          <w:rFonts w:cs="Arial"/>
        </w:rPr>
        <w:t>Party</w:t>
      </w:r>
      <w:r w:rsidR="00374DF5" w:rsidRPr="005010FA">
        <w:rPr>
          <w:rFonts w:cs="Arial"/>
        </w:rPr>
        <w:t xml:space="preserve"> has failed to fulfill its obligations under the IGA, it may request immediate consultation to ensure fulfillment of the IGA.</w:t>
      </w:r>
    </w:p>
    <w:p w14:paraId="41E7A7A9" w14:textId="77777777" w:rsidR="00833C3B" w:rsidRPr="00DE5A4C" w:rsidRDefault="00884324" w:rsidP="00C059F3">
      <w:pPr>
        <w:pStyle w:val="Body1"/>
        <w:widowControl w:val="0"/>
        <w:tabs>
          <w:tab w:val="left" w:pos="0"/>
        </w:tabs>
        <w:spacing w:before="240" w:after="200"/>
        <w:ind w:left="720"/>
        <w:rPr>
          <w:rFonts w:cs="Arial"/>
        </w:rPr>
      </w:pPr>
      <w:r w:rsidRPr="005010FA">
        <w:rPr>
          <w:rFonts w:cs="Arial"/>
        </w:rPr>
        <w:t>7.3</w:t>
      </w:r>
      <w:r w:rsidRPr="005010FA">
        <w:rPr>
          <w:rFonts w:cs="Arial"/>
        </w:rPr>
        <w:tab/>
      </w:r>
      <w:r w:rsidRPr="005010FA">
        <w:rPr>
          <w:rFonts w:cs="Arial"/>
          <w:u w:val="single"/>
        </w:rPr>
        <w:t>Modification</w:t>
      </w:r>
      <w:r w:rsidR="008F5596">
        <w:rPr>
          <w:rFonts w:cs="Arial"/>
        </w:rPr>
        <w:t xml:space="preserve">: </w:t>
      </w:r>
      <w:r w:rsidRPr="005010FA">
        <w:rPr>
          <w:rFonts w:cs="Arial"/>
        </w:rPr>
        <w:t xml:space="preserve">This Arrangement may be modified at any time by </w:t>
      </w:r>
      <w:r w:rsidR="00C34F3D" w:rsidRPr="005010FA">
        <w:rPr>
          <w:rFonts w:cs="Arial"/>
        </w:rPr>
        <w:t>mutual consent of the Competent Authorities</w:t>
      </w:r>
      <w:r w:rsidRPr="005010FA">
        <w:rPr>
          <w:rFonts w:cs="Arial"/>
        </w:rPr>
        <w:t xml:space="preserve">, in writing.  </w:t>
      </w:r>
    </w:p>
    <w:p w14:paraId="6F17E711" w14:textId="77777777" w:rsidR="00833C3B" w:rsidRPr="00DE5A4C" w:rsidRDefault="00884324" w:rsidP="00C059F3">
      <w:pPr>
        <w:pStyle w:val="Body1"/>
        <w:widowControl w:val="0"/>
        <w:tabs>
          <w:tab w:val="left" w:pos="0"/>
        </w:tabs>
        <w:spacing w:before="240" w:after="200"/>
        <w:ind w:left="720"/>
        <w:rPr>
          <w:rFonts w:cs="Arial"/>
        </w:rPr>
      </w:pPr>
      <w:r w:rsidRPr="005010FA">
        <w:rPr>
          <w:rFonts w:cs="Arial"/>
        </w:rPr>
        <w:t>7.4</w:t>
      </w:r>
      <w:r w:rsidRPr="005010FA">
        <w:rPr>
          <w:rFonts w:cs="Arial"/>
        </w:rPr>
        <w:tab/>
      </w:r>
      <w:r w:rsidR="006D138A" w:rsidRPr="005010FA">
        <w:rPr>
          <w:rFonts w:cs="Arial"/>
          <w:u w:val="single"/>
        </w:rPr>
        <w:t>Discontinuation</w:t>
      </w:r>
      <w:r w:rsidR="008F5596">
        <w:rPr>
          <w:rFonts w:cs="Arial"/>
        </w:rPr>
        <w:t xml:space="preserve">: </w:t>
      </w:r>
      <w:r w:rsidRPr="005010FA">
        <w:rPr>
          <w:rFonts w:cs="Arial"/>
        </w:rPr>
        <w:t xml:space="preserve">This Arrangement </w:t>
      </w:r>
      <w:r w:rsidR="006D138A" w:rsidRPr="005010FA">
        <w:rPr>
          <w:rFonts w:cs="Arial"/>
        </w:rPr>
        <w:t xml:space="preserve">is intended to be discontinued </w:t>
      </w:r>
      <w:r w:rsidR="004D507F" w:rsidRPr="005010FA">
        <w:rPr>
          <w:rFonts w:cs="Arial"/>
        </w:rPr>
        <w:t xml:space="preserve">automatically upon termination of the IGA. </w:t>
      </w:r>
      <w:r w:rsidRPr="005010FA">
        <w:rPr>
          <w:rFonts w:cs="Arial"/>
        </w:rPr>
        <w:t xml:space="preserve">In the event of </w:t>
      </w:r>
      <w:r w:rsidR="006D138A" w:rsidRPr="005010FA">
        <w:rPr>
          <w:rFonts w:cs="Arial"/>
        </w:rPr>
        <w:t>discontinuation</w:t>
      </w:r>
      <w:r w:rsidRPr="005010FA">
        <w:rPr>
          <w:rFonts w:cs="Arial"/>
        </w:rPr>
        <w:t xml:space="preserve">, all information previously received under this Arrangement </w:t>
      </w:r>
      <w:r w:rsidR="004973D1">
        <w:rPr>
          <w:rFonts w:cs="Arial"/>
        </w:rPr>
        <w:t xml:space="preserve">would </w:t>
      </w:r>
      <w:r w:rsidRPr="005010FA">
        <w:rPr>
          <w:rFonts w:cs="Arial"/>
        </w:rPr>
        <w:t xml:space="preserve">remain subject to the </w:t>
      </w:r>
      <w:r w:rsidR="00DD3D39" w:rsidRPr="005010FA">
        <w:rPr>
          <w:rFonts w:cs="Arial"/>
        </w:rPr>
        <w:t>Confidentiality Protections</w:t>
      </w:r>
      <w:r w:rsidRPr="005010FA">
        <w:rPr>
          <w:rFonts w:cs="Arial"/>
        </w:rPr>
        <w:t xml:space="preserve">.  </w:t>
      </w:r>
    </w:p>
    <w:p w14:paraId="03086DDE" w14:textId="77777777" w:rsidR="00767B03" w:rsidRDefault="00767B03" w:rsidP="00C059F3">
      <w:pPr>
        <w:pStyle w:val="Body1"/>
        <w:widowControl w:val="0"/>
        <w:spacing w:before="240" w:after="200"/>
        <w:ind w:left="0" w:firstLine="0"/>
        <w:jc w:val="center"/>
        <w:rPr>
          <w:rFonts w:cs="Arial"/>
          <w:b/>
        </w:rPr>
      </w:pPr>
    </w:p>
    <w:p w14:paraId="6C933DA4" w14:textId="77777777" w:rsidR="00FC3622" w:rsidRDefault="00FC3622" w:rsidP="00C059F3">
      <w:pPr>
        <w:pStyle w:val="Body1"/>
        <w:widowControl w:val="0"/>
        <w:spacing w:before="240" w:after="200"/>
        <w:ind w:left="0" w:firstLine="0"/>
        <w:jc w:val="center"/>
        <w:rPr>
          <w:rFonts w:cs="Arial"/>
          <w:b/>
        </w:rPr>
      </w:pPr>
    </w:p>
    <w:p w14:paraId="67B0AC85" w14:textId="77777777" w:rsidR="00FC3622" w:rsidRDefault="00FC3622" w:rsidP="00C059F3">
      <w:pPr>
        <w:pStyle w:val="Body1"/>
        <w:widowControl w:val="0"/>
        <w:spacing w:before="240" w:after="200"/>
        <w:ind w:left="0" w:firstLine="0"/>
        <w:jc w:val="center"/>
        <w:rPr>
          <w:rFonts w:cs="Arial"/>
          <w:b/>
        </w:rPr>
      </w:pPr>
    </w:p>
    <w:p w14:paraId="7FD7528A" w14:textId="77777777" w:rsidR="00FC3622" w:rsidRDefault="00FC3622" w:rsidP="00C059F3">
      <w:pPr>
        <w:pStyle w:val="Body1"/>
        <w:widowControl w:val="0"/>
        <w:spacing w:before="240" w:after="200"/>
        <w:ind w:left="0" w:firstLine="0"/>
        <w:jc w:val="center"/>
        <w:rPr>
          <w:rFonts w:cs="Arial"/>
          <w:b/>
        </w:rPr>
      </w:pPr>
    </w:p>
    <w:p w14:paraId="756B8655" w14:textId="77777777" w:rsidR="00833C3B" w:rsidRPr="00DE5A4C" w:rsidRDefault="00F34B55" w:rsidP="00C059F3">
      <w:pPr>
        <w:pStyle w:val="Body1"/>
        <w:widowControl w:val="0"/>
        <w:spacing w:before="240" w:after="200"/>
        <w:ind w:left="0" w:firstLine="0"/>
        <w:jc w:val="center"/>
        <w:rPr>
          <w:rFonts w:cs="Arial"/>
          <w:b/>
        </w:rPr>
      </w:pPr>
      <w:bookmarkStart w:id="0" w:name="_GoBack"/>
      <w:bookmarkEnd w:id="0"/>
      <w:r w:rsidRPr="005010FA">
        <w:rPr>
          <w:rFonts w:cs="Arial"/>
          <w:b/>
        </w:rPr>
        <w:t xml:space="preserve">Paragraph </w:t>
      </w:r>
      <w:r w:rsidR="00884324" w:rsidRPr="005010FA">
        <w:rPr>
          <w:rFonts w:cs="Arial"/>
          <w:b/>
        </w:rPr>
        <w:t>8</w:t>
      </w:r>
    </w:p>
    <w:p w14:paraId="390D5CEC" w14:textId="1FABAACB" w:rsidR="00833C3B" w:rsidRPr="00DE5A4C" w:rsidRDefault="00862E1A" w:rsidP="00C059F3">
      <w:pPr>
        <w:pStyle w:val="Body1"/>
        <w:widowControl w:val="0"/>
        <w:tabs>
          <w:tab w:val="left" w:pos="0"/>
        </w:tabs>
        <w:spacing w:before="240" w:after="200"/>
        <w:ind w:left="720"/>
        <w:jc w:val="center"/>
        <w:rPr>
          <w:rFonts w:cs="Arial"/>
          <w:b/>
        </w:rPr>
      </w:pPr>
      <w:r w:rsidRPr="005010FA">
        <w:rPr>
          <w:rFonts w:cs="Arial"/>
          <w:b/>
        </w:rPr>
        <w:t>PUBLICATION</w:t>
      </w:r>
    </w:p>
    <w:p w14:paraId="50B2A5D2" w14:textId="7C19172F" w:rsidR="00833C3B" w:rsidRDefault="00DB7580" w:rsidP="00DB7580">
      <w:pPr>
        <w:pStyle w:val="Body1"/>
        <w:spacing w:before="240"/>
        <w:ind w:left="720"/>
        <w:rPr>
          <w:rFonts w:cs="Arial"/>
          <w:shd w:val="clear" w:color="auto" w:fill="FFFFFF"/>
        </w:rPr>
      </w:pPr>
      <w:r>
        <w:rPr>
          <w:rFonts w:cs="Arial"/>
        </w:rPr>
        <w:t>8.1</w:t>
      </w:r>
      <w:r>
        <w:rPr>
          <w:rFonts w:cs="Arial"/>
        </w:rPr>
        <w:tab/>
      </w:r>
      <w:r w:rsidR="00655B86">
        <w:rPr>
          <w:rFonts w:cs="Arial"/>
        </w:rPr>
        <w:t>The Competent Authorities intend to make this</w:t>
      </w:r>
      <w:r w:rsidR="00655B86" w:rsidRPr="005010FA">
        <w:rPr>
          <w:rFonts w:cs="Arial"/>
          <w:shd w:val="clear" w:color="auto" w:fill="FFFFFF"/>
        </w:rPr>
        <w:t xml:space="preserve"> </w:t>
      </w:r>
      <w:r w:rsidR="00884324" w:rsidRPr="005010FA">
        <w:rPr>
          <w:rFonts w:cs="Arial"/>
          <w:shd w:val="clear" w:color="auto" w:fill="FFFFFF"/>
        </w:rPr>
        <w:t xml:space="preserve">Arrangement </w:t>
      </w:r>
      <w:r w:rsidR="00B71853" w:rsidRPr="005010FA">
        <w:rPr>
          <w:rFonts w:cs="Arial"/>
          <w:shd w:val="clear" w:color="auto" w:fill="FFFFFF"/>
        </w:rPr>
        <w:t xml:space="preserve">publicly available </w:t>
      </w:r>
      <w:r w:rsidR="00884324" w:rsidRPr="005010FA">
        <w:rPr>
          <w:rFonts w:cs="Arial"/>
          <w:shd w:val="clear" w:color="auto" w:fill="FFFFFF"/>
        </w:rPr>
        <w:t xml:space="preserve">through official publication by each </w:t>
      </w:r>
      <w:r w:rsidR="004B6549">
        <w:rPr>
          <w:rFonts w:cs="Arial"/>
          <w:shd w:val="clear" w:color="auto" w:fill="FFFFFF"/>
        </w:rPr>
        <w:t>Party</w:t>
      </w:r>
      <w:r w:rsidR="004B6549" w:rsidRPr="005010FA">
        <w:rPr>
          <w:rFonts w:cs="Arial"/>
          <w:shd w:val="clear" w:color="auto" w:fill="FFFFFF"/>
        </w:rPr>
        <w:t xml:space="preserve"> </w:t>
      </w:r>
      <w:r w:rsidR="00884324" w:rsidRPr="005010FA">
        <w:rPr>
          <w:rFonts w:cs="Arial"/>
          <w:shd w:val="clear" w:color="auto" w:fill="FFFFFF"/>
        </w:rPr>
        <w:t xml:space="preserve">within 30 days from the last date of signature of </w:t>
      </w:r>
      <w:r w:rsidR="00655B86">
        <w:rPr>
          <w:rFonts w:cs="Arial"/>
          <w:shd w:val="clear" w:color="auto" w:fill="FFFFFF"/>
        </w:rPr>
        <w:t>this</w:t>
      </w:r>
      <w:r w:rsidR="00655B86" w:rsidRPr="005010FA">
        <w:rPr>
          <w:rFonts w:cs="Arial"/>
          <w:shd w:val="clear" w:color="auto" w:fill="FFFFFF"/>
        </w:rPr>
        <w:t xml:space="preserve"> </w:t>
      </w:r>
      <w:r w:rsidR="00884324" w:rsidRPr="005010FA">
        <w:rPr>
          <w:rFonts w:cs="Arial"/>
          <w:shd w:val="clear" w:color="auto" w:fill="FFFFFF"/>
        </w:rPr>
        <w:t>Arrangement</w:t>
      </w:r>
      <w:r w:rsidR="006D138A" w:rsidRPr="005010FA">
        <w:rPr>
          <w:rFonts w:cs="Arial"/>
          <w:shd w:val="clear" w:color="auto" w:fill="FFFFFF"/>
        </w:rPr>
        <w:t>.</w:t>
      </w:r>
      <w:r w:rsidR="00884324" w:rsidRPr="005010FA">
        <w:rPr>
          <w:rFonts w:cs="Arial"/>
          <w:shd w:val="clear" w:color="auto" w:fill="FFFFFF"/>
        </w:rPr>
        <w:t xml:space="preserve"> </w:t>
      </w:r>
      <w:r w:rsidR="006D138A" w:rsidRPr="005010FA">
        <w:rPr>
          <w:rFonts w:cs="Arial"/>
          <w:shd w:val="clear" w:color="auto" w:fill="FFFFFF"/>
        </w:rPr>
        <w:t xml:space="preserve">The Competent Authorities expect to set </w:t>
      </w:r>
      <w:r w:rsidR="00884324" w:rsidRPr="005010FA">
        <w:rPr>
          <w:rFonts w:cs="Arial"/>
          <w:shd w:val="clear" w:color="auto" w:fill="FFFFFF"/>
        </w:rPr>
        <w:t xml:space="preserve">the precise date and time through consultation. </w:t>
      </w:r>
    </w:p>
    <w:p w14:paraId="091E3D4E" w14:textId="77777777" w:rsidR="00DB7580" w:rsidRPr="00DE5A4C" w:rsidRDefault="00DB7580" w:rsidP="009A0B72">
      <w:pPr>
        <w:pStyle w:val="Body1"/>
        <w:spacing w:before="240"/>
        <w:ind w:left="720"/>
        <w:rPr>
          <w:rFonts w:cs="Arial"/>
          <w:shd w:val="clear" w:color="auto" w:fill="FFFFFF"/>
        </w:rPr>
      </w:pPr>
    </w:p>
    <w:p w14:paraId="1D2C3E71" w14:textId="77777777" w:rsidR="00263F26" w:rsidRPr="00DE5A4C" w:rsidRDefault="00263F26" w:rsidP="00C059F3">
      <w:pPr>
        <w:pStyle w:val="Body1"/>
        <w:spacing w:before="240"/>
        <w:ind w:left="0" w:firstLine="0"/>
        <w:rPr>
          <w:rFonts w:cs="Arial"/>
          <w:shd w:val="clear" w:color="auto" w:fill="FFFFFF"/>
        </w:rPr>
      </w:pPr>
    </w:p>
    <w:p w14:paraId="128FABA2" w14:textId="71B68D6D" w:rsidR="00764C0F" w:rsidRDefault="00764C0F" w:rsidP="009A0B72">
      <w:pPr>
        <w:pStyle w:val="Body1"/>
        <w:widowControl w:val="0"/>
        <w:tabs>
          <w:tab w:val="left" w:pos="0"/>
          <w:tab w:val="left" w:pos="5016"/>
        </w:tabs>
        <w:ind w:left="0" w:firstLine="0"/>
        <w:jc w:val="both"/>
        <w:rPr>
          <w:rFonts w:cs="Arial"/>
          <w:b/>
        </w:rPr>
      </w:pPr>
      <w:r>
        <w:rPr>
          <w:rFonts w:cs="Arial"/>
          <w:b/>
        </w:rPr>
        <w:t xml:space="preserve">For the </w:t>
      </w:r>
      <w:r w:rsidRPr="005010FA">
        <w:rPr>
          <w:rFonts w:cs="Arial"/>
          <w:b/>
        </w:rPr>
        <w:t>United States Competent</w:t>
      </w:r>
      <w:r w:rsidRPr="005010FA">
        <w:rPr>
          <w:rFonts w:cs="Arial"/>
          <w:b/>
        </w:rPr>
        <w:tab/>
      </w:r>
      <w:r>
        <w:rPr>
          <w:rFonts w:cs="Arial"/>
          <w:b/>
        </w:rPr>
        <w:t xml:space="preserve">For the </w:t>
      </w:r>
      <w:r w:rsidR="00862E1A">
        <w:rPr>
          <w:rFonts w:cs="Arial"/>
          <w:b/>
        </w:rPr>
        <w:t>Serbian</w:t>
      </w:r>
      <w:r w:rsidRPr="005010FA">
        <w:rPr>
          <w:rFonts w:cs="Arial"/>
          <w:b/>
        </w:rPr>
        <w:t xml:space="preserve"> Competent</w:t>
      </w:r>
    </w:p>
    <w:p w14:paraId="33571606" w14:textId="37A5A6C6" w:rsidR="00263F26" w:rsidRPr="00DE5A4C" w:rsidRDefault="00263F26" w:rsidP="009A0B72">
      <w:pPr>
        <w:pStyle w:val="Body1"/>
        <w:widowControl w:val="0"/>
        <w:tabs>
          <w:tab w:val="left" w:pos="0"/>
          <w:tab w:val="left" w:pos="5016"/>
        </w:tabs>
        <w:ind w:left="0" w:firstLine="0"/>
        <w:jc w:val="both"/>
        <w:rPr>
          <w:rFonts w:cs="Arial"/>
          <w:b/>
        </w:rPr>
      </w:pPr>
      <w:r w:rsidRPr="00263F26">
        <w:rPr>
          <w:rFonts w:cs="Arial"/>
          <w:b/>
        </w:rPr>
        <w:t>Authority:</w:t>
      </w:r>
      <w:r>
        <w:rPr>
          <w:rFonts w:cs="Arial"/>
          <w:b/>
        </w:rPr>
        <w:tab/>
      </w:r>
      <w:r w:rsidRPr="00263F26">
        <w:rPr>
          <w:rFonts w:cs="Arial"/>
          <w:b/>
        </w:rPr>
        <w:t>Authority:</w:t>
      </w:r>
      <w:r w:rsidRPr="00263F26">
        <w:rPr>
          <w:rFonts w:cs="Arial"/>
          <w:b/>
        </w:rPr>
        <w:tab/>
      </w:r>
    </w:p>
    <w:p w14:paraId="2CB81BBA" w14:textId="77777777" w:rsidR="00833C3B" w:rsidRPr="00DE5A4C" w:rsidRDefault="00833C3B" w:rsidP="00C059F3">
      <w:pPr>
        <w:pStyle w:val="Body1"/>
        <w:spacing w:before="240"/>
        <w:rPr>
          <w:rFonts w:cs="Arial"/>
        </w:rPr>
      </w:pPr>
    </w:p>
    <w:p w14:paraId="2E0C790D" w14:textId="77777777" w:rsidR="00833C3B" w:rsidRPr="00DE5A4C" w:rsidRDefault="00833C3B" w:rsidP="00C059F3">
      <w:pPr>
        <w:pStyle w:val="Body1"/>
        <w:keepNext/>
        <w:keepLines/>
        <w:widowControl w:val="0"/>
        <w:tabs>
          <w:tab w:val="left" w:pos="720"/>
          <w:tab w:val="left" w:pos="5016"/>
        </w:tabs>
        <w:spacing w:before="240"/>
        <w:ind w:left="720"/>
        <w:jc w:val="both"/>
        <w:rPr>
          <w:rFonts w:cs="Arial"/>
        </w:rPr>
      </w:pPr>
    </w:p>
    <w:p w14:paraId="2F8CB054" w14:textId="77777777" w:rsidR="00833C3B" w:rsidRPr="00DE5A4C" w:rsidRDefault="00884324" w:rsidP="00C059F3">
      <w:pPr>
        <w:pStyle w:val="Body1"/>
        <w:keepNext/>
        <w:keepLines/>
        <w:widowControl w:val="0"/>
        <w:tabs>
          <w:tab w:val="left" w:pos="720"/>
          <w:tab w:val="left" w:pos="5016"/>
        </w:tabs>
        <w:spacing w:before="240"/>
        <w:ind w:left="720"/>
        <w:jc w:val="both"/>
        <w:rPr>
          <w:rFonts w:cs="Arial"/>
          <w:b/>
        </w:rPr>
      </w:pPr>
      <w:r w:rsidRPr="005010FA">
        <w:rPr>
          <w:rFonts w:cs="Arial"/>
          <w:b/>
        </w:rPr>
        <w:t>______________________________</w:t>
      </w:r>
      <w:r w:rsidRPr="005010FA">
        <w:rPr>
          <w:rFonts w:cs="Arial"/>
          <w:b/>
        </w:rPr>
        <w:tab/>
        <w:t>______________________________</w:t>
      </w:r>
    </w:p>
    <w:p w14:paraId="435560BB" w14:textId="5995D4AE" w:rsidR="00833C3B" w:rsidRPr="00690D4F" w:rsidRDefault="00850D37" w:rsidP="00C059F3">
      <w:pPr>
        <w:pStyle w:val="Body1"/>
        <w:keepNext/>
        <w:keepLines/>
        <w:widowControl w:val="0"/>
        <w:tabs>
          <w:tab w:val="left" w:pos="5016"/>
        </w:tabs>
        <w:spacing w:before="240"/>
        <w:ind w:left="720"/>
        <w:jc w:val="both"/>
        <w:rPr>
          <w:rFonts w:cs="Arial"/>
          <w:u w:val="single"/>
        </w:rPr>
      </w:pPr>
      <w:r>
        <w:rPr>
          <w:rFonts w:cs="Arial"/>
        </w:rPr>
        <w:t>Douglas W. O’Donnell</w:t>
      </w:r>
      <w:r w:rsidR="00884324" w:rsidRPr="005010FA">
        <w:rPr>
          <w:rFonts w:cs="Arial"/>
        </w:rPr>
        <w:tab/>
      </w:r>
      <w:r w:rsidR="00E31E16">
        <w:rPr>
          <w:rFonts w:cs="Arial"/>
        </w:rPr>
        <w:t>Ž</w:t>
      </w:r>
      <w:r w:rsidR="00697380" w:rsidRPr="00697380">
        <w:rPr>
          <w:rFonts w:cs="Arial"/>
        </w:rPr>
        <w:t>eljko Radovanović</w:t>
      </w:r>
    </w:p>
    <w:p w14:paraId="3D6CB416" w14:textId="6CCCA774" w:rsidR="00833C3B" w:rsidRPr="00764C0F" w:rsidRDefault="00884324" w:rsidP="00C059F3">
      <w:pPr>
        <w:pStyle w:val="Body1"/>
        <w:keepNext/>
        <w:keepLines/>
        <w:widowControl w:val="0"/>
        <w:tabs>
          <w:tab w:val="left" w:pos="5016"/>
        </w:tabs>
        <w:spacing w:before="240"/>
        <w:ind w:left="720"/>
        <w:jc w:val="both"/>
        <w:rPr>
          <w:rFonts w:cs="Arial"/>
        </w:rPr>
      </w:pPr>
      <w:r w:rsidRPr="00764C0F">
        <w:rPr>
          <w:rFonts w:cs="Arial"/>
        </w:rPr>
        <w:t>Commissioner</w:t>
      </w:r>
      <w:r w:rsidR="00850D37">
        <w:rPr>
          <w:rFonts w:cs="Arial"/>
        </w:rPr>
        <w:t>, Large Business</w:t>
      </w:r>
      <w:r w:rsidRPr="00764C0F">
        <w:rPr>
          <w:rFonts w:cs="Arial"/>
        </w:rPr>
        <w:tab/>
      </w:r>
      <w:r w:rsidR="00697380" w:rsidRPr="009A0B72">
        <w:rPr>
          <w:rFonts w:cs="Arial"/>
        </w:rPr>
        <w:t>Director of the Administration for</w:t>
      </w:r>
      <w:r w:rsidR="00697380" w:rsidRPr="00697380">
        <w:rPr>
          <w:rFonts w:cs="Arial"/>
          <w:u w:val="single"/>
        </w:rPr>
        <w:t xml:space="preserve"> </w:t>
      </w:r>
    </w:p>
    <w:p w14:paraId="25E9B17B" w14:textId="689221EB" w:rsidR="00697380" w:rsidRDefault="00697380" w:rsidP="00C059F3">
      <w:pPr>
        <w:pStyle w:val="Body1"/>
        <w:widowControl w:val="0"/>
        <w:tabs>
          <w:tab w:val="left" w:pos="5016"/>
        </w:tabs>
        <w:spacing w:before="240"/>
        <w:ind w:left="0" w:firstLine="0"/>
        <w:jc w:val="both"/>
        <w:rPr>
          <w:rFonts w:cs="Arial"/>
        </w:rPr>
      </w:pPr>
      <w:r w:rsidRPr="00697380">
        <w:rPr>
          <w:rFonts w:cs="Arial"/>
        </w:rPr>
        <w:t>&amp; International</w:t>
      </w:r>
      <w:r>
        <w:rPr>
          <w:rFonts w:cs="Arial"/>
        </w:rPr>
        <w:tab/>
      </w:r>
      <w:r w:rsidRPr="00697380">
        <w:rPr>
          <w:rFonts w:cs="Arial"/>
        </w:rPr>
        <w:t>the Prevention of Money Laundering</w:t>
      </w:r>
    </w:p>
    <w:p w14:paraId="0E4574C8" w14:textId="153C5433" w:rsidR="00833C3B" w:rsidRPr="00690D4F" w:rsidRDefault="00884324" w:rsidP="00C059F3">
      <w:pPr>
        <w:pStyle w:val="Body1"/>
        <w:widowControl w:val="0"/>
        <w:tabs>
          <w:tab w:val="left" w:pos="5016"/>
        </w:tabs>
        <w:spacing w:before="240"/>
        <w:ind w:left="0" w:firstLine="0"/>
        <w:jc w:val="both"/>
        <w:rPr>
          <w:rFonts w:cs="Arial"/>
        </w:rPr>
      </w:pPr>
      <w:r w:rsidRPr="00764C0F">
        <w:rPr>
          <w:rFonts w:cs="Arial"/>
        </w:rPr>
        <w:t>Internal Revenue Service</w:t>
      </w:r>
      <w:r w:rsidRPr="00764C0F">
        <w:rPr>
          <w:rFonts w:cs="Arial"/>
        </w:rPr>
        <w:tab/>
      </w:r>
      <w:r w:rsidR="00697380" w:rsidRPr="00697380">
        <w:rPr>
          <w:rFonts w:cs="Arial"/>
        </w:rPr>
        <w:t>Ministry of Finance</w:t>
      </w:r>
    </w:p>
    <w:p w14:paraId="32AF43F6" w14:textId="77777777" w:rsidR="00263F26" w:rsidRDefault="00263F26" w:rsidP="007346BF">
      <w:pPr>
        <w:pStyle w:val="Body1"/>
        <w:keepNext/>
        <w:keepLines/>
        <w:widowControl w:val="0"/>
        <w:tabs>
          <w:tab w:val="left" w:pos="720"/>
          <w:tab w:val="left" w:pos="5016"/>
        </w:tabs>
        <w:spacing w:before="240"/>
        <w:ind w:left="720"/>
        <w:jc w:val="both"/>
        <w:rPr>
          <w:rFonts w:cs="Arial"/>
          <w:b/>
        </w:rPr>
      </w:pPr>
    </w:p>
    <w:p w14:paraId="199DC665" w14:textId="456444C6" w:rsidR="007346BF" w:rsidRPr="00DE5A4C" w:rsidRDefault="007346BF" w:rsidP="007346BF">
      <w:pPr>
        <w:pStyle w:val="Body1"/>
        <w:keepNext/>
        <w:keepLines/>
        <w:widowControl w:val="0"/>
        <w:tabs>
          <w:tab w:val="left" w:pos="720"/>
          <w:tab w:val="left" w:pos="5016"/>
        </w:tabs>
        <w:spacing w:before="240"/>
        <w:ind w:left="720"/>
        <w:jc w:val="both"/>
        <w:rPr>
          <w:rFonts w:cs="Arial"/>
          <w:b/>
        </w:rPr>
      </w:pPr>
      <w:r w:rsidRPr="005010FA">
        <w:rPr>
          <w:rFonts w:cs="Arial"/>
          <w:b/>
        </w:rPr>
        <w:t>______________________________</w:t>
      </w:r>
      <w:r w:rsidRPr="005010FA">
        <w:rPr>
          <w:rFonts w:cs="Arial"/>
          <w:b/>
        </w:rPr>
        <w:tab/>
        <w:t>______________________________</w:t>
      </w:r>
    </w:p>
    <w:p w14:paraId="54D0CAD6" w14:textId="58282371" w:rsidR="00833C3B" w:rsidRPr="00DE5A4C" w:rsidRDefault="007346BF" w:rsidP="009A0B72">
      <w:pPr>
        <w:pStyle w:val="Body1"/>
        <w:widowControl w:val="0"/>
        <w:tabs>
          <w:tab w:val="left" w:pos="720"/>
          <w:tab w:val="left" w:pos="5016"/>
        </w:tabs>
        <w:spacing w:before="240"/>
        <w:ind w:left="720"/>
        <w:jc w:val="both"/>
        <w:rPr>
          <w:rFonts w:cs="Arial"/>
          <w:b/>
        </w:rPr>
      </w:pPr>
      <w:r w:rsidRPr="007346BF">
        <w:rPr>
          <w:rFonts w:cs="Arial"/>
        </w:rPr>
        <w:t>Date</w:t>
      </w:r>
      <w:r>
        <w:rPr>
          <w:rFonts w:cs="Arial"/>
          <w:b/>
        </w:rPr>
        <w:tab/>
      </w:r>
      <w:r w:rsidRPr="007346BF">
        <w:rPr>
          <w:rFonts w:cs="Arial"/>
        </w:rPr>
        <w:tab/>
        <w:t>Date</w:t>
      </w:r>
    </w:p>
    <w:p w14:paraId="69024BC8" w14:textId="77777777" w:rsidR="00833C3B" w:rsidRPr="00DE5A4C" w:rsidRDefault="00833C3B" w:rsidP="006044EC">
      <w:pPr>
        <w:spacing w:before="240"/>
        <w:rPr>
          <w:rFonts w:ascii="Arial" w:hAnsi="Arial" w:cs="Arial"/>
        </w:rPr>
      </w:pPr>
    </w:p>
    <w:p w14:paraId="182221E8" w14:textId="7E972570" w:rsidR="00833C3B" w:rsidRPr="00DE5A4C" w:rsidRDefault="00833C3B" w:rsidP="009A0B72">
      <w:pPr>
        <w:pStyle w:val="Body1"/>
        <w:widowControl w:val="0"/>
        <w:tabs>
          <w:tab w:val="left" w:pos="720"/>
          <w:tab w:val="left" w:pos="5016"/>
        </w:tabs>
        <w:spacing w:before="240"/>
        <w:ind w:left="360"/>
        <w:rPr>
          <w:rFonts w:cs="Arial"/>
          <w:color w:val="auto"/>
          <w:szCs w:val="24"/>
        </w:rPr>
      </w:pPr>
    </w:p>
    <w:sectPr w:rsidR="00833C3B" w:rsidRPr="00DE5A4C" w:rsidSect="004D507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A701B" w14:textId="77777777" w:rsidR="00036075" w:rsidRDefault="00036075">
      <w:r>
        <w:separator/>
      </w:r>
    </w:p>
  </w:endnote>
  <w:endnote w:type="continuationSeparator" w:id="0">
    <w:p w14:paraId="3A8877B5" w14:textId="77777777" w:rsidR="00036075" w:rsidRDefault="00036075">
      <w:r>
        <w:continuationSeparator/>
      </w:r>
    </w:p>
  </w:endnote>
  <w:endnote w:type="continuationNotice" w:id="1">
    <w:p w14:paraId="62B9DE41" w14:textId="77777777" w:rsidR="00036075" w:rsidRDefault="00036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7F5F4" w14:textId="77777777" w:rsidR="00690D4F" w:rsidRDefault="00690D4F">
    <w:pPr>
      <w:pStyle w:val="Footer"/>
      <w:ind w:left="0" w:firstLine="0"/>
      <w:jc w:val="center"/>
    </w:pPr>
    <w:r>
      <w:fldChar w:fldCharType="begin"/>
    </w:r>
    <w:r>
      <w:instrText xml:space="preserve"> PAGE   \* MERGEFORMAT </w:instrText>
    </w:r>
    <w:r>
      <w:fldChar w:fldCharType="separate"/>
    </w:r>
    <w:r w:rsidR="00701ADC">
      <w:rPr>
        <w:noProof/>
      </w:rPr>
      <w:t>13</w:t>
    </w:r>
    <w:r>
      <w:rPr>
        <w:noProof/>
      </w:rPr>
      <w:fldChar w:fldCharType="end"/>
    </w:r>
  </w:p>
  <w:p w14:paraId="3A237778" w14:textId="77777777" w:rsidR="00690D4F" w:rsidRDefault="0069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CB7B8" w14:textId="77777777" w:rsidR="00036075" w:rsidRDefault="00036075">
      <w:r>
        <w:separator/>
      </w:r>
    </w:p>
  </w:footnote>
  <w:footnote w:type="continuationSeparator" w:id="0">
    <w:p w14:paraId="5C9F97ED" w14:textId="77777777" w:rsidR="00036075" w:rsidRDefault="00036075">
      <w:r>
        <w:continuationSeparator/>
      </w:r>
    </w:p>
  </w:footnote>
  <w:footnote w:type="continuationNotice" w:id="1">
    <w:p w14:paraId="608F6761" w14:textId="77777777" w:rsidR="00036075" w:rsidRDefault="000360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F40"/>
    <w:multiLevelType w:val="hybridMultilevel"/>
    <w:tmpl w:val="1160E822"/>
    <w:lvl w:ilvl="0" w:tplc="06508764">
      <w:numFmt w:val="none"/>
      <w:lvlText w:val=""/>
      <w:lvlJc w:val="left"/>
      <w:pPr>
        <w:tabs>
          <w:tab w:val="num" w:pos="360"/>
        </w:tabs>
      </w:pPr>
      <w:rPr>
        <w:rFonts w:cs="Times New Roman"/>
      </w:rPr>
    </w:lvl>
    <w:lvl w:ilvl="1" w:tplc="8110E5F2">
      <w:start w:val="1"/>
      <w:numFmt w:val="lowerLetter"/>
      <w:lvlText w:val="(%2)"/>
      <w:lvlJc w:val="left"/>
      <w:pPr>
        <w:ind w:left="1800" w:hanging="720"/>
      </w:pPr>
      <w:rPr>
        <w:rFonts w:cs="Times New Roman" w:hint="default"/>
      </w:rPr>
    </w:lvl>
    <w:lvl w:ilvl="2" w:tplc="EDD814C8">
      <w:start w:val="1"/>
      <w:numFmt w:val="lowerLetter"/>
      <w:lvlText w:val="%3."/>
      <w:lvlJc w:val="right"/>
      <w:pPr>
        <w:ind w:left="2160" w:hanging="180"/>
      </w:pPr>
      <w:rPr>
        <w:rFonts w:ascii="Times New Roman" w:eastAsia="Times New Roman" w:hAnsi="Times New Roman" w:cs="Times New Roman"/>
      </w:rPr>
    </w:lvl>
    <w:lvl w:ilvl="3" w:tplc="6B760614">
      <w:start w:val="1"/>
      <w:numFmt w:val="decimal"/>
      <w:lvlText w:val="%4."/>
      <w:lvlJc w:val="left"/>
      <w:pPr>
        <w:ind w:left="2880" w:hanging="360"/>
      </w:pPr>
      <w:rPr>
        <w:rFonts w:cs="Times New Roman"/>
      </w:rPr>
    </w:lvl>
    <w:lvl w:ilvl="4" w:tplc="9E68A7D0" w:tentative="1">
      <w:start w:val="1"/>
      <w:numFmt w:val="lowerLetter"/>
      <w:lvlText w:val="%5."/>
      <w:lvlJc w:val="left"/>
      <w:pPr>
        <w:ind w:left="3600" w:hanging="360"/>
      </w:pPr>
      <w:rPr>
        <w:rFonts w:cs="Times New Roman"/>
      </w:rPr>
    </w:lvl>
    <w:lvl w:ilvl="5" w:tplc="75408DB0" w:tentative="1">
      <w:start w:val="1"/>
      <w:numFmt w:val="lowerRoman"/>
      <w:lvlText w:val="%6."/>
      <w:lvlJc w:val="right"/>
      <w:pPr>
        <w:ind w:left="4320" w:hanging="180"/>
      </w:pPr>
      <w:rPr>
        <w:rFonts w:cs="Times New Roman"/>
      </w:rPr>
    </w:lvl>
    <w:lvl w:ilvl="6" w:tplc="3B7EC2A4" w:tentative="1">
      <w:start w:val="1"/>
      <w:numFmt w:val="decimal"/>
      <w:lvlText w:val="%7."/>
      <w:lvlJc w:val="left"/>
      <w:pPr>
        <w:ind w:left="5040" w:hanging="360"/>
      </w:pPr>
      <w:rPr>
        <w:rFonts w:cs="Times New Roman"/>
      </w:rPr>
    </w:lvl>
    <w:lvl w:ilvl="7" w:tplc="86E8073A" w:tentative="1">
      <w:start w:val="1"/>
      <w:numFmt w:val="lowerLetter"/>
      <w:lvlText w:val="%8."/>
      <w:lvlJc w:val="left"/>
      <w:pPr>
        <w:ind w:left="5760" w:hanging="360"/>
      </w:pPr>
      <w:rPr>
        <w:rFonts w:cs="Times New Roman"/>
      </w:rPr>
    </w:lvl>
    <w:lvl w:ilvl="8" w:tplc="B85400CA" w:tentative="1">
      <w:start w:val="1"/>
      <w:numFmt w:val="lowerRoman"/>
      <w:lvlText w:val="%9."/>
      <w:lvlJc w:val="right"/>
      <w:pPr>
        <w:ind w:left="6480" w:hanging="180"/>
      </w:pPr>
      <w:rPr>
        <w:rFonts w:cs="Times New Roman"/>
      </w:rPr>
    </w:lvl>
  </w:abstractNum>
  <w:abstractNum w:abstractNumId="1" w15:restartNumberingAfterBreak="0">
    <w:nsid w:val="020D55E3"/>
    <w:multiLevelType w:val="multilevel"/>
    <w:tmpl w:val="5FEC39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1C6DC3"/>
    <w:multiLevelType w:val="multilevel"/>
    <w:tmpl w:val="5B367EE8"/>
    <w:lvl w:ilvl="0">
      <w:start w:val="11"/>
      <w:numFmt w:val="decimal"/>
      <w:lvlText w:val="%1"/>
      <w:lvlJc w:val="left"/>
      <w:pPr>
        <w:tabs>
          <w:tab w:val="num" w:pos="420"/>
        </w:tabs>
        <w:ind w:left="420" w:hanging="420"/>
      </w:pPr>
      <w:rPr>
        <w:rFonts w:cs="Times New Roman" w:hint="default"/>
        <w:u w:val="none"/>
      </w:rPr>
    </w:lvl>
    <w:lvl w:ilvl="1">
      <w:start w:val="2"/>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 w15:restartNumberingAfterBreak="0">
    <w:nsid w:val="05232EF7"/>
    <w:multiLevelType w:val="multilevel"/>
    <w:tmpl w:val="FBF45A94"/>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464220"/>
    <w:multiLevelType w:val="multilevel"/>
    <w:tmpl w:val="1728A2C2"/>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392A20"/>
    <w:multiLevelType w:val="multilevel"/>
    <w:tmpl w:val="8BC69CF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DD4C26"/>
    <w:multiLevelType w:val="hybridMultilevel"/>
    <w:tmpl w:val="8B862844"/>
    <w:lvl w:ilvl="0" w:tplc="550654BE">
      <w:start w:val="2"/>
      <w:numFmt w:val="lowerLetter"/>
      <w:lvlText w:val="(%1)"/>
      <w:lvlJc w:val="left"/>
      <w:pPr>
        <w:tabs>
          <w:tab w:val="num" w:pos="6120"/>
        </w:tabs>
        <w:ind w:left="6120" w:hanging="360"/>
      </w:pPr>
      <w:rPr>
        <w:rFonts w:cs="Times New Roman" w:hint="default"/>
        <w:u w:val="none"/>
      </w:rPr>
    </w:lvl>
    <w:lvl w:ilvl="1" w:tplc="04090019" w:tentative="1">
      <w:start w:val="1"/>
      <w:numFmt w:val="lowerLetter"/>
      <w:lvlText w:val="%2."/>
      <w:lvlJc w:val="left"/>
      <w:pPr>
        <w:tabs>
          <w:tab w:val="num" w:pos="6840"/>
        </w:tabs>
        <w:ind w:left="6840" w:hanging="360"/>
      </w:pPr>
      <w:rPr>
        <w:rFonts w:cs="Times New Roman"/>
      </w:rPr>
    </w:lvl>
    <w:lvl w:ilvl="2" w:tplc="0409001B" w:tentative="1">
      <w:start w:val="1"/>
      <w:numFmt w:val="lowerRoman"/>
      <w:lvlText w:val="%3."/>
      <w:lvlJc w:val="right"/>
      <w:pPr>
        <w:tabs>
          <w:tab w:val="num" w:pos="7560"/>
        </w:tabs>
        <w:ind w:left="7560" w:hanging="180"/>
      </w:pPr>
      <w:rPr>
        <w:rFonts w:cs="Times New Roman"/>
      </w:rPr>
    </w:lvl>
    <w:lvl w:ilvl="3" w:tplc="0409000F" w:tentative="1">
      <w:start w:val="1"/>
      <w:numFmt w:val="decimal"/>
      <w:lvlText w:val="%4."/>
      <w:lvlJc w:val="left"/>
      <w:pPr>
        <w:tabs>
          <w:tab w:val="num" w:pos="8280"/>
        </w:tabs>
        <w:ind w:left="8280" w:hanging="360"/>
      </w:pPr>
      <w:rPr>
        <w:rFonts w:cs="Times New Roman"/>
      </w:rPr>
    </w:lvl>
    <w:lvl w:ilvl="4" w:tplc="04090019" w:tentative="1">
      <w:start w:val="1"/>
      <w:numFmt w:val="lowerLetter"/>
      <w:lvlText w:val="%5."/>
      <w:lvlJc w:val="left"/>
      <w:pPr>
        <w:tabs>
          <w:tab w:val="num" w:pos="9000"/>
        </w:tabs>
        <w:ind w:left="9000" w:hanging="360"/>
      </w:pPr>
      <w:rPr>
        <w:rFonts w:cs="Times New Roman"/>
      </w:rPr>
    </w:lvl>
    <w:lvl w:ilvl="5" w:tplc="0409001B" w:tentative="1">
      <w:start w:val="1"/>
      <w:numFmt w:val="lowerRoman"/>
      <w:lvlText w:val="%6."/>
      <w:lvlJc w:val="right"/>
      <w:pPr>
        <w:tabs>
          <w:tab w:val="num" w:pos="9720"/>
        </w:tabs>
        <w:ind w:left="9720" w:hanging="180"/>
      </w:pPr>
      <w:rPr>
        <w:rFonts w:cs="Times New Roman"/>
      </w:rPr>
    </w:lvl>
    <w:lvl w:ilvl="6" w:tplc="0409000F" w:tentative="1">
      <w:start w:val="1"/>
      <w:numFmt w:val="decimal"/>
      <w:lvlText w:val="%7."/>
      <w:lvlJc w:val="left"/>
      <w:pPr>
        <w:tabs>
          <w:tab w:val="num" w:pos="10440"/>
        </w:tabs>
        <w:ind w:left="10440" w:hanging="360"/>
      </w:pPr>
      <w:rPr>
        <w:rFonts w:cs="Times New Roman"/>
      </w:rPr>
    </w:lvl>
    <w:lvl w:ilvl="7" w:tplc="04090019" w:tentative="1">
      <w:start w:val="1"/>
      <w:numFmt w:val="lowerLetter"/>
      <w:lvlText w:val="%8."/>
      <w:lvlJc w:val="left"/>
      <w:pPr>
        <w:tabs>
          <w:tab w:val="num" w:pos="11160"/>
        </w:tabs>
        <w:ind w:left="11160" w:hanging="360"/>
      </w:pPr>
      <w:rPr>
        <w:rFonts w:cs="Times New Roman"/>
      </w:rPr>
    </w:lvl>
    <w:lvl w:ilvl="8" w:tplc="0409001B" w:tentative="1">
      <w:start w:val="1"/>
      <w:numFmt w:val="lowerRoman"/>
      <w:lvlText w:val="%9."/>
      <w:lvlJc w:val="right"/>
      <w:pPr>
        <w:tabs>
          <w:tab w:val="num" w:pos="11880"/>
        </w:tabs>
        <w:ind w:left="11880" w:hanging="180"/>
      </w:pPr>
      <w:rPr>
        <w:rFonts w:cs="Times New Roman"/>
      </w:rPr>
    </w:lvl>
  </w:abstractNum>
  <w:abstractNum w:abstractNumId="7" w15:restartNumberingAfterBreak="0">
    <w:nsid w:val="0F707EC0"/>
    <w:multiLevelType w:val="hybridMultilevel"/>
    <w:tmpl w:val="4A8AF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24B8D"/>
    <w:multiLevelType w:val="multilevel"/>
    <w:tmpl w:val="1200DF96"/>
    <w:lvl w:ilvl="0">
      <w:start w:val="1"/>
      <w:numFmt w:val="decimal"/>
      <w:lvlText w:val="%1.0"/>
      <w:lvlJc w:val="left"/>
      <w:pPr>
        <w:ind w:left="72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175B2C5B"/>
    <w:multiLevelType w:val="multilevel"/>
    <w:tmpl w:val="FFB21E62"/>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0" w15:restartNumberingAfterBreak="0">
    <w:nsid w:val="191747AF"/>
    <w:multiLevelType w:val="multilevel"/>
    <w:tmpl w:val="9D3CA290"/>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6E5161"/>
    <w:multiLevelType w:val="multilevel"/>
    <w:tmpl w:val="956E357C"/>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B5668AA"/>
    <w:multiLevelType w:val="hybridMultilevel"/>
    <w:tmpl w:val="FCBA35A6"/>
    <w:lvl w:ilvl="0" w:tplc="8110E5F2">
      <w:start w:val="1"/>
      <w:numFmt w:val="lowerLetter"/>
      <w:lvlText w:val="(%1)"/>
      <w:lvlJc w:val="left"/>
      <w:pPr>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6B00B0"/>
    <w:multiLevelType w:val="multilevel"/>
    <w:tmpl w:val="5D52985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B6F163C"/>
    <w:multiLevelType w:val="multilevel"/>
    <w:tmpl w:val="8BC69CF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40076F"/>
    <w:multiLevelType w:val="multilevel"/>
    <w:tmpl w:val="9F228904"/>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FD736FE"/>
    <w:multiLevelType w:val="hybridMultilevel"/>
    <w:tmpl w:val="74881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FE5598D"/>
    <w:multiLevelType w:val="multilevel"/>
    <w:tmpl w:val="8BC69CF2"/>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4516FCF"/>
    <w:multiLevelType w:val="multilevel"/>
    <w:tmpl w:val="71E6FC1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486530E"/>
    <w:multiLevelType w:val="multilevel"/>
    <w:tmpl w:val="F4B446DA"/>
    <w:lvl w:ilvl="0">
      <w:start w:val="2"/>
      <w:numFmt w:val="decimal"/>
      <w:lvlText w:val="%1.0"/>
      <w:lvlJc w:val="left"/>
      <w:pPr>
        <w:ind w:left="825" w:hanging="360"/>
      </w:pPr>
      <w:rPr>
        <w:rFonts w:hint="default"/>
        <w:b w:val="0"/>
        <w:u w:val="none"/>
      </w:rPr>
    </w:lvl>
    <w:lvl w:ilvl="1">
      <w:start w:val="1"/>
      <w:numFmt w:val="decimal"/>
      <w:lvlText w:val="%1.%2"/>
      <w:lvlJc w:val="left"/>
      <w:pPr>
        <w:ind w:left="1545" w:hanging="360"/>
      </w:pPr>
      <w:rPr>
        <w:rFonts w:hint="default"/>
        <w:b w:val="0"/>
        <w:u w:val="none"/>
      </w:rPr>
    </w:lvl>
    <w:lvl w:ilvl="2">
      <w:start w:val="1"/>
      <w:numFmt w:val="decimal"/>
      <w:lvlText w:val="%1.%2.%3"/>
      <w:lvlJc w:val="left"/>
      <w:pPr>
        <w:ind w:left="2625" w:hanging="720"/>
      </w:pPr>
      <w:rPr>
        <w:rFonts w:hint="default"/>
        <w:b w:val="0"/>
        <w:u w:val="none"/>
      </w:rPr>
    </w:lvl>
    <w:lvl w:ilvl="3">
      <w:start w:val="1"/>
      <w:numFmt w:val="decimal"/>
      <w:lvlText w:val="%1.%2.%3.%4"/>
      <w:lvlJc w:val="left"/>
      <w:pPr>
        <w:ind w:left="3345" w:hanging="720"/>
      </w:pPr>
      <w:rPr>
        <w:rFonts w:hint="default"/>
        <w:b w:val="0"/>
        <w:u w:val="none"/>
      </w:rPr>
    </w:lvl>
    <w:lvl w:ilvl="4">
      <w:start w:val="1"/>
      <w:numFmt w:val="decimal"/>
      <w:lvlText w:val="%1.%2.%3.%4.%5"/>
      <w:lvlJc w:val="left"/>
      <w:pPr>
        <w:ind w:left="4425" w:hanging="1080"/>
      </w:pPr>
      <w:rPr>
        <w:rFonts w:hint="default"/>
        <w:b w:val="0"/>
        <w:u w:val="none"/>
      </w:rPr>
    </w:lvl>
    <w:lvl w:ilvl="5">
      <w:start w:val="1"/>
      <w:numFmt w:val="decimal"/>
      <w:lvlText w:val="%1.%2.%3.%4.%5.%6"/>
      <w:lvlJc w:val="left"/>
      <w:pPr>
        <w:ind w:left="5145" w:hanging="1080"/>
      </w:pPr>
      <w:rPr>
        <w:rFonts w:hint="default"/>
        <w:b w:val="0"/>
        <w:u w:val="none"/>
      </w:rPr>
    </w:lvl>
    <w:lvl w:ilvl="6">
      <w:start w:val="1"/>
      <w:numFmt w:val="decimal"/>
      <w:lvlText w:val="%1.%2.%3.%4.%5.%6.%7"/>
      <w:lvlJc w:val="left"/>
      <w:pPr>
        <w:ind w:left="6225" w:hanging="1440"/>
      </w:pPr>
      <w:rPr>
        <w:rFonts w:hint="default"/>
        <w:b w:val="0"/>
        <w:u w:val="none"/>
      </w:rPr>
    </w:lvl>
    <w:lvl w:ilvl="7">
      <w:start w:val="1"/>
      <w:numFmt w:val="decimal"/>
      <w:lvlText w:val="%1.%2.%3.%4.%5.%6.%7.%8"/>
      <w:lvlJc w:val="left"/>
      <w:pPr>
        <w:ind w:left="6945" w:hanging="1440"/>
      </w:pPr>
      <w:rPr>
        <w:rFonts w:hint="default"/>
        <w:b w:val="0"/>
        <w:u w:val="none"/>
      </w:rPr>
    </w:lvl>
    <w:lvl w:ilvl="8">
      <w:start w:val="1"/>
      <w:numFmt w:val="decimal"/>
      <w:lvlText w:val="%1.%2.%3.%4.%5.%6.%7.%8.%9"/>
      <w:lvlJc w:val="left"/>
      <w:pPr>
        <w:ind w:left="8025" w:hanging="1800"/>
      </w:pPr>
      <w:rPr>
        <w:rFonts w:hint="default"/>
        <w:b w:val="0"/>
        <w:u w:val="none"/>
      </w:rPr>
    </w:lvl>
  </w:abstractNum>
  <w:abstractNum w:abstractNumId="20" w15:restartNumberingAfterBreak="0">
    <w:nsid w:val="26CF123B"/>
    <w:multiLevelType w:val="hybridMultilevel"/>
    <w:tmpl w:val="A1DAA5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99577B8"/>
    <w:multiLevelType w:val="hybridMultilevel"/>
    <w:tmpl w:val="2D44FF10"/>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Arial"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Arial"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Arial" w:hint="default"/>
      </w:rPr>
    </w:lvl>
    <w:lvl w:ilvl="8" w:tplc="04090005" w:tentative="1">
      <w:start w:val="1"/>
      <w:numFmt w:val="bullet"/>
      <w:lvlText w:val=""/>
      <w:lvlJc w:val="left"/>
      <w:pPr>
        <w:ind w:left="8355" w:hanging="360"/>
      </w:pPr>
      <w:rPr>
        <w:rFonts w:ascii="Wingdings" w:hAnsi="Wingdings" w:hint="default"/>
      </w:rPr>
    </w:lvl>
  </w:abstractNum>
  <w:abstractNum w:abstractNumId="22" w15:restartNumberingAfterBreak="0">
    <w:nsid w:val="2B0D509F"/>
    <w:multiLevelType w:val="multilevel"/>
    <w:tmpl w:val="DD08147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EFA7244"/>
    <w:multiLevelType w:val="hybridMultilevel"/>
    <w:tmpl w:val="2F38EA4E"/>
    <w:lvl w:ilvl="0" w:tplc="CEFC1C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EB08C6"/>
    <w:multiLevelType w:val="multilevel"/>
    <w:tmpl w:val="AD36A2C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0143099"/>
    <w:multiLevelType w:val="multilevel"/>
    <w:tmpl w:val="185E15D4"/>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6" w15:restartNumberingAfterBreak="0">
    <w:nsid w:val="31B112AA"/>
    <w:multiLevelType w:val="multilevel"/>
    <w:tmpl w:val="4D36A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51B78"/>
    <w:multiLevelType w:val="multilevel"/>
    <w:tmpl w:val="F9ACF774"/>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8" w15:restartNumberingAfterBreak="0">
    <w:nsid w:val="41BA31DE"/>
    <w:multiLevelType w:val="multilevel"/>
    <w:tmpl w:val="1160E822"/>
    <w:lvl w:ilvl="0">
      <w:numFmt w:val="none"/>
      <w:lvlText w:val=""/>
      <w:lvlJc w:val="left"/>
      <w:pPr>
        <w:tabs>
          <w:tab w:val="num" w:pos="360"/>
        </w:tabs>
      </w:pPr>
      <w:rPr>
        <w:rFonts w:cs="Times New Roman"/>
      </w:rPr>
    </w:lvl>
    <w:lvl w:ilvl="1">
      <w:start w:val="1"/>
      <w:numFmt w:val="lowerLetter"/>
      <w:lvlText w:val="(%2)"/>
      <w:lvlJc w:val="left"/>
      <w:pPr>
        <w:ind w:left="1800" w:hanging="720"/>
      </w:pPr>
      <w:rPr>
        <w:rFonts w:cs="Times New Roman" w:hint="default"/>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2A02413"/>
    <w:multiLevelType w:val="hybridMultilevel"/>
    <w:tmpl w:val="C902CAEE"/>
    <w:lvl w:ilvl="0" w:tplc="DACC6518">
      <w:start w:val="3"/>
      <w:numFmt w:val="lowerLetter"/>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5535EB"/>
    <w:multiLevelType w:val="hybridMultilevel"/>
    <w:tmpl w:val="7BFCE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5E06826"/>
    <w:multiLevelType w:val="multilevel"/>
    <w:tmpl w:val="AF4472EC"/>
    <w:lvl w:ilvl="0">
      <w:start w:val="1"/>
      <w:numFmt w:val="decimal"/>
      <w:lvlText w:val="%1"/>
      <w:lvlJc w:val="left"/>
      <w:pPr>
        <w:ind w:left="109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3680" w:hanging="1440"/>
      </w:pPr>
      <w:rPr>
        <w:rFonts w:hint="default"/>
      </w:rPr>
    </w:lvl>
  </w:abstractNum>
  <w:abstractNum w:abstractNumId="32" w15:restartNumberingAfterBreak="0">
    <w:nsid w:val="4744472A"/>
    <w:multiLevelType w:val="multilevel"/>
    <w:tmpl w:val="903000A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8B21336"/>
    <w:multiLevelType w:val="multilevel"/>
    <w:tmpl w:val="418E3B2E"/>
    <w:lvl w:ilvl="0">
      <w:start w:val="12"/>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4" w15:restartNumberingAfterBreak="0">
    <w:nsid w:val="48EC5598"/>
    <w:multiLevelType w:val="multilevel"/>
    <w:tmpl w:val="D7F21594"/>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BC1F35"/>
    <w:multiLevelType w:val="multilevel"/>
    <w:tmpl w:val="E22C59EA"/>
    <w:lvl w:ilvl="0">
      <w:start w:val="2"/>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D9B75B2"/>
    <w:multiLevelType w:val="hybridMultilevel"/>
    <w:tmpl w:val="3652430C"/>
    <w:lvl w:ilvl="0" w:tplc="78CA825A">
      <w:start w:val="7"/>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4E2A53EE"/>
    <w:multiLevelType w:val="multilevel"/>
    <w:tmpl w:val="51A47E16"/>
    <w:lvl w:ilvl="0">
      <w:start w:val="10"/>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8" w15:restartNumberingAfterBreak="0">
    <w:nsid w:val="4F2A51DF"/>
    <w:multiLevelType w:val="hybridMultilevel"/>
    <w:tmpl w:val="EC1A2934"/>
    <w:lvl w:ilvl="0" w:tplc="DD3493A6">
      <w:start w:val="2"/>
      <w:numFmt w:val="lowerLetter"/>
      <w:lvlText w:val="(%1)"/>
      <w:lvlJc w:val="left"/>
      <w:pPr>
        <w:tabs>
          <w:tab w:val="num" w:pos="2340"/>
        </w:tabs>
        <w:ind w:left="2340" w:hanging="360"/>
      </w:pPr>
      <w:rPr>
        <w:rFonts w:cs="Times New Roman" w:hint="default"/>
        <w:u w:val="none"/>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39" w15:restartNumberingAfterBreak="0">
    <w:nsid w:val="4FAE7CEB"/>
    <w:multiLevelType w:val="multilevel"/>
    <w:tmpl w:val="100292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174224C"/>
    <w:multiLevelType w:val="multilevel"/>
    <w:tmpl w:val="125CCACA"/>
    <w:lvl w:ilvl="0">
      <w:start w:val="8"/>
      <w:numFmt w:val="none"/>
      <w:lvlText w:val="7"/>
      <w:lvlJc w:val="left"/>
      <w:pPr>
        <w:tabs>
          <w:tab w:val="num" w:pos="360"/>
        </w:tabs>
        <w:ind w:left="360" w:hanging="360"/>
      </w:pPr>
      <w:rPr>
        <w:rFonts w:cs="Times New Roman" w:hint="default"/>
      </w:rPr>
    </w:lvl>
    <w:lvl w:ilvl="1">
      <w:start w:val="1"/>
      <w:numFmt w:val="decimal"/>
      <w:lvlText w:val="%17.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1E33C98"/>
    <w:multiLevelType w:val="multilevel"/>
    <w:tmpl w:val="C8FC1E26"/>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30A5C58"/>
    <w:multiLevelType w:val="multilevel"/>
    <w:tmpl w:val="EA2E6B9C"/>
    <w:lvl w:ilvl="0">
      <w:start w:val="2"/>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30B1CD5"/>
    <w:multiLevelType w:val="multilevel"/>
    <w:tmpl w:val="8CCE4E1C"/>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63"/>
        </w:tabs>
        <w:ind w:left="1563"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4" w15:restartNumberingAfterBreak="0">
    <w:nsid w:val="55FD1CCD"/>
    <w:multiLevelType w:val="multilevel"/>
    <w:tmpl w:val="4B3A44EC"/>
    <w:lvl w:ilvl="0">
      <w:start w:val="12"/>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5" w15:restartNumberingAfterBreak="0">
    <w:nsid w:val="59747AC2"/>
    <w:multiLevelType w:val="multilevel"/>
    <w:tmpl w:val="71C2A7C0"/>
    <w:lvl w:ilvl="0">
      <w:start w:val="2"/>
      <w:numFmt w:val="decimal"/>
      <w:lvlText w:val="%1."/>
      <w:lvlJc w:val="left"/>
      <w:pPr>
        <w:ind w:left="585" w:hanging="585"/>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abstractNum w:abstractNumId="46" w15:restartNumberingAfterBreak="0">
    <w:nsid w:val="5A3452F4"/>
    <w:multiLevelType w:val="multilevel"/>
    <w:tmpl w:val="48C2AC1C"/>
    <w:lvl w:ilvl="0">
      <w:start w:val="2"/>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47" w15:restartNumberingAfterBreak="0">
    <w:nsid w:val="5ED7381E"/>
    <w:multiLevelType w:val="multilevel"/>
    <w:tmpl w:val="2D103800"/>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F2C6930"/>
    <w:multiLevelType w:val="multilevel"/>
    <w:tmpl w:val="68A886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F323954"/>
    <w:multiLevelType w:val="multilevel"/>
    <w:tmpl w:val="1F9886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0B132A4"/>
    <w:multiLevelType w:val="multilevel"/>
    <w:tmpl w:val="FFB21E62"/>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1" w15:restartNumberingAfterBreak="0">
    <w:nsid w:val="61BB07F3"/>
    <w:multiLevelType w:val="multilevel"/>
    <w:tmpl w:val="40FEB7AE"/>
    <w:lvl w:ilvl="0">
      <w:start w:val="11"/>
      <w:numFmt w:val="decimal"/>
      <w:lvlText w:val="%1"/>
      <w:lvlJc w:val="left"/>
      <w:pPr>
        <w:tabs>
          <w:tab w:val="num" w:pos="420"/>
        </w:tabs>
        <w:ind w:left="420" w:hanging="420"/>
      </w:pPr>
      <w:rPr>
        <w:rFonts w:cs="Times New Roman" w:hint="default"/>
        <w:u w:val="none"/>
      </w:rPr>
    </w:lvl>
    <w:lvl w:ilvl="1">
      <w:start w:val="2"/>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2" w15:restartNumberingAfterBreak="0">
    <w:nsid w:val="61ED1676"/>
    <w:multiLevelType w:val="multilevel"/>
    <w:tmpl w:val="D5861F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62174A7B"/>
    <w:multiLevelType w:val="multilevel"/>
    <w:tmpl w:val="DD08147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3EF22AE"/>
    <w:multiLevelType w:val="multilevel"/>
    <w:tmpl w:val="6B0E6B14"/>
    <w:lvl w:ilvl="0">
      <w:start w:val="6"/>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1440"/>
        </w:tabs>
        <w:ind w:left="1440" w:hanging="360"/>
      </w:pPr>
      <w:rPr>
        <w:rFonts w:cs="Times New Roman" w:hint="default"/>
        <w:u w:val="none"/>
      </w:rPr>
    </w:lvl>
    <w:lvl w:ilvl="2">
      <w:start w:val="1"/>
      <w:numFmt w:val="decimal"/>
      <w:lvlText w:val="%1.%2.%3"/>
      <w:lvlJc w:val="left"/>
      <w:pPr>
        <w:tabs>
          <w:tab w:val="num" w:pos="2880"/>
        </w:tabs>
        <w:ind w:left="2880" w:hanging="720"/>
      </w:pPr>
      <w:rPr>
        <w:rFonts w:cs="Times New Roman" w:hint="default"/>
        <w:u w:val="none"/>
      </w:rPr>
    </w:lvl>
    <w:lvl w:ilvl="3">
      <w:start w:val="1"/>
      <w:numFmt w:val="decimal"/>
      <w:lvlText w:val="%1.%2.%3.%4"/>
      <w:lvlJc w:val="left"/>
      <w:pPr>
        <w:tabs>
          <w:tab w:val="num" w:pos="3960"/>
        </w:tabs>
        <w:ind w:left="3960" w:hanging="720"/>
      </w:pPr>
      <w:rPr>
        <w:rFonts w:cs="Times New Roman" w:hint="default"/>
        <w:u w:val="none"/>
      </w:rPr>
    </w:lvl>
    <w:lvl w:ilvl="4">
      <w:start w:val="1"/>
      <w:numFmt w:val="decimal"/>
      <w:lvlText w:val="%1.%2.%3.%4.%5"/>
      <w:lvlJc w:val="left"/>
      <w:pPr>
        <w:tabs>
          <w:tab w:val="num" w:pos="5400"/>
        </w:tabs>
        <w:ind w:left="5400" w:hanging="1080"/>
      </w:pPr>
      <w:rPr>
        <w:rFonts w:cs="Times New Roman" w:hint="default"/>
        <w:u w:val="none"/>
      </w:rPr>
    </w:lvl>
    <w:lvl w:ilvl="5">
      <w:start w:val="1"/>
      <w:numFmt w:val="decimal"/>
      <w:lvlText w:val="%1.%2.%3.%4.%5.%6"/>
      <w:lvlJc w:val="left"/>
      <w:pPr>
        <w:tabs>
          <w:tab w:val="num" w:pos="6480"/>
        </w:tabs>
        <w:ind w:left="6480" w:hanging="1080"/>
      </w:pPr>
      <w:rPr>
        <w:rFonts w:cs="Times New Roman" w:hint="default"/>
        <w:u w:val="none"/>
      </w:rPr>
    </w:lvl>
    <w:lvl w:ilvl="6">
      <w:start w:val="1"/>
      <w:numFmt w:val="decimal"/>
      <w:lvlText w:val="%1.%2.%3.%4.%5.%6.%7"/>
      <w:lvlJc w:val="left"/>
      <w:pPr>
        <w:tabs>
          <w:tab w:val="num" w:pos="7920"/>
        </w:tabs>
        <w:ind w:left="7920" w:hanging="1440"/>
      </w:pPr>
      <w:rPr>
        <w:rFonts w:cs="Times New Roman" w:hint="default"/>
        <w:u w:val="none"/>
      </w:rPr>
    </w:lvl>
    <w:lvl w:ilvl="7">
      <w:start w:val="1"/>
      <w:numFmt w:val="decimal"/>
      <w:lvlText w:val="%1.%2.%3.%4.%5.%6.%7.%8"/>
      <w:lvlJc w:val="left"/>
      <w:pPr>
        <w:tabs>
          <w:tab w:val="num" w:pos="9000"/>
        </w:tabs>
        <w:ind w:left="9000" w:hanging="1440"/>
      </w:pPr>
      <w:rPr>
        <w:rFonts w:cs="Times New Roman" w:hint="default"/>
        <w:u w:val="none"/>
      </w:rPr>
    </w:lvl>
    <w:lvl w:ilvl="8">
      <w:start w:val="1"/>
      <w:numFmt w:val="decimal"/>
      <w:lvlText w:val="%1.%2.%3.%4.%5.%6.%7.%8.%9"/>
      <w:lvlJc w:val="left"/>
      <w:pPr>
        <w:tabs>
          <w:tab w:val="num" w:pos="10440"/>
        </w:tabs>
        <w:ind w:left="10440" w:hanging="1800"/>
      </w:pPr>
      <w:rPr>
        <w:rFonts w:cs="Times New Roman" w:hint="default"/>
        <w:u w:val="none"/>
      </w:rPr>
    </w:lvl>
  </w:abstractNum>
  <w:abstractNum w:abstractNumId="55" w15:restartNumberingAfterBreak="0">
    <w:nsid w:val="670C7E36"/>
    <w:multiLevelType w:val="multilevel"/>
    <w:tmpl w:val="5E6A9608"/>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C2927C6"/>
    <w:multiLevelType w:val="hybridMultilevel"/>
    <w:tmpl w:val="119CD0B8"/>
    <w:lvl w:ilvl="0" w:tplc="8110E5F2">
      <w:start w:val="1"/>
      <w:numFmt w:val="lowerLetter"/>
      <w:lvlText w:val="(%1)"/>
      <w:lvlJc w:val="left"/>
      <w:pPr>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483C5B"/>
    <w:multiLevelType w:val="multilevel"/>
    <w:tmpl w:val="62523AF6"/>
    <w:lvl w:ilvl="0">
      <w:start w:val="11"/>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8" w15:restartNumberingAfterBreak="0">
    <w:nsid w:val="713258BD"/>
    <w:multiLevelType w:val="multilevel"/>
    <w:tmpl w:val="105AD2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9" w15:restartNumberingAfterBreak="0">
    <w:nsid w:val="7467722B"/>
    <w:multiLevelType w:val="multilevel"/>
    <w:tmpl w:val="956E357C"/>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E64B88"/>
    <w:multiLevelType w:val="multilevel"/>
    <w:tmpl w:val="ECB442D4"/>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1" w15:restartNumberingAfterBreak="0">
    <w:nsid w:val="7B4F55D9"/>
    <w:multiLevelType w:val="hybridMultilevel"/>
    <w:tmpl w:val="41DAC2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7CA33B98"/>
    <w:multiLevelType w:val="multilevel"/>
    <w:tmpl w:val="CEF049BA"/>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F1B0A97"/>
    <w:multiLevelType w:val="multilevel"/>
    <w:tmpl w:val="D5B4EB8C"/>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3"/>
  </w:num>
  <w:num w:numId="3">
    <w:abstractNumId w:val="58"/>
  </w:num>
  <w:num w:numId="4">
    <w:abstractNumId w:val="27"/>
  </w:num>
  <w:num w:numId="5">
    <w:abstractNumId w:val="39"/>
  </w:num>
  <w:num w:numId="6">
    <w:abstractNumId w:val="49"/>
  </w:num>
  <w:num w:numId="7">
    <w:abstractNumId w:val="33"/>
  </w:num>
  <w:num w:numId="8">
    <w:abstractNumId w:val="44"/>
  </w:num>
  <w:num w:numId="9">
    <w:abstractNumId w:val="3"/>
  </w:num>
  <w:num w:numId="10">
    <w:abstractNumId w:val="37"/>
  </w:num>
  <w:num w:numId="11">
    <w:abstractNumId w:val="13"/>
  </w:num>
  <w:num w:numId="12">
    <w:abstractNumId w:val="52"/>
  </w:num>
  <w:num w:numId="13">
    <w:abstractNumId w:val="32"/>
  </w:num>
  <w:num w:numId="14">
    <w:abstractNumId w:val="28"/>
  </w:num>
  <w:num w:numId="15">
    <w:abstractNumId w:val="38"/>
  </w:num>
  <w:num w:numId="16">
    <w:abstractNumId w:val="6"/>
  </w:num>
  <w:num w:numId="17">
    <w:abstractNumId w:val="29"/>
  </w:num>
  <w:num w:numId="18">
    <w:abstractNumId w:val="24"/>
  </w:num>
  <w:num w:numId="19">
    <w:abstractNumId w:val="47"/>
  </w:num>
  <w:num w:numId="20">
    <w:abstractNumId w:val="41"/>
  </w:num>
  <w:num w:numId="21">
    <w:abstractNumId w:val="51"/>
  </w:num>
  <w:num w:numId="22">
    <w:abstractNumId w:val="2"/>
  </w:num>
  <w:num w:numId="23">
    <w:abstractNumId w:val="18"/>
  </w:num>
  <w:num w:numId="24">
    <w:abstractNumId w:val="1"/>
  </w:num>
  <w:num w:numId="25">
    <w:abstractNumId w:val="48"/>
  </w:num>
  <w:num w:numId="26">
    <w:abstractNumId w:val="4"/>
  </w:num>
  <w:num w:numId="27">
    <w:abstractNumId w:val="25"/>
  </w:num>
  <w:num w:numId="28">
    <w:abstractNumId w:val="50"/>
  </w:num>
  <w:num w:numId="29">
    <w:abstractNumId w:val="54"/>
  </w:num>
  <w:num w:numId="30">
    <w:abstractNumId w:val="12"/>
  </w:num>
  <w:num w:numId="31">
    <w:abstractNumId w:val="40"/>
  </w:num>
  <w:num w:numId="32">
    <w:abstractNumId w:val="34"/>
  </w:num>
  <w:num w:numId="33">
    <w:abstractNumId w:val="11"/>
  </w:num>
  <w:num w:numId="34">
    <w:abstractNumId w:val="59"/>
  </w:num>
  <w:num w:numId="35">
    <w:abstractNumId w:val="15"/>
  </w:num>
  <w:num w:numId="36">
    <w:abstractNumId w:val="57"/>
  </w:num>
  <w:num w:numId="37">
    <w:abstractNumId w:val="56"/>
  </w:num>
  <w:num w:numId="38">
    <w:abstractNumId w:val="9"/>
  </w:num>
  <w:num w:numId="39">
    <w:abstractNumId w:val="5"/>
  </w:num>
  <w:num w:numId="40">
    <w:abstractNumId w:val="14"/>
  </w:num>
  <w:num w:numId="41">
    <w:abstractNumId w:val="55"/>
  </w:num>
  <w:num w:numId="42">
    <w:abstractNumId w:val="17"/>
  </w:num>
  <w:num w:numId="43">
    <w:abstractNumId w:val="53"/>
  </w:num>
  <w:num w:numId="44">
    <w:abstractNumId w:val="22"/>
  </w:num>
  <w:num w:numId="45">
    <w:abstractNumId w:val="46"/>
  </w:num>
  <w:num w:numId="46">
    <w:abstractNumId w:val="36"/>
  </w:num>
  <w:num w:numId="47">
    <w:abstractNumId w:val="7"/>
  </w:num>
  <w:num w:numId="48">
    <w:abstractNumId w:val="31"/>
  </w:num>
  <w:num w:numId="49">
    <w:abstractNumId w:val="60"/>
  </w:num>
  <w:num w:numId="50">
    <w:abstractNumId w:val="21"/>
  </w:num>
  <w:num w:numId="51">
    <w:abstractNumId w:val="16"/>
  </w:num>
  <w:num w:numId="52">
    <w:abstractNumId w:val="35"/>
  </w:num>
  <w:num w:numId="53">
    <w:abstractNumId w:val="45"/>
  </w:num>
  <w:num w:numId="54">
    <w:abstractNumId w:val="63"/>
  </w:num>
  <w:num w:numId="55">
    <w:abstractNumId w:val="62"/>
  </w:num>
  <w:num w:numId="56">
    <w:abstractNumId w:val="42"/>
  </w:num>
  <w:num w:numId="57">
    <w:abstractNumId w:val="10"/>
  </w:num>
  <w:num w:numId="58">
    <w:abstractNumId w:val="20"/>
  </w:num>
  <w:num w:numId="59">
    <w:abstractNumId w:val="61"/>
  </w:num>
  <w:num w:numId="60">
    <w:abstractNumId w:val="8"/>
  </w:num>
  <w:num w:numId="61">
    <w:abstractNumId w:val="19"/>
  </w:num>
  <w:num w:numId="62">
    <w:abstractNumId w:val="30"/>
  </w:num>
  <w:num w:numId="63">
    <w:abstractNumId w:val="26"/>
  </w:num>
  <w:num w:numId="64">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4"/>
    <w:rsid w:val="00001294"/>
    <w:rsid w:val="00002174"/>
    <w:rsid w:val="00002E5A"/>
    <w:rsid w:val="00007639"/>
    <w:rsid w:val="000120C5"/>
    <w:rsid w:val="00012170"/>
    <w:rsid w:val="00012B2A"/>
    <w:rsid w:val="0001633D"/>
    <w:rsid w:val="00016736"/>
    <w:rsid w:val="00023494"/>
    <w:rsid w:val="00024870"/>
    <w:rsid w:val="00026764"/>
    <w:rsid w:val="00026D4D"/>
    <w:rsid w:val="00027A6D"/>
    <w:rsid w:val="00031A14"/>
    <w:rsid w:val="000323D2"/>
    <w:rsid w:val="000341AA"/>
    <w:rsid w:val="00034222"/>
    <w:rsid w:val="00036075"/>
    <w:rsid w:val="00041DA9"/>
    <w:rsid w:val="00042251"/>
    <w:rsid w:val="00043272"/>
    <w:rsid w:val="00043B3C"/>
    <w:rsid w:val="0005344E"/>
    <w:rsid w:val="00053483"/>
    <w:rsid w:val="00053AC9"/>
    <w:rsid w:val="000547A8"/>
    <w:rsid w:val="00056510"/>
    <w:rsid w:val="00057CE1"/>
    <w:rsid w:val="000627C2"/>
    <w:rsid w:val="00062EF0"/>
    <w:rsid w:val="0006461E"/>
    <w:rsid w:val="000718CC"/>
    <w:rsid w:val="000739FD"/>
    <w:rsid w:val="000741A6"/>
    <w:rsid w:val="00076512"/>
    <w:rsid w:val="00076BB1"/>
    <w:rsid w:val="000774B9"/>
    <w:rsid w:val="0008014A"/>
    <w:rsid w:val="00080ACB"/>
    <w:rsid w:val="00080CFA"/>
    <w:rsid w:val="000840E2"/>
    <w:rsid w:val="00084136"/>
    <w:rsid w:val="00084324"/>
    <w:rsid w:val="00091085"/>
    <w:rsid w:val="00092974"/>
    <w:rsid w:val="000975BF"/>
    <w:rsid w:val="000A1326"/>
    <w:rsid w:val="000A1771"/>
    <w:rsid w:val="000A2918"/>
    <w:rsid w:val="000A41ED"/>
    <w:rsid w:val="000A62FD"/>
    <w:rsid w:val="000B0019"/>
    <w:rsid w:val="000B2244"/>
    <w:rsid w:val="000B35F1"/>
    <w:rsid w:val="000B463A"/>
    <w:rsid w:val="000B78AC"/>
    <w:rsid w:val="000B7ED3"/>
    <w:rsid w:val="000C1C63"/>
    <w:rsid w:val="000C23BF"/>
    <w:rsid w:val="000D102A"/>
    <w:rsid w:val="000D19E6"/>
    <w:rsid w:val="000D295F"/>
    <w:rsid w:val="000D39FE"/>
    <w:rsid w:val="000D3C07"/>
    <w:rsid w:val="000E32FF"/>
    <w:rsid w:val="000E36DC"/>
    <w:rsid w:val="000E4848"/>
    <w:rsid w:val="000E5A62"/>
    <w:rsid w:val="000E6B38"/>
    <w:rsid w:val="000E6F44"/>
    <w:rsid w:val="000F0C84"/>
    <w:rsid w:val="000F0D36"/>
    <w:rsid w:val="000F308D"/>
    <w:rsid w:val="000F51ED"/>
    <w:rsid w:val="000F557C"/>
    <w:rsid w:val="000F66C5"/>
    <w:rsid w:val="000F7896"/>
    <w:rsid w:val="00111058"/>
    <w:rsid w:val="0011252F"/>
    <w:rsid w:val="001127AD"/>
    <w:rsid w:val="00113A25"/>
    <w:rsid w:val="00114289"/>
    <w:rsid w:val="001142FE"/>
    <w:rsid w:val="0011455F"/>
    <w:rsid w:val="00114D40"/>
    <w:rsid w:val="0011743C"/>
    <w:rsid w:val="00123862"/>
    <w:rsid w:val="001238D7"/>
    <w:rsid w:val="0012586E"/>
    <w:rsid w:val="001262CA"/>
    <w:rsid w:val="00130632"/>
    <w:rsid w:val="00130AB5"/>
    <w:rsid w:val="0013307B"/>
    <w:rsid w:val="00133143"/>
    <w:rsid w:val="00134E67"/>
    <w:rsid w:val="001354B5"/>
    <w:rsid w:val="001432F8"/>
    <w:rsid w:val="00147A39"/>
    <w:rsid w:val="00147CA5"/>
    <w:rsid w:val="00150EE3"/>
    <w:rsid w:val="00151D36"/>
    <w:rsid w:val="001555C5"/>
    <w:rsid w:val="001559A9"/>
    <w:rsid w:val="00156607"/>
    <w:rsid w:val="00156BF5"/>
    <w:rsid w:val="00160198"/>
    <w:rsid w:val="001622D7"/>
    <w:rsid w:val="0017122B"/>
    <w:rsid w:val="001719F3"/>
    <w:rsid w:val="00171EAA"/>
    <w:rsid w:val="0017278D"/>
    <w:rsid w:val="001741DE"/>
    <w:rsid w:val="0017497F"/>
    <w:rsid w:val="00176D9A"/>
    <w:rsid w:val="001825B5"/>
    <w:rsid w:val="0018279F"/>
    <w:rsid w:val="00182ADD"/>
    <w:rsid w:val="00182AF0"/>
    <w:rsid w:val="0018660C"/>
    <w:rsid w:val="00187914"/>
    <w:rsid w:val="00193596"/>
    <w:rsid w:val="0019511D"/>
    <w:rsid w:val="001962BD"/>
    <w:rsid w:val="001968FB"/>
    <w:rsid w:val="001A0538"/>
    <w:rsid w:val="001A2303"/>
    <w:rsid w:val="001A281A"/>
    <w:rsid w:val="001A3E60"/>
    <w:rsid w:val="001A50FB"/>
    <w:rsid w:val="001A5917"/>
    <w:rsid w:val="001A7960"/>
    <w:rsid w:val="001B2167"/>
    <w:rsid w:val="001B597A"/>
    <w:rsid w:val="001B6FD3"/>
    <w:rsid w:val="001C20B4"/>
    <w:rsid w:val="001C6681"/>
    <w:rsid w:val="001C7A9F"/>
    <w:rsid w:val="001D0AF8"/>
    <w:rsid w:val="001D1C2B"/>
    <w:rsid w:val="001D2DBE"/>
    <w:rsid w:val="001D4E85"/>
    <w:rsid w:val="001E0AC8"/>
    <w:rsid w:val="001E28C6"/>
    <w:rsid w:val="001E2F2F"/>
    <w:rsid w:val="001E4088"/>
    <w:rsid w:val="001E40D0"/>
    <w:rsid w:val="001E4243"/>
    <w:rsid w:val="001E5187"/>
    <w:rsid w:val="001E6E5E"/>
    <w:rsid w:val="001F1377"/>
    <w:rsid w:val="001F1D3E"/>
    <w:rsid w:val="001F32DF"/>
    <w:rsid w:val="001F4D29"/>
    <w:rsid w:val="001F685C"/>
    <w:rsid w:val="001F7347"/>
    <w:rsid w:val="00200489"/>
    <w:rsid w:val="00201E6C"/>
    <w:rsid w:val="00202631"/>
    <w:rsid w:val="00204062"/>
    <w:rsid w:val="00204149"/>
    <w:rsid w:val="002051EB"/>
    <w:rsid w:val="00207999"/>
    <w:rsid w:val="002109B6"/>
    <w:rsid w:val="00211380"/>
    <w:rsid w:val="0021219F"/>
    <w:rsid w:val="00213166"/>
    <w:rsid w:val="00214ED2"/>
    <w:rsid w:val="00215075"/>
    <w:rsid w:val="00215DC8"/>
    <w:rsid w:val="00216BC2"/>
    <w:rsid w:val="00216C8D"/>
    <w:rsid w:val="00216F94"/>
    <w:rsid w:val="0022014A"/>
    <w:rsid w:val="00221588"/>
    <w:rsid w:val="002240CE"/>
    <w:rsid w:val="00224B2E"/>
    <w:rsid w:val="00227CB9"/>
    <w:rsid w:val="002310EF"/>
    <w:rsid w:val="00234BC7"/>
    <w:rsid w:val="0023538E"/>
    <w:rsid w:val="00240197"/>
    <w:rsid w:val="002406C9"/>
    <w:rsid w:val="00241B35"/>
    <w:rsid w:val="0024273A"/>
    <w:rsid w:val="00243A67"/>
    <w:rsid w:val="002503D8"/>
    <w:rsid w:val="002541CF"/>
    <w:rsid w:val="00254756"/>
    <w:rsid w:val="002564CF"/>
    <w:rsid w:val="00257083"/>
    <w:rsid w:val="00257D15"/>
    <w:rsid w:val="00263F26"/>
    <w:rsid w:val="00264208"/>
    <w:rsid w:val="0026774A"/>
    <w:rsid w:val="002753CB"/>
    <w:rsid w:val="0027584C"/>
    <w:rsid w:val="00276265"/>
    <w:rsid w:val="00280608"/>
    <w:rsid w:val="00282939"/>
    <w:rsid w:val="002829AE"/>
    <w:rsid w:val="00284ED7"/>
    <w:rsid w:val="0028528C"/>
    <w:rsid w:val="00285406"/>
    <w:rsid w:val="0029161B"/>
    <w:rsid w:val="00295032"/>
    <w:rsid w:val="002965A2"/>
    <w:rsid w:val="0029791C"/>
    <w:rsid w:val="002A03ED"/>
    <w:rsid w:val="002A1F8B"/>
    <w:rsid w:val="002A3450"/>
    <w:rsid w:val="002A7E65"/>
    <w:rsid w:val="002B1DF6"/>
    <w:rsid w:val="002B4F93"/>
    <w:rsid w:val="002B794A"/>
    <w:rsid w:val="002B7C71"/>
    <w:rsid w:val="002C0F94"/>
    <w:rsid w:val="002C4F39"/>
    <w:rsid w:val="002C7FB6"/>
    <w:rsid w:val="002D3E20"/>
    <w:rsid w:val="002D4500"/>
    <w:rsid w:val="002D45F0"/>
    <w:rsid w:val="002D5E04"/>
    <w:rsid w:val="002D7F83"/>
    <w:rsid w:val="002E0C6B"/>
    <w:rsid w:val="002E0EE2"/>
    <w:rsid w:val="002E158F"/>
    <w:rsid w:val="002E1989"/>
    <w:rsid w:val="002E51F1"/>
    <w:rsid w:val="002F1564"/>
    <w:rsid w:val="002F4FAC"/>
    <w:rsid w:val="003044ED"/>
    <w:rsid w:val="003054D4"/>
    <w:rsid w:val="00305651"/>
    <w:rsid w:val="003059A0"/>
    <w:rsid w:val="00306059"/>
    <w:rsid w:val="00306348"/>
    <w:rsid w:val="00306F7B"/>
    <w:rsid w:val="00310DE0"/>
    <w:rsid w:val="00311F8E"/>
    <w:rsid w:val="003140E8"/>
    <w:rsid w:val="0031412D"/>
    <w:rsid w:val="00316D44"/>
    <w:rsid w:val="00317208"/>
    <w:rsid w:val="003176A8"/>
    <w:rsid w:val="00324C44"/>
    <w:rsid w:val="00325D40"/>
    <w:rsid w:val="00327E0E"/>
    <w:rsid w:val="00333D11"/>
    <w:rsid w:val="003340E4"/>
    <w:rsid w:val="0033491C"/>
    <w:rsid w:val="00334E7F"/>
    <w:rsid w:val="00335037"/>
    <w:rsid w:val="003351BC"/>
    <w:rsid w:val="003358D1"/>
    <w:rsid w:val="00335F4E"/>
    <w:rsid w:val="003404BA"/>
    <w:rsid w:val="00344505"/>
    <w:rsid w:val="00344F03"/>
    <w:rsid w:val="003469BF"/>
    <w:rsid w:val="00353A4B"/>
    <w:rsid w:val="003646AE"/>
    <w:rsid w:val="00364790"/>
    <w:rsid w:val="00365021"/>
    <w:rsid w:val="0036517B"/>
    <w:rsid w:val="00371B0A"/>
    <w:rsid w:val="003720E1"/>
    <w:rsid w:val="00374DF5"/>
    <w:rsid w:val="00376B13"/>
    <w:rsid w:val="00382A3A"/>
    <w:rsid w:val="00390199"/>
    <w:rsid w:val="00391B3B"/>
    <w:rsid w:val="00392911"/>
    <w:rsid w:val="00392E67"/>
    <w:rsid w:val="00392FEC"/>
    <w:rsid w:val="00394F80"/>
    <w:rsid w:val="00395448"/>
    <w:rsid w:val="0039641B"/>
    <w:rsid w:val="0039681B"/>
    <w:rsid w:val="003972C1"/>
    <w:rsid w:val="00397C7A"/>
    <w:rsid w:val="003A31B1"/>
    <w:rsid w:val="003A41FF"/>
    <w:rsid w:val="003A4565"/>
    <w:rsid w:val="003A5795"/>
    <w:rsid w:val="003A7824"/>
    <w:rsid w:val="003B4113"/>
    <w:rsid w:val="003B4612"/>
    <w:rsid w:val="003B779C"/>
    <w:rsid w:val="003C034B"/>
    <w:rsid w:val="003C25D3"/>
    <w:rsid w:val="003C2AF4"/>
    <w:rsid w:val="003C3C0C"/>
    <w:rsid w:val="003D0EBA"/>
    <w:rsid w:val="003D1372"/>
    <w:rsid w:val="003D1385"/>
    <w:rsid w:val="003D1930"/>
    <w:rsid w:val="003D26AA"/>
    <w:rsid w:val="003D3C35"/>
    <w:rsid w:val="003D5E38"/>
    <w:rsid w:val="003E2529"/>
    <w:rsid w:val="003E4BB4"/>
    <w:rsid w:val="003E69C8"/>
    <w:rsid w:val="003E7C4D"/>
    <w:rsid w:val="003F0492"/>
    <w:rsid w:val="003F0B76"/>
    <w:rsid w:val="003F11E7"/>
    <w:rsid w:val="003F1252"/>
    <w:rsid w:val="003F2CC0"/>
    <w:rsid w:val="003F2DED"/>
    <w:rsid w:val="003F30FE"/>
    <w:rsid w:val="003F6822"/>
    <w:rsid w:val="003F7291"/>
    <w:rsid w:val="0040235F"/>
    <w:rsid w:val="00407417"/>
    <w:rsid w:val="00410F42"/>
    <w:rsid w:val="0041440D"/>
    <w:rsid w:val="00425C3B"/>
    <w:rsid w:val="0042654A"/>
    <w:rsid w:val="0043264D"/>
    <w:rsid w:val="00432B23"/>
    <w:rsid w:val="00432DE7"/>
    <w:rsid w:val="00435674"/>
    <w:rsid w:val="00435C15"/>
    <w:rsid w:val="00437453"/>
    <w:rsid w:val="004375E4"/>
    <w:rsid w:val="0044112D"/>
    <w:rsid w:val="00445D33"/>
    <w:rsid w:val="00450F4A"/>
    <w:rsid w:val="00450FF2"/>
    <w:rsid w:val="00451A73"/>
    <w:rsid w:val="00454D5C"/>
    <w:rsid w:val="00455231"/>
    <w:rsid w:val="0045529E"/>
    <w:rsid w:val="00456A1A"/>
    <w:rsid w:val="004601AA"/>
    <w:rsid w:val="00460DE8"/>
    <w:rsid w:val="004611ED"/>
    <w:rsid w:val="00461CB2"/>
    <w:rsid w:val="004628BA"/>
    <w:rsid w:val="0046442F"/>
    <w:rsid w:val="0046607F"/>
    <w:rsid w:val="00467F06"/>
    <w:rsid w:val="00470042"/>
    <w:rsid w:val="00471A49"/>
    <w:rsid w:val="00475220"/>
    <w:rsid w:val="00475FFE"/>
    <w:rsid w:val="00483368"/>
    <w:rsid w:val="004856D9"/>
    <w:rsid w:val="00485E6A"/>
    <w:rsid w:val="0049239C"/>
    <w:rsid w:val="004924B0"/>
    <w:rsid w:val="00492EC9"/>
    <w:rsid w:val="00496321"/>
    <w:rsid w:val="004973D1"/>
    <w:rsid w:val="00497C41"/>
    <w:rsid w:val="004A05FA"/>
    <w:rsid w:val="004A22AA"/>
    <w:rsid w:val="004A2CDA"/>
    <w:rsid w:val="004A2F02"/>
    <w:rsid w:val="004A32C9"/>
    <w:rsid w:val="004A4173"/>
    <w:rsid w:val="004A4268"/>
    <w:rsid w:val="004A4D4B"/>
    <w:rsid w:val="004A5198"/>
    <w:rsid w:val="004A649B"/>
    <w:rsid w:val="004B0363"/>
    <w:rsid w:val="004B2500"/>
    <w:rsid w:val="004B6549"/>
    <w:rsid w:val="004C0228"/>
    <w:rsid w:val="004C1E44"/>
    <w:rsid w:val="004C58FB"/>
    <w:rsid w:val="004C6426"/>
    <w:rsid w:val="004D08E5"/>
    <w:rsid w:val="004D1274"/>
    <w:rsid w:val="004D3750"/>
    <w:rsid w:val="004D3A9A"/>
    <w:rsid w:val="004D507F"/>
    <w:rsid w:val="004D5AA8"/>
    <w:rsid w:val="004D6BBC"/>
    <w:rsid w:val="004E2820"/>
    <w:rsid w:val="004E633B"/>
    <w:rsid w:val="004E71E4"/>
    <w:rsid w:val="004F09EC"/>
    <w:rsid w:val="005001FA"/>
    <w:rsid w:val="005010FA"/>
    <w:rsid w:val="0050327E"/>
    <w:rsid w:val="005034F5"/>
    <w:rsid w:val="00507B78"/>
    <w:rsid w:val="00507EAD"/>
    <w:rsid w:val="005115CC"/>
    <w:rsid w:val="0051259A"/>
    <w:rsid w:val="00512B72"/>
    <w:rsid w:val="005139B0"/>
    <w:rsid w:val="00514B56"/>
    <w:rsid w:val="00514CBE"/>
    <w:rsid w:val="00515095"/>
    <w:rsid w:val="00516E11"/>
    <w:rsid w:val="00516E19"/>
    <w:rsid w:val="00521AFC"/>
    <w:rsid w:val="005238AE"/>
    <w:rsid w:val="005260E9"/>
    <w:rsid w:val="005315B2"/>
    <w:rsid w:val="00531C69"/>
    <w:rsid w:val="005322DB"/>
    <w:rsid w:val="00532867"/>
    <w:rsid w:val="00533038"/>
    <w:rsid w:val="00542664"/>
    <w:rsid w:val="00542B51"/>
    <w:rsid w:val="0054632E"/>
    <w:rsid w:val="0054735A"/>
    <w:rsid w:val="005500CF"/>
    <w:rsid w:val="00552778"/>
    <w:rsid w:val="00552A60"/>
    <w:rsid w:val="00560414"/>
    <w:rsid w:val="00560DE4"/>
    <w:rsid w:val="00562265"/>
    <w:rsid w:val="00562D03"/>
    <w:rsid w:val="00565E03"/>
    <w:rsid w:val="00566741"/>
    <w:rsid w:val="00574AAE"/>
    <w:rsid w:val="0058325A"/>
    <w:rsid w:val="00586D8E"/>
    <w:rsid w:val="0059217F"/>
    <w:rsid w:val="005948DA"/>
    <w:rsid w:val="005965A7"/>
    <w:rsid w:val="00596BD5"/>
    <w:rsid w:val="00596F21"/>
    <w:rsid w:val="005A0B09"/>
    <w:rsid w:val="005A16E8"/>
    <w:rsid w:val="005A3D25"/>
    <w:rsid w:val="005B189A"/>
    <w:rsid w:val="005B28B9"/>
    <w:rsid w:val="005B2E8E"/>
    <w:rsid w:val="005C0009"/>
    <w:rsid w:val="005C18F8"/>
    <w:rsid w:val="005C1970"/>
    <w:rsid w:val="005C2004"/>
    <w:rsid w:val="005C5563"/>
    <w:rsid w:val="005C7CA3"/>
    <w:rsid w:val="005D22F7"/>
    <w:rsid w:val="005D6466"/>
    <w:rsid w:val="005E11F9"/>
    <w:rsid w:val="005E158F"/>
    <w:rsid w:val="005E1EC4"/>
    <w:rsid w:val="005E2D72"/>
    <w:rsid w:val="005E3E8D"/>
    <w:rsid w:val="005E5265"/>
    <w:rsid w:val="005E5BA5"/>
    <w:rsid w:val="005F09B8"/>
    <w:rsid w:val="005F310C"/>
    <w:rsid w:val="005F36AF"/>
    <w:rsid w:val="005F5FD5"/>
    <w:rsid w:val="006008D2"/>
    <w:rsid w:val="0060189A"/>
    <w:rsid w:val="006024D6"/>
    <w:rsid w:val="00602847"/>
    <w:rsid w:val="006044EC"/>
    <w:rsid w:val="0060462C"/>
    <w:rsid w:val="00604794"/>
    <w:rsid w:val="006072D5"/>
    <w:rsid w:val="0061279A"/>
    <w:rsid w:val="00615859"/>
    <w:rsid w:val="006177CF"/>
    <w:rsid w:val="00620BDA"/>
    <w:rsid w:val="00620D21"/>
    <w:rsid w:val="00620D88"/>
    <w:rsid w:val="00622736"/>
    <w:rsid w:val="006228C8"/>
    <w:rsid w:val="0062315C"/>
    <w:rsid w:val="00626E42"/>
    <w:rsid w:val="0063457A"/>
    <w:rsid w:val="00635CBE"/>
    <w:rsid w:val="00640439"/>
    <w:rsid w:val="0064178A"/>
    <w:rsid w:val="006418B5"/>
    <w:rsid w:val="0064273D"/>
    <w:rsid w:val="00646211"/>
    <w:rsid w:val="00646C03"/>
    <w:rsid w:val="00650F2E"/>
    <w:rsid w:val="006515DE"/>
    <w:rsid w:val="00652625"/>
    <w:rsid w:val="006555D2"/>
    <w:rsid w:val="00655B86"/>
    <w:rsid w:val="00657BC0"/>
    <w:rsid w:val="0066000B"/>
    <w:rsid w:val="00670399"/>
    <w:rsid w:val="006703F7"/>
    <w:rsid w:val="00670E00"/>
    <w:rsid w:val="00671843"/>
    <w:rsid w:val="00672D0B"/>
    <w:rsid w:val="0067313D"/>
    <w:rsid w:val="00673269"/>
    <w:rsid w:val="0067378E"/>
    <w:rsid w:val="006737B2"/>
    <w:rsid w:val="006742A5"/>
    <w:rsid w:val="00676A9B"/>
    <w:rsid w:val="00677D4D"/>
    <w:rsid w:val="006802F8"/>
    <w:rsid w:val="00684A66"/>
    <w:rsid w:val="00684D2E"/>
    <w:rsid w:val="006864C8"/>
    <w:rsid w:val="00690D4F"/>
    <w:rsid w:val="00691A29"/>
    <w:rsid w:val="006946A7"/>
    <w:rsid w:val="0069543C"/>
    <w:rsid w:val="00695912"/>
    <w:rsid w:val="00695AFE"/>
    <w:rsid w:val="00697380"/>
    <w:rsid w:val="006A0720"/>
    <w:rsid w:val="006A0EBA"/>
    <w:rsid w:val="006A250B"/>
    <w:rsid w:val="006A34B0"/>
    <w:rsid w:val="006A47B1"/>
    <w:rsid w:val="006A4A20"/>
    <w:rsid w:val="006A6DFB"/>
    <w:rsid w:val="006A7A8B"/>
    <w:rsid w:val="006B0C39"/>
    <w:rsid w:val="006B387C"/>
    <w:rsid w:val="006B6673"/>
    <w:rsid w:val="006B6ABD"/>
    <w:rsid w:val="006C04F9"/>
    <w:rsid w:val="006C0749"/>
    <w:rsid w:val="006C1523"/>
    <w:rsid w:val="006C2B15"/>
    <w:rsid w:val="006C3D08"/>
    <w:rsid w:val="006C6856"/>
    <w:rsid w:val="006C6CC1"/>
    <w:rsid w:val="006D01AD"/>
    <w:rsid w:val="006D138A"/>
    <w:rsid w:val="006D49D2"/>
    <w:rsid w:val="006D6988"/>
    <w:rsid w:val="006E0570"/>
    <w:rsid w:val="006E127F"/>
    <w:rsid w:val="006E1FC0"/>
    <w:rsid w:val="006E536C"/>
    <w:rsid w:val="006E5A1E"/>
    <w:rsid w:val="006F085C"/>
    <w:rsid w:val="006F32A6"/>
    <w:rsid w:val="006F3E01"/>
    <w:rsid w:val="006F4DAA"/>
    <w:rsid w:val="006F7D19"/>
    <w:rsid w:val="00701ADC"/>
    <w:rsid w:val="00702AF0"/>
    <w:rsid w:val="0070426D"/>
    <w:rsid w:val="0070488A"/>
    <w:rsid w:val="00704F34"/>
    <w:rsid w:val="0070571D"/>
    <w:rsid w:val="0071095C"/>
    <w:rsid w:val="007116C6"/>
    <w:rsid w:val="00712E94"/>
    <w:rsid w:val="00714CA6"/>
    <w:rsid w:val="007167A2"/>
    <w:rsid w:val="00722F30"/>
    <w:rsid w:val="007262E1"/>
    <w:rsid w:val="007274D8"/>
    <w:rsid w:val="00727CC2"/>
    <w:rsid w:val="00727CD1"/>
    <w:rsid w:val="00730D3A"/>
    <w:rsid w:val="007316CD"/>
    <w:rsid w:val="0073286E"/>
    <w:rsid w:val="007346BF"/>
    <w:rsid w:val="00734C3E"/>
    <w:rsid w:val="00735C46"/>
    <w:rsid w:val="00736209"/>
    <w:rsid w:val="00736231"/>
    <w:rsid w:val="00736E24"/>
    <w:rsid w:val="00737C82"/>
    <w:rsid w:val="0074363D"/>
    <w:rsid w:val="007447CA"/>
    <w:rsid w:val="007474CA"/>
    <w:rsid w:val="00751015"/>
    <w:rsid w:val="00751569"/>
    <w:rsid w:val="00751DA4"/>
    <w:rsid w:val="0075271B"/>
    <w:rsid w:val="00752B6A"/>
    <w:rsid w:val="00752F05"/>
    <w:rsid w:val="00753BDA"/>
    <w:rsid w:val="007553C1"/>
    <w:rsid w:val="00757954"/>
    <w:rsid w:val="00761D66"/>
    <w:rsid w:val="00764C0F"/>
    <w:rsid w:val="00767B03"/>
    <w:rsid w:val="0077192E"/>
    <w:rsid w:val="0077243D"/>
    <w:rsid w:val="00772975"/>
    <w:rsid w:val="007841AA"/>
    <w:rsid w:val="00787A6E"/>
    <w:rsid w:val="00787CAA"/>
    <w:rsid w:val="00791792"/>
    <w:rsid w:val="00794220"/>
    <w:rsid w:val="00794E29"/>
    <w:rsid w:val="007A4AF8"/>
    <w:rsid w:val="007B2AB2"/>
    <w:rsid w:val="007B3253"/>
    <w:rsid w:val="007B34D1"/>
    <w:rsid w:val="007B5BAF"/>
    <w:rsid w:val="007B5BD4"/>
    <w:rsid w:val="007B665A"/>
    <w:rsid w:val="007B6C96"/>
    <w:rsid w:val="007B7A2F"/>
    <w:rsid w:val="007B7D54"/>
    <w:rsid w:val="007C014E"/>
    <w:rsid w:val="007C3B5A"/>
    <w:rsid w:val="007C4348"/>
    <w:rsid w:val="007C7037"/>
    <w:rsid w:val="007D23BF"/>
    <w:rsid w:val="007D54A2"/>
    <w:rsid w:val="007E1E0B"/>
    <w:rsid w:val="007E2684"/>
    <w:rsid w:val="007E3CA9"/>
    <w:rsid w:val="007E3DD0"/>
    <w:rsid w:val="007E42F2"/>
    <w:rsid w:val="007F3F2A"/>
    <w:rsid w:val="007F4C45"/>
    <w:rsid w:val="007F5FD6"/>
    <w:rsid w:val="007F6480"/>
    <w:rsid w:val="008034B9"/>
    <w:rsid w:val="008039FD"/>
    <w:rsid w:val="00803DAA"/>
    <w:rsid w:val="00803FBE"/>
    <w:rsid w:val="00804D5E"/>
    <w:rsid w:val="00805B87"/>
    <w:rsid w:val="00805E2A"/>
    <w:rsid w:val="0080610B"/>
    <w:rsid w:val="00806928"/>
    <w:rsid w:val="00807DF9"/>
    <w:rsid w:val="00813FE2"/>
    <w:rsid w:val="008143FD"/>
    <w:rsid w:val="008146D8"/>
    <w:rsid w:val="00814E18"/>
    <w:rsid w:val="008157B6"/>
    <w:rsid w:val="00816C32"/>
    <w:rsid w:val="00822970"/>
    <w:rsid w:val="00824CF1"/>
    <w:rsid w:val="00825CD8"/>
    <w:rsid w:val="00826406"/>
    <w:rsid w:val="00827123"/>
    <w:rsid w:val="00827BC6"/>
    <w:rsid w:val="008313A0"/>
    <w:rsid w:val="00831B33"/>
    <w:rsid w:val="00832508"/>
    <w:rsid w:val="00833C3B"/>
    <w:rsid w:val="00834D3A"/>
    <w:rsid w:val="0084012B"/>
    <w:rsid w:val="00840CE7"/>
    <w:rsid w:val="00841F63"/>
    <w:rsid w:val="00843F5F"/>
    <w:rsid w:val="0084407E"/>
    <w:rsid w:val="00850D37"/>
    <w:rsid w:val="00851D04"/>
    <w:rsid w:val="0085360B"/>
    <w:rsid w:val="0085441F"/>
    <w:rsid w:val="0085510F"/>
    <w:rsid w:val="008551FD"/>
    <w:rsid w:val="008578C7"/>
    <w:rsid w:val="008607CC"/>
    <w:rsid w:val="00862E1A"/>
    <w:rsid w:val="008648E9"/>
    <w:rsid w:val="008667C5"/>
    <w:rsid w:val="00867D38"/>
    <w:rsid w:val="008716AE"/>
    <w:rsid w:val="00871D60"/>
    <w:rsid w:val="00873D73"/>
    <w:rsid w:val="0087541D"/>
    <w:rsid w:val="00875F70"/>
    <w:rsid w:val="00877615"/>
    <w:rsid w:val="00884324"/>
    <w:rsid w:val="00884494"/>
    <w:rsid w:val="00886D05"/>
    <w:rsid w:val="00890B31"/>
    <w:rsid w:val="00892169"/>
    <w:rsid w:val="008934A6"/>
    <w:rsid w:val="0089533D"/>
    <w:rsid w:val="00897426"/>
    <w:rsid w:val="008A11CB"/>
    <w:rsid w:val="008A2319"/>
    <w:rsid w:val="008A39F9"/>
    <w:rsid w:val="008A444A"/>
    <w:rsid w:val="008A4D19"/>
    <w:rsid w:val="008A735A"/>
    <w:rsid w:val="008A75BF"/>
    <w:rsid w:val="008A7D69"/>
    <w:rsid w:val="008B05BA"/>
    <w:rsid w:val="008B395C"/>
    <w:rsid w:val="008B5147"/>
    <w:rsid w:val="008B6A59"/>
    <w:rsid w:val="008C0098"/>
    <w:rsid w:val="008C1ACF"/>
    <w:rsid w:val="008C6E75"/>
    <w:rsid w:val="008D0C0C"/>
    <w:rsid w:val="008D10A4"/>
    <w:rsid w:val="008D18CD"/>
    <w:rsid w:val="008D2DFC"/>
    <w:rsid w:val="008D4941"/>
    <w:rsid w:val="008D5C5D"/>
    <w:rsid w:val="008D7B8B"/>
    <w:rsid w:val="008D7CAA"/>
    <w:rsid w:val="008E5D4B"/>
    <w:rsid w:val="008E6D49"/>
    <w:rsid w:val="008F0970"/>
    <w:rsid w:val="008F314A"/>
    <w:rsid w:val="008F5596"/>
    <w:rsid w:val="009006C0"/>
    <w:rsid w:val="009014CF"/>
    <w:rsid w:val="00902843"/>
    <w:rsid w:val="00904F46"/>
    <w:rsid w:val="009072E9"/>
    <w:rsid w:val="00907CF3"/>
    <w:rsid w:val="00907E4F"/>
    <w:rsid w:val="009101A9"/>
    <w:rsid w:val="00910C0F"/>
    <w:rsid w:val="00913FF7"/>
    <w:rsid w:val="009145E4"/>
    <w:rsid w:val="009179B7"/>
    <w:rsid w:val="009221C5"/>
    <w:rsid w:val="00923B8A"/>
    <w:rsid w:val="00924E82"/>
    <w:rsid w:val="00925505"/>
    <w:rsid w:val="009257D7"/>
    <w:rsid w:val="00925BA0"/>
    <w:rsid w:val="00933852"/>
    <w:rsid w:val="00934127"/>
    <w:rsid w:val="009359A5"/>
    <w:rsid w:val="0093606F"/>
    <w:rsid w:val="009369D1"/>
    <w:rsid w:val="009419E0"/>
    <w:rsid w:val="00946A9F"/>
    <w:rsid w:val="00947CBC"/>
    <w:rsid w:val="0095441F"/>
    <w:rsid w:val="00957352"/>
    <w:rsid w:val="009626EC"/>
    <w:rsid w:val="00962785"/>
    <w:rsid w:val="00962D09"/>
    <w:rsid w:val="009669B3"/>
    <w:rsid w:val="00966EDA"/>
    <w:rsid w:val="00967BDB"/>
    <w:rsid w:val="00967C64"/>
    <w:rsid w:val="009814D3"/>
    <w:rsid w:val="00982F9B"/>
    <w:rsid w:val="00986428"/>
    <w:rsid w:val="0098718D"/>
    <w:rsid w:val="00990627"/>
    <w:rsid w:val="00991DE1"/>
    <w:rsid w:val="0099206B"/>
    <w:rsid w:val="00992CC2"/>
    <w:rsid w:val="00995661"/>
    <w:rsid w:val="009A0B72"/>
    <w:rsid w:val="009A4197"/>
    <w:rsid w:val="009B0CD8"/>
    <w:rsid w:val="009B406A"/>
    <w:rsid w:val="009B450C"/>
    <w:rsid w:val="009B5394"/>
    <w:rsid w:val="009B6420"/>
    <w:rsid w:val="009C528A"/>
    <w:rsid w:val="009C5348"/>
    <w:rsid w:val="009C7EA2"/>
    <w:rsid w:val="009C7F6C"/>
    <w:rsid w:val="009D1B3C"/>
    <w:rsid w:val="009D386D"/>
    <w:rsid w:val="009D40F0"/>
    <w:rsid w:val="009D54EB"/>
    <w:rsid w:val="009D589F"/>
    <w:rsid w:val="009D6B89"/>
    <w:rsid w:val="009D6EE2"/>
    <w:rsid w:val="009E0A0C"/>
    <w:rsid w:val="009E0C79"/>
    <w:rsid w:val="009E1262"/>
    <w:rsid w:val="009E1CB3"/>
    <w:rsid w:val="009E1EDF"/>
    <w:rsid w:val="009E412F"/>
    <w:rsid w:val="009E7F62"/>
    <w:rsid w:val="009F18A1"/>
    <w:rsid w:val="009F499F"/>
    <w:rsid w:val="009F5A3A"/>
    <w:rsid w:val="00A010D5"/>
    <w:rsid w:val="00A011A4"/>
    <w:rsid w:val="00A02D5B"/>
    <w:rsid w:val="00A042E7"/>
    <w:rsid w:val="00A06CD1"/>
    <w:rsid w:val="00A1399D"/>
    <w:rsid w:val="00A139AA"/>
    <w:rsid w:val="00A147E7"/>
    <w:rsid w:val="00A148F3"/>
    <w:rsid w:val="00A15415"/>
    <w:rsid w:val="00A166CE"/>
    <w:rsid w:val="00A16ED0"/>
    <w:rsid w:val="00A201C6"/>
    <w:rsid w:val="00A20305"/>
    <w:rsid w:val="00A20C30"/>
    <w:rsid w:val="00A23481"/>
    <w:rsid w:val="00A264CB"/>
    <w:rsid w:val="00A277BE"/>
    <w:rsid w:val="00A30E4D"/>
    <w:rsid w:val="00A419EC"/>
    <w:rsid w:val="00A42CAD"/>
    <w:rsid w:val="00A43CAF"/>
    <w:rsid w:val="00A4770A"/>
    <w:rsid w:val="00A52160"/>
    <w:rsid w:val="00A5289C"/>
    <w:rsid w:val="00A60EA1"/>
    <w:rsid w:val="00A63E3D"/>
    <w:rsid w:val="00A67283"/>
    <w:rsid w:val="00A67AB4"/>
    <w:rsid w:val="00A73136"/>
    <w:rsid w:val="00A7401C"/>
    <w:rsid w:val="00A757CD"/>
    <w:rsid w:val="00A762E0"/>
    <w:rsid w:val="00A8239C"/>
    <w:rsid w:val="00A830D1"/>
    <w:rsid w:val="00A838ED"/>
    <w:rsid w:val="00A84184"/>
    <w:rsid w:val="00A84BCA"/>
    <w:rsid w:val="00A84D54"/>
    <w:rsid w:val="00A87106"/>
    <w:rsid w:val="00A87906"/>
    <w:rsid w:val="00A914C2"/>
    <w:rsid w:val="00A93E13"/>
    <w:rsid w:val="00A95990"/>
    <w:rsid w:val="00A95ADB"/>
    <w:rsid w:val="00A97055"/>
    <w:rsid w:val="00AA0427"/>
    <w:rsid w:val="00AA0EFC"/>
    <w:rsid w:val="00AA19DD"/>
    <w:rsid w:val="00AA29C3"/>
    <w:rsid w:val="00AA398F"/>
    <w:rsid w:val="00AA4EA2"/>
    <w:rsid w:val="00AB0E17"/>
    <w:rsid w:val="00AB1A9E"/>
    <w:rsid w:val="00AB2F3C"/>
    <w:rsid w:val="00AB3AC2"/>
    <w:rsid w:val="00AB47F3"/>
    <w:rsid w:val="00AB69E8"/>
    <w:rsid w:val="00AB73FE"/>
    <w:rsid w:val="00AC2AA4"/>
    <w:rsid w:val="00AC2EA1"/>
    <w:rsid w:val="00AD0DA8"/>
    <w:rsid w:val="00AD3F9C"/>
    <w:rsid w:val="00AD757F"/>
    <w:rsid w:val="00AD7A15"/>
    <w:rsid w:val="00AE3830"/>
    <w:rsid w:val="00AE5433"/>
    <w:rsid w:val="00AE5780"/>
    <w:rsid w:val="00AE5FFB"/>
    <w:rsid w:val="00AE6D71"/>
    <w:rsid w:val="00AF201C"/>
    <w:rsid w:val="00AF2A45"/>
    <w:rsid w:val="00AF2BB3"/>
    <w:rsid w:val="00AF6678"/>
    <w:rsid w:val="00AF74BF"/>
    <w:rsid w:val="00AF7761"/>
    <w:rsid w:val="00AF78E6"/>
    <w:rsid w:val="00B045CC"/>
    <w:rsid w:val="00B10EAE"/>
    <w:rsid w:val="00B143F7"/>
    <w:rsid w:val="00B15E18"/>
    <w:rsid w:val="00B2040A"/>
    <w:rsid w:val="00B21FE1"/>
    <w:rsid w:val="00B227F8"/>
    <w:rsid w:val="00B23740"/>
    <w:rsid w:val="00B2429A"/>
    <w:rsid w:val="00B260D0"/>
    <w:rsid w:val="00B27027"/>
    <w:rsid w:val="00B305CB"/>
    <w:rsid w:val="00B314A9"/>
    <w:rsid w:val="00B3559E"/>
    <w:rsid w:val="00B37730"/>
    <w:rsid w:val="00B4107A"/>
    <w:rsid w:val="00B43AB7"/>
    <w:rsid w:val="00B43CFB"/>
    <w:rsid w:val="00B47780"/>
    <w:rsid w:val="00B55F39"/>
    <w:rsid w:val="00B60912"/>
    <w:rsid w:val="00B60E90"/>
    <w:rsid w:val="00B621E1"/>
    <w:rsid w:val="00B63509"/>
    <w:rsid w:val="00B66A98"/>
    <w:rsid w:val="00B70050"/>
    <w:rsid w:val="00B71853"/>
    <w:rsid w:val="00B74227"/>
    <w:rsid w:val="00B75046"/>
    <w:rsid w:val="00B8099E"/>
    <w:rsid w:val="00B8377B"/>
    <w:rsid w:val="00B85106"/>
    <w:rsid w:val="00B85B03"/>
    <w:rsid w:val="00B87C8E"/>
    <w:rsid w:val="00B90F5E"/>
    <w:rsid w:val="00B921E3"/>
    <w:rsid w:val="00B94199"/>
    <w:rsid w:val="00B96DF3"/>
    <w:rsid w:val="00B97409"/>
    <w:rsid w:val="00BA0E4E"/>
    <w:rsid w:val="00BA18DB"/>
    <w:rsid w:val="00BA3376"/>
    <w:rsid w:val="00BA4754"/>
    <w:rsid w:val="00BA48EF"/>
    <w:rsid w:val="00BA574D"/>
    <w:rsid w:val="00BB1178"/>
    <w:rsid w:val="00BB24D2"/>
    <w:rsid w:val="00BB6BC3"/>
    <w:rsid w:val="00BB7789"/>
    <w:rsid w:val="00BB7CB2"/>
    <w:rsid w:val="00BC03FF"/>
    <w:rsid w:val="00BC2D95"/>
    <w:rsid w:val="00BC2E82"/>
    <w:rsid w:val="00BC3117"/>
    <w:rsid w:val="00BC42AC"/>
    <w:rsid w:val="00BC4B5E"/>
    <w:rsid w:val="00BC57E6"/>
    <w:rsid w:val="00BC5C6A"/>
    <w:rsid w:val="00BC74BE"/>
    <w:rsid w:val="00BD0BD6"/>
    <w:rsid w:val="00BD215A"/>
    <w:rsid w:val="00BD25F2"/>
    <w:rsid w:val="00BD2D75"/>
    <w:rsid w:val="00BE15D3"/>
    <w:rsid w:val="00BE4CF5"/>
    <w:rsid w:val="00BF034B"/>
    <w:rsid w:val="00BF2552"/>
    <w:rsid w:val="00BF25E5"/>
    <w:rsid w:val="00BF63AD"/>
    <w:rsid w:val="00BF6809"/>
    <w:rsid w:val="00BF6A93"/>
    <w:rsid w:val="00C025C8"/>
    <w:rsid w:val="00C059F3"/>
    <w:rsid w:val="00C110C1"/>
    <w:rsid w:val="00C1311D"/>
    <w:rsid w:val="00C13992"/>
    <w:rsid w:val="00C13D48"/>
    <w:rsid w:val="00C13DF5"/>
    <w:rsid w:val="00C15EC3"/>
    <w:rsid w:val="00C216D2"/>
    <w:rsid w:val="00C22EED"/>
    <w:rsid w:val="00C23220"/>
    <w:rsid w:val="00C23790"/>
    <w:rsid w:val="00C26DB7"/>
    <w:rsid w:val="00C27F01"/>
    <w:rsid w:val="00C30D70"/>
    <w:rsid w:val="00C32521"/>
    <w:rsid w:val="00C34784"/>
    <w:rsid w:val="00C34F3D"/>
    <w:rsid w:val="00C35915"/>
    <w:rsid w:val="00C40C5E"/>
    <w:rsid w:val="00C41D18"/>
    <w:rsid w:val="00C43630"/>
    <w:rsid w:val="00C50B04"/>
    <w:rsid w:val="00C50B6F"/>
    <w:rsid w:val="00C51BF9"/>
    <w:rsid w:val="00C53A90"/>
    <w:rsid w:val="00C54BBF"/>
    <w:rsid w:val="00C5636A"/>
    <w:rsid w:val="00C57A46"/>
    <w:rsid w:val="00C62097"/>
    <w:rsid w:val="00C64A6E"/>
    <w:rsid w:val="00C64B5A"/>
    <w:rsid w:val="00C67323"/>
    <w:rsid w:val="00C708F9"/>
    <w:rsid w:val="00C71597"/>
    <w:rsid w:val="00C715DB"/>
    <w:rsid w:val="00C718C0"/>
    <w:rsid w:val="00C737E8"/>
    <w:rsid w:val="00C81595"/>
    <w:rsid w:val="00C8412B"/>
    <w:rsid w:val="00C85F0A"/>
    <w:rsid w:val="00C87FD3"/>
    <w:rsid w:val="00C935A4"/>
    <w:rsid w:val="00C93702"/>
    <w:rsid w:val="00C94888"/>
    <w:rsid w:val="00C95031"/>
    <w:rsid w:val="00C97D55"/>
    <w:rsid w:val="00CA0EF7"/>
    <w:rsid w:val="00CA22E6"/>
    <w:rsid w:val="00CA3C4D"/>
    <w:rsid w:val="00CA3DBE"/>
    <w:rsid w:val="00CA71FA"/>
    <w:rsid w:val="00CA72C8"/>
    <w:rsid w:val="00CB0776"/>
    <w:rsid w:val="00CB0BFB"/>
    <w:rsid w:val="00CB1878"/>
    <w:rsid w:val="00CB63CF"/>
    <w:rsid w:val="00CB6916"/>
    <w:rsid w:val="00CB6EBA"/>
    <w:rsid w:val="00CB6F4B"/>
    <w:rsid w:val="00CC2768"/>
    <w:rsid w:val="00CC397B"/>
    <w:rsid w:val="00CC6E98"/>
    <w:rsid w:val="00CC74F3"/>
    <w:rsid w:val="00CD07E6"/>
    <w:rsid w:val="00CD08CC"/>
    <w:rsid w:val="00CD0EDD"/>
    <w:rsid w:val="00CD462A"/>
    <w:rsid w:val="00CD6FF0"/>
    <w:rsid w:val="00CE0B36"/>
    <w:rsid w:val="00CE13F1"/>
    <w:rsid w:val="00CE163F"/>
    <w:rsid w:val="00CE2E13"/>
    <w:rsid w:val="00CE7175"/>
    <w:rsid w:val="00CE726D"/>
    <w:rsid w:val="00CF1F4E"/>
    <w:rsid w:val="00CF4728"/>
    <w:rsid w:val="00CF55B5"/>
    <w:rsid w:val="00D00E95"/>
    <w:rsid w:val="00D01495"/>
    <w:rsid w:val="00D02196"/>
    <w:rsid w:val="00D06BC3"/>
    <w:rsid w:val="00D10466"/>
    <w:rsid w:val="00D11F3A"/>
    <w:rsid w:val="00D12B99"/>
    <w:rsid w:val="00D133E3"/>
    <w:rsid w:val="00D1544F"/>
    <w:rsid w:val="00D15721"/>
    <w:rsid w:val="00D2019F"/>
    <w:rsid w:val="00D203FC"/>
    <w:rsid w:val="00D20798"/>
    <w:rsid w:val="00D2099F"/>
    <w:rsid w:val="00D20E37"/>
    <w:rsid w:val="00D21EEB"/>
    <w:rsid w:val="00D220BF"/>
    <w:rsid w:val="00D234AE"/>
    <w:rsid w:val="00D2521F"/>
    <w:rsid w:val="00D25372"/>
    <w:rsid w:val="00D303DE"/>
    <w:rsid w:val="00D3185F"/>
    <w:rsid w:val="00D32C1B"/>
    <w:rsid w:val="00D332B2"/>
    <w:rsid w:val="00D35508"/>
    <w:rsid w:val="00D35A0F"/>
    <w:rsid w:val="00D35D95"/>
    <w:rsid w:val="00D42BAE"/>
    <w:rsid w:val="00D4660E"/>
    <w:rsid w:val="00D46BCD"/>
    <w:rsid w:val="00D47399"/>
    <w:rsid w:val="00D47BCE"/>
    <w:rsid w:val="00D523CC"/>
    <w:rsid w:val="00D52A9D"/>
    <w:rsid w:val="00D531D8"/>
    <w:rsid w:val="00D5464D"/>
    <w:rsid w:val="00D54D06"/>
    <w:rsid w:val="00D5539E"/>
    <w:rsid w:val="00D56313"/>
    <w:rsid w:val="00D63125"/>
    <w:rsid w:val="00D63D30"/>
    <w:rsid w:val="00D642A6"/>
    <w:rsid w:val="00D644C1"/>
    <w:rsid w:val="00D65A0E"/>
    <w:rsid w:val="00D6686D"/>
    <w:rsid w:val="00D705CE"/>
    <w:rsid w:val="00D721FC"/>
    <w:rsid w:val="00D7254C"/>
    <w:rsid w:val="00D7321A"/>
    <w:rsid w:val="00D74D0E"/>
    <w:rsid w:val="00D824BF"/>
    <w:rsid w:val="00D83687"/>
    <w:rsid w:val="00D83E83"/>
    <w:rsid w:val="00D84CB1"/>
    <w:rsid w:val="00D84DC3"/>
    <w:rsid w:val="00D908D5"/>
    <w:rsid w:val="00D91BC6"/>
    <w:rsid w:val="00D92C84"/>
    <w:rsid w:val="00D92CD6"/>
    <w:rsid w:val="00D9387D"/>
    <w:rsid w:val="00D959E7"/>
    <w:rsid w:val="00DA07A8"/>
    <w:rsid w:val="00DA14DE"/>
    <w:rsid w:val="00DA4D71"/>
    <w:rsid w:val="00DA4DA3"/>
    <w:rsid w:val="00DA5BF8"/>
    <w:rsid w:val="00DB1A37"/>
    <w:rsid w:val="00DB39D3"/>
    <w:rsid w:val="00DB4F96"/>
    <w:rsid w:val="00DB4FB2"/>
    <w:rsid w:val="00DB5271"/>
    <w:rsid w:val="00DB55D0"/>
    <w:rsid w:val="00DB6838"/>
    <w:rsid w:val="00DB7580"/>
    <w:rsid w:val="00DC04AD"/>
    <w:rsid w:val="00DC199C"/>
    <w:rsid w:val="00DC1AF6"/>
    <w:rsid w:val="00DC285D"/>
    <w:rsid w:val="00DC35DD"/>
    <w:rsid w:val="00DC53F5"/>
    <w:rsid w:val="00DC7F9B"/>
    <w:rsid w:val="00DD2A6D"/>
    <w:rsid w:val="00DD3D39"/>
    <w:rsid w:val="00DD4122"/>
    <w:rsid w:val="00DD487F"/>
    <w:rsid w:val="00DD5C68"/>
    <w:rsid w:val="00DD7276"/>
    <w:rsid w:val="00DD7E08"/>
    <w:rsid w:val="00DE066E"/>
    <w:rsid w:val="00DE5A4C"/>
    <w:rsid w:val="00DE6787"/>
    <w:rsid w:val="00DF0A41"/>
    <w:rsid w:val="00DF3682"/>
    <w:rsid w:val="00DF3FFE"/>
    <w:rsid w:val="00DF4867"/>
    <w:rsid w:val="00E04562"/>
    <w:rsid w:val="00E05084"/>
    <w:rsid w:val="00E05E4E"/>
    <w:rsid w:val="00E10804"/>
    <w:rsid w:val="00E10B7C"/>
    <w:rsid w:val="00E10ED9"/>
    <w:rsid w:val="00E1367A"/>
    <w:rsid w:val="00E13B28"/>
    <w:rsid w:val="00E1411B"/>
    <w:rsid w:val="00E164F9"/>
    <w:rsid w:val="00E16C73"/>
    <w:rsid w:val="00E242EE"/>
    <w:rsid w:val="00E2464D"/>
    <w:rsid w:val="00E24701"/>
    <w:rsid w:val="00E3195D"/>
    <w:rsid w:val="00E31E16"/>
    <w:rsid w:val="00E328F1"/>
    <w:rsid w:val="00E32AF3"/>
    <w:rsid w:val="00E33053"/>
    <w:rsid w:val="00E33DF5"/>
    <w:rsid w:val="00E3477F"/>
    <w:rsid w:val="00E36AB5"/>
    <w:rsid w:val="00E403C9"/>
    <w:rsid w:val="00E42636"/>
    <w:rsid w:val="00E42E4E"/>
    <w:rsid w:val="00E467D4"/>
    <w:rsid w:val="00E50671"/>
    <w:rsid w:val="00E50946"/>
    <w:rsid w:val="00E521E6"/>
    <w:rsid w:val="00E53C3C"/>
    <w:rsid w:val="00E56B4B"/>
    <w:rsid w:val="00E60F69"/>
    <w:rsid w:val="00E61B8C"/>
    <w:rsid w:val="00E61E23"/>
    <w:rsid w:val="00E673CF"/>
    <w:rsid w:val="00E7063F"/>
    <w:rsid w:val="00E7131B"/>
    <w:rsid w:val="00E7278F"/>
    <w:rsid w:val="00E731E6"/>
    <w:rsid w:val="00E85CB5"/>
    <w:rsid w:val="00E87171"/>
    <w:rsid w:val="00E87A3A"/>
    <w:rsid w:val="00E91654"/>
    <w:rsid w:val="00E934E8"/>
    <w:rsid w:val="00E9399F"/>
    <w:rsid w:val="00E957DF"/>
    <w:rsid w:val="00E979DD"/>
    <w:rsid w:val="00EA02D6"/>
    <w:rsid w:val="00EA0F41"/>
    <w:rsid w:val="00EA4BAB"/>
    <w:rsid w:val="00EA6752"/>
    <w:rsid w:val="00EA73A2"/>
    <w:rsid w:val="00EB247F"/>
    <w:rsid w:val="00EB60AB"/>
    <w:rsid w:val="00EB6765"/>
    <w:rsid w:val="00EC1D98"/>
    <w:rsid w:val="00EC20FF"/>
    <w:rsid w:val="00EC344B"/>
    <w:rsid w:val="00EC4B09"/>
    <w:rsid w:val="00ED098B"/>
    <w:rsid w:val="00ED1606"/>
    <w:rsid w:val="00ED3DDF"/>
    <w:rsid w:val="00ED3F4E"/>
    <w:rsid w:val="00ED443E"/>
    <w:rsid w:val="00EE0125"/>
    <w:rsid w:val="00EE02C8"/>
    <w:rsid w:val="00EE4E4B"/>
    <w:rsid w:val="00EE718D"/>
    <w:rsid w:val="00EE760B"/>
    <w:rsid w:val="00EF0B10"/>
    <w:rsid w:val="00EF1194"/>
    <w:rsid w:val="00EF270C"/>
    <w:rsid w:val="00EF5DF8"/>
    <w:rsid w:val="00F00B6C"/>
    <w:rsid w:val="00F03F5C"/>
    <w:rsid w:val="00F057FB"/>
    <w:rsid w:val="00F06803"/>
    <w:rsid w:val="00F13540"/>
    <w:rsid w:val="00F1583B"/>
    <w:rsid w:val="00F16135"/>
    <w:rsid w:val="00F163D0"/>
    <w:rsid w:val="00F212F5"/>
    <w:rsid w:val="00F223B9"/>
    <w:rsid w:val="00F248F0"/>
    <w:rsid w:val="00F24DA9"/>
    <w:rsid w:val="00F26D5A"/>
    <w:rsid w:val="00F27146"/>
    <w:rsid w:val="00F332B6"/>
    <w:rsid w:val="00F33CB2"/>
    <w:rsid w:val="00F34A98"/>
    <w:rsid w:val="00F34B55"/>
    <w:rsid w:val="00F35F47"/>
    <w:rsid w:val="00F37C12"/>
    <w:rsid w:val="00F40174"/>
    <w:rsid w:val="00F418EE"/>
    <w:rsid w:val="00F4202E"/>
    <w:rsid w:val="00F42928"/>
    <w:rsid w:val="00F4760E"/>
    <w:rsid w:val="00F47717"/>
    <w:rsid w:val="00F56F6C"/>
    <w:rsid w:val="00F709AB"/>
    <w:rsid w:val="00F726ED"/>
    <w:rsid w:val="00F72FBF"/>
    <w:rsid w:val="00F7590B"/>
    <w:rsid w:val="00F80840"/>
    <w:rsid w:val="00F84B80"/>
    <w:rsid w:val="00F85EC8"/>
    <w:rsid w:val="00F92934"/>
    <w:rsid w:val="00FA3F0E"/>
    <w:rsid w:val="00FA70EB"/>
    <w:rsid w:val="00FA7880"/>
    <w:rsid w:val="00FB14F2"/>
    <w:rsid w:val="00FB2EFD"/>
    <w:rsid w:val="00FB7790"/>
    <w:rsid w:val="00FC158A"/>
    <w:rsid w:val="00FC1650"/>
    <w:rsid w:val="00FC3622"/>
    <w:rsid w:val="00FC3D81"/>
    <w:rsid w:val="00FC5C99"/>
    <w:rsid w:val="00FC71A9"/>
    <w:rsid w:val="00FC7F73"/>
    <w:rsid w:val="00FD1407"/>
    <w:rsid w:val="00FD1879"/>
    <w:rsid w:val="00FD5540"/>
    <w:rsid w:val="00FD56B8"/>
    <w:rsid w:val="00FD7F8D"/>
    <w:rsid w:val="00FE0644"/>
    <w:rsid w:val="00FE7081"/>
    <w:rsid w:val="00FF09FD"/>
    <w:rsid w:val="00FF1E61"/>
    <w:rsid w:val="00FF61B9"/>
    <w:rsid w:val="00FF6B10"/>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EFDE8F"/>
  <w15:docId w15:val="{FD2801F7-81C2-40BA-A789-4A608CBC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160" w:hanging="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rFonts w:ascii="Arial" w:hAnsi="Arial"/>
      <w:sz w:val="20"/>
      <w:szCs w:val="20"/>
    </w:rPr>
  </w:style>
  <w:style w:type="character" w:customStyle="1" w:styleId="CommentTextChar">
    <w:name w:val="Comment Text Char"/>
    <w:link w:val="CommentText"/>
    <w:uiPriority w:val="99"/>
    <w:locked/>
    <w:rPr>
      <w:rFonts w:ascii="Arial" w:hAnsi="Arial" w:cs="Times New Roman"/>
      <w:lang w:val="en-US" w:eastAsia="en-US"/>
    </w:rPr>
  </w:style>
  <w:style w:type="paragraph" w:styleId="Footer">
    <w:name w:val="footer"/>
    <w:basedOn w:val="Normal"/>
    <w:link w:val="FooterChar"/>
    <w:uiPriority w:val="99"/>
    <w:pPr>
      <w:tabs>
        <w:tab w:val="center" w:pos="4419"/>
        <w:tab w:val="right" w:pos="8838"/>
      </w:tabs>
    </w:pPr>
    <w:rPr>
      <w:rFonts w:ascii="Arial" w:hAnsi="Arial"/>
    </w:rPr>
  </w:style>
  <w:style w:type="character" w:customStyle="1" w:styleId="FooterChar">
    <w:name w:val="Footer Char"/>
    <w:link w:val="Footer"/>
    <w:uiPriority w:val="99"/>
    <w:locked/>
    <w:rPr>
      <w:rFonts w:ascii="Arial" w:hAnsi="Arial" w:cs="Times New Roman"/>
      <w:sz w:val="24"/>
      <w:lang w:val="en-US" w:eastAsia="en-US"/>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MS Shell Dlg" w:hAnsi="MS Shell Dlg" w:cs="MS Shell Dlg"/>
      <w:sz w:val="16"/>
      <w:szCs w:val="16"/>
    </w:rPr>
  </w:style>
  <w:style w:type="character" w:customStyle="1" w:styleId="BalloonTextChar">
    <w:name w:val="Balloon Text Char"/>
    <w:link w:val="BalloonText"/>
    <w:uiPriority w:val="99"/>
    <w:semiHidden/>
    <w:locked/>
    <w:rPr>
      <w:rFonts w:cs="Times New Roman"/>
      <w:sz w:val="2"/>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Arial" w:hAnsi="Arial" w:cs="Times New Roman"/>
      <w:b/>
      <w:bCs/>
      <w:lang w:val="en-US" w:eastAsia="en-US"/>
    </w:r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styleId="Revision">
    <w:name w:val="Revision"/>
    <w:hidden/>
    <w:uiPriority w:val="99"/>
    <w:semiHidden/>
    <w:pPr>
      <w:ind w:left="2160" w:hanging="720"/>
    </w:pPr>
    <w:rPr>
      <w:rFonts w:ascii="Arial" w:hAnsi="Arial"/>
      <w:sz w:val="24"/>
      <w:szCs w:val="24"/>
    </w:rPr>
  </w:style>
  <w:style w:type="paragraph" w:customStyle="1" w:styleId="Body1">
    <w:name w:val="Body 1"/>
    <w:uiPriority w:val="99"/>
    <w:pPr>
      <w:ind w:left="2160" w:hanging="720"/>
      <w:outlineLvl w:val="0"/>
    </w:pPr>
    <w:rPr>
      <w:rFonts w:ascii="Arial" w:eastAsia="Arial Unicode MS" w:hAnsi="Arial"/>
      <w:color w:val="000000"/>
      <w:sz w:val="24"/>
      <w:u w:color="000000"/>
    </w:rPr>
  </w:style>
  <w:style w:type="paragraph" w:styleId="ListParagraph">
    <w:name w:val="List Paragraph"/>
    <w:basedOn w:val="Normal"/>
    <w:uiPriority w:val="34"/>
    <w:qFormat/>
    <w:pPr>
      <w:spacing w:after="200" w:line="276" w:lineRule="auto"/>
      <w:ind w:left="720" w:firstLine="0"/>
      <w:contextualSpacing/>
    </w:pPr>
    <w:rPr>
      <w:rFonts w:ascii="Calibri" w:eastAsia="Calibri" w:hAnsi="Calibri"/>
      <w:sz w:val="22"/>
      <w:szCs w:val="22"/>
    </w:rPr>
  </w:style>
  <w:style w:type="character" w:styleId="FollowedHyperlink">
    <w:name w:val="FollowedHyperlink"/>
    <w:uiPriority w:val="99"/>
    <w:semiHidden/>
    <w:unhideWhenUsed/>
    <w:rPr>
      <w:color w:val="800080"/>
      <w:u w:val="single"/>
    </w:rPr>
  </w:style>
  <w:style w:type="paragraph" w:customStyle="1" w:styleId="Default">
    <w:name w:val="Default"/>
    <w:rsid w:val="004552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4891">
      <w:bodyDiv w:val="1"/>
      <w:marLeft w:val="0"/>
      <w:marRight w:val="0"/>
      <w:marTop w:val="0"/>
      <w:marBottom w:val="0"/>
      <w:divBdr>
        <w:top w:val="none" w:sz="0" w:space="0" w:color="auto"/>
        <w:left w:val="none" w:sz="0" w:space="0" w:color="auto"/>
        <w:bottom w:val="none" w:sz="0" w:space="0" w:color="auto"/>
        <w:right w:val="none" w:sz="0" w:space="0" w:color="auto"/>
      </w:divBdr>
    </w:div>
    <w:div w:id="339049286">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1226379762">
      <w:bodyDiv w:val="1"/>
      <w:marLeft w:val="30"/>
      <w:marRight w:val="30"/>
      <w:marTop w:val="0"/>
      <w:marBottom w:val="0"/>
      <w:divBdr>
        <w:top w:val="none" w:sz="0" w:space="0" w:color="auto"/>
        <w:left w:val="none" w:sz="0" w:space="0" w:color="auto"/>
        <w:bottom w:val="none" w:sz="0" w:space="0" w:color="auto"/>
        <w:right w:val="none" w:sz="0" w:space="0" w:color="auto"/>
      </w:divBdr>
      <w:divsChild>
        <w:div w:id="350962349">
          <w:marLeft w:val="0"/>
          <w:marRight w:val="0"/>
          <w:marTop w:val="0"/>
          <w:marBottom w:val="0"/>
          <w:divBdr>
            <w:top w:val="none" w:sz="0" w:space="0" w:color="auto"/>
            <w:left w:val="none" w:sz="0" w:space="0" w:color="auto"/>
            <w:bottom w:val="none" w:sz="0" w:space="0" w:color="auto"/>
            <w:right w:val="none" w:sz="0" w:space="0" w:color="auto"/>
          </w:divBdr>
          <w:divsChild>
            <w:div w:id="1518228146">
              <w:marLeft w:val="0"/>
              <w:marRight w:val="0"/>
              <w:marTop w:val="0"/>
              <w:marBottom w:val="0"/>
              <w:divBdr>
                <w:top w:val="none" w:sz="0" w:space="0" w:color="auto"/>
                <w:left w:val="none" w:sz="0" w:space="0" w:color="auto"/>
                <w:bottom w:val="none" w:sz="0" w:space="0" w:color="auto"/>
                <w:right w:val="none" w:sz="0" w:space="0" w:color="auto"/>
              </w:divBdr>
              <w:divsChild>
                <w:div w:id="1244296830">
                  <w:marLeft w:val="180"/>
                  <w:marRight w:val="0"/>
                  <w:marTop w:val="0"/>
                  <w:marBottom w:val="0"/>
                  <w:divBdr>
                    <w:top w:val="none" w:sz="0" w:space="0" w:color="auto"/>
                    <w:left w:val="none" w:sz="0" w:space="0" w:color="auto"/>
                    <w:bottom w:val="none" w:sz="0" w:space="0" w:color="auto"/>
                    <w:right w:val="none" w:sz="0" w:space="0" w:color="auto"/>
                  </w:divBdr>
                  <w:divsChild>
                    <w:div w:id="12925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4829">
          <w:marLeft w:val="0"/>
          <w:marRight w:val="0"/>
          <w:marTop w:val="0"/>
          <w:marBottom w:val="0"/>
          <w:divBdr>
            <w:top w:val="none" w:sz="0" w:space="0" w:color="auto"/>
            <w:left w:val="none" w:sz="0" w:space="0" w:color="auto"/>
            <w:bottom w:val="none" w:sz="0" w:space="0" w:color="auto"/>
            <w:right w:val="none" w:sz="0" w:space="0" w:color="auto"/>
          </w:divBdr>
          <w:divsChild>
            <w:div w:id="143394941">
              <w:marLeft w:val="0"/>
              <w:marRight w:val="0"/>
              <w:marTop w:val="0"/>
              <w:marBottom w:val="0"/>
              <w:divBdr>
                <w:top w:val="none" w:sz="0" w:space="0" w:color="auto"/>
                <w:left w:val="none" w:sz="0" w:space="0" w:color="auto"/>
                <w:bottom w:val="none" w:sz="0" w:space="0" w:color="auto"/>
                <w:right w:val="none" w:sz="0" w:space="0" w:color="auto"/>
              </w:divBdr>
              <w:divsChild>
                <w:div w:id="1400665143">
                  <w:marLeft w:val="180"/>
                  <w:marRight w:val="0"/>
                  <w:marTop w:val="0"/>
                  <w:marBottom w:val="0"/>
                  <w:divBdr>
                    <w:top w:val="none" w:sz="0" w:space="0" w:color="auto"/>
                    <w:left w:val="none" w:sz="0" w:space="0" w:color="auto"/>
                    <w:bottom w:val="none" w:sz="0" w:space="0" w:color="auto"/>
                    <w:right w:val="none" w:sz="0" w:space="0" w:color="auto"/>
                  </w:divBdr>
                  <w:divsChild>
                    <w:div w:id="309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7652">
          <w:marLeft w:val="0"/>
          <w:marRight w:val="0"/>
          <w:marTop w:val="0"/>
          <w:marBottom w:val="0"/>
          <w:divBdr>
            <w:top w:val="none" w:sz="0" w:space="0" w:color="auto"/>
            <w:left w:val="none" w:sz="0" w:space="0" w:color="auto"/>
            <w:bottom w:val="none" w:sz="0" w:space="0" w:color="auto"/>
            <w:right w:val="none" w:sz="0" w:space="0" w:color="auto"/>
          </w:divBdr>
          <w:divsChild>
            <w:div w:id="960459198">
              <w:marLeft w:val="0"/>
              <w:marRight w:val="0"/>
              <w:marTop w:val="0"/>
              <w:marBottom w:val="0"/>
              <w:divBdr>
                <w:top w:val="none" w:sz="0" w:space="0" w:color="auto"/>
                <w:left w:val="none" w:sz="0" w:space="0" w:color="auto"/>
                <w:bottom w:val="none" w:sz="0" w:space="0" w:color="auto"/>
                <w:right w:val="none" w:sz="0" w:space="0" w:color="auto"/>
              </w:divBdr>
              <w:divsChild>
                <w:div w:id="295839441">
                  <w:marLeft w:val="180"/>
                  <w:marRight w:val="0"/>
                  <w:marTop w:val="0"/>
                  <w:marBottom w:val="0"/>
                  <w:divBdr>
                    <w:top w:val="none" w:sz="0" w:space="0" w:color="auto"/>
                    <w:left w:val="none" w:sz="0" w:space="0" w:color="auto"/>
                    <w:bottom w:val="none" w:sz="0" w:space="0" w:color="auto"/>
                    <w:right w:val="none" w:sz="0" w:space="0" w:color="auto"/>
                  </w:divBdr>
                  <w:divsChild>
                    <w:div w:id="1919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4227">
      <w:bodyDiv w:val="1"/>
      <w:marLeft w:val="0"/>
      <w:marRight w:val="0"/>
      <w:marTop w:val="0"/>
      <w:marBottom w:val="0"/>
      <w:divBdr>
        <w:top w:val="none" w:sz="0" w:space="0" w:color="auto"/>
        <w:left w:val="none" w:sz="0" w:space="0" w:color="auto"/>
        <w:bottom w:val="none" w:sz="0" w:space="0" w:color="auto"/>
        <w:right w:val="none" w:sz="0" w:space="0" w:color="auto"/>
      </w:divBdr>
    </w:div>
    <w:div w:id="21014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FA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cd.org/tax/transparency/EOI%20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889F-A979-4B9A-8394-1995C84E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4464</Words>
  <Characters>26350</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30753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qvxpb</dc:creator>
  <cp:lastModifiedBy>Tatjana Jerosimic</cp:lastModifiedBy>
  <cp:revision>2</cp:revision>
  <cp:lastPrinted>2020-03-02T13:18:00Z</cp:lastPrinted>
  <dcterms:created xsi:type="dcterms:W3CDTF">2020-03-02T13:45:00Z</dcterms:created>
  <dcterms:modified xsi:type="dcterms:W3CDTF">2020-03-02T13:45:00Z</dcterms:modified>
</cp:coreProperties>
</file>