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DA" w:rsidRPr="001A4D2F" w:rsidRDefault="00DF098D" w:rsidP="00C11F8E">
      <w:pPr>
        <w:pStyle w:val="Heading1"/>
        <w:spacing w:before="0"/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  <w:bookmarkStart w:id="0" w:name="_Toc32409904"/>
      <w:r>
        <w:rPr>
          <w:rFonts w:ascii="Times New Roman" w:hAnsi="Times New Roman" w:cs="Times New Roman"/>
          <w:color w:val="auto"/>
          <w:sz w:val="22"/>
          <w:szCs w:val="22"/>
          <w:lang w:val="sr-Cyrl-CS"/>
        </w:rPr>
        <w:t>Akcioni</w:t>
      </w:r>
      <w:r w:rsidR="00A278FF" w:rsidRPr="001A4D2F">
        <w:rPr>
          <w:rFonts w:ascii="Times New Roman" w:hAnsi="Times New Roman" w:cs="Times New Roman"/>
          <w:color w:val="auto"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  <w:lang w:val="sr-Cyrl-CS"/>
        </w:rPr>
        <w:t>plan</w:t>
      </w:r>
      <w:bookmarkEnd w:id="0"/>
    </w:p>
    <w:p w:rsidR="009A5E51" w:rsidRPr="001A4D2F" w:rsidRDefault="009A5E51" w:rsidP="00C11F8E">
      <w:pPr>
        <w:rPr>
          <w:sz w:val="22"/>
          <w:szCs w:val="22"/>
          <w:lang w:val="sr-Cyrl-CS"/>
        </w:rPr>
      </w:pPr>
    </w:p>
    <w:tbl>
      <w:tblPr>
        <w:tblStyle w:val="TableGrid"/>
        <w:tblW w:w="13149" w:type="dxa"/>
        <w:tblLook w:val="04A0"/>
      </w:tblPr>
      <w:tblGrid>
        <w:gridCol w:w="3327"/>
        <w:gridCol w:w="9822"/>
      </w:tblGrid>
      <w:tr w:rsidR="00F43ECD" w:rsidRPr="001A4D2F" w:rsidTr="00C11F8E">
        <w:trPr>
          <w:trHeight w:val="230"/>
        </w:trPr>
        <w:tc>
          <w:tcPr>
            <w:tcW w:w="3327" w:type="dxa"/>
            <w:tcBorders>
              <w:top w:val="double" w:sz="4" w:space="0" w:color="auto"/>
              <w:left w:val="double" w:sz="4" w:space="0" w:color="auto"/>
            </w:tcBorders>
          </w:tcPr>
          <w:p w:rsidR="00F43ECD" w:rsidRPr="001A4D2F" w:rsidRDefault="00DF098D" w:rsidP="00C11F8E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Dokument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JP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9822" w:type="dxa"/>
            <w:tcBorders>
              <w:top w:val="double" w:sz="4" w:space="0" w:color="auto"/>
              <w:right w:val="double" w:sz="4" w:space="0" w:color="auto"/>
            </w:tcBorders>
          </w:tcPr>
          <w:p w:rsidR="00F43ECD" w:rsidRPr="001A4D2F" w:rsidRDefault="00DF098D" w:rsidP="00C11F8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Strategija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za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borbu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protiv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pranja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novca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finansiranja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terorizma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(2020-2024)</w:t>
            </w:r>
          </w:p>
        </w:tc>
      </w:tr>
      <w:tr w:rsidR="00F43ECD" w:rsidRPr="001A4D2F" w:rsidTr="00C11F8E">
        <w:trPr>
          <w:trHeight w:val="164"/>
        </w:trPr>
        <w:tc>
          <w:tcPr>
            <w:tcW w:w="3327" w:type="dxa"/>
            <w:tcBorders>
              <w:left w:val="double" w:sz="4" w:space="0" w:color="auto"/>
            </w:tcBorders>
          </w:tcPr>
          <w:p w:rsidR="00F43ECD" w:rsidRPr="001A4D2F" w:rsidRDefault="00DF098D" w:rsidP="00C11F8E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Akcioni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plan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9822" w:type="dxa"/>
            <w:tcBorders>
              <w:right w:val="double" w:sz="4" w:space="0" w:color="auto"/>
            </w:tcBorders>
          </w:tcPr>
          <w:p w:rsidR="00F43ECD" w:rsidRPr="001A4D2F" w:rsidRDefault="00DF098D" w:rsidP="00C11F8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Akcioni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plan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za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sprovođenje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Strategije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za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borbu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protiv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pranja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novca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finansiranja</w:t>
            </w:r>
            <w:r w:rsidR="00876914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terorizma</w:t>
            </w:r>
            <w:r w:rsidR="00876914" w:rsidRPr="001A4D2F">
              <w:rPr>
                <w:sz w:val="22"/>
                <w:szCs w:val="22"/>
                <w:lang w:val="sr-Cyrl-CS"/>
              </w:rPr>
              <w:t xml:space="preserve"> (2020-2022</w:t>
            </w:r>
            <w:r w:rsidR="00497818" w:rsidRPr="001A4D2F">
              <w:rPr>
                <w:sz w:val="22"/>
                <w:szCs w:val="22"/>
                <w:lang w:val="sr-Cyrl-CS"/>
              </w:rPr>
              <w:t>)</w:t>
            </w:r>
          </w:p>
        </w:tc>
      </w:tr>
      <w:tr w:rsidR="00F43ECD" w:rsidRPr="001A4D2F" w:rsidTr="00C11F8E">
        <w:trPr>
          <w:trHeight w:val="230"/>
        </w:trPr>
        <w:tc>
          <w:tcPr>
            <w:tcW w:w="3327" w:type="dxa"/>
            <w:tcBorders>
              <w:left w:val="double" w:sz="4" w:space="0" w:color="auto"/>
            </w:tcBorders>
          </w:tcPr>
          <w:p w:rsidR="00F43ECD" w:rsidRPr="001A4D2F" w:rsidRDefault="00DF098D" w:rsidP="00C11F8E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Koordinacija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i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izveštavanje</w:t>
            </w:r>
          </w:p>
        </w:tc>
        <w:tc>
          <w:tcPr>
            <w:tcW w:w="9822" w:type="dxa"/>
            <w:tcBorders>
              <w:right w:val="double" w:sz="4" w:space="0" w:color="auto"/>
            </w:tcBorders>
          </w:tcPr>
          <w:p w:rsidR="00F43ECD" w:rsidRPr="001A4D2F" w:rsidRDefault="00DF098D" w:rsidP="00C11F8E">
            <w:pPr>
              <w:rPr>
                <w:sz w:val="22"/>
                <w:szCs w:val="22"/>
                <w:lang w:val="sr-Cyrl-CS"/>
              </w:rPr>
            </w:pP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Koordinaciono</w:t>
            </w:r>
            <w:r w:rsidR="00C1496A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telo</w:t>
            </w:r>
            <w:r w:rsidR="00C1496A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za</w:t>
            </w:r>
            <w:r w:rsidR="00C1496A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sprečavanje</w:t>
            </w:r>
            <w:r w:rsidR="00C1496A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pranja</w:t>
            </w:r>
            <w:r w:rsidR="00C1496A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novca</w:t>
            </w:r>
            <w:r w:rsidR="00C1496A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i</w:t>
            </w:r>
            <w:r w:rsidR="00C1496A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finansiranja</w:t>
            </w:r>
            <w:r w:rsidR="00C1496A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terorizma</w:t>
            </w:r>
            <w:r w:rsidR="009E1129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(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KT</w:t>
            </w:r>
            <w:r w:rsidR="009E1129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)</w:t>
            </w:r>
          </w:p>
        </w:tc>
      </w:tr>
      <w:tr w:rsidR="00F43ECD" w:rsidRPr="001A4D2F" w:rsidTr="00C11F8E">
        <w:trPr>
          <w:trHeight w:val="230"/>
        </w:trPr>
        <w:tc>
          <w:tcPr>
            <w:tcW w:w="3327" w:type="dxa"/>
            <w:tcBorders>
              <w:left w:val="double" w:sz="4" w:space="0" w:color="auto"/>
              <w:bottom w:val="double" w:sz="4" w:space="0" w:color="auto"/>
            </w:tcBorders>
          </w:tcPr>
          <w:p w:rsidR="00F43ECD" w:rsidRPr="001A4D2F" w:rsidRDefault="00DF098D" w:rsidP="00C11F8E">
            <w:pPr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Krovni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dokument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JP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9822" w:type="dxa"/>
            <w:tcBorders>
              <w:bottom w:val="double" w:sz="4" w:space="0" w:color="auto"/>
              <w:right w:val="double" w:sz="4" w:space="0" w:color="auto"/>
            </w:tcBorders>
          </w:tcPr>
          <w:p w:rsidR="00F43ECD" w:rsidRPr="001A4D2F" w:rsidRDefault="00DF098D" w:rsidP="00C11F8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Strategija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za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borbu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protiv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pranja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novca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finansiranja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terorizma</w:t>
            </w:r>
            <w:r w:rsidR="00497818" w:rsidRPr="001A4D2F">
              <w:rPr>
                <w:sz w:val="22"/>
                <w:szCs w:val="22"/>
                <w:lang w:val="sr-Cyrl-CS"/>
              </w:rPr>
              <w:t xml:space="preserve"> (2020-2024)</w:t>
            </w:r>
          </w:p>
        </w:tc>
      </w:tr>
    </w:tbl>
    <w:p w:rsidR="00F43ECD" w:rsidRPr="001A4D2F" w:rsidRDefault="00F43ECD" w:rsidP="00C11F8E">
      <w:pPr>
        <w:rPr>
          <w:sz w:val="22"/>
          <w:szCs w:val="22"/>
          <w:lang w:val="sr-Cyrl-CS"/>
        </w:rPr>
      </w:pPr>
    </w:p>
    <w:tbl>
      <w:tblPr>
        <w:tblStyle w:val="TableGrid"/>
        <w:tblW w:w="14142" w:type="dxa"/>
        <w:tblLayout w:type="fixed"/>
        <w:tblLook w:val="04A0"/>
      </w:tblPr>
      <w:tblGrid>
        <w:gridCol w:w="3227"/>
        <w:gridCol w:w="1843"/>
        <w:gridCol w:w="1842"/>
        <w:gridCol w:w="2410"/>
        <w:gridCol w:w="1843"/>
        <w:gridCol w:w="1843"/>
        <w:gridCol w:w="1134"/>
      </w:tblGrid>
      <w:tr w:rsidR="00F43ECD" w:rsidRPr="001A4D2F" w:rsidTr="00DF0DDF">
        <w:trPr>
          <w:trHeight w:val="403"/>
        </w:trPr>
        <w:tc>
          <w:tcPr>
            <w:tcW w:w="14142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F43ECD" w:rsidRPr="001A4D2F" w:rsidRDefault="00DF098D" w:rsidP="00C11F8E">
            <w:pPr>
              <w:jc w:val="both"/>
              <w:rPr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Opšti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cilj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>:</w:t>
            </w:r>
            <w:r w:rsidR="00F43ECD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U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potpunosti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zaštititi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privredu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i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finansijski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sistem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države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od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opasnosti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koje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uzrokuju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pranje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novca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, </w:t>
            </w:r>
            <w:r>
              <w:rPr>
                <w:b/>
                <w:sz w:val="22"/>
                <w:szCs w:val="22"/>
                <w:lang w:val="sr-Cyrl-CS"/>
              </w:rPr>
              <w:t>finansiranje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terorizma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i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finansiranje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širenja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oružja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za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masovno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uništenje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, </w:t>
            </w:r>
            <w:r>
              <w:rPr>
                <w:b/>
                <w:sz w:val="22"/>
                <w:szCs w:val="22"/>
                <w:lang w:val="sr-Cyrl-CS"/>
              </w:rPr>
              <w:t>čime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se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kroz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aktivnu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saradnju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javnog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i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privatnog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sektora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i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pristup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zasnovan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na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analizi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i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proceni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rizika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jačaju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sistem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i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integritet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institucija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finansijskog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i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nefinansijskog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sektora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i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doprinosi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bezbednosti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, </w:t>
            </w:r>
            <w:r>
              <w:rPr>
                <w:b/>
                <w:sz w:val="22"/>
                <w:szCs w:val="22"/>
                <w:lang w:val="sr-Cyrl-CS"/>
              </w:rPr>
              <w:t>sigurnosti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i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vladavini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>
              <w:rPr>
                <w:b/>
                <w:sz w:val="22"/>
                <w:szCs w:val="22"/>
                <w:lang w:val="sr-Cyrl-CS"/>
              </w:rPr>
              <w:t>prava</w:t>
            </w:r>
            <w:r w:rsidR="00F43ECD" w:rsidRPr="001A4D2F">
              <w:rPr>
                <w:b/>
                <w:sz w:val="22"/>
                <w:szCs w:val="22"/>
                <w:lang w:val="sr-Cyrl-CS"/>
              </w:rPr>
              <w:t>.</w:t>
            </w:r>
          </w:p>
        </w:tc>
      </w:tr>
      <w:tr w:rsidR="00F43ECD" w:rsidRPr="001A4D2F" w:rsidTr="00DF0DDF">
        <w:trPr>
          <w:trHeight w:val="377"/>
        </w:trPr>
        <w:tc>
          <w:tcPr>
            <w:tcW w:w="14142" w:type="dxa"/>
            <w:gridSpan w:val="7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F43ECD" w:rsidRPr="001A4D2F" w:rsidRDefault="00DF098D" w:rsidP="00C11F8E">
            <w:pPr>
              <w:rPr>
                <w:sz w:val="22"/>
                <w:szCs w:val="22"/>
                <w:lang w:val="sr-Cyrl-CS"/>
              </w:rPr>
            </w:pP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Institucija</w:t>
            </w:r>
            <w:r w:rsidR="00F43ECD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odgovorna</w:t>
            </w:r>
            <w:r w:rsidR="00F43ECD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za</w:t>
            </w:r>
            <w:r w:rsidR="00F43ECD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praćenje</w:t>
            </w:r>
            <w:r w:rsidR="00F43ECD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i</w:t>
            </w:r>
            <w:r w:rsidR="00F43ECD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kontrolu</w:t>
            </w:r>
            <w:r w:rsidR="00F43ECD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realizacije</w:t>
            </w:r>
            <w:r w:rsidR="00F43ECD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: 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Koordinaciono</w:t>
            </w:r>
            <w:r w:rsidR="00F43ECD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telo</w:t>
            </w:r>
            <w:r w:rsidR="00F43ECD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za</w:t>
            </w:r>
            <w:r w:rsidR="00F43ECD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sprečavanje</w:t>
            </w:r>
            <w:r w:rsidR="00F43ECD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pranja</w:t>
            </w:r>
            <w:r w:rsidR="00F43ECD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novca</w:t>
            </w:r>
            <w:r w:rsidR="00F43ECD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i</w:t>
            </w:r>
            <w:r w:rsidR="00F43ECD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finansiranja</w:t>
            </w:r>
            <w:r w:rsidR="00F43ECD" w:rsidRPr="001A4D2F"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sz w:val="22"/>
                <w:szCs w:val="22"/>
                <w:lang w:val="sr-Cyrl-CS"/>
              </w:rPr>
              <w:t>terorizma</w:t>
            </w:r>
          </w:p>
        </w:tc>
      </w:tr>
      <w:tr w:rsidR="00F35DC4" w:rsidRPr="001A4D2F" w:rsidTr="00EB4EE8">
        <w:trPr>
          <w:trHeight w:val="377"/>
        </w:trPr>
        <w:tc>
          <w:tcPr>
            <w:tcW w:w="322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43ECD" w:rsidRPr="001A4D2F" w:rsidRDefault="00DF098D" w:rsidP="00C11F8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Pokazatelj</w:t>
            </w:r>
            <w:r w:rsidR="00F43ECD" w:rsidRPr="001A4D2F">
              <w:rPr>
                <w:sz w:val="22"/>
                <w:szCs w:val="22"/>
                <w:lang w:val="sr-Cyrl-CS"/>
              </w:rPr>
              <w:t xml:space="preserve"> (</w:t>
            </w:r>
            <w:r>
              <w:rPr>
                <w:sz w:val="22"/>
                <w:szCs w:val="22"/>
                <w:lang w:val="sr-Cyrl-CS"/>
              </w:rPr>
              <w:t>i</w:t>
            </w:r>
            <w:r w:rsidR="00F43ECD" w:rsidRPr="001A4D2F">
              <w:rPr>
                <w:sz w:val="22"/>
                <w:szCs w:val="22"/>
                <w:lang w:val="sr-Cyrl-CS"/>
              </w:rPr>
              <w:t xml:space="preserve">) </w:t>
            </w:r>
            <w:r>
              <w:rPr>
                <w:sz w:val="22"/>
                <w:szCs w:val="22"/>
                <w:lang w:val="sr-Cyrl-CS"/>
              </w:rPr>
              <w:t>na</w:t>
            </w:r>
            <w:r w:rsidR="00F43ECD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nivou</w:t>
            </w:r>
            <w:r w:rsidR="00F43ECD" w:rsidRPr="001A4D2F">
              <w:rPr>
                <w:sz w:val="22"/>
                <w:szCs w:val="22"/>
                <w:lang w:val="sr-Cyrl-CS"/>
              </w:rPr>
              <w:t xml:space="preserve"> o</w:t>
            </w:r>
            <w:r>
              <w:rPr>
                <w:sz w:val="22"/>
                <w:szCs w:val="22"/>
                <w:lang w:val="sr-Cyrl-CS"/>
              </w:rPr>
              <w:t>pšteg</w:t>
            </w:r>
            <w:r w:rsidR="00F43ECD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cilja</w:t>
            </w:r>
            <w:r w:rsidR="00F43ECD" w:rsidRPr="001A4D2F">
              <w:rPr>
                <w:sz w:val="22"/>
                <w:szCs w:val="22"/>
                <w:lang w:val="sr-Cyrl-CS"/>
              </w:rPr>
              <w:t xml:space="preserve"> (</w:t>
            </w:r>
            <w:r>
              <w:rPr>
                <w:sz w:val="22"/>
                <w:szCs w:val="22"/>
                <w:lang w:val="sr-Cyrl-CS"/>
              </w:rPr>
              <w:t>pokazatelj</w:t>
            </w:r>
            <w:r w:rsidR="00F43ECD" w:rsidRPr="001A4D2F">
              <w:rPr>
                <w:sz w:val="22"/>
                <w:szCs w:val="22"/>
                <w:lang w:val="sr-Cyrl-CS"/>
              </w:rPr>
              <w:t xml:space="preserve"> e</w:t>
            </w:r>
            <w:r>
              <w:rPr>
                <w:sz w:val="22"/>
                <w:szCs w:val="22"/>
                <w:lang w:val="sr-Cyrl-CS"/>
              </w:rPr>
              <w:t>fekta</w:t>
            </w:r>
            <w:r w:rsidR="00F43ECD" w:rsidRPr="001A4D2F">
              <w:rPr>
                <w:sz w:val="22"/>
                <w:szCs w:val="22"/>
                <w:lang w:val="sr-Cyrl-CS"/>
              </w:rPr>
              <w:t>)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43ECD" w:rsidRPr="001A4D2F" w:rsidRDefault="00F43ECD" w:rsidP="00C11F8E">
            <w:pPr>
              <w:rPr>
                <w:sz w:val="22"/>
                <w:szCs w:val="22"/>
                <w:lang w:val="sr-Cyrl-CS"/>
              </w:rPr>
            </w:pPr>
            <w:r w:rsidRPr="001A4D2F">
              <w:rPr>
                <w:sz w:val="22"/>
                <w:szCs w:val="22"/>
                <w:lang w:val="sr-Cyrl-CS"/>
              </w:rPr>
              <w:t>J</w:t>
            </w:r>
            <w:r w:rsidR="00DF098D">
              <w:rPr>
                <w:sz w:val="22"/>
                <w:szCs w:val="22"/>
                <w:lang w:val="sr-Cyrl-CS"/>
              </w:rPr>
              <w:t>edinica</w:t>
            </w:r>
            <w:r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mere</w:t>
            </w:r>
          </w:p>
          <w:p w:rsidR="00F43ECD" w:rsidRPr="001A4D2F" w:rsidRDefault="00F43ECD" w:rsidP="00C11F8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43ECD" w:rsidRPr="001A4D2F" w:rsidRDefault="00DF098D" w:rsidP="00C11F8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Izvor</w:t>
            </w:r>
            <w:r w:rsidR="00F43ECD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provere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43ECD" w:rsidRPr="001A4D2F" w:rsidRDefault="00DF098D" w:rsidP="00C11F8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Početna</w:t>
            </w:r>
            <w:r w:rsidR="00F43ECD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vrednost</w:t>
            </w:r>
            <w:r w:rsidR="00F43ECD" w:rsidRPr="001A4D2F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43ECD" w:rsidRPr="001A4D2F" w:rsidRDefault="00DF098D" w:rsidP="00C11F8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Bazna</w:t>
            </w:r>
            <w:r w:rsidR="00F43ECD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godina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43ECD" w:rsidRPr="001A4D2F" w:rsidRDefault="00DF098D" w:rsidP="004316AD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Cilj</w:t>
            </w:r>
            <w:r w:rsidR="00F43ECD" w:rsidRPr="001A4D2F">
              <w:rPr>
                <w:sz w:val="22"/>
                <w:szCs w:val="22"/>
                <w:lang w:val="sr-Cyrl-CS"/>
              </w:rPr>
              <w:t>a</w:t>
            </w:r>
            <w:r>
              <w:rPr>
                <w:sz w:val="22"/>
                <w:szCs w:val="22"/>
                <w:lang w:val="sr-Cyrl-CS"/>
              </w:rPr>
              <w:t>na</w:t>
            </w:r>
            <w:r w:rsidR="00F43ECD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vrednost</w:t>
            </w:r>
            <w:r w:rsidR="00F43ECD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</w:t>
            </w:r>
            <w:r w:rsidR="00F43ECD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4316AD" w:rsidRPr="001A4D2F">
              <w:rPr>
                <w:sz w:val="22"/>
                <w:szCs w:val="22"/>
                <w:lang w:val="sr-Cyrl-CS"/>
              </w:rPr>
              <w:t>2022.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43ECD" w:rsidRPr="001A4D2F" w:rsidRDefault="00DF098D" w:rsidP="00C11F8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Poslednja</w:t>
            </w:r>
            <w:r w:rsidR="00F43ECD" w:rsidRPr="001A4D2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godina</w:t>
            </w:r>
            <w:r w:rsidR="00F43ECD" w:rsidRPr="001A4D2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važenja</w:t>
            </w:r>
            <w:r w:rsidR="00F43ECD" w:rsidRPr="001A4D2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AP</w:t>
            </w:r>
          </w:p>
        </w:tc>
      </w:tr>
      <w:tr w:rsidR="00F35DC4" w:rsidRPr="001A4D2F" w:rsidTr="00EB4EE8">
        <w:trPr>
          <w:trHeight w:val="176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41126" w:rsidRPr="001A4D2F" w:rsidRDefault="00741126" w:rsidP="00C11F8E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  <w:r w:rsidRPr="001A4D2F">
              <w:rPr>
                <w:sz w:val="22"/>
                <w:szCs w:val="22"/>
                <w:lang w:val="sr-Cyrl-CS"/>
              </w:rPr>
              <w:t>1.</w:t>
            </w:r>
            <w:r w:rsidR="006D56C2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b/>
                <w:sz w:val="22"/>
                <w:szCs w:val="22"/>
                <w:lang w:val="sr-Cyrl-CS"/>
              </w:rPr>
              <w:t>Ocena</w:t>
            </w:r>
            <w:r w:rsidR="006D56C2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b/>
                <w:sz w:val="22"/>
                <w:szCs w:val="22"/>
                <w:lang w:val="sr-Cyrl-CS"/>
              </w:rPr>
              <w:t>usklađenosti</w:t>
            </w:r>
            <w:r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sistema</w:t>
            </w:r>
            <w:r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za</w:t>
            </w:r>
            <w:r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borbu</w:t>
            </w:r>
            <w:r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protiv</w:t>
            </w:r>
            <w:r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pranja</w:t>
            </w:r>
            <w:r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novca</w:t>
            </w:r>
            <w:r w:rsidRPr="001A4D2F">
              <w:rPr>
                <w:sz w:val="22"/>
                <w:szCs w:val="22"/>
                <w:lang w:val="sr-Cyrl-CS"/>
              </w:rPr>
              <w:t xml:space="preserve">, </w:t>
            </w:r>
            <w:r w:rsidR="00DF098D">
              <w:rPr>
                <w:sz w:val="22"/>
                <w:szCs w:val="22"/>
                <w:lang w:val="sr-Cyrl-CS"/>
              </w:rPr>
              <w:t>finansiranja</w:t>
            </w:r>
            <w:r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terorizma</w:t>
            </w:r>
            <w:r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</w:t>
            </w:r>
            <w:r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širenja</w:t>
            </w:r>
            <w:r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oružja</w:t>
            </w:r>
            <w:r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za</w:t>
            </w:r>
            <w:r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masovno</w:t>
            </w:r>
            <w:r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uništenje</w:t>
            </w:r>
            <w:r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u</w:t>
            </w:r>
            <w:r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Republici</w:t>
            </w:r>
            <w:r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Srbiji</w:t>
            </w:r>
            <w:r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sa</w:t>
            </w:r>
            <w:r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međunarodnim</w:t>
            </w:r>
            <w:r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standardima</w:t>
            </w:r>
            <w:r w:rsidRPr="001A4D2F">
              <w:rPr>
                <w:sz w:val="22"/>
                <w:szCs w:val="22"/>
                <w:lang w:val="sr-Cyrl-CS"/>
              </w:rPr>
              <w:t xml:space="preserve"> (</w:t>
            </w:r>
            <w:r w:rsidR="00DF098D">
              <w:rPr>
                <w:sz w:val="22"/>
                <w:szCs w:val="22"/>
                <w:lang w:val="sr-Cyrl-CS"/>
              </w:rPr>
              <w:t>FATF</w:t>
            </w:r>
            <w:r w:rsidRPr="001A4D2F">
              <w:rPr>
                <w:sz w:val="22"/>
                <w:szCs w:val="22"/>
                <w:lang w:val="sr-Cyrl-CS"/>
              </w:rPr>
              <w:t xml:space="preserve">) </w:t>
            </w:r>
            <w:r w:rsidR="00DF098D">
              <w:rPr>
                <w:b/>
                <w:sz w:val="22"/>
                <w:szCs w:val="22"/>
                <w:lang w:val="sr-Cyrl-CS"/>
              </w:rPr>
              <w:t>na</w:t>
            </w:r>
            <w:r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sz w:val="22"/>
                <w:szCs w:val="22"/>
                <w:lang w:val="sr-Cyrl-CS"/>
              </w:rPr>
              <w:t>tehničkom</w:t>
            </w:r>
            <w:r w:rsidRPr="001A4D2F">
              <w:rPr>
                <w:b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sz w:val="22"/>
                <w:szCs w:val="22"/>
                <w:lang w:val="sr-Cyrl-CS"/>
              </w:rPr>
              <w:t>nivou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</w:p>
          <w:p w:rsidR="00741126" w:rsidRPr="001A4D2F" w:rsidRDefault="00741126" w:rsidP="00EB4EE8">
            <w:pPr>
              <w:shd w:val="clear" w:color="auto" w:fill="FFFFFF" w:themeFill="background1"/>
              <w:rPr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056AE0" w:rsidP="00C11F8E">
            <w:pPr>
              <w:shd w:val="clear" w:color="auto" w:fill="FFFFFF" w:themeFill="background1"/>
              <w:rPr>
                <w:b/>
                <w:color w:val="auto"/>
                <w:sz w:val="22"/>
                <w:szCs w:val="22"/>
                <w:lang w:val="sr-Cyrl-CS"/>
              </w:rPr>
            </w:pPr>
            <w:r w:rsidRPr="001A4D2F">
              <w:rPr>
                <w:b/>
                <w:color w:val="auto"/>
                <w:sz w:val="22"/>
                <w:szCs w:val="22"/>
                <w:lang w:val="sr-Cyrl-CS"/>
              </w:rPr>
              <w:t xml:space="preserve">1. </w:t>
            </w:r>
            <w:r w:rsidR="00DF098D">
              <w:rPr>
                <w:b/>
                <w:color w:val="auto"/>
                <w:sz w:val="22"/>
                <w:szCs w:val="22"/>
                <w:lang w:val="sr-Cyrl-CS"/>
              </w:rPr>
              <w:t>Ocena</w:t>
            </w:r>
            <w:r w:rsidRPr="001A4D2F">
              <w:rPr>
                <w:b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sz w:val="22"/>
                <w:szCs w:val="22"/>
                <w:lang w:val="sr-Cyrl-CS"/>
              </w:rPr>
              <w:t>u</w:t>
            </w:r>
            <w:r w:rsidR="00DF098D">
              <w:rPr>
                <w:b/>
                <w:sz w:val="22"/>
                <w:szCs w:val="22"/>
                <w:lang w:val="sr-Cyrl-CS"/>
              </w:rPr>
              <w:t>sklađenosti</w:t>
            </w:r>
            <w:r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b/>
                <w:sz w:val="22"/>
                <w:szCs w:val="22"/>
                <w:lang w:val="sr-Cyrl-CS"/>
              </w:rPr>
              <w:t>na</w:t>
            </w:r>
            <w:r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sz w:val="22"/>
                <w:szCs w:val="22"/>
                <w:lang w:val="sr-Cyrl-CS"/>
              </w:rPr>
              <w:t>tehničkom</w:t>
            </w:r>
            <w:r w:rsidRPr="001A4D2F">
              <w:rPr>
                <w:b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sz w:val="22"/>
                <w:szCs w:val="22"/>
                <w:lang w:val="sr-Cyrl-CS"/>
              </w:rPr>
              <w:t>nivou</w:t>
            </w:r>
            <w:r w:rsidR="00741126" w:rsidRPr="001A4D2F">
              <w:rPr>
                <w:b/>
                <w:color w:val="auto"/>
                <w:sz w:val="22"/>
                <w:szCs w:val="22"/>
                <w:lang w:val="sr-Cyrl-CS"/>
              </w:rPr>
              <w:t xml:space="preserve">: </w:t>
            </w:r>
          </w:p>
          <w:p w:rsidR="00741126" w:rsidRPr="001A4D2F" w:rsidRDefault="00DF098D" w:rsidP="00C11F8E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  <w:r>
              <w:rPr>
                <w:color w:val="auto"/>
                <w:sz w:val="22"/>
                <w:szCs w:val="22"/>
                <w:lang w:val="sr-Cyrl-CS"/>
              </w:rPr>
              <w:t>a</w:t>
            </w:r>
            <w:r w:rsidR="00741126" w:rsidRPr="001A4D2F">
              <w:rPr>
                <w:color w:val="auto"/>
                <w:sz w:val="22"/>
                <w:szCs w:val="22"/>
                <w:lang w:val="sr-Cyrl-CS"/>
              </w:rPr>
              <w:t xml:space="preserve">) </w:t>
            </w:r>
            <w:r>
              <w:rPr>
                <w:color w:val="auto"/>
                <w:sz w:val="22"/>
                <w:szCs w:val="22"/>
                <w:lang w:val="sr-Cyrl-CS"/>
              </w:rPr>
              <w:t>neusklađen</w:t>
            </w:r>
          </w:p>
          <w:p w:rsidR="00741126" w:rsidRPr="001A4D2F" w:rsidRDefault="00DF098D" w:rsidP="00C11F8E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  <w:r>
              <w:rPr>
                <w:color w:val="auto"/>
                <w:sz w:val="22"/>
                <w:szCs w:val="22"/>
                <w:lang w:val="sr-Cyrl-CS"/>
              </w:rPr>
              <w:t>b</w:t>
            </w:r>
            <w:r w:rsidR="001A4D2F">
              <w:rPr>
                <w:color w:val="auto"/>
                <w:sz w:val="22"/>
                <w:szCs w:val="22"/>
                <w:lang w:val="sr-Cyrl-CS"/>
              </w:rPr>
              <w:t xml:space="preserve">) </w:t>
            </w:r>
            <w:r>
              <w:rPr>
                <w:color w:val="auto"/>
                <w:sz w:val="22"/>
                <w:szCs w:val="22"/>
                <w:lang w:val="sr-Cyrl-CS"/>
              </w:rPr>
              <w:t>delimično</w:t>
            </w:r>
            <w:r w:rsidR="00741126"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usklađen</w:t>
            </w:r>
          </w:p>
          <w:p w:rsidR="00741126" w:rsidRPr="001A4D2F" w:rsidRDefault="00DF098D" w:rsidP="00C11F8E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  <w:r>
              <w:rPr>
                <w:color w:val="auto"/>
                <w:sz w:val="22"/>
                <w:szCs w:val="22"/>
                <w:lang w:val="sr-Cyrl-CS"/>
              </w:rPr>
              <w:t>v</w:t>
            </w:r>
            <w:r w:rsidR="00741126" w:rsidRPr="001A4D2F">
              <w:rPr>
                <w:color w:val="auto"/>
                <w:sz w:val="22"/>
                <w:szCs w:val="22"/>
                <w:lang w:val="sr-Cyrl-CS"/>
              </w:rPr>
              <w:t xml:space="preserve">) </w:t>
            </w:r>
            <w:r>
              <w:rPr>
                <w:color w:val="auto"/>
                <w:sz w:val="22"/>
                <w:szCs w:val="22"/>
                <w:lang w:val="sr-Cyrl-CS"/>
              </w:rPr>
              <w:t>u</w:t>
            </w:r>
            <w:r w:rsidR="00741126"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velikoj</w:t>
            </w:r>
            <w:r w:rsidR="00741126"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meri</w:t>
            </w:r>
            <w:r w:rsidR="00741126"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usklađen</w:t>
            </w:r>
          </w:p>
          <w:p w:rsidR="00741126" w:rsidRPr="001A4D2F" w:rsidRDefault="00DF098D" w:rsidP="00C11F8E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  <w:r>
              <w:rPr>
                <w:color w:val="auto"/>
                <w:sz w:val="22"/>
                <w:szCs w:val="22"/>
                <w:lang w:val="sr-Cyrl-CS"/>
              </w:rPr>
              <w:t>g</w:t>
            </w:r>
            <w:r w:rsidR="00741126" w:rsidRPr="001A4D2F">
              <w:rPr>
                <w:color w:val="auto"/>
                <w:sz w:val="22"/>
                <w:szCs w:val="22"/>
                <w:lang w:val="sr-Cyrl-CS"/>
              </w:rPr>
              <w:t xml:space="preserve">) </w:t>
            </w:r>
            <w:r>
              <w:rPr>
                <w:color w:val="auto"/>
                <w:sz w:val="22"/>
                <w:szCs w:val="22"/>
                <w:lang w:val="sr-Cyrl-CS"/>
              </w:rPr>
              <w:t>usklađen</w:t>
            </w:r>
          </w:p>
          <w:p w:rsidR="00741126" w:rsidRPr="001A4D2F" w:rsidRDefault="00741126" w:rsidP="00C11F8E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</w:p>
          <w:p w:rsidR="002702AB" w:rsidRPr="001A4D2F" w:rsidRDefault="002702AB" w:rsidP="00C11F8E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702AB" w:rsidRPr="001A4D2F" w:rsidRDefault="002702AB" w:rsidP="00C11F8E">
            <w:pPr>
              <w:rPr>
                <w:color w:val="auto"/>
                <w:sz w:val="22"/>
                <w:szCs w:val="22"/>
                <w:lang w:val="sr-Cyrl-CS"/>
              </w:rPr>
            </w:pPr>
            <w:r w:rsidRPr="001A4D2F">
              <w:rPr>
                <w:b/>
                <w:color w:val="auto"/>
                <w:sz w:val="22"/>
                <w:szCs w:val="22"/>
                <w:lang w:val="sr-Cyrl-CS"/>
              </w:rPr>
              <w:t>1.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sz w:val="22"/>
                <w:szCs w:val="22"/>
                <w:lang w:val="sr-Cyrl-CS"/>
              </w:rPr>
              <w:t>Izveštaj</w:t>
            </w:r>
            <w:r w:rsidRPr="001A4D2F">
              <w:rPr>
                <w:b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sz w:val="22"/>
                <w:szCs w:val="22"/>
                <w:lang w:val="sr-Cyrl-CS"/>
              </w:rPr>
              <w:t>o</w:t>
            </w:r>
            <w:r w:rsidRPr="001A4D2F">
              <w:rPr>
                <w:b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sz w:val="22"/>
                <w:szCs w:val="22"/>
                <w:lang w:val="sr-Cyrl-CS"/>
              </w:rPr>
              <w:t>evaluaciji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Republike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Srbije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od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strane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Komiteta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Manival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Saveta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Evrope</w:t>
            </w:r>
          </w:p>
          <w:p w:rsidR="002702AB" w:rsidRPr="001A4D2F" w:rsidRDefault="002702AB" w:rsidP="00C11F8E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702AB" w:rsidRPr="001A4D2F" w:rsidRDefault="002702AB" w:rsidP="00EB4EE8">
            <w:pPr>
              <w:rPr>
                <w:sz w:val="22"/>
                <w:szCs w:val="22"/>
                <w:lang w:val="sr-Cyrl-CS"/>
              </w:rPr>
            </w:pPr>
            <w:r w:rsidRPr="001A4D2F">
              <w:rPr>
                <w:b/>
                <w:sz w:val="22"/>
                <w:szCs w:val="22"/>
                <w:lang w:val="sr-Cyrl-CS"/>
              </w:rPr>
              <w:t xml:space="preserve">1. </w:t>
            </w:r>
            <w:r w:rsidR="00DF098D">
              <w:rPr>
                <w:b/>
                <w:sz w:val="22"/>
                <w:szCs w:val="22"/>
                <w:lang w:val="sr-Cyrl-CS"/>
              </w:rPr>
              <w:t>Usklađenost</w:t>
            </w:r>
            <w:r w:rsidR="00056AE0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b/>
                <w:sz w:val="22"/>
                <w:szCs w:val="22"/>
                <w:lang w:val="sr-Cyrl-CS"/>
              </w:rPr>
              <w:t>na</w:t>
            </w:r>
            <w:r w:rsidR="00056AE0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sz w:val="22"/>
                <w:szCs w:val="22"/>
                <w:lang w:val="sr-Cyrl-CS"/>
              </w:rPr>
              <w:t>tehničkom</w:t>
            </w:r>
            <w:r w:rsidR="00056AE0" w:rsidRPr="001A4D2F">
              <w:rPr>
                <w:b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sz w:val="22"/>
                <w:szCs w:val="22"/>
                <w:lang w:val="sr-Cyrl-CS"/>
              </w:rPr>
              <w:t>nivou</w:t>
            </w:r>
            <w:r w:rsidRPr="001A4D2F">
              <w:rPr>
                <w:b/>
                <w:sz w:val="22"/>
                <w:szCs w:val="22"/>
                <w:lang w:val="sr-Cyrl-CS"/>
              </w:rPr>
              <w:t>: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Srbija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je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</w:t>
            </w:r>
            <w:r w:rsidRPr="001A4D2F">
              <w:rPr>
                <w:sz w:val="22"/>
                <w:szCs w:val="22"/>
                <w:lang w:val="sr-Cyrl-CS"/>
              </w:rPr>
              <w:t xml:space="preserve">2016-2019. </w:t>
            </w:r>
            <w:r w:rsidR="00DF098D">
              <w:rPr>
                <w:sz w:val="22"/>
                <w:szCs w:val="22"/>
                <w:lang w:val="sr-Cyrl-CS"/>
              </w:rPr>
              <w:t>postigla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izuzetan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napredak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: </w:t>
            </w:r>
            <w:r w:rsidR="00DF098D">
              <w:rPr>
                <w:sz w:val="22"/>
                <w:szCs w:val="22"/>
                <w:lang w:val="sr-Cyrl-CS"/>
              </w:rPr>
              <w:t>Od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40 </w:t>
            </w:r>
            <w:r w:rsidR="00DF098D">
              <w:rPr>
                <w:sz w:val="22"/>
                <w:szCs w:val="22"/>
                <w:lang w:val="sr-Cyrl-CS"/>
              </w:rPr>
              <w:t>preporuka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FATF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– </w:t>
            </w:r>
            <w:r w:rsidR="00DF098D">
              <w:rPr>
                <w:sz w:val="22"/>
                <w:szCs w:val="22"/>
                <w:lang w:val="sr-Cyrl-CS"/>
              </w:rPr>
              <w:t>standarda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- </w:t>
            </w:r>
            <w:r w:rsidR="00DF098D">
              <w:rPr>
                <w:sz w:val="22"/>
                <w:szCs w:val="22"/>
                <w:lang w:val="sr-Cyrl-CS"/>
              </w:rPr>
              <w:t>u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pogledu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17 </w:t>
            </w:r>
            <w:r w:rsidR="00DF098D">
              <w:rPr>
                <w:sz w:val="22"/>
                <w:szCs w:val="22"/>
                <w:lang w:val="sr-Cyrl-CS"/>
              </w:rPr>
              <w:t>preporuka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FATF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, </w:t>
            </w:r>
            <w:r w:rsidR="00DF098D">
              <w:rPr>
                <w:sz w:val="22"/>
                <w:szCs w:val="22"/>
                <w:lang w:val="sr-Cyrl-CS"/>
              </w:rPr>
              <w:t>Srbija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je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2016. </w:t>
            </w:r>
            <w:r w:rsidR="00DF098D">
              <w:rPr>
                <w:sz w:val="22"/>
                <w:szCs w:val="22"/>
                <w:lang w:val="sr-Cyrl-CS"/>
              </w:rPr>
              <w:t>dobila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ocene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/>
                <w:sz w:val="22"/>
                <w:szCs w:val="22"/>
                <w:lang w:val="sr-Cyrl-CS"/>
              </w:rPr>
              <w:t>neusklađeno</w:t>
            </w:r>
            <w:r w:rsidR="00C6078C" w:rsidRPr="001A4D2F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/>
                <w:sz w:val="22"/>
                <w:szCs w:val="22"/>
                <w:lang w:val="sr-Cyrl-CS"/>
              </w:rPr>
              <w:t>delimično</w:t>
            </w:r>
            <w:r w:rsidR="00C6078C" w:rsidRPr="001A4D2F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/>
                <w:sz w:val="22"/>
                <w:szCs w:val="22"/>
                <w:lang w:val="sr-Cyrl-CS"/>
              </w:rPr>
              <w:t>usklađeno</w:t>
            </w:r>
            <w:r w:rsidR="00C6078C" w:rsidRPr="001A4D2F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250537" w:rsidRPr="001A4D2F">
              <w:rPr>
                <w:sz w:val="22"/>
                <w:szCs w:val="22"/>
                <w:lang w:val="sr-Cyrl-CS"/>
              </w:rPr>
              <w:t>(</w:t>
            </w:r>
            <w:r w:rsidR="00DF098D">
              <w:rPr>
                <w:sz w:val="22"/>
                <w:szCs w:val="22"/>
                <w:lang w:val="sr-Cyrl-CS"/>
              </w:rPr>
              <w:t>nezadovoljavajuće</w:t>
            </w:r>
            <w:r w:rsidR="00250537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ocene</w:t>
            </w:r>
            <w:r w:rsidR="00250537" w:rsidRPr="001A4D2F">
              <w:rPr>
                <w:sz w:val="22"/>
                <w:szCs w:val="22"/>
                <w:lang w:val="sr-Cyrl-CS"/>
              </w:rPr>
              <w:t>)</w:t>
            </w:r>
            <w:r w:rsidR="00C67B9A" w:rsidRPr="001A4D2F">
              <w:rPr>
                <w:sz w:val="22"/>
                <w:szCs w:val="22"/>
                <w:lang w:val="sr-Cyrl-CS"/>
              </w:rPr>
              <w:t xml:space="preserve">. </w:t>
            </w:r>
            <w:r w:rsidR="00DF098D">
              <w:rPr>
                <w:sz w:val="22"/>
                <w:szCs w:val="22"/>
                <w:lang w:val="sr-Cyrl-CS"/>
              </w:rPr>
              <w:t>Do</w:t>
            </w:r>
            <w:r w:rsidR="00C67B9A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decembra</w:t>
            </w:r>
            <w:r w:rsidR="00C67B9A" w:rsidRPr="001A4D2F">
              <w:rPr>
                <w:sz w:val="22"/>
                <w:szCs w:val="22"/>
                <w:lang w:val="sr-Cyrl-CS"/>
              </w:rPr>
              <w:t xml:space="preserve"> 2019. </w:t>
            </w:r>
            <w:r w:rsidR="00DF098D">
              <w:rPr>
                <w:sz w:val="22"/>
                <w:szCs w:val="22"/>
                <w:lang w:val="sr-Cyrl-CS"/>
              </w:rPr>
              <w:t>ocene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su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podignute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na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/>
                <w:sz w:val="22"/>
                <w:szCs w:val="22"/>
                <w:lang w:val="sr-Cyrl-CS"/>
              </w:rPr>
              <w:t>u</w:t>
            </w:r>
            <w:r w:rsidR="00C6078C" w:rsidRPr="001A4D2F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/>
                <w:sz w:val="22"/>
                <w:szCs w:val="22"/>
                <w:lang w:val="sr-Cyrl-CS"/>
              </w:rPr>
              <w:t>velikoj</w:t>
            </w:r>
            <w:r w:rsidR="00C6078C" w:rsidRPr="001A4D2F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/>
                <w:sz w:val="22"/>
                <w:szCs w:val="22"/>
                <w:lang w:val="sr-Cyrl-CS"/>
              </w:rPr>
              <w:t>meri</w:t>
            </w:r>
            <w:r w:rsidR="00C6078C" w:rsidRPr="001A4D2F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/>
                <w:sz w:val="22"/>
                <w:szCs w:val="22"/>
                <w:lang w:val="sr-Cyrl-CS"/>
              </w:rPr>
              <w:t>usklađeno</w:t>
            </w:r>
            <w:r w:rsidR="00C6078C" w:rsidRPr="001A4D2F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/>
                <w:sz w:val="22"/>
                <w:szCs w:val="22"/>
                <w:lang w:val="sr-Cyrl-CS"/>
              </w:rPr>
              <w:t>usklađeno</w:t>
            </w:r>
            <w:r w:rsidR="00250537" w:rsidRPr="001A4D2F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250537" w:rsidRPr="001A4D2F">
              <w:rPr>
                <w:sz w:val="22"/>
                <w:szCs w:val="22"/>
                <w:lang w:val="sr-Cyrl-CS"/>
              </w:rPr>
              <w:t>(</w:t>
            </w:r>
            <w:r w:rsidR="00DF098D">
              <w:rPr>
                <w:sz w:val="22"/>
                <w:szCs w:val="22"/>
                <w:lang w:val="sr-Cyrl-CS"/>
              </w:rPr>
              <w:t>zadovoljavajuće</w:t>
            </w:r>
            <w:r w:rsidR="00250537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ocene</w:t>
            </w:r>
            <w:r w:rsidR="00250537" w:rsidRPr="001A4D2F">
              <w:rPr>
                <w:sz w:val="22"/>
                <w:szCs w:val="22"/>
                <w:lang w:val="sr-Cyrl-CS"/>
              </w:rPr>
              <w:t>)</w:t>
            </w:r>
            <w:r w:rsidR="00C6078C" w:rsidRPr="001A4D2F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na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13 </w:t>
            </w:r>
            <w:r w:rsidR="00DF098D">
              <w:rPr>
                <w:sz w:val="22"/>
                <w:szCs w:val="22"/>
                <w:lang w:val="sr-Cyrl-CS"/>
              </w:rPr>
              <w:t>od</w:t>
            </w:r>
            <w:r w:rsidR="00250537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tih</w:t>
            </w:r>
            <w:r w:rsidR="00250537" w:rsidRPr="001A4D2F">
              <w:rPr>
                <w:sz w:val="22"/>
                <w:szCs w:val="22"/>
                <w:lang w:val="sr-Cyrl-CS"/>
              </w:rPr>
              <w:t xml:space="preserve"> 17 </w:t>
            </w:r>
            <w:r w:rsidR="00DF098D">
              <w:rPr>
                <w:sz w:val="22"/>
                <w:szCs w:val="22"/>
                <w:lang w:val="sr-Cyrl-CS"/>
              </w:rPr>
              <w:t>preporuka</w:t>
            </w:r>
            <w:r w:rsidR="00C6078C" w:rsidRPr="001A4D2F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FATF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2702AB" w:rsidP="00C11F8E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  <w:r w:rsidRPr="001A4D2F">
              <w:rPr>
                <w:b/>
                <w:color w:val="auto"/>
                <w:sz w:val="22"/>
                <w:szCs w:val="22"/>
                <w:lang w:val="sr-Cyrl-CS"/>
              </w:rPr>
              <w:t>1.</w:t>
            </w:r>
            <w:r w:rsidR="00056AE0" w:rsidRPr="001A4D2F">
              <w:rPr>
                <w:b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b/>
                <w:sz w:val="22"/>
                <w:szCs w:val="22"/>
                <w:lang w:val="sr-Cyrl-CS"/>
              </w:rPr>
              <w:t>Usklađenost</w:t>
            </w:r>
            <w:r w:rsidR="00056AE0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b/>
                <w:sz w:val="22"/>
                <w:szCs w:val="22"/>
                <w:lang w:val="sr-Cyrl-CS"/>
              </w:rPr>
              <w:t>na</w:t>
            </w:r>
            <w:r w:rsidR="00056AE0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sz w:val="22"/>
                <w:szCs w:val="22"/>
                <w:lang w:val="sr-Cyrl-CS"/>
              </w:rPr>
              <w:t>tehničkom</w:t>
            </w:r>
            <w:r w:rsidR="00056AE0" w:rsidRPr="001A4D2F">
              <w:rPr>
                <w:b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sz w:val="22"/>
                <w:szCs w:val="22"/>
                <w:lang w:val="sr-Cyrl-CS"/>
              </w:rPr>
              <w:t>nivou</w:t>
            </w:r>
            <w:r w:rsidRPr="001A4D2F">
              <w:rPr>
                <w:b/>
                <w:color w:val="auto"/>
                <w:sz w:val="22"/>
                <w:szCs w:val="22"/>
                <w:lang w:val="sr-Cyrl-CS"/>
              </w:rPr>
              <w:t>: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2019.</w:t>
            </w:r>
          </w:p>
          <w:p w:rsidR="002702AB" w:rsidRPr="001A4D2F" w:rsidRDefault="002702AB" w:rsidP="00EB4EE8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702AB" w:rsidRPr="001A4D2F" w:rsidRDefault="002702AB" w:rsidP="00C11F8E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  <w:r w:rsidRPr="001A4D2F">
              <w:rPr>
                <w:b/>
                <w:color w:val="auto"/>
                <w:sz w:val="22"/>
                <w:szCs w:val="22"/>
                <w:lang w:val="sr-Cyrl-CS"/>
              </w:rPr>
              <w:t xml:space="preserve">1. </w:t>
            </w:r>
            <w:r w:rsidR="00DF098D">
              <w:rPr>
                <w:b/>
                <w:sz w:val="22"/>
                <w:szCs w:val="22"/>
                <w:lang w:val="sr-Cyrl-CS"/>
              </w:rPr>
              <w:t>Usklađenost</w:t>
            </w:r>
            <w:r w:rsidR="00056AE0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b/>
                <w:sz w:val="22"/>
                <w:szCs w:val="22"/>
                <w:lang w:val="sr-Cyrl-CS"/>
              </w:rPr>
              <w:t>na</w:t>
            </w:r>
            <w:r w:rsidR="00056AE0" w:rsidRPr="001A4D2F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sz w:val="22"/>
                <w:szCs w:val="22"/>
                <w:lang w:val="sr-Cyrl-CS"/>
              </w:rPr>
              <w:t>tehničkom</w:t>
            </w:r>
            <w:r w:rsidR="00056AE0" w:rsidRPr="001A4D2F">
              <w:rPr>
                <w:b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sz w:val="22"/>
                <w:szCs w:val="22"/>
                <w:lang w:val="sr-Cyrl-CS"/>
              </w:rPr>
              <w:t>nivou</w:t>
            </w:r>
            <w:r w:rsidRPr="001A4D2F">
              <w:rPr>
                <w:b/>
                <w:color w:val="auto"/>
                <w:sz w:val="22"/>
                <w:szCs w:val="22"/>
                <w:lang w:val="sr-Cyrl-CS"/>
              </w:rPr>
              <w:t>: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Zadovoljavajuće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ocene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po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svih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40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preporka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FATF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(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tj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. </w:t>
            </w:r>
            <w:r w:rsidR="00DF098D">
              <w:rPr>
                <w:i/>
                <w:color w:val="auto"/>
                <w:sz w:val="22"/>
                <w:szCs w:val="22"/>
                <w:lang w:val="sr-Cyrl-CS"/>
              </w:rPr>
              <w:t>usklađeno</w:t>
            </w:r>
            <w:r w:rsidRPr="001A4D2F">
              <w:rPr>
                <w:i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ili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/>
                <w:color w:val="auto"/>
                <w:sz w:val="22"/>
                <w:szCs w:val="22"/>
                <w:lang w:val="sr-Cyrl-CS"/>
              </w:rPr>
              <w:t>u</w:t>
            </w:r>
            <w:r w:rsidRPr="001A4D2F">
              <w:rPr>
                <w:i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/>
                <w:color w:val="auto"/>
                <w:sz w:val="22"/>
                <w:szCs w:val="22"/>
                <w:lang w:val="sr-Cyrl-CS"/>
              </w:rPr>
              <w:t>velikoj</w:t>
            </w:r>
            <w:r w:rsidRPr="001A4D2F">
              <w:rPr>
                <w:i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/>
                <w:color w:val="auto"/>
                <w:sz w:val="22"/>
                <w:szCs w:val="22"/>
                <w:lang w:val="sr-Cyrl-CS"/>
              </w:rPr>
              <w:t>meri</w:t>
            </w:r>
            <w:r w:rsidRPr="001A4D2F">
              <w:rPr>
                <w:i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/>
                <w:color w:val="auto"/>
                <w:sz w:val="22"/>
                <w:szCs w:val="22"/>
                <w:lang w:val="sr-Cyrl-CS"/>
              </w:rPr>
              <w:t>usklađeno</w:t>
            </w:r>
            <w:r w:rsidRPr="001A4D2F">
              <w:rPr>
                <w:color w:val="auto"/>
                <w:sz w:val="22"/>
                <w:szCs w:val="22"/>
                <w:lang w:val="sr-Cyrl-CS"/>
              </w:rPr>
              <w:t xml:space="preserve">) </w:t>
            </w:r>
          </w:p>
          <w:p w:rsidR="00F43ECD" w:rsidRPr="001A4D2F" w:rsidRDefault="00F43ECD" w:rsidP="00EB4EE8">
            <w:pPr>
              <w:shd w:val="clear" w:color="auto" w:fill="FFFFFF" w:themeFill="background1"/>
              <w:rPr>
                <w:color w:val="auto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741126" w:rsidP="00C11F8E">
            <w:pPr>
              <w:shd w:val="clear" w:color="auto" w:fill="FFFFFF" w:themeFill="background1"/>
              <w:rPr>
                <w:b/>
                <w:sz w:val="22"/>
                <w:szCs w:val="22"/>
                <w:lang w:val="sr-Cyrl-CS"/>
              </w:rPr>
            </w:pPr>
            <w:r w:rsidRPr="001A4D2F">
              <w:rPr>
                <w:b/>
                <w:sz w:val="22"/>
                <w:szCs w:val="22"/>
                <w:lang w:val="sr-Cyrl-CS"/>
              </w:rPr>
              <w:t>2022.</w:t>
            </w:r>
          </w:p>
        </w:tc>
      </w:tr>
      <w:tr w:rsidR="00EB4EE8" w:rsidRPr="001A4D2F" w:rsidTr="00EB4EE8">
        <w:trPr>
          <w:trHeight w:val="176"/>
        </w:trPr>
        <w:tc>
          <w:tcPr>
            <w:tcW w:w="32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lastRenderedPageBreak/>
              <w:t xml:space="preserve">2. </w:t>
            </w:r>
            <w:r w:rsidR="00DF098D">
              <w:rPr>
                <w:b/>
                <w:color w:val="auto"/>
                <w:lang w:val="sr-Cyrl-CS"/>
              </w:rPr>
              <w:t>Ocena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lang w:val="sr-Cyrl-CS"/>
              </w:rPr>
              <w:t>usklađenosti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sistema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borbu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protiv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finansiranja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širenja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oružja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masovno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uništenje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Republici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Srbiji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međunarodnim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standardima</w:t>
            </w:r>
            <w:r w:rsidRPr="001A4D2F">
              <w:rPr>
                <w:lang w:val="sr-Cyrl-CS"/>
              </w:rPr>
              <w:t xml:space="preserve"> (</w:t>
            </w:r>
            <w:r w:rsidR="00DF098D">
              <w:rPr>
                <w:lang w:val="sr-Cyrl-CS"/>
              </w:rPr>
              <w:t>FATF</w:t>
            </w:r>
            <w:r w:rsidRPr="001A4D2F">
              <w:rPr>
                <w:lang w:val="sr-Cyrl-CS"/>
              </w:rPr>
              <w:t xml:space="preserve">) </w:t>
            </w:r>
            <w:r w:rsidR="00DF098D">
              <w:rPr>
                <w:b/>
                <w:lang w:val="sr-Cyrl-CS"/>
              </w:rPr>
              <w:t>na</w:t>
            </w:r>
            <w:r w:rsidRPr="001A4D2F">
              <w:rPr>
                <w:b/>
                <w:lang w:val="sr-Cyrl-CS"/>
              </w:rPr>
              <w:t xml:space="preserve"> </w:t>
            </w:r>
            <w:r w:rsidR="00DF098D">
              <w:rPr>
                <w:b/>
                <w:lang w:val="sr-Cyrl-CS"/>
              </w:rPr>
              <w:t>nivou</w:t>
            </w:r>
            <w:r w:rsidRPr="001A4D2F">
              <w:rPr>
                <w:b/>
                <w:lang w:val="sr-Cyrl-CS"/>
              </w:rPr>
              <w:t xml:space="preserve"> </w:t>
            </w:r>
            <w:r w:rsidR="00DF098D">
              <w:rPr>
                <w:b/>
                <w:lang w:val="sr-Cyrl-CS"/>
              </w:rPr>
              <w:t>delotvornosti</w:t>
            </w:r>
            <w:r w:rsidRPr="001A4D2F">
              <w:rPr>
                <w:lang w:val="sr-Cyrl-CS"/>
              </w:rPr>
              <w:t>;</w:t>
            </w:r>
          </w:p>
          <w:p w:rsidR="00EB4EE8" w:rsidRPr="001A4D2F" w:rsidRDefault="00EB4EE8" w:rsidP="00EB4EE8">
            <w:pPr>
              <w:shd w:val="clear" w:color="auto" w:fill="FFFFFF" w:themeFill="background1"/>
              <w:rPr>
                <w:color w:val="FF0000"/>
                <w:lang w:val="sr-Cyrl-CS"/>
              </w:rPr>
            </w:pPr>
          </w:p>
          <w:p w:rsidR="00EB4EE8" w:rsidRPr="001A4D2F" w:rsidRDefault="00EB4EE8" w:rsidP="00C11F8E">
            <w:pPr>
              <w:shd w:val="clear" w:color="auto" w:fill="FFFFFF" w:themeFill="background1"/>
              <w:rPr>
                <w:lang w:val="sr-Cyrl-CS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EB4EE8">
            <w:pPr>
              <w:shd w:val="clear" w:color="auto" w:fill="FFFFFF" w:themeFill="background1"/>
              <w:rPr>
                <w:b/>
                <w:color w:val="auto"/>
                <w:lang w:val="sr-Cyrl-CS"/>
              </w:rPr>
            </w:pPr>
            <w:r w:rsidRPr="001A4D2F">
              <w:rPr>
                <w:b/>
                <w:color w:val="auto"/>
                <w:lang w:val="sr-Cyrl-CS"/>
              </w:rPr>
              <w:t xml:space="preserve">2. </w:t>
            </w:r>
            <w:r w:rsidR="00DF098D">
              <w:rPr>
                <w:b/>
                <w:color w:val="auto"/>
                <w:lang w:val="sr-Cyrl-CS"/>
              </w:rPr>
              <w:t>Ocena</w:t>
            </w:r>
            <w:r w:rsidRPr="001A4D2F">
              <w:rPr>
                <w:b/>
                <w:color w:val="auto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lang w:val="sr-Cyrl-CS"/>
              </w:rPr>
              <w:t>delotvornosti</w:t>
            </w:r>
          </w:p>
          <w:p w:rsidR="00EB4EE8" w:rsidRPr="001A4D2F" w:rsidRDefault="00DF098D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a</w:t>
            </w:r>
            <w:r w:rsidR="00EB4EE8" w:rsidRPr="001A4D2F">
              <w:rPr>
                <w:color w:val="auto"/>
                <w:lang w:val="sr-Cyrl-CS"/>
              </w:rPr>
              <w:t xml:space="preserve">) </w:t>
            </w:r>
            <w:r>
              <w:rPr>
                <w:color w:val="auto"/>
                <w:lang w:val="sr-Cyrl-CS"/>
              </w:rPr>
              <w:t>nizak</w:t>
            </w:r>
            <w:r w:rsidR="00EB4EE8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nivo</w:t>
            </w:r>
            <w:r w:rsidR="00EB4EE8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delotvornosti</w:t>
            </w:r>
          </w:p>
          <w:p w:rsidR="00EB4EE8" w:rsidRPr="001A4D2F" w:rsidRDefault="00DF098D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b</w:t>
            </w:r>
            <w:r w:rsidR="00EB4EE8" w:rsidRPr="001A4D2F">
              <w:rPr>
                <w:color w:val="auto"/>
                <w:lang w:val="sr-Cyrl-CS"/>
              </w:rPr>
              <w:t xml:space="preserve">) </w:t>
            </w:r>
            <w:r>
              <w:rPr>
                <w:color w:val="auto"/>
                <w:lang w:val="sr-Cyrl-CS"/>
              </w:rPr>
              <w:t>umeren</w:t>
            </w:r>
            <w:r w:rsidR="00EB4EE8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nivo</w:t>
            </w:r>
            <w:r w:rsidR="00EB4EE8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delotvornosti</w:t>
            </w:r>
          </w:p>
          <w:p w:rsidR="00EB4EE8" w:rsidRPr="001A4D2F" w:rsidRDefault="00DF098D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v</w:t>
            </w:r>
            <w:r w:rsidR="00EB4EE8" w:rsidRPr="001A4D2F">
              <w:rPr>
                <w:color w:val="auto"/>
                <w:lang w:val="sr-Cyrl-CS"/>
              </w:rPr>
              <w:t xml:space="preserve">) </w:t>
            </w:r>
            <w:r>
              <w:rPr>
                <w:color w:val="auto"/>
                <w:lang w:val="sr-Cyrl-CS"/>
              </w:rPr>
              <w:t>značajan</w:t>
            </w:r>
            <w:r w:rsidR="00EB4EE8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nivo</w:t>
            </w:r>
            <w:r w:rsidR="00EB4EE8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delotvornosti</w:t>
            </w:r>
          </w:p>
          <w:p w:rsidR="00EB4EE8" w:rsidRPr="001A4D2F" w:rsidRDefault="00DF098D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g</w:t>
            </w:r>
            <w:r w:rsidR="00EB4EE8" w:rsidRPr="001A4D2F">
              <w:rPr>
                <w:color w:val="auto"/>
                <w:lang w:val="sr-Cyrl-CS"/>
              </w:rPr>
              <w:t xml:space="preserve">) </w:t>
            </w:r>
            <w:r>
              <w:rPr>
                <w:color w:val="auto"/>
                <w:lang w:val="sr-Cyrl-CS"/>
              </w:rPr>
              <w:t>visok</w:t>
            </w:r>
            <w:r w:rsidR="00EB4EE8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nivo</w:t>
            </w:r>
            <w:r w:rsidR="00EB4EE8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delotvornosti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b/>
                <w:color w:val="auto"/>
                <w:lang w:val="sr-Cyrl-CS"/>
              </w:rPr>
              <w:t>2.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lang w:val="sr-Cyrl-CS"/>
              </w:rPr>
              <w:t>Izveštaj</w:t>
            </w:r>
            <w:r w:rsidRPr="001A4D2F">
              <w:rPr>
                <w:b/>
                <w:color w:val="auto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lang w:val="sr-Cyrl-CS"/>
              </w:rPr>
              <w:t>o</w:t>
            </w:r>
            <w:r w:rsidRPr="001A4D2F">
              <w:rPr>
                <w:b/>
                <w:color w:val="auto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lang w:val="sr-Cyrl-CS"/>
              </w:rPr>
              <w:t>evaluaciji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Republike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Srbije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od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strane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Komiteta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Manival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Saveta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Evrope</w:t>
            </w:r>
          </w:p>
          <w:p w:rsidR="00EB4EE8" w:rsidRPr="001A4D2F" w:rsidRDefault="00EB4EE8" w:rsidP="00EB4EE8">
            <w:pPr>
              <w:rPr>
                <w:b/>
                <w:color w:val="auto"/>
                <w:lang w:val="sr-Cyrl-CS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b/>
                <w:lang w:val="sr-Cyrl-CS"/>
              </w:rPr>
              <w:t xml:space="preserve">2. </w:t>
            </w:r>
            <w:r w:rsidR="00DF098D">
              <w:rPr>
                <w:b/>
                <w:lang w:val="sr-Cyrl-CS"/>
              </w:rPr>
              <w:t>Delotvornost</w:t>
            </w:r>
            <w:r w:rsidRPr="001A4D2F">
              <w:rPr>
                <w:b/>
                <w:lang w:val="sr-Cyrl-CS"/>
              </w:rPr>
              <w:t xml:space="preserve">: </w:t>
            </w:r>
            <w:r w:rsidR="00DF098D">
              <w:rPr>
                <w:lang w:val="sr-Cyrl-CS"/>
              </w:rPr>
              <w:t>Bazna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vrednost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utvrđena</w:t>
            </w:r>
            <w:r w:rsidRPr="001A4D2F">
              <w:rPr>
                <w:lang w:val="sr-Cyrl-CS"/>
              </w:rPr>
              <w:t xml:space="preserve"> 2016, </w:t>
            </w:r>
            <w:r w:rsidR="00DF098D">
              <w:rPr>
                <w:lang w:val="sr-Cyrl-CS"/>
              </w:rPr>
              <w:t>delimičnu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ocenu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b/>
                <w:lang w:val="sr-Cyrl-CS"/>
              </w:rPr>
              <w:t>strateški</w:t>
            </w:r>
            <w:r w:rsidRPr="001A4D2F">
              <w:rPr>
                <w:b/>
                <w:lang w:val="sr-Cyrl-CS"/>
              </w:rPr>
              <w:t xml:space="preserve"> </w:t>
            </w:r>
            <w:r w:rsidR="00DF098D">
              <w:rPr>
                <w:b/>
                <w:lang w:val="sr-Cyrl-CS"/>
              </w:rPr>
              <w:t>važna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pitanja</w:t>
            </w:r>
            <w:r w:rsidRPr="001A4D2F">
              <w:rPr>
                <w:lang w:val="sr-Cyrl-CS"/>
              </w:rPr>
              <w:t xml:space="preserve"> (7 </w:t>
            </w:r>
            <w:r w:rsidR="00DF098D">
              <w:rPr>
                <w:lang w:val="sr-Cyrl-CS"/>
              </w:rPr>
              <w:t>od</w:t>
            </w:r>
            <w:r w:rsidRPr="001A4D2F">
              <w:rPr>
                <w:lang w:val="sr-Cyrl-CS"/>
              </w:rPr>
              <w:t xml:space="preserve"> 11 </w:t>
            </w:r>
            <w:r w:rsidR="00DF098D">
              <w:rPr>
                <w:lang w:val="sr-Cyrl-CS"/>
              </w:rPr>
              <w:t>neposrednih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ishoda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Metodologiji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FATF</w:t>
            </w:r>
            <w:r w:rsidRPr="001A4D2F">
              <w:rPr>
                <w:lang w:val="sr-Cyrl-CS"/>
              </w:rPr>
              <w:t xml:space="preserve">) </w:t>
            </w:r>
            <w:r w:rsidR="00DF098D">
              <w:rPr>
                <w:lang w:val="sr-Cyrl-CS"/>
              </w:rPr>
              <w:t>dao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FATF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junu</w:t>
            </w:r>
            <w:r w:rsidRPr="001A4D2F">
              <w:rPr>
                <w:lang w:val="sr-Cyrl-CS"/>
              </w:rPr>
              <w:t xml:space="preserve"> 2019. </w:t>
            </w:r>
            <w:r w:rsidR="00DF098D">
              <w:rPr>
                <w:lang w:val="sr-Cyrl-CS"/>
              </w:rPr>
              <w:t>utvrdivši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Srbija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pokazala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napredak</w:t>
            </w:r>
            <w:r w:rsidRPr="001A4D2F">
              <w:rPr>
                <w:color w:val="auto"/>
                <w:lang w:val="sr-Cyrl-C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b/>
                <w:color w:val="auto"/>
                <w:lang w:val="sr-Cyrl-CS"/>
              </w:rPr>
              <w:t xml:space="preserve">2. </w:t>
            </w:r>
            <w:r w:rsidR="00DF098D">
              <w:rPr>
                <w:b/>
                <w:color w:val="auto"/>
                <w:lang w:val="sr-Cyrl-CS"/>
              </w:rPr>
              <w:t>Delotvornost</w:t>
            </w:r>
            <w:r w:rsidRPr="001A4D2F">
              <w:rPr>
                <w:b/>
                <w:color w:val="auto"/>
                <w:lang w:val="sr-Cyrl-CS"/>
              </w:rPr>
              <w:t>:</w:t>
            </w:r>
            <w:r w:rsidRPr="001A4D2F">
              <w:rPr>
                <w:color w:val="auto"/>
                <w:lang w:val="sr-Cyrl-CS"/>
              </w:rPr>
              <w:t xml:space="preserve"> 2016, 2019.</w:t>
            </w:r>
          </w:p>
          <w:p w:rsidR="00EB4EE8" w:rsidRPr="001A4D2F" w:rsidRDefault="00EB4EE8" w:rsidP="00EB4EE8">
            <w:pPr>
              <w:shd w:val="clear" w:color="auto" w:fill="FFFFFF" w:themeFill="background1"/>
              <w:rPr>
                <w:b/>
                <w:color w:val="auto"/>
                <w:lang w:val="sr-Cyrl-CS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b/>
                <w:color w:val="auto"/>
                <w:lang w:val="sr-Cyrl-CS"/>
              </w:rPr>
              <w:t xml:space="preserve">2. </w:t>
            </w:r>
            <w:r w:rsidR="00DF098D">
              <w:rPr>
                <w:b/>
                <w:color w:val="auto"/>
                <w:lang w:val="sr-Cyrl-CS"/>
              </w:rPr>
              <w:t>Delotvornost</w:t>
            </w:r>
            <w:r w:rsidRPr="001A4D2F">
              <w:rPr>
                <w:b/>
                <w:color w:val="auto"/>
                <w:lang w:val="sr-Cyrl-CS"/>
              </w:rPr>
              <w:t>: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pozitivan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i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osetan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napredak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na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svih</w:t>
            </w:r>
            <w:r w:rsidRPr="001A4D2F">
              <w:rPr>
                <w:color w:val="auto"/>
                <w:lang w:val="sr-Cyrl-CS"/>
              </w:rPr>
              <w:t xml:space="preserve"> 11 </w:t>
            </w:r>
            <w:r w:rsidR="00DF098D">
              <w:rPr>
                <w:color w:val="auto"/>
                <w:lang w:val="sr-Cyrl-CS"/>
              </w:rPr>
              <w:t>neposrednih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ciljeva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po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Metodologiji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FATF</w:t>
            </w:r>
          </w:p>
          <w:p w:rsidR="00EB4EE8" w:rsidRPr="001A4D2F" w:rsidRDefault="00EB4EE8" w:rsidP="00EB4EE8">
            <w:pPr>
              <w:shd w:val="clear" w:color="auto" w:fill="FFFFFF" w:themeFill="background1"/>
              <w:rPr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C11F8E">
            <w:pPr>
              <w:shd w:val="clear" w:color="auto" w:fill="FFFFFF" w:themeFill="background1"/>
              <w:rPr>
                <w:b/>
                <w:lang w:val="sr-Cyrl-CS"/>
              </w:rPr>
            </w:pPr>
          </w:p>
        </w:tc>
      </w:tr>
      <w:tr w:rsidR="00EB4EE8" w:rsidRPr="001A4D2F" w:rsidTr="00EB4EE8">
        <w:trPr>
          <w:trHeight w:val="176"/>
        </w:trPr>
        <w:tc>
          <w:tcPr>
            <w:tcW w:w="322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 xml:space="preserve">3. </w:t>
            </w:r>
            <w:r w:rsidR="00DF098D">
              <w:rPr>
                <w:b/>
                <w:color w:val="auto"/>
                <w:lang w:val="sr-Cyrl-CS"/>
              </w:rPr>
              <w:t>Ažurirana</w:t>
            </w:r>
            <w:r w:rsidRPr="001A4D2F">
              <w:rPr>
                <w:b/>
                <w:color w:val="auto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lang w:val="sr-Cyrl-CS"/>
              </w:rPr>
              <w:t>nacionalna</w:t>
            </w:r>
            <w:r w:rsidRPr="001A4D2F">
              <w:rPr>
                <w:b/>
                <w:color w:val="auto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lang w:val="sr-Cyrl-CS"/>
              </w:rPr>
              <w:t>procena</w:t>
            </w:r>
            <w:r w:rsidRPr="001A4D2F">
              <w:rPr>
                <w:b/>
                <w:color w:val="auto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lang w:val="sr-Cyrl-CS"/>
              </w:rPr>
              <w:t>rizika</w:t>
            </w:r>
          </w:p>
          <w:p w:rsidR="00EB4EE8" w:rsidRPr="001A4D2F" w:rsidRDefault="00EB4EE8" w:rsidP="00C11F8E">
            <w:pPr>
              <w:shd w:val="clear" w:color="auto" w:fill="FFFFFF" w:themeFill="background1"/>
              <w:rPr>
                <w:lang w:val="sr-Cyrl-CS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b/>
                <w:color w:val="auto"/>
                <w:lang w:val="sr-Cyrl-CS"/>
              </w:rPr>
              <w:t>3.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Da</w:t>
            </w:r>
            <w:r w:rsidRPr="001A4D2F">
              <w:rPr>
                <w:color w:val="auto"/>
                <w:lang w:val="sr-Cyrl-CS"/>
              </w:rPr>
              <w:t>/</w:t>
            </w:r>
            <w:r w:rsidR="00DF098D">
              <w:rPr>
                <w:color w:val="auto"/>
                <w:lang w:val="sr-Cyrl-CS"/>
              </w:rPr>
              <w:t>Ne</w:t>
            </w:r>
          </w:p>
          <w:p w:rsidR="00EB4EE8" w:rsidRPr="001A4D2F" w:rsidRDefault="00EB4EE8" w:rsidP="00C11F8E">
            <w:pPr>
              <w:shd w:val="clear" w:color="auto" w:fill="FFFFFF" w:themeFill="background1"/>
              <w:rPr>
                <w:b/>
                <w:color w:val="auto"/>
                <w:lang w:val="sr-Cyrl-CS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C11F8E">
            <w:pPr>
              <w:rPr>
                <w:b/>
                <w:color w:val="auto"/>
                <w:lang w:val="sr-Cyrl-CS"/>
              </w:rPr>
            </w:pPr>
            <w:r w:rsidRPr="001A4D2F">
              <w:rPr>
                <w:b/>
                <w:color w:val="auto"/>
                <w:lang w:val="sr-Cyrl-CS"/>
              </w:rPr>
              <w:t xml:space="preserve">3. </w:t>
            </w:r>
            <w:r w:rsidR="00DF098D">
              <w:rPr>
                <w:b/>
                <w:color w:val="auto"/>
                <w:lang w:val="sr-Cyrl-CS"/>
              </w:rPr>
              <w:t>Zaključak</w:t>
            </w:r>
            <w:r w:rsidRPr="001A4D2F">
              <w:rPr>
                <w:b/>
                <w:color w:val="auto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lang w:val="sr-Cyrl-CS"/>
              </w:rPr>
              <w:t>Vlade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o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usvajanju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Izveštaja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o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ažuriranoj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Nacionalnoj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proceni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rizika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C11F8E">
            <w:pPr>
              <w:rPr>
                <w:b/>
                <w:lang w:val="sr-Cyrl-CS"/>
              </w:rPr>
            </w:pPr>
            <w:r w:rsidRPr="001A4D2F">
              <w:rPr>
                <w:b/>
                <w:color w:val="auto"/>
                <w:lang w:val="sr-Cyrl-CS"/>
              </w:rPr>
              <w:t xml:space="preserve">3. </w:t>
            </w:r>
            <w:r w:rsidR="00DF098D">
              <w:rPr>
                <w:b/>
                <w:color w:val="auto"/>
                <w:lang w:val="sr-Cyrl-CS"/>
              </w:rPr>
              <w:t>Ažurirana</w:t>
            </w:r>
            <w:r w:rsidRPr="001A4D2F">
              <w:rPr>
                <w:b/>
                <w:color w:val="auto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lang w:val="sr-Cyrl-CS"/>
              </w:rPr>
              <w:t>Nacionalna</w:t>
            </w:r>
            <w:r w:rsidRPr="001A4D2F">
              <w:rPr>
                <w:b/>
                <w:color w:val="auto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lang w:val="sr-Cyrl-CS"/>
              </w:rPr>
              <w:t>procena</w:t>
            </w:r>
            <w:r w:rsidRPr="001A4D2F">
              <w:rPr>
                <w:b/>
                <w:color w:val="auto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lang w:val="sr-Cyrl-CS"/>
              </w:rPr>
              <w:t>rizika</w:t>
            </w:r>
            <w:r w:rsidRPr="001A4D2F">
              <w:rPr>
                <w:b/>
                <w:color w:val="auto"/>
                <w:lang w:val="sr-Cyrl-CS"/>
              </w:rPr>
              <w:t xml:space="preserve">: </w:t>
            </w:r>
            <w:r w:rsidR="00DF098D">
              <w:rPr>
                <w:color w:val="auto"/>
                <w:lang w:val="sr-Cyrl-CS"/>
              </w:rPr>
              <w:t>Ne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EB4EE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b/>
                <w:color w:val="auto"/>
                <w:lang w:val="sr-Cyrl-CS"/>
              </w:rPr>
              <w:t xml:space="preserve">3. </w:t>
            </w:r>
            <w:r w:rsidR="00DF098D">
              <w:rPr>
                <w:b/>
                <w:color w:val="auto"/>
                <w:lang w:val="sr-Cyrl-CS"/>
              </w:rPr>
              <w:t>Nacionalna</w:t>
            </w:r>
            <w:r w:rsidRPr="001A4D2F">
              <w:rPr>
                <w:b/>
                <w:color w:val="auto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lang w:val="sr-Cyrl-CS"/>
              </w:rPr>
              <w:t>procena</w:t>
            </w:r>
            <w:r w:rsidRPr="001A4D2F">
              <w:rPr>
                <w:b/>
                <w:color w:val="auto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lang w:val="sr-Cyrl-CS"/>
              </w:rPr>
              <w:t>rizika</w:t>
            </w:r>
            <w:r w:rsidRPr="001A4D2F">
              <w:rPr>
                <w:b/>
                <w:color w:val="auto"/>
                <w:lang w:val="sr-Cyrl-CS"/>
              </w:rPr>
              <w:t>:</w:t>
            </w:r>
            <w:r w:rsidRPr="001A4D2F">
              <w:rPr>
                <w:color w:val="auto"/>
                <w:lang w:val="sr-Cyrl-CS"/>
              </w:rPr>
              <w:t xml:space="preserve"> 2019.</w:t>
            </w:r>
          </w:p>
          <w:p w:rsidR="00EB4EE8" w:rsidRPr="001A4D2F" w:rsidRDefault="00EB4EE8" w:rsidP="00C11F8E">
            <w:pPr>
              <w:shd w:val="clear" w:color="auto" w:fill="FFFFFF" w:themeFill="background1"/>
              <w:rPr>
                <w:b/>
                <w:color w:val="auto"/>
                <w:lang w:val="sr-Cyrl-CS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EB4EE8">
            <w:pPr>
              <w:shd w:val="clear" w:color="auto" w:fill="FFFFFF" w:themeFill="background1"/>
              <w:rPr>
                <w:b/>
                <w:color w:val="auto"/>
                <w:lang w:val="sr-Cyrl-CS"/>
              </w:rPr>
            </w:pPr>
            <w:r w:rsidRPr="001A4D2F">
              <w:rPr>
                <w:b/>
                <w:color w:val="auto"/>
                <w:lang w:val="sr-Cyrl-CS"/>
              </w:rPr>
              <w:t xml:space="preserve">3. </w:t>
            </w:r>
            <w:r w:rsidR="00DF098D">
              <w:rPr>
                <w:b/>
                <w:color w:val="auto"/>
                <w:lang w:val="sr-Cyrl-CS"/>
              </w:rPr>
              <w:t>Nacionalna</w:t>
            </w:r>
            <w:r w:rsidRPr="001A4D2F">
              <w:rPr>
                <w:b/>
                <w:color w:val="auto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lang w:val="sr-Cyrl-CS"/>
              </w:rPr>
              <w:t>procena</w:t>
            </w:r>
            <w:r w:rsidRPr="001A4D2F">
              <w:rPr>
                <w:b/>
                <w:color w:val="auto"/>
                <w:lang w:val="sr-Cyrl-CS"/>
              </w:rPr>
              <w:t xml:space="preserve"> </w:t>
            </w:r>
            <w:r w:rsidR="00DF098D">
              <w:rPr>
                <w:b/>
                <w:color w:val="auto"/>
                <w:lang w:val="sr-Cyrl-CS"/>
              </w:rPr>
              <w:t>rizika</w:t>
            </w:r>
            <w:r w:rsidRPr="001A4D2F">
              <w:rPr>
                <w:b/>
                <w:color w:val="auto"/>
                <w:lang w:val="sr-Cyrl-CS"/>
              </w:rPr>
              <w:t xml:space="preserve">: </w:t>
            </w:r>
            <w:r w:rsidR="00DF098D">
              <w:rPr>
                <w:color w:val="auto"/>
                <w:lang w:val="sr-Cyrl-CS"/>
              </w:rPr>
              <w:t>Da</w:t>
            </w:r>
          </w:p>
          <w:p w:rsidR="00EB4EE8" w:rsidRPr="001A4D2F" w:rsidRDefault="00EB4EE8" w:rsidP="00C11F8E">
            <w:pPr>
              <w:shd w:val="clear" w:color="auto" w:fill="FFFFFF" w:themeFill="background1"/>
              <w:rPr>
                <w:b/>
                <w:color w:val="auto"/>
                <w:lang w:val="sr-Cyrl-CS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EB4EE8" w:rsidRPr="001A4D2F" w:rsidRDefault="00EB4EE8" w:rsidP="00C11F8E">
            <w:pPr>
              <w:shd w:val="clear" w:color="auto" w:fill="FFFFFF" w:themeFill="background1"/>
              <w:rPr>
                <w:b/>
                <w:lang w:val="sr-Cyrl-CS"/>
              </w:rPr>
            </w:pPr>
          </w:p>
        </w:tc>
      </w:tr>
    </w:tbl>
    <w:p w:rsidR="00C1496A" w:rsidRDefault="00C1496A" w:rsidP="00C11F8E"/>
    <w:p w:rsidR="00173AE0" w:rsidRDefault="00173AE0" w:rsidP="00C11F8E"/>
    <w:p w:rsidR="00173AE0" w:rsidRDefault="00173AE0" w:rsidP="00C11F8E"/>
    <w:p w:rsidR="00173AE0" w:rsidRDefault="00173AE0" w:rsidP="00C11F8E"/>
    <w:p w:rsidR="00173AE0" w:rsidRDefault="00173AE0" w:rsidP="00C11F8E"/>
    <w:p w:rsidR="00173AE0" w:rsidRDefault="00173AE0" w:rsidP="00C11F8E"/>
    <w:p w:rsidR="00173AE0" w:rsidRDefault="00173AE0" w:rsidP="00C11F8E"/>
    <w:p w:rsidR="00173AE0" w:rsidRDefault="00173AE0" w:rsidP="00C11F8E"/>
    <w:p w:rsidR="00173AE0" w:rsidRPr="00173AE0" w:rsidRDefault="00173AE0" w:rsidP="00C11F8E"/>
    <w:tbl>
      <w:tblPr>
        <w:tblStyle w:val="TableGrid"/>
        <w:tblW w:w="14132" w:type="dxa"/>
        <w:tblInd w:w="10" w:type="dxa"/>
        <w:tblLayout w:type="fixed"/>
        <w:tblLook w:val="04A0"/>
      </w:tblPr>
      <w:tblGrid>
        <w:gridCol w:w="3136"/>
        <w:gridCol w:w="1442"/>
        <w:gridCol w:w="2466"/>
        <w:gridCol w:w="1276"/>
        <w:gridCol w:w="1134"/>
        <w:gridCol w:w="1559"/>
        <w:gridCol w:w="1418"/>
        <w:gridCol w:w="1701"/>
      </w:tblGrid>
      <w:tr w:rsidR="00F43ECD" w:rsidRPr="001A4D2F" w:rsidTr="00DF0DDF">
        <w:trPr>
          <w:trHeight w:val="320"/>
        </w:trPr>
        <w:tc>
          <w:tcPr>
            <w:tcW w:w="14132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F43ECD" w:rsidRPr="001A4D2F" w:rsidRDefault="00DF098D" w:rsidP="00C11F8E">
            <w:pPr>
              <w:pStyle w:val="Heading2"/>
              <w:spacing w:before="0" w:beforeAutospacing="0" w:after="0" w:afterAutospacing="0"/>
              <w:rPr>
                <w:szCs w:val="24"/>
                <w:lang w:val="sr-Cyrl-CS"/>
              </w:rPr>
            </w:pPr>
            <w:bookmarkStart w:id="1" w:name="_Toc32409905"/>
            <w:r>
              <w:rPr>
                <w:szCs w:val="24"/>
                <w:lang w:val="sr-Cyrl-CS"/>
              </w:rPr>
              <w:t>Posebni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cilj</w:t>
            </w:r>
            <w:r w:rsidR="00F43ECD" w:rsidRPr="001A4D2F">
              <w:rPr>
                <w:szCs w:val="24"/>
                <w:lang w:val="sr-Cyrl-CS"/>
              </w:rPr>
              <w:t xml:space="preserve"> 1:</w:t>
            </w:r>
            <w:r w:rsidR="00B02F59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Smanjivati</w:t>
            </w:r>
            <w:r w:rsidR="001B60B1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rizike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od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pranja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novca</w:t>
            </w:r>
            <w:r w:rsidR="00F43ECD" w:rsidRPr="001A4D2F">
              <w:rPr>
                <w:szCs w:val="24"/>
                <w:lang w:val="sr-Cyrl-CS"/>
              </w:rPr>
              <w:t xml:space="preserve">, </w:t>
            </w:r>
            <w:r>
              <w:rPr>
                <w:szCs w:val="24"/>
                <w:lang w:val="sr-Cyrl-CS"/>
              </w:rPr>
              <w:t>finansiranja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terorizma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i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širenja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oružja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za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masovno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uništenje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kroz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kontinuirano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unapređenje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strateškog</w:t>
            </w:r>
            <w:r w:rsidR="00F43ECD" w:rsidRPr="001A4D2F">
              <w:rPr>
                <w:szCs w:val="24"/>
                <w:lang w:val="sr-Cyrl-CS"/>
              </w:rPr>
              <w:t xml:space="preserve">, </w:t>
            </w:r>
            <w:r>
              <w:rPr>
                <w:szCs w:val="24"/>
                <w:lang w:val="sr-Cyrl-CS"/>
              </w:rPr>
              <w:t>zakonodavnog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i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institucionalnog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okvira</w:t>
            </w:r>
            <w:r w:rsidR="00F43ECD" w:rsidRPr="001A4D2F">
              <w:rPr>
                <w:szCs w:val="24"/>
                <w:lang w:val="sr-Cyrl-CS"/>
              </w:rPr>
              <w:t xml:space="preserve">, </w:t>
            </w:r>
            <w:r>
              <w:rPr>
                <w:szCs w:val="24"/>
                <w:lang w:val="sr-Cyrl-CS"/>
              </w:rPr>
              <w:t>koordinaciju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i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saradnju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svih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učesnika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u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sistemu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borbe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protiv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pranja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novca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i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finansiranja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terorizma</w:t>
            </w:r>
            <w:r w:rsidR="00A765CF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i</w:t>
            </w:r>
            <w:r w:rsidR="00A765CF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međunarodnu</w:t>
            </w:r>
            <w:r w:rsidR="00A765CF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saradnju</w:t>
            </w:r>
            <w:bookmarkEnd w:id="1"/>
          </w:p>
        </w:tc>
      </w:tr>
      <w:tr w:rsidR="00F43ECD" w:rsidRPr="001A4D2F" w:rsidTr="00DF0DDF">
        <w:trPr>
          <w:trHeight w:val="320"/>
        </w:trPr>
        <w:tc>
          <w:tcPr>
            <w:tcW w:w="14132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F43ECD" w:rsidRPr="001A4D2F" w:rsidRDefault="00DF098D" w:rsidP="00C11F8E">
            <w:pPr>
              <w:rPr>
                <w:lang w:val="sr-Cyrl-CS"/>
              </w:rPr>
            </w:pPr>
            <w:r>
              <w:rPr>
                <w:rFonts w:eastAsia="Times New Roman"/>
                <w:color w:val="222222"/>
                <w:lang w:val="sr-Cyrl-CS"/>
              </w:rPr>
              <w:t>Institucija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odgovorna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za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praćenje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i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kontrolu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realizacije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: </w:t>
            </w:r>
            <w:r>
              <w:rPr>
                <w:rFonts w:eastAsia="Times New Roman"/>
                <w:color w:val="222222"/>
                <w:lang w:val="sr-Cyrl-CS"/>
              </w:rPr>
              <w:t>Koordinaciono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telo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za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sprečavanje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pranja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novca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i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finansiranja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terorizma</w:t>
            </w:r>
          </w:p>
        </w:tc>
      </w:tr>
      <w:tr w:rsidR="004316AD" w:rsidRPr="001A4D2F" w:rsidTr="00DF0DDF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Pokazatelj</w:t>
            </w:r>
            <w:r w:rsidR="004316AD" w:rsidRPr="001A4D2F">
              <w:rPr>
                <w:lang w:val="sr-Cyrl-CS"/>
              </w:rPr>
              <w:t>(</w:t>
            </w:r>
            <w:r>
              <w:rPr>
                <w:lang w:val="sr-Cyrl-CS"/>
              </w:rPr>
              <w:t>i</w:t>
            </w:r>
            <w:r w:rsidR="004316AD" w:rsidRPr="001A4D2F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nivou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posebnog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cilja</w:t>
            </w:r>
            <w:r w:rsidR="004316AD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pokazatelj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ishoda</w:t>
            </w:r>
            <w:r w:rsidR="004316AD" w:rsidRPr="001A4D2F">
              <w:rPr>
                <w:lang w:val="sr-Cyrl-CS"/>
              </w:rPr>
              <w:t>)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</w:t>
            </w:r>
            <w:r w:rsidR="00DF098D">
              <w:rPr>
                <w:lang w:val="sr-Cyrl-CS"/>
              </w:rPr>
              <w:t>edinica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mere</w:t>
            </w:r>
          </w:p>
          <w:p w:rsidR="004316AD" w:rsidRPr="001A4D2F" w:rsidRDefault="004316AD" w:rsidP="00C11F8E">
            <w:pPr>
              <w:rPr>
                <w:lang w:val="sr-Cyrl-CS"/>
              </w:rPr>
            </w:pPr>
          </w:p>
        </w:tc>
        <w:tc>
          <w:tcPr>
            <w:tcW w:w="246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Izvor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provere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Početna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4316AD" w:rsidRPr="001A4D2F">
              <w:rPr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Bazna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godina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4316AD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4316AD" w:rsidRPr="001A4D2F">
              <w:rPr>
                <w:lang w:val="sr-Cyrl-CS"/>
              </w:rPr>
              <w:t xml:space="preserve"> 2020.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4316AD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4316AD" w:rsidRPr="001A4D2F">
              <w:rPr>
                <w:lang w:val="sr-Cyrl-CS"/>
              </w:rPr>
              <w:t xml:space="preserve"> 2021.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4316AD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885F9C" w:rsidRPr="001A4D2F">
              <w:rPr>
                <w:lang w:val="sr-Cyrl-CS"/>
              </w:rPr>
              <w:t xml:space="preserve"> 2022.</w:t>
            </w:r>
          </w:p>
        </w:tc>
      </w:tr>
      <w:tr w:rsidR="00F43ECD" w:rsidRPr="001A4D2F" w:rsidTr="00DF0DDF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B5545" w:rsidRPr="001A4D2F" w:rsidRDefault="00CB5545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1.</w:t>
            </w:r>
            <w:r w:rsidR="002D69E2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Ažurirana</w:t>
            </w:r>
            <w:r w:rsidR="002D69E2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nacionalna</w:t>
            </w:r>
            <w:r w:rsidR="002D69E2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procena</w:t>
            </w:r>
            <w:r w:rsidR="002D69E2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</w:p>
          <w:p w:rsidR="000435FD" w:rsidRPr="001A4D2F" w:rsidRDefault="000435FD" w:rsidP="000435FD">
            <w:pPr>
              <w:shd w:val="clear" w:color="auto" w:fill="FFFFFF" w:themeFill="background1"/>
              <w:rPr>
                <w:lang w:val="sr-Cyrl-CS"/>
              </w:rPr>
            </w:pP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F7310" w:rsidRPr="001A4D2F" w:rsidRDefault="00DF098D" w:rsidP="006F7310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  <w:r w:rsidR="00CB5545" w:rsidRPr="001A4D2F">
              <w:rPr>
                <w:lang w:val="sr-Cyrl-CS"/>
              </w:rPr>
              <w:t>/</w:t>
            </w:r>
            <w:r>
              <w:rPr>
                <w:lang w:val="sr-Cyrl-CS"/>
              </w:rPr>
              <w:t>Ne</w:t>
            </w:r>
          </w:p>
        </w:tc>
        <w:tc>
          <w:tcPr>
            <w:tcW w:w="24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435FD" w:rsidRPr="001A4D2F" w:rsidRDefault="00DF098D" w:rsidP="000435FD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0A7CC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0A7CC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nacionalnoj</w:t>
            </w:r>
            <w:r w:rsidR="000A7CC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proceni</w:t>
            </w:r>
            <w:r w:rsidR="000A7CC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rizika</w:t>
            </w:r>
            <w:r w:rsidR="000A7CC4" w:rsidRPr="001A4D2F">
              <w:rPr>
                <w:lang w:val="sr-Cyrl-CS"/>
              </w:rPr>
              <w:t xml:space="preserve">, </w:t>
            </w:r>
          </w:p>
          <w:p w:rsidR="00467761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0435F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Manivala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Ne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903B60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</w:t>
            </w:r>
            <w:r w:rsidR="000435FD" w:rsidRPr="001A4D2F">
              <w:rPr>
                <w:lang w:val="sr-Cyrl-C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Ne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3ECD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</w:tr>
      <w:tr w:rsidR="000435FD" w:rsidRPr="001A4D2F" w:rsidTr="00DF0DDF">
        <w:trPr>
          <w:trHeight w:val="254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435FD" w:rsidRPr="001A4D2F" w:rsidRDefault="000435FD" w:rsidP="008B4459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 </w:t>
            </w:r>
            <w:r w:rsidR="00DF098D">
              <w:rPr>
                <w:lang w:val="sr-Cyrl-CS"/>
              </w:rPr>
              <w:t>Održavanje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napretka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relevantnim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neposrednim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rezultatima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skladu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Metodologijom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FATF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435FD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  <w:r w:rsidR="000435FD" w:rsidRPr="001A4D2F">
              <w:rPr>
                <w:lang w:val="sr-Cyrl-CS"/>
              </w:rPr>
              <w:t>/</w:t>
            </w:r>
            <w:r>
              <w:rPr>
                <w:lang w:val="sr-Cyrl-CS"/>
              </w:rPr>
              <w:t>Ne</w:t>
            </w:r>
          </w:p>
        </w:tc>
        <w:tc>
          <w:tcPr>
            <w:tcW w:w="246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435FD" w:rsidRPr="001A4D2F" w:rsidRDefault="00DF098D" w:rsidP="000435FD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Izveštaji</w:t>
            </w:r>
            <w:r w:rsidR="000435F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0435F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radu</w:t>
            </w:r>
            <w:r w:rsidR="000435F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koordinacionih</w:t>
            </w:r>
            <w:r w:rsidR="000435F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tela</w:t>
            </w:r>
            <w:r w:rsidR="000435F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nadzornih</w:t>
            </w:r>
            <w:r w:rsidR="000435F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organa</w:t>
            </w:r>
            <w:r w:rsidR="000435F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izveštaji</w:t>
            </w:r>
            <w:r w:rsidR="000435F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0435F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radu</w:t>
            </w:r>
            <w:r w:rsidR="000435F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drugih</w:t>
            </w:r>
            <w:r w:rsidR="000435F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institucija</w:t>
            </w:r>
            <w:r w:rsidR="000435FD" w:rsidRPr="001A4D2F">
              <w:rPr>
                <w:lang w:val="sr-Cyrl-CS"/>
              </w:rPr>
              <w:t>,</w:t>
            </w:r>
          </w:p>
          <w:p w:rsidR="000435FD" w:rsidRPr="001A4D2F" w:rsidRDefault="00DF098D" w:rsidP="000435FD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0435F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Manivala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435FD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435FD" w:rsidRPr="001A4D2F" w:rsidRDefault="000435FD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2019.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435FD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0435FD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435FD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</w:tr>
    </w:tbl>
    <w:p w:rsidR="00C1496A" w:rsidRDefault="00C1496A" w:rsidP="00C11F8E">
      <w:pPr>
        <w:tabs>
          <w:tab w:val="left" w:pos="1940"/>
        </w:tabs>
      </w:pPr>
    </w:p>
    <w:p w:rsidR="00DA0EC2" w:rsidRPr="00DA0EC2" w:rsidRDefault="00DA0EC2" w:rsidP="00C11F8E">
      <w:pPr>
        <w:tabs>
          <w:tab w:val="left" w:pos="1940"/>
        </w:tabs>
      </w:pPr>
    </w:p>
    <w:tbl>
      <w:tblPr>
        <w:tblStyle w:val="TableGrid"/>
        <w:tblW w:w="14132" w:type="dxa"/>
        <w:tblInd w:w="10" w:type="dxa"/>
        <w:tblLayout w:type="fixed"/>
        <w:tblLook w:val="04A0"/>
      </w:tblPr>
      <w:tblGrid>
        <w:gridCol w:w="2792"/>
        <w:gridCol w:w="1134"/>
        <w:gridCol w:w="2976"/>
        <w:gridCol w:w="709"/>
        <w:gridCol w:w="1134"/>
        <w:gridCol w:w="992"/>
        <w:gridCol w:w="1418"/>
        <w:gridCol w:w="1417"/>
        <w:gridCol w:w="1560"/>
      </w:tblGrid>
      <w:tr w:rsidR="00F43ECD" w:rsidRPr="001A4D2F" w:rsidTr="00DF0DDF"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DF098D" w:rsidP="00C11F8E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2" w:name="_Toc32409906"/>
            <w:r>
              <w:rPr>
                <w:rFonts w:cs="Times New Roman"/>
                <w:sz w:val="24"/>
                <w:lang w:val="sr-Cyrl-CS"/>
              </w:rPr>
              <w:t>Mera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1.1: </w:t>
            </w:r>
            <w:r>
              <w:rPr>
                <w:rFonts w:cs="Times New Roman"/>
                <w:sz w:val="24"/>
                <w:lang w:val="sr-Cyrl-CS"/>
              </w:rPr>
              <w:t>Održavanje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unapređenje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sveobuhvatnog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razumevanja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rizika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od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pranja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novca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finansiranja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terorizma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u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Republici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Srbiji</w:t>
            </w:r>
            <w:bookmarkEnd w:id="2"/>
          </w:p>
        </w:tc>
      </w:tr>
      <w:tr w:rsidR="00F43ECD" w:rsidRPr="001A4D2F" w:rsidTr="00DF0DDF"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F43ECD" w:rsidRPr="001A4D2F" w:rsidRDefault="00DF098D" w:rsidP="00C11F8E">
            <w:pPr>
              <w:rPr>
                <w:lang w:val="sr-Cyrl-CS"/>
              </w:rPr>
            </w:pPr>
            <w:r>
              <w:rPr>
                <w:rFonts w:eastAsia="Times New Roman"/>
                <w:color w:val="222222"/>
                <w:lang w:val="sr-Cyrl-CS"/>
              </w:rPr>
              <w:t>Institucija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odgovorna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za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praćenje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i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kontrolu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realizacije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: </w:t>
            </w:r>
            <w:r>
              <w:rPr>
                <w:rFonts w:eastAsia="Times New Roman"/>
                <w:color w:val="222222"/>
                <w:lang w:val="sr-Cyrl-CS"/>
              </w:rPr>
              <w:t>Koordinaciono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telo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za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sprečavanje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pranja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novca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i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finansiranja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terorizma</w:t>
            </w:r>
          </w:p>
        </w:tc>
      </w:tr>
      <w:tr w:rsidR="00F43ECD" w:rsidRPr="001A4D2F" w:rsidTr="00DF0DDF">
        <w:tc>
          <w:tcPr>
            <w:tcW w:w="69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Period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sprovođenja</w:t>
            </w:r>
            <w:r w:rsidR="00F43ECD" w:rsidRPr="001A4D2F">
              <w:rPr>
                <w:lang w:val="sr-Cyrl-CS"/>
              </w:rPr>
              <w:t>:</w:t>
            </w:r>
            <w:r w:rsidR="00A765CF" w:rsidRPr="001A4D2F">
              <w:rPr>
                <w:lang w:val="sr-Cyrl-CS"/>
              </w:rPr>
              <w:t xml:space="preserve"> 2020-2022</w:t>
            </w:r>
          </w:p>
        </w:tc>
        <w:tc>
          <w:tcPr>
            <w:tcW w:w="72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Tip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F43ECD" w:rsidRPr="001A4D2F">
              <w:rPr>
                <w:lang w:val="sr-Cyrl-CS"/>
              </w:rPr>
              <w:t>:</w:t>
            </w:r>
            <w:r w:rsidR="00492C3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Informativno</w:t>
            </w:r>
            <w:r w:rsidR="00492C3B" w:rsidRPr="001A4D2F">
              <w:rPr>
                <w:lang w:val="sr-Cyrl-CS"/>
              </w:rPr>
              <w:t>-</w:t>
            </w:r>
            <w:r>
              <w:rPr>
                <w:lang w:val="sr-Cyrl-CS"/>
              </w:rPr>
              <w:t>edukativna</w:t>
            </w:r>
          </w:p>
        </w:tc>
      </w:tr>
      <w:tr w:rsidR="004316AD" w:rsidRPr="001A4D2F" w:rsidTr="00DF0DDF">
        <w:tc>
          <w:tcPr>
            <w:tcW w:w="27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Pokazatelj</w:t>
            </w:r>
            <w:r w:rsidR="004316AD" w:rsidRPr="001A4D2F">
              <w:rPr>
                <w:lang w:val="sr-Cyrl-CS"/>
              </w:rPr>
              <w:t>(</w:t>
            </w:r>
            <w:r>
              <w:rPr>
                <w:lang w:val="sr-Cyrl-CS"/>
              </w:rPr>
              <w:t>i</w:t>
            </w:r>
            <w:r w:rsidR="004316AD" w:rsidRPr="001A4D2F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nivou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4316AD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pokazatelj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rezultata</w:t>
            </w:r>
            <w:r w:rsidR="004316AD" w:rsidRPr="001A4D2F">
              <w:rPr>
                <w:lang w:val="sr-Cyrl-CS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327445" w:rsidRDefault="004316AD" w:rsidP="00C11F8E">
            <w:pPr>
              <w:rPr>
                <w:sz w:val="22"/>
                <w:szCs w:val="22"/>
                <w:lang w:val="sr-Cyrl-CS"/>
              </w:rPr>
            </w:pPr>
            <w:r w:rsidRPr="00327445">
              <w:rPr>
                <w:sz w:val="22"/>
                <w:szCs w:val="22"/>
                <w:lang w:val="sr-Cyrl-CS"/>
              </w:rPr>
              <w:t>J</w:t>
            </w:r>
            <w:r w:rsidR="00DF098D">
              <w:rPr>
                <w:sz w:val="22"/>
                <w:szCs w:val="22"/>
                <w:lang w:val="sr-Cyrl-CS"/>
              </w:rPr>
              <w:t>edinica</w:t>
            </w:r>
            <w:r w:rsidRPr="00327445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mere</w:t>
            </w:r>
          </w:p>
          <w:p w:rsidR="004316AD" w:rsidRPr="00327445" w:rsidRDefault="004316AD" w:rsidP="00C11F8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368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Izvor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provere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C11F8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Početna</w:t>
            </w:r>
            <w:r w:rsidR="004316AD" w:rsidRPr="001A4D2F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vrednost</w:t>
            </w:r>
            <w:r w:rsidR="004316AD" w:rsidRPr="001A4D2F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Bazna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godina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4316AD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4316AD" w:rsidRPr="001A4D2F">
              <w:rPr>
                <w:lang w:val="sr-Cyrl-CS"/>
              </w:rPr>
              <w:t xml:space="preserve"> 2020.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4316AD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4316AD" w:rsidRPr="001A4D2F">
              <w:rPr>
                <w:lang w:val="sr-Cyrl-CS"/>
              </w:rPr>
              <w:t xml:space="preserve"> 2021.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4316AD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885F9C" w:rsidRPr="001A4D2F">
              <w:rPr>
                <w:lang w:val="sr-Cyrl-CS"/>
              </w:rPr>
              <w:t xml:space="preserve"> 2022.</w:t>
            </w:r>
          </w:p>
        </w:tc>
      </w:tr>
      <w:tr w:rsidR="00F43ECD" w:rsidRPr="001A4D2F" w:rsidTr="00DF0DDF"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377E3" w:rsidRPr="001A4D2F" w:rsidRDefault="00E377E3" w:rsidP="00465BE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1. </w:t>
            </w:r>
            <w:r w:rsidR="00DF098D">
              <w:rPr>
                <w:lang w:val="sr-Cyrl-CS"/>
              </w:rPr>
              <w:t>Ažurirana</w:t>
            </w:r>
            <w:r w:rsidR="000435F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nacionalna</w:t>
            </w:r>
            <w:r w:rsidR="000435F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procena</w:t>
            </w:r>
            <w:r w:rsidR="000435F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  <w:r w:rsidR="00A4215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="00A4215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izrađen</w:t>
            </w:r>
            <w:r w:rsidR="00A4215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plan</w:t>
            </w:r>
            <w:r w:rsidR="00A4215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aktivnosti</w:t>
            </w:r>
            <w:r w:rsidR="00A4215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="00A4215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ublažavanje</w:t>
            </w:r>
            <w:r w:rsidR="00A4215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</w:p>
          <w:p w:rsidR="00F43ECD" w:rsidRPr="001A4D2F" w:rsidRDefault="00F43ECD" w:rsidP="002D69E2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514CA1" w:rsidRPr="001A4D2F" w:rsidRDefault="00DF098D" w:rsidP="00514CA1">
            <w:pPr>
              <w:rPr>
                <w:lang w:val="sr-Cyrl-CS"/>
              </w:rPr>
            </w:pPr>
            <w:r>
              <w:rPr>
                <w:lang w:val="sr-Cyrl-CS"/>
              </w:rPr>
              <w:t>Da</w:t>
            </w:r>
            <w:r w:rsidR="00514CA1" w:rsidRPr="001A4D2F">
              <w:rPr>
                <w:lang w:val="sr-Cyrl-CS"/>
              </w:rPr>
              <w:t>/</w:t>
            </w:r>
            <w:r>
              <w:rPr>
                <w:lang w:val="sr-Cyrl-CS"/>
              </w:rPr>
              <w:t>Ne</w:t>
            </w:r>
          </w:p>
          <w:p w:rsidR="00E377E3" w:rsidRPr="001A4D2F" w:rsidRDefault="00E377E3" w:rsidP="00514CA1">
            <w:pPr>
              <w:rPr>
                <w:lang w:val="sr-Cyrl-CS"/>
              </w:rPr>
            </w:pPr>
          </w:p>
        </w:tc>
        <w:tc>
          <w:tcPr>
            <w:tcW w:w="368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Default="00DF098D" w:rsidP="00514CA1">
            <w:pPr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0435F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0435F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ažuriranoj</w:t>
            </w:r>
            <w:r w:rsidR="000435F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nacionalnoj</w:t>
            </w:r>
            <w:r w:rsidR="000435F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proceni</w:t>
            </w:r>
            <w:r w:rsidR="000435F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rizika</w:t>
            </w:r>
            <w:r w:rsidR="000435FD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Plan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rada</w:t>
            </w:r>
            <w:r w:rsidR="00F43EC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bilteni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godišnji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izveštaji</w:t>
            </w:r>
            <w:r w:rsidR="005A6DC3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Izveštaji</w:t>
            </w:r>
            <w:r w:rsidR="005A6D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nadzornih</w:t>
            </w:r>
            <w:r w:rsidR="00514CA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organa</w:t>
            </w:r>
            <w:r w:rsidR="00514CA1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Izveštaji</w:t>
            </w:r>
            <w:r w:rsidR="00514CA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</w:t>
            </w:r>
            <w:r w:rsidR="00514CA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obuka</w:t>
            </w:r>
            <w:r w:rsidR="00514CA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514CA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predstavljanja</w:t>
            </w:r>
            <w:r w:rsidR="00514CA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rezultata</w:t>
            </w:r>
            <w:r w:rsidR="00514CA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procene</w:t>
            </w:r>
            <w:r w:rsidR="00514CA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rizika</w:t>
            </w:r>
          </w:p>
          <w:p w:rsidR="00327445" w:rsidRPr="001A4D2F" w:rsidRDefault="00327445" w:rsidP="00514CA1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Ne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D648D0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</w:t>
            </w:r>
            <w:r w:rsidR="000435FD" w:rsidRPr="001A4D2F">
              <w:rPr>
                <w:lang w:val="sr-Cyrl-CS"/>
              </w:rPr>
              <w:t>9.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DF098D" w:rsidP="00514CA1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Ne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3ECD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3ECD" w:rsidRPr="001A4D2F" w:rsidRDefault="00DF098D" w:rsidP="00514CA1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</w:tr>
      <w:tr w:rsidR="002D69E2" w:rsidRPr="001A4D2F" w:rsidTr="00DF0DDF"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D69E2" w:rsidRPr="001A4D2F" w:rsidRDefault="005F240E" w:rsidP="002D69E2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 </w:t>
            </w:r>
            <w:r w:rsidR="00DF098D">
              <w:rPr>
                <w:lang w:val="sr-Cyrl-CS"/>
              </w:rPr>
              <w:t>Sprovodi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</w:t>
            </w:r>
            <w:r w:rsidR="002D69E2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plan</w:t>
            </w:r>
            <w:r w:rsidR="00A4215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aktivnosti</w:t>
            </w:r>
            <w:r w:rsidR="00A4215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="00A4215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ublažavanje</w:t>
            </w:r>
            <w:r w:rsidR="00A4215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lastRenderedPageBreak/>
              <w:t>rizika</w:t>
            </w:r>
            <w:r w:rsidR="002D69E2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="008B4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skladu</w:t>
            </w:r>
            <w:r w:rsidR="008B4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="008B4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ažuriranom</w:t>
            </w:r>
            <w:r w:rsidR="008B4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nacionalnom</w:t>
            </w:r>
            <w:r w:rsidR="008B4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procenom</w:t>
            </w:r>
            <w:r w:rsidR="008B4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</w:p>
          <w:p w:rsidR="002D69E2" w:rsidRPr="001A4D2F" w:rsidRDefault="002D69E2" w:rsidP="00465BE6">
            <w:pPr>
              <w:rPr>
                <w:lang w:val="sr-Cyrl-C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D69E2" w:rsidRPr="001A4D2F" w:rsidRDefault="00DF098D" w:rsidP="00514CA1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Da</w:t>
            </w:r>
            <w:r w:rsidR="002D69E2" w:rsidRPr="001A4D2F">
              <w:rPr>
                <w:lang w:val="sr-Cyrl-CS"/>
              </w:rPr>
              <w:t>/</w:t>
            </w:r>
            <w:r>
              <w:rPr>
                <w:lang w:val="sr-Cyrl-CS"/>
              </w:rPr>
              <w:t>Ne</w:t>
            </w:r>
          </w:p>
        </w:tc>
        <w:tc>
          <w:tcPr>
            <w:tcW w:w="368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D69E2" w:rsidRPr="001A4D2F" w:rsidRDefault="00DF098D" w:rsidP="008F0383">
            <w:pPr>
              <w:rPr>
                <w:lang w:val="sr-Cyrl-CS"/>
              </w:rPr>
            </w:pPr>
            <w:r>
              <w:rPr>
                <w:lang w:val="sr-Cyrl-CS"/>
              </w:rPr>
              <w:t>Unesene</w:t>
            </w:r>
            <w:r w:rsidR="00A4215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relevantne</w:t>
            </w:r>
            <w:r w:rsidR="00A4215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A4215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8F038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novi</w:t>
            </w:r>
            <w:r w:rsidR="008F038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nacionalni</w:t>
            </w:r>
            <w:r w:rsidR="008F038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Akcioni</w:t>
            </w:r>
            <w:r w:rsidR="008F038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plan</w:t>
            </w:r>
            <w:r w:rsidR="00A42156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Plan</w:t>
            </w:r>
            <w:r w:rsidR="002D69E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lastRenderedPageBreak/>
              <w:t>rada</w:t>
            </w:r>
            <w:r w:rsidR="002D69E2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bilteni</w:t>
            </w:r>
            <w:r w:rsidR="002D69E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2D69E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godišnji</w:t>
            </w:r>
            <w:r w:rsidR="002D69E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izveštaji</w:t>
            </w:r>
            <w:r w:rsidR="002D69E2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Izveštaji</w:t>
            </w:r>
            <w:r w:rsidR="002D69E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nadzornih</w:t>
            </w:r>
            <w:r w:rsidR="002D69E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organa</w:t>
            </w:r>
            <w:r w:rsidR="002D69E2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Izveštaji</w:t>
            </w:r>
            <w:r w:rsidR="002D69E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</w:t>
            </w:r>
            <w:r w:rsidR="002D69E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obuka</w:t>
            </w:r>
            <w:r w:rsidR="002D69E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2D69E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predstavljanja</w:t>
            </w:r>
            <w:r w:rsidR="002D69E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rezultata</w:t>
            </w:r>
            <w:r w:rsidR="002D69E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procene</w:t>
            </w:r>
            <w:r w:rsidR="002D69E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rizika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D69E2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Ne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D69E2" w:rsidRPr="001A4D2F" w:rsidRDefault="002D69E2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</w:t>
            </w:r>
            <w:r w:rsidR="000435FD" w:rsidRPr="001A4D2F">
              <w:rPr>
                <w:lang w:val="sr-Cyrl-CS"/>
              </w:rPr>
              <w:t>19.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D69E2" w:rsidRPr="001A4D2F" w:rsidRDefault="00DF098D" w:rsidP="00514CA1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Ne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69E2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Ne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D69E2" w:rsidRPr="001A4D2F" w:rsidRDefault="00DF098D" w:rsidP="00514CA1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</w:tr>
    </w:tbl>
    <w:p w:rsidR="00F43ECD" w:rsidRPr="001A4D2F" w:rsidRDefault="00F43ECD" w:rsidP="00C11F8E">
      <w:pPr>
        <w:rPr>
          <w:lang w:val="sr-Cyrl-CS"/>
        </w:rPr>
      </w:pPr>
    </w:p>
    <w:p w:rsidR="00607374" w:rsidRPr="001A4D2F" w:rsidRDefault="00607374" w:rsidP="00C11F8E">
      <w:pPr>
        <w:rPr>
          <w:lang w:val="sr-Cyrl-CS"/>
        </w:rPr>
      </w:pPr>
    </w:p>
    <w:tbl>
      <w:tblPr>
        <w:tblStyle w:val="TableGrid"/>
        <w:tblW w:w="5000" w:type="pct"/>
        <w:tblLayout w:type="fixed"/>
        <w:tblLook w:val="04A0"/>
      </w:tblPr>
      <w:tblGrid>
        <w:gridCol w:w="2361"/>
        <w:gridCol w:w="1128"/>
        <w:gridCol w:w="1222"/>
        <w:gridCol w:w="1145"/>
        <w:gridCol w:w="1554"/>
        <w:gridCol w:w="1143"/>
        <w:gridCol w:w="1933"/>
        <w:gridCol w:w="1829"/>
        <w:gridCol w:w="1860"/>
      </w:tblGrid>
      <w:tr w:rsidR="00B267CF" w:rsidRPr="001A4D2F" w:rsidTr="00B267CF">
        <w:trPr>
          <w:trHeight w:val="140"/>
          <w:tblHeader/>
        </w:trPr>
        <w:tc>
          <w:tcPr>
            <w:tcW w:w="83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Naziv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aktivnosti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39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Organ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koji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sprovodi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aktivnost</w:t>
            </w:r>
          </w:p>
        </w:tc>
        <w:tc>
          <w:tcPr>
            <w:tcW w:w="431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B267CF" w:rsidP="00C11F8E">
            <w:pPr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O</w:t>
            </w:r>
            <w:r w:rsidR="00DF098D">
              <w:rPr>
                <w:b/>
                <w:sz w:val="18"/>
                <w:szCs w:val="18"/>
                <w:lang w:val="sr-Cyrl-CS"/>
              </w:rPr>
              <w:t>rgani</w:t>
            </w:r>
            <w:r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partneri</w:t>
            </w:r>
            <w:r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u</w:t>
            </w:r>
            <w:r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sprovođenju</w:t>
            </w:r>
            <w:r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aktivnosti</w:t>
            </w:r>
          </w:p>
        </w:tc>
        <w:tc>
          <w:tcPr>
            <w:tcW w:w="40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Rok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za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završetak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aktivnosti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Izvor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finansiranja</w:t>
            </w:r>
          </w:p>
        </w:tc>
        <w:tc>
          <w:tcPr>
            <w:tcW w:w="40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Veza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sa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4"/>
                <w:szCs w:val="14"/>
                <w:lang w:val="sr-Cyrl-CS"/>
              </w:rPr>
              <w:t>programskim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budžetom</w:t>
            </w:r>
          </w:p>
          <w:p w:rsidR="00B267CF" w:rsidRPr="00536DA8" w:rsidRDefault="00B267CF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3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Ukupna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procenjena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finansijska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sredstva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po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izvorima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u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000 </w:t>
            </w:r>
            <w:r>
              <w:rPr>
                <w:b/>
                <w:sz w:val="18"/>
                <w:szCs w:val="18"/>
                <w:lang w:val="sr-Cyrl-CS"/>
              </w:rPr>
              <w:t>din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>.</w:t>
            </w:r>
            <w:r w:rsidR="00B267CF" w:rsidRPr="00536DA8">
              <w:rPr>
                <w:rStyle w:val="FootnoteReference"/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DB34B7" w:rsidRPr="001A4D2F" w:rsidTr="00DB34B7">
        <w:trPr>
          <w:trHeight w:val="386"/>
          <w:tblHeader/>
        </w:trPr>
        <w:tc>
          <w:tcPr>
            <w:tcW w:w="833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DB34B7" w:rsidRPr="00536DA8" w:rsidRDefault="00DB34B7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398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31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04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48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03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682" w:type="pct"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2020.</w:t>
            </w:r>
          </w:p>
        </w:tc>
        <w:tc>
          <w:tcPr>
            <w:tcW w:w="645" w:type="pct"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656" w:type="pct"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2022.</w:t>
            </w:r>
          </w:p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DB34B7" w:rsidRPr="001A4D2F" w:rsidTr="00DB34B7">
        <w:trPr>
          <w:trHeight w:val="1280"/>
        </w:trPr>
        <w:tc>
          <w:tcPr>
            <w:tcW w:w="833" w:type="pct"/>
            <w:tcBorders>
              <w:left w:val="double" w:sz="4" w:space="0" w:color="auto"/>
            </w:tcBorders>
          </w:tcPr>
          <w:p w:rsidR="00DB34B7" w:rsidRPr="001A4D2F" w:rsidRDefault="00DB34B7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1.1.1 </w:t>
            </w:r>
            <w:r w:rsidR="00DF098D">
              <w:rPr>
                <w:lang w:val="sr-Cyrl-CS"/>
              </w:rPr>
              <w:t>Utvrđivanje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metodologije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ažuriranje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nacionalne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procene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od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Pr="001A4D2F">
              <w:rPr>
                <w:lang w:val="sr-Cyrl-CS"/>
              </w:rPr>
              <w:t xml:space="preserve"> </w:t>
            </w:r>
          </w:p>
          <w:p w:rsidR="00DB34B7" w:rsidRPr="001A4D2F" w:rsidRDefault="00DB34B7" w:rsidP="00C11F8E">
            <w:pPr>
              <w:rPr>
                <w:lang w:val="sr-Cyrl-CS"/>
              </w:rPr>
            </w:pPr>
          </w:p>
        </w:tc>
        <w:tc>
          <w:tcPr>
            <w:tcW w:w="398" w:type="pct"/>
          </w:tcPr>
          <w:p w:rsidR="00DB34B7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31" w:type="pct"/>
          </w:tcPr>
          <w:p w:rsidR="00DB34B7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Svi</w:t>
            </w:r>
            <w:r w:rsidR="00DB34B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učesnici</w:t>
            </w:r>
            <w:r w:rsidR="00DB34B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DB34B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sistemu</w:t>
            </w:r>
            <w:r w:rsidR="00DB34B7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po</w:t>
            </w:r>
            <w:r w:rsidR="00DB34B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potrebi</w:t>
            </w:r>
          </w:p>
        </w:tc>
        <w:tc>
          <w:tcPr>
            <w:tcW w:w="404" w:type="pct"/>
          </w:tcPr>
          <w:p w:rsidR="00DB34B7" w:rsidRPr="001A4D2F" w:rsidRDefault="002D69E2" w:rsidP="00D648D0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II</w:t>
            </w:r>
            <w:r w:rsidR="00DB34B7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kvartal</w:t>
            </w:r>
            <w:r w:rsidR="00DB34B7" w:rsidRPr="001A4D2F">
              <w:rPr>
                <w:lang w:val="sr-Cyrl-CS"/>
              </w:rPr>
              <w:t xml:space="preserve"> 2021.</w:t>
            </w:r>
          </w:p>
        </w:tc>
        <w:tc>
          <w:tcPr>
            <w:tcW w:w="548" w:type="pct"/>
          </w:tcPr>
          <w:p w:rsidR="00DB34B7" w:rsidRPr="001A4D2F" w:rsidRDefault="00DF098D" w:rsidP="00A42156">
            <w:pPr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  <w:r w:rsidR="00DB34B7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npr</w:t>
            </w:r>
            <w:r w:rsidR="003214BC" w:rsidRPr="001A4D2F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Projekat</w:t>
            </w:r>
            <w:r w:rsidR="00DB34B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DB34B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sprečavanje</w:t>
            </w:r>
            <w:r w:rsidR="00DB34B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pranja</w:t>
            </w:r>
            <w:r w:rsidR="00DB34B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novca</w:t>
            </w:r>
            <w:r w:rsidR="00DB34B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DB34B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Republici</w:t>
            </w:r>
            <w:r w:rsidR="00DB34B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Srbiji</w:t>
            </w:r>
            <w:r w:rsidR="00DB34B7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EU</w:t>
            </w:r>
            <w:r w:rsidR="00DB34B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IPA</w:t>
            </w:r>
            <w:r w:rsidR="00DB34B7" w:rsidRPr="001A4D2F">
              <w:rPr>
                <w:lang w:val="sr-Cyrl-CS"/>
              </w:rPr>
              <w:t xml:space="preserve"> 2015)</w:t>
            </w:r>
            <w:r w:rsidR="00A4215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OEBS</w:t>
            </w:r>
          </w:p>
        </w:tc>
        <w:tc>
          <w:tcPr>
            <w:tcW w:w="403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  <w:tc>
          <w:tcPr>
            <w:tcW w:w="682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DB34B7" w:rsidRPr="001A4D2F" w:rsidRDefault="00DB34B7" w:rsidP="001A0C43">
            <w:pPr>
              <w:pStyle w:val="CommentText"/>
              <w:rPr>
                <w:color w:val="FF0000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56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</w:tr>
      <w:tr w:rsidR="00363221" w:rsidRPr="001A4D2F" w:rsidTr="00DB34B7">
        <w:trPr>
          <w:trHeight w:val="1280"/>
        </w:trPr>
        <w:tc>
          <w:tcPr>
            <w:tcW w:w="833" w:type="pct"/>
            <w:tcBorders>
              <w:left w:val="double" w:sz="4" w:space="0" w:color="auto"/>
            </w:tcBorders>
          </w:tcPr>
          <w:p w:rsidR="00363221" w:rsidRPr="00597E67" w:rsidRDefault="00363221" w:rsidP="00363221">
            <w:pPr>
              <w:rPr>
                <w:sz w:val="20"/>
                <w:szCs w:val="20"/>
                <w:lang w:val="sr-Cyrl-CS"/>
              </w:rPr>
            </w:pPr>
            <w:r w:rsidRPr="00597E67">
              <w:rPr>
                <w:sz w:val="20"/>
                <w:szCs w:val="20"/>
                <w:lang w:val="sr-Cyrl-CS"/>
              </w:rPr>
              <w:t xml:space="preserve">1.1.2. </w:t>
            </w:r>
            <w:r w:rsidR="00DF098D">
              <w:rPr>
                <w:sz w:val="20"/>
                <w:szCs w:val="20"/>
                <w:lang w:val="sr-Cyrl-CS"/>
              </w:rPr>
              <w:t>Utvrditi</w:t>
            </w:r>
            <w:r w:rsidRPr="00597E67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plan</w:t>
            </w:r>
            <w:r w:rsidRPr="00597E67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aktivnosti</w:t>
            </w:r>
            <w:r w:rsidRPr="00597E67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za</w:t>
            </w:r>
            <w:r w:rsidRPr="00597E67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ublažavanje</w:t>
            </w:r>
            <w:r w:rsidRPr="00597E67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rizika</w:t>
            </w:r>
            <w:r w:rsidRPr="00597E67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utvrđenih</w:t>
            </w:r>
            <w:r w:rsidRPr="00597E67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kao</w:t>
            </w:r>
            <w:r w:rsidRPr="00597E67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rezultat</w:t>
            </w:r>
            <w:r w:rsidRPr="00597E67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aktivnosti</w:t>
            </w:r>
            <w:r w:rsidRPr="00597E67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pod</w:t>
            </w:r>
            <w:r w:rsidRPr="00597E67">
              <w:rPr>
                <w:sz w:val="20"/>
                <w:szCs w:val="20"/>
                <w:lang w:val="sr-Cyrl-CS"/>
              </w:rPr>
              <w:t xml:space="preserve"> 1.1.1.</w:t>
            </w:r>
          </w:p>
        </w:tc>
        <w:tc>
          <w:tcPr>
            <w:tcW w:w="398" w:type="pct"/>
          </w:tcPr>
          <w:p w:rsidR="00363221" w:rsidRPr="00597E67" w:rsidRDefault="00DF098D" w:rsidP="00363221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KT</w:t>
            </w:r>
          </w:p>
        </w:tc>
        <w:tc>
          <w:tcPr>
            <w:tcW w:w="431" w:type="pct"/>
          </w:tcPr>
          <w:p w:rsidR="00363221" w:rsidRPr="00597E67" w:rsidRDefault="00DF098D" w:rsidP="0036322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Svi</w:t>
            </w:r>
            <w:r w:rsidR="00363221" w:rsidRPr="00597E67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učesnici</w:t>
            </w:r>
            <w:r w:rsidR="00363221" w:rsidRPr="00597E67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u</w:t>
            </w:r>
            <w:r w:rsidR="00363221" w:rsidRPr="00597E67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sistemu</w:t>
            </w:r>
            <w:r w:rsidR="00363221" w:rsidRPr="00597E67">
              <w:rPr>
                <w:sz w:val="22"/>
                <w:szCs w:val="22"/>
                <w:lang w:val="sr-Cyrl-CS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po</w:t>
            </w:r>
            <w:r w:rsidR="00363221" w:rsidRPr="00597E67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potrebi</w:t>
            </w:r>
          </w:p>
        </w:tc>
        <w:tc>
          <w:tcPr>
            <w:tcW w:w="404" w:type="pct"/>
          </w:tcPr>
          <w:p w:rsidR="00363221" w:rsidRPr="00597E67" w:rsidRDefault="00363221" w:rsidP="00C36273">
            <w:pPr>
              <w:rPr>
                <w:sz w:val="22"/>
                <w:szCs w:val="22"/>
                <w:lang w:val="sr-Cyrl-CS"/>
              </w:rPr>
            </w:pPr>
            <w:r w:rsidRPr="00597E67">
              <w:rPr>
                <w:sz w:val="22"/>
                <w:szCs w:val="22"/>
                <w:lang w:val="sr-Cyrl-CS"/>
              </w:rPr>
              <w:t xml:space="preserve">II </w:t>
            </w:r>
            <w:r w:rsidR="00DF098D">
              <w:rPr>
                <w:sz w:val="22"/>
                <w:szCs w:val="22"/>
                <w:lang w:val="sr-Cyrl-CS"/>
              </w:rPr>
              <w:t>kvartal</w:t>
            </w:r>
            <w:r w:rsidRPr="00597E67">
              <w:rPr>
                <w:sz w:val="22"/>
                <w:szCs w:val="22"/>
                <w:lang w:val="sr-Cyrl-CS"/>
              </w:rPr>
              <w:t xml:space="preserve"> 202</w:t>
            </w:r>
            <w:r w:rsidR="00C36273" w:rsidRPr="00597E67">
              <w:rPr>
                <w:sz w:val="22"/>
                <w:szCs w:val="22"/>
                <w:lang w:val="sr-Cyrl-CS"/>
              </w:rPr>
              <w:t>2</w:t>
            </w:r>
            <w:r w:rsidRPr="00597E67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548" w:type="pct"/>
          </w:tcPr>
          <w:p w:rsidR="00363221" w:rsidRPr="001A4D2F" w:rsidRDefault="00DF098D" w:rsidP="00363221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C36273" w:rsidRPr="001A4D2F" w:rsidRDefault="00C36273" w:rsidP="00363221">
            <w:pPr>
              <w:rPr>
                <w:lang w:val="sr-Cyrl-CS"/>
              </w:rPr>
            </w:pPr>
          </w:p>
          <w:p w:rsidR="00C36273" w:rsidRPr="001A4D2F" w:rsidRDefault="00DF098D" w:rsidP="00363221">
            <w:pPr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C3627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C3627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  <w:r w:rsidR="00C36273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npr</w:t>
            </w:r>
            <w:r w:rsidR="00C36273" w:rsidRPr="001A4D2F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EU</w:t>
            </w:r>
            <w:r w:rsidR="00C3627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IPA</w:t>
            </w:r>
            <w:r w:rsidR="00C36273" w:rsidRPr="001A4D2F">
              <w:rPr>
                <w:lang w:val="sr-Cyrl-CS"/>
              </w:rPr>
              <w:t xml:space="preserve">), </w:t>
            </w:r>
            <w:r>
              <w:rPr>
                <w:lang w:val="sr-Cyrl-CS"/>
              </w:rPr>
              <w:t>OEBS</w:t>
            </w:r>
          </w:p>
          <w:p w:rsidR="00363221" w:rsidRPr="001A4D2F" w:rsidRDefault="00363221" w:rsidP="00363221">
            <w:pPr>
              <w:rPr>
                <w:lang w:val="sr-Cyrl-CS"/>
              </w:rPr>
            </w:pPr>
          </w:p>
        </w:tc>
        <w:tc>
          <w:tcPr>
            <w:tcW w:w="403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82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363221" w:rsidRPr="001A4D2F" w:rsidRDefault="00363221" w:rsidP="001A0C43">
            <w:pPr>
              <w:pStyle w:val="CommentText"/>
              <w:rPr>
                <w:color w:val="FF0000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656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</w:tr>
      <w:tr w:rsidR="00363221" w:rsidRPr="001A4D2F" w:rsidTr="00DB34B7">
        <w:trPr>
          <w:trHeight w:val="1681"/>
        </w:trPr>
        <w:tc>
          <w:tcPr>
            <w:tcW w:w="833" w:type="pct"/>
            <w:tcBorders>
              <w:left w:val="double" w:sz="4" w:space="0" w:color="auto"/>
            </w:tcBorders>
          </w:tcPr>
          <w:p w:rsidR="00363221" w:rsidRDefault="00363221" w:rsidP="00C36273">
            <w:r w:rsidRPr="001A4D2F">
              <w:rPr>
                <w:lang w:val="sr-Cyrl-CS"/>
              </w:rPr>
              <w:lastRenderedPageBreak/>
              <w:t>1.1.</w:t>
            </w:r>
            <w:r w:rsidR="00C36273" w:rsidRPr="001A4D2F">
              <w:rPr>
                <w:lang w:val="sr-Cyrl-CS"/>
              </w:rPr>
              <w:t>3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Predstavljanje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rezultata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nacionalne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procene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svim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učesnicima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sistemu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podsticanje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učesnika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primene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odgovarajuće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zaključke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smernice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svom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radu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ciljem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smanjenja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utvrđenih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</w:p>
          <w:p w:rsidR="00DA0EC2" w:rsidRPr="00DA0EC2" w:rsidRDefault="00DA0EC2" w:rsidP="00C36273"/>
        </w:tc>
        <w:tc>
          <w:tcPr>
            <w:tcW w:w="398" w:type="pct"/>
          </w:tcPr>
          <w:p w:rsidR="00363221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31" w:type="pct"/>
          </w:tcPr>
          <w:p w:rsidR="00363221" w:rsidRPr="001A4D2F" w:rsidRDefault="00DF098D" w:rsidP="00D648D0">
            <w:pPr>
              <w:rPr>
                <w:lang w:val="sr-Cyrl-CS"/>
              </w:rPr>
            </w:pPr>
            <w:r>
              <w:rPr>
                <w:lang w:val="sr-Cyrl-CS"/>
              </w:rPr>
              <w:t>Privatni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sektor</w:t>
            </w:r>
            <w:r w:rsidR="00363221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npr</w:t>
            </w:r>
            <w:r w:rsidR="00363221" w:rsidRPr="001A4D2F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udruženja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obveznika</w:t>
            </w:r>
            <w:r w:rsidR="00363221" w:rsidRPr="001A4D2F">
              <w:rPr>
                <w:lang w:val="sr-Cyrl-CS"/>
              </w:rPr>
              <w:t xml:space="preserve">), </w:t>
            </w:r>
            <w:r>
              <w:rPr>
                <w:lang w:val="sr-Cyrl-CS"/>
              </w:rPr>
              <w:t>neprofitni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sektor</w:t>
            </w:r>
          </w:p>
        </w:tc>
        <w:tc>
          <w:tcPr>
            <w:tcW w:w="404" w:type="pct"/>
          </w:tcPr>
          <w:p w:rsidR="00363221" w:rsidRPr="001A4D2F" w:rsidRDefault="00363221" w:rsidP="00D648D0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48" w:type="pct"/>
          </w:tcPr>
          <w:p w:rsidR="00363221" w:rsidRPr="001A4D2F" w:rsidRDefault="00DF098D" w:rsidP="003214BC">
            <w:pPr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  <w:r w:rsidR="00363221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npr</w:t>
            </w:r>
            <w:r w:rsidR="00363221" w:rsidRPr="001A4D2F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Projekat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sprečavanje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pranja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novca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Republici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Srbiji</w:t>
            </w:r>
            <w:r w:rsidR="00363221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EU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IPA</w:t>
            </w:r>
            <w:r w:rsidR="00363221" w:rsidRPr="001A4D2F">
              <w:rPr>
                <w:lang w:val="sr-Cyrl-CS"/>
              </w:rPr>
              <w:t xml:space="preserve"> 2015), </w:t>
            </w:r>
            <w:r>
              <w:rPr>
                <w:lang w:val="sr-Cyrl-CS"/>
              </w:rPr>
              <w:t>OEBS</w:t>
            </w:r>
          </w:p>
        </w:tc>
        <w:tc>
          <w:tcPr>
            <w:tcW w:w="403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82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56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</w:tr>
      <w:tr w:rsidR="00363221" w:rsidRPr="001A4D2F" w:rsidTr="00DB34B7">
        <w:trPr>
          <w:trHeight w:val="543"/>
        </w:trPr>
        <w:tc>
          <w:tcPr>
            <w:tcW w:w="833" w:type="pct"/>
            <w:tcBorders>
              <w:left w:val="double" w:sz="4" w:space="0" w:color="auto"/>
            </w:tcBorders>
          </w:tcPr>
          <w:p w:rsidR="00363221" w:rsidRPr="001A4D2F" w:rsidRDefault="00363221" w:rsidP="00C3627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1.1.</w:t>
            </w:r>
            <w:r w:rsidR="00C36273" w:rsidRPr="001A4D2F">
              <w:rPr>
                <w:lang w:val="sr-Cyrl-CS"/>
              </w:rPr>
              <w:t>4</w:t>
            </w:r>
            <w:r w:rsidRPr="001A4D2F">
              <w:rPr>
                <w:lang w:val="sr-Cyrl-CS"/>
              </w:rPr>
              <w:t xml:space="preserve">. </w:t>
            </w:r>
            <w:r w:rsidR="00DF098D">
              <w:rPr>
                <w:lang w:val="sr-Cyrl-CS"/>
              </w:rPr>
              <w:t>Obezbediti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sve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institucije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prilikom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preduzimanja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aktivnosti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svojih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nadležnosti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utvrđuju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prioritete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osnovu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rezultata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nacionalne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procene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  <w:r w:rsidRPr="001A4D2F">
              <w:rPr>
                <w:lang w:val="sr-Cyrl-CS"/>
              </w:rPr>
              <w:t xml:space="preserve"> </w:t>
            </w:r>
          </w:p>
        </w:tc>
        <w:tc>
          <w:tcPr>
            <w:tcW w:w="398" w:type="pct"/>
          </w:tcPr>
          <w:p w:rsidR="00363221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31" w:type="pct"/>
          </w:tcPr>
          <w:p w:rsidR="00363221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Svi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učesnici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sistemu</w:t>
            </w:r>
            <w:r w:rsidR="00363221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po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potrebi</w:t>
            </w:r>
          </w:p>
        </w:tc>
        <w:tc>
          <w:tcPr>
            <w:tcW w:w="404" w:type="pct"/>
          </w:tcPr>
          <w:p w:rsidR="00363221" w:rsidRPr="001A4D2F" w:rsidRDefault="00363221" w:rsidP="002D69E2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II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2021 - 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 </w:t>
            </w:r>
          </w:p>
        </w:tc>
        <w:tc>
          <w:tcPr>
            <w:tcW w:w="548" w:type="pct"/>
          </w:tcPr>
          <w:p w:rsidR="00363221" w:rsidRPr="001A4D2F" w:rsidRDefault="00DF098D" w:rsidP="00DD68A6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403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82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56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</w:tr>
      <w:tr w:rsidR="00363221" w:rsidRPr="001A4D2F" w:rsidTr="00DB34B7">
        <w:trPr>
          <w:trHeight w:val="140"/>
        </w:trPr>
        <w:tc>
          <w:tcPr>
            <w:tcW w:w="833" w:type="pct"/>
            <w:tcBorders>
              <w:left w:val="double" w:sz="4" w:space="0" w:color="auto"/>
            </w:tcBorders>
          </w:tcPr>
          <w:p w:rsidR="00363221" w:rsidRPr="001A4D2F" w:rsidRDefault="00363221" w:rsidP="00C3627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1.1.</w:t>
            </w:r>
            <w:r w:rsidR="00C36273" w:rsidRPr="001A4D2F">
              <w:rPr>
                <w:lang w:val="sr-Cyrl-CS"/>
              </w:rPr>
              <w:t>5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Kreiranje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softverske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aplikacije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statističko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praćenje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predmeta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njeno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puštanje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rad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skladu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lastRenderedPageBreak/>
              <w:t>Smernicama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uspostavljanje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jedinstvene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metodologije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izrade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izveštaja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jednoobraznog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praćenja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predmeta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predmeta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</w:p>
        </w:tc>
        <w:tc>
          <w:tcPr>
            <w:tcW w:w="398" w:type="pct"/>
          </w:tcPr>
          <w:p w:rsidR="00363221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USPN</w:t>
            </w:r>
          </w:p>
        </w:tc>
        <w:tc>
          <w:tcPr>
            <w:tcW w:w="431" w:type="pct"/>
          </w:tcPr>
          <w:p w:rsidR="00363221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VKS</w:t>
            </w:r>
            <w:r w:rsidR="00363221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RJT</w:t>
            </w:r>
            <w:r w:rsidR="00363221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MUP</w:t>
            </w:r>
            <w:r w:rsidR="00363221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BIA</w:t>
            </w:r>
            <w:r w:rsidR="00363221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PU</w:t>
            </w:r>
            <w:r w:rsidR="00363221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UC</w:t>
            </w:r>
            <w:r w:rsidR="00363221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NBS</w:t>
            </w:r>
            <w:r w:rsidR="00363221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KHOV</w:t>
            </w:r>
            <w:r w:rsidR="00363221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MP</w:t>
            </w:r>
            <w:r w:rsidR="00363221" w:rsidRPr="001A4D2F">
              <w:rPr>
                <w:lang w:val="sr-Cyrl-CS"/>
              </w:rPr>
              <w:t>-</w:t>
            </w:r>
            <w:r>
              <w:rPr>
                <w:lang w:val="sr-Cyrl-CS"/>
              </w:rPr>
              <w:t>DUOI</w:t>
            </w:r>
          </w:p>
        </w:tc>
        <w:tc>
          <w:tcPr>
            <w:tcW w:w="404" w:type="pct"/>
          </w:tcPr>
          <w:p w:rsidR="00363221" w:rsidRPr="001A4D2F" w:rsidRDefault="00363221" w:rsidP="00D648D0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II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2020.</w:t>
            </w:r>
          </w:p>
        </w:tc>
        <w:tc>
          <w:tcPr>
            <w:tcW w:w="548" w:type="pct"/>
          </w:tcPr>
          <w:p w:rsidR="00363221" w:rsidRPr="001A4D2F" w:rsidRDefault="00DF098D" w:rsidP="003214BC">
            <w:pPr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međunarodnih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  <w:r w:rsidR="00363221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npr</w:t>
            </w:r>
            <w:r w:rsidR="00363221" w:rsidRPr="001A4D2F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Projekat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sprečavanje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pranja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novca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Republici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lastRenderedPageBreak/>
              <w:t>Srbiji</w:t>
            </w:r>
            <w:r w:rsidR="00363221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EU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IPA</w:t>
            </w:r>
            <w:r w:rsidR="00363221" w:rsidRPr="001A4D2F">
              <w:rPr>
                <w:lang w:val="sr-Cyrl-CS"/>
              </w:rPr>
              <w:t xml:space="preserve"> 2015), </w:t>
            </w:r>
            <w:r>
              <w:rPr>
                <w:lang w:val="sr-Cyrl-CS"/>
              </w:rPr>
              <w:t>OEBS</w:t>
            </w:r>
          </w:p>
        </w:tc>
        <w:tc>
          <w:tcPr>
            <w:tcW w:w="403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82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56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</w:tr>
      <w:tr w:rsidR="00363221" w:rsidRPr="001A4D2F" w:rsidTr="00DB34B7">
        <w:trPr>
          <w:trHeight w:val="140"/>
        </w:trPr>
        <w:tc>
          <w:tcPr>
            <w:tcW w:w="833" w:type="pct"/>
            <w:tcBorders>
              <w:left w:val="double" w:sz="4" w:space="0" w:color="auto"/>
            </w:tcBorders>
          </w:tcPr>
          <w:p w:rsidR="00363221" w:rsidRPr="001A4D2F" w:rsidRDefault="00C36273" w:rsidP="001A0C4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1.1.6</w:t>
            </w:r>
            <w:r w:rsidR="00363221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Obezbediti</w:t>
            </w:r>
            <w:r w:rsidR="00363221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da</w:t>
            </w:r>
            <w:r w:rsidR="00363221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svi</w:t>
            </w:r>
            <w:r w:rsidR="00363221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relevantni</w:t>
            </w:r>
            <w:r w:rsidR="00363221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učesnici</w:t>
            </w:r>
            <w:r w:rsidR="00363221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="00363221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sistemu</w:t>
            </w:r>
            <w:r w:rsidR="00363221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koriste</w:t>
            </w:r>
            <w:r w:rsidR="00363221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softversku</w:t>
            </w:r>
            <w:r w:rsidR="00363221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aplikaciju</w:t>
            </w:r>
            <w:r w:rsidR="00363221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="00363221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praćenje</w:t>
            </w:r>
            <w:r w:rsidR="00363221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predmeta</w:t>
            </w:r>
            <w:r w:rsidR="00363221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pranja</w:t>
            </w:r>
            <w:r w:rsidR="00363221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  <w:r w:rsidR="00363221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="00363221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finansiranja</w:t>
            </w:r>
            <w:r w:rsidR="00363221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="00363221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</w:t>
            </w:r>
            <w:r w:rsidR="00363221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aktivnosti</w:t>
            </w:r>
            <w:r w:rsidR="00363221" w:rsidRPr="001A4D2F">
              <w:rPr>
                <w:lang w:val="sr-Cyrl-CS"/>
              </w:rPr>
              <w:t xml:space="preserve"> 1.1.4.</w:t>
            </w:r>
          </w:p>
        </w:tc>
        <w:tc>
          <w:tcPr>
            <w:tcW w:w="398" w:type="pct"/>
          </w:tcPr>
          <w:p w:rsidR="00363221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31" w:type="pct"/>
          </w:tcPr>
          <w:p w:rsidR="00363221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RJT</w:t>
            </w:r>
            <w:r w:rsidR="00363221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USPN</w:t>
            </w:r>
            <w:r w:rsidR="00363221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MUP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dr</w:t>
            </w:r>
            <w:r w:rsidR="00363221" w:rsidRPr="001A4D2F">
              <w:rPr>
                <w:lang w:val="sr-Cyrl-CS"/>
              </w:rPr>
              <w:t>.</w:t>
            </w:r>
          </w:p>
        </w:tc>
        <w:tc>
          <w:tcPr>
            <w:tcW w:w="404" w:type="pct"/>
          </w:tcPr>
          <w:p w:rsidR="00363221" w:rsidRPr="001A4D2F" w:rsidRDefault="00363221" w:rsidP="00BD0F8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2020.</w:t>
            </w:r>
          </w:p>
        </w:tc>
        <w:tc>
          <w:tcPr>
            <w:tcW w:w="548" w:type="pct"/>
          </w:tcPr>
          <w:p w:rsidR="00363221" w:rsidRPr="001A4D2F" w:rsidRDefault="00DF098D" w:rsidP="00DD68A6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36322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363221" w:rsidRPr="001A4D2F" w:rsidRDefault="00363221" w:rsidP="00F251A1">
            <w:pPr>
              <w:rPr>
                <w:lang w:val="sr-Cyrl-CS"/>
              </w:rPr>
            </w:pPr>
          </w:p>
        </w:tc>
        <w:tc>
          <w:tcPr>
            <w:tcW w:w="403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82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  <w:tc>
          <w:tcPr>
            <w:tcW w:w="656" w:type="pct"/>
          </w:tcPr>
          <w:p w:rsidR="00363221" w:rsidRPr="001A4D2F" w:rsidRDefault="00363221" w:rsidP="00C11F8E">
            <w:pPr>
              <w:rPr>
                <w:lang w:val="sr-Cyrl-CS"/>
              </w:rPr>
            </w:pPr>
          </w:p>
        </w:tc>
      </w:tr>
    </w:tbl>
    <w:p w:rsidR="00C1496A" w:rsidRPr="001A4D2F" w:rsidRDefault="00C1496A" w:rsidP="00C11F8E">
      <w:pPr>
        <w:rPr>
          <w:b/>
          <w:lang w:val="sr-Cyrl-CS"/>
        </w:rPr>
      </w:pPr>
    </w:p>
    <w:p w:rsidR="00F43ECD" w:rsidRPr="001A4D2F" w:rsidRDefault="00F43ECD" w:rsidP="00C11F8E">
      <w:pPr>
        <w:rPr>
          <w:b/>
          <w:lang w:val="sr-Cyrl-CS"/>
        </w:rPr>
      </w:pPr>
    </w:p>
    <w:tbl>
      <w:tblPr>
        <w:tblStyle w:val="TableGrid"/>
        <w:tblW w:w="14132" w:type="dxa"/>
        <w:tblInd w:w="10" w:type="dxa"/>
        <w:tblLayout w:type="fixed"/>
        <w:tblLook w:val="04A0"/>
      </w:tblPr>
      <w:tblGrid>
        <w:gridCol w:w="3149"/>
        <w:gridCol w:w="1060"/>
        <w:gridCol w:w="3402"/>
        <w:gridCol w:w="992"/>
        <w:gridCol w:w="1134"/>
        <w:gridCol w:w="1418"/>
        <w:gridCol w:w="1559"/>
        <w:gridCol w:w="1418"/>
      </w:tblGrid>
      <w:tr w:rsidR="00F43ECD" w:rsidRPr="001A4D2F" w:rsidTr="004316AD">
        <w:trPr>
          <w:trHeight w:val="169"/>
        </w:trPr>
        <w:tc>
          <w:tcPr>
            <w:tcW w:w="1413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DF098D" w:rsidP="00C11F8E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3" w:name="_Toc32409907"/>
            <w:r>
              <w:rPr>
                <w:rFonts w:cs="Times New Roman"/>
                <w:sz w:val="24"/>
                <w:lang w:val="sr-Cyrl-CS"/>
              </w:rPr>
              <w:t>Mera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1.2: </w:t>
            </w:r>
            <w:r>
              <w:rPr>
                <w:rFonts w:cs="Times New Roman"/>
                <w:sz w:val="24"/>
                <w:lang w:val="sr-Cyrl-CS"/>
              </w:rPr>
              <w:t>Smanjivanje</w:t>
            </w:r>
            <w:r w:rsidR="0028383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prepoznatih</w:t>
            </w:r>
            <w:r w:rsidR="0028383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rizika</w:t>
            </w:r>
            <w:r w:rsidR="0028383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</w:t>
            </w:r>
            <w:r w:rsidR="0028383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kontinuirano</w:t>
            </w:r>
            <w:r w:rsidR="0028383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prepoznavanje</w:t>
            </w:r>
            <w:r w:rsidR="0060737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novih</w:t>
            </w:r>
            <w:r w:rsidR="0060737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pretnji</w:t>
            </w:r>
            <w:r w:rsidR="0028383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</w:t>
            </w:r>
            <w:r w:rsidR="0028383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ranjivosti</w:t>
            </w:r>
            <w:bookmarkEnd w:id="3"/>
          </w:p>
        </w:tc>
      </w:tr>
      <w:tr w:rsidR="00F43ECD" w:rsidRPr="001A4D2F" w:rsidTr="004316AD">
        <w:trPr>
          <w:trHeight w:val="300"/>
        </w:trPr>
        <w:tc>
          <w:tcPr>
            <w:tcW w:w="14132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F43ECD" w:rsidRPr="001A4D2F" w:rsidRDefault="00DF098D" w:rsidP="00C11F8E">
            <w:pPr>
              <w:rPr>
                <w:lang w:val="sr-Cyrl-CS"/>
              </w:rPr>
            </w:pPr>
            <w:r>
              <w:rPr>
                <w:rFonts w:eastAsia="Times New Roman"/>
                <w:color w:val="222222"/>
                <w:lang w:val="sr-Cyrl-CS"/>
              </w:rPr>
              <w:t>Institucija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odgovorna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za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praćenje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i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kontrolu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realizacije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: </w:t>
            </w:r>
            <w:r>
              <w:rPr>
                <w:rFonts w:eastAsia="Times New Roman"/>
                <w:color w:val="222222"/>
                <w:lang w:val="sr-Cyrl-CS"/>
              </w:rPr>
              <w:t>Koordinaciono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telo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za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sprečavanje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pranja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novca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i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finansiranja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terorizma</w:t>
            </w:r>
          </w:p>
        </w:tc>
      </w:tr>
      <w:tr w:rsidR="00F43ECD" w:rsidRPr="001A4D2F" w:rsidTr="004316AD">
        <w:trPr>
          <w:trHeight w:val="300"/>
        </w:trPr>
        <w:tc>
          <w:tcPr>
            <w:tcW w:w="761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Period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sprovođenja</w:t>
            </w:r>
            <w:r w:rsidR="00F43ECD" w:rsidRPr="001A4D2F">
              <w:rPr>
                <w:lang w:val="sr-Cyrl-CS"/>
              </w:rPr>
              <w:t>:</w:t>
            </w:r>
            <w:r w:rsidR="00607374" w:rsidRPr="001A4D2F">
              <w:rPr>
                <w:lang w:val="sr-Cyrl-CS"/>
              </w:rPr>
              <w:t xml:space="preserve"> 2020-2022</w:t>
            </w:r>
          </w:p>
        </w:tc>
        <w:tc>
          <w:tcPr>
            <w:tcW w:w="652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DF098D" w:rsidP="00E62F72">
            <w:pPr>
              <w:rPr>
                <w:lang w:val="sr-Cyrl-CS"/>
              </w:rPr>
            </w:pPr>
            <w:r>
              <w:rPr>
                <w:lang w:val="sr-Cyrl-CS"/>
              </w:rPr>
              <w:t>Tip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F43ECD" w:rsidRPr="001A4D2F">
              <w:rPr>
                <w:lang w:val="sr-Cyrl-CS"/>
              </w:rPr>
              <w:t>:</w:t>
            </w:r>
            <w:r w:rsidR="009A248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Institucionalno</w:t>
            </w:r>
            <w:r w:rsidR="00F77324" w:rsidRPr="001A4D2F">
              <w:rPr>
                <w:lang w:val="sr-Cyrl-CS"/>
              </w:rPr>
              <w:t>-</w:t>
            </w:r>
            <w:r>
              <w:rPr>
                <w:lang w:val="sr-Cyrl-CS"/>
              </w:rPr>
              <w:t>upravljačko</w:t>
            </w:r>
            <w:r w:rsidR="00F77324" w:rsidRPr="001A4D2F">
              <w:rPr>
                <w:lang w:val="sr-Cyrl-CS"/>
              </w:rPr>
              <w:t>-</w:t>
            </w:r>
            <w:r>
              <w:rPr>
                <w:lang w:val="sr-Cyrl-CS"/>
              </w:rPr>
              <w:t>organizaciona</w:t>
            </w:r>
          </w:p>
        </w:tc>
      </w:tr>
      <w:tr w:rsidR="004316AD" w:rsidRPr="001A4D2F" w:rsidTr="00985089">
        <w:trPr>
          <w:trHeight w:val="609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Pokazatelj</w:t>
            </w:r>
            <w:r w:rsidR="004316AD" w:rsidRPr="001A4D2F">
              <w:rPr>
                <w:lang w:val="sr-Cyrl-CS"/>
              </w:rPr>
              <w:t>(</w:t>
            </w:r>
            <w:r>
              <w:rPr>
                <w:lang w:val="sr-Cyrl-CS"/>
              </w:rPr>
              <w:t>i</w:t>
            </w:r>
            <w:r w:rsidR="004316AD" w:rsidRPr="001A4D2F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nivou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4316AD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pokazatelj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rezultata</w:t>
            </w:r>
            <w:r w:rsidR="004316AD" w:rsidRPr="001A4D2F">
              <w:rPr>
                <w:lang w:val="sr-Cyrl-CS"/>
              </w:rPr>
              <w:t>)</w:t>
            </w:r>
          </w:p>
        </w:tc>
        <w:tc>
          <w:tcPr>
            <w:tcW w:w="106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263780" w:rsidRDefault="004316AD" w:rsidP="00C11F8E">
            <w:pPr>
              <w:rPr>
                <w:sz w:val="20"/>
                <w:szCs w:val="20"/>
                <w:lang w:val="sr-Cyrl-CS"/>
              </w:rPr>
            </w:pPr>
            <w:r w:rsidRPr="00263780">
              <w:rPr>
                <w:sz w:val="20"/>
                <w:szCs w:val="20"/>
                <w:lang w:val="sr-Cyrl-CS"/>
              </w:rPr>
              <w:t>J</w:t>
            </w:r>
            <w:r w:rsidR="00DF098D">
              <w:rPr>
                <w:sz w:val="20"/>
                <w:szCs w:val="20"/>
                <w:lang w:val="sr-Cyrl-CS"/>
              </w:rPr>
              <w:t>edinica</w:t>
            </w:r>
            <w:r w:rsidRPr="00263780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mere</w:t>
            </w:r>
          </w:p>
          <w:p w:rsidR="004316AD" w:rsidRPr="001A4D2F" w:rsidRDefault="004316AD" w:rsidP="00C11F8E">
            <w:pPr>
              <w:rPr>
                <w:lang w:val="sr-Cyrl-CS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Izvor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provere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263780" w:rsidRDefault="00DF098D" w:rsidP="00C11F8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Početna</w:t>
            </w:r>
            <w:r w:rsidR="004316AD" w:rsidRPr="00263780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vrednost</w:t>
            </w:r>
            <w:r w:rsidR="004316AD" w:rsidRPr="00263780">
              <w:rPr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Bazna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godina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4316AD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4316AD" w:rsidRPr="001A4D2F">
              <w:rPr>
                <w:lang w:val="sr-Cyrl-CS"/>
              </w:rPr>
              <w:t xml:space="preserve"> 2020.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4316AD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4316AD" w:rsidRPr="001A4D2F">
              <w:rPr>
                <w:lang w:val="sr-Cyrl-CS"/>
              </w:rPr>
              <w:t xml:space="preserve"> 2021.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16AD" w:rsidRDefault="00DF098D" w:rsidP="004316AD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885F9C" w:rsidRPr="001A4D2F">
              <w:rPr>
                <w:lang w:val="sr-Cyrl-CS"/>
              </w:rPr>
              <w:t xml:space="preserve"> 2022.</w:t>
            </w:r>
          </w:p>
          <w:p w:rsidR="00597E67" w:rsidRPr="001A4D2F" w:rsidRDefault="00597E67" w:rsidP="004316AD">
            <w:pPr>
              <w:rPr>
                <w:lang w:val="sr-Cyrl-CS"/>
              </w:rPr>
            </w:pPr>
          </w:p>
        </w:tc>
      </w:tr>
      <w:tr w:rsidR="00F43ECD" w:rsidRPr="001A4D2F" w:rsidTr="00985089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DF098D" w:rsidP="004B7C54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Održavanje</w:t>
            </w:r>
            <w:r w:rsidR="004B7C5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kontinuiteta</w:t>
            </w:r>
            <w:r w:rsidR="004B7C5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69535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sagledavanju</w:t>
            </w:r>
            <w:r w:rsidR="0069535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pretnji</w:t>
            </w:r>
            <w:r w:rsidR="0069535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69535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ranjivosti</w:t>
            </w:r>
            <w:r w:rsidR="0069535B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odnosno</w:t>
            </w:r>
            <w:r w:rsidR="0069535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kontinuirano</w:t>
            </w:r>
            <w:r w:rsidR="0069535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preispitivanje</w:t>
            </w:r>
            <w:r w:rsidR="0069535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rizika</w:t>
            </w:r>
            <w:r w:rsidR="0069535B" w:rsidRPr="001A4D2F">
              <w:rPr>
                <w:lang w:val="sr-Cyrl-CS"/>
              </w:rPr>
              <w:t xml:space="preserve"> </w:t>
            </w:r>
          </w:p>
        </w:tc>
        <w:tc>
          <w:tcPr>
            <w:tcW w:w="10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  <w:r w:rsidR="004B7C54" w:rsidRPr="001A4D2F">
              <w:rPr>
                <w:lang w:val="sr-Cyrl-CS"/>
              </w:rPr>
              <w:t>/</w:t>
            </w:r>
            <w:r>
              <w:rPr>
                <w:lang w:val="sr-Cyrl-CS"/>
              </w:rPr>
              <w:t>Ne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DF098D" w:rsidP="004B7C54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4B7C5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Koordinacionog</w:t>
            </w:r>
            <w:r w:rsidR="004B7C5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tela</w:t>
            </w:r>
            <w:r w:rsidR="004B7C5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sagledavajući</w:t>
            </w:r>
            <w:r w:rsidR="004B7C5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broj</w:t>
            </w:r>
            <w:r w:rsidR="004B7C5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analiza</w:t>
            </w:r>
            <w:r w:rsidR="004B7C54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npr</w:t>
            </w:r>
            <w:r w:rsidR="004B7C54" w:rsidRPr="001A4D2F">
              <w:rPr>
                <w:lang w:val="sr-Cyrl-CS"/>
              </w:rPr>
              <w:t>.</w:t>
            </w:r>
            <w:r w:rsidR="0069535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pretnji</w:t>
            </w:r>
            <w:r w:rsidR="0069535B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ranjivosti</w:t>
            </w:r>
            <w:r w:rsidR="004B7C54" w:rsidRPr="001A4D2F">
              <w:rPr>
                <w:lang w:val="sr-Cyrl-CS"/>
              </w:rPr>
              <w:t xml:space="preserve">); </w:t>
            </w:r>
            <w:r>
              <w:rPr>
                <w:lang w:val="sr-Cyrl-CS"/>
              </w:rPr>
              <w:t>Nacionalna</w:t>
            </w:r>
            <w:r w:rsidR="004B7C5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procena</w:t>
            </w:r>
            <w:r w:rsidR="004B7C5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rizika</w:t>
            </w:r>
            <w:r w:rsidR="004B7C54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dokument</w:t>
            </w:r>
            <w:r w:rsidR="004B7C54" w:rsidRPr="001A4D2F">
              <w:rPr>
                <w:lang w:val="sr-Cyrl-CS"/>
              </w:rPr>
              <w:t>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4B7C54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  <w:r w:rsidR="004B7C54" w:rsidRPr="001A4D2F">
              <w:rPr>
                <w:lang w:val="sr-Cyrl-CS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3ECD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F43ECD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</w:tr>
    </w:tbl>
    <w:p w:rsidR="00536DA8" w:rsidRDefault="00536DA8" w:rsidP="00C11F8E">
      <w:pPr>
        <w:rPr>
          <w:b/>
        </w:rPr>
      </w:pPr>
    </w:p>
    <w:p w:rsidR="00536DA8" w:rsidRPr="00536DA8" w:rsidRDefault="00536DA8" w:rsidP="00C11F8E">
      <w:pPr>
        <w:rPr>
          <w:b/>
        </w:rPr>
      </w:pPr>
    </w:p>
    <w:p w:rsidR="00F43ECD" w:rsidRPr="001A4D2F" w:rsidRDefault="00F43ECD" w:rsidP="00C11F8E">
      <w:pPr>
        <w:rPr>
          <w:b/>
          <w:lang w:val="sr-Cyrl-CS"/>
        </w:rPr>
      </w:pPr>
    </w:p>
    <w:tbl>
      <w:tblPr>
        <w:tblStyle w:val="TableGrid"/>
        <w:tblW w:w="4997" w:type="pct"/>
        <w:tblInd w:w="-20" w:type="dxa"/>
        <w:tblLayout w:type="fixed"/>
        <w:tblLook w:val="04A0"/>
      </w:tblPr>
      <w:tblGrid>
        <w:gridCol w:w="2366"/>
        <w:gridCol w:w="1130"/>
        <w:gridCol w:w="1221"/>
        <w:gridCol w:w="1145"/>
        <w:gridCol w:w="1553"/>
        <w:gridCol w:w="1417"/>
        <w:gridCol w:w="1677"/>
        <w:gridCol w:w="1980"/>
        <w:gridCol w:w="1677"/>
      </w:tblGrid>
      <w:tr w:rsidR="00B267CF" w:rsidRPr="001A4D2F" w:rsidTr="002D69E2">
        <w:trPr>
          <w:trHeight w:val="140"/>
          <w:tblHeader/>
        </w:trPr>
        <w:tc>
          <w:tcPr>
            <w:tcW w:w="83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Naziv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aktivnosti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399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Organ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koji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sprovodi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aktivnost</w:t>
            </w:r>
          </w:p>
        </w:tc>
        <w:tc>
          <w:tcPr>
            <w:tcW w:w="431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B267CF" w:rsidP="00C11F8E">
            <w:pPr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O</w:t>
            </w:r>
            <w:r w:rsidR="00DF098D">
              <w:rPr>
                <w:b/>
                <w:sz w:val="18"/>
                <w:szCs w:val="18"/>
                <w:lang w:val="sr-Cyrl-CS"/>
              </w:rPr>
              <w:t>rgani</w:t>
            </w:r>
            <w:r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partneri</w:t>
            </w:r>
            <w:r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u</w:t>
            </w:r>
            <w:r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sprovođenju</w:t>
            </w:r>
            <w:r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aktivnosti</w:t>
            </w:r>
          </w:p>
        </w:tc>
        <w:tc>
          <w:tcPr>
            <w:tcW w:w="40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Rok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za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završetak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aktivnosti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Izvor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finansiranja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Veza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sa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programskim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budžetom</w:t>
            </w:r>
          </w:p>
          <w:p w:rsidR="00B267CF" w:rsidRPr="00536DA8" w:rsidRDefault="00B267CF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883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B267CF" w:rsidRPr="00536DA8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Ukupna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procenjena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finansijska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sredstva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po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izvorima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u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 xml:space="preserve"> 000 </w:t>
            </w:r>
            <w:r>
              <w:rPr>
                <w:b/>
                <w:sz w:val="18"/>
                <w:szCs w:val="18"/>
                <w:lang w:val="sr-Cyrl-CS"/>
              </w:rPr>
              <w:t>din</w:t>
            </w:r>
            <w:r w:rsidR="00B267CF" w:rsidRPr="00536DA8">
              <w:rPr>
                <w:b/>
                <w:sz w:val="18"/>
                <w:szCs w:val="18"/>
                <w:lang w:val="sr-Cyrl-CS"/>
              </w:rPr>
              <w:t>.</w:t>
            </w:r>
          </w:p>
        </w:tc>
      </w:tr>
      <w:tr w:rsidR="00DB34B7" w:rsidRPr="001A4D2F" w:rsidTr="002D69E2">
        <w:trPr>
          <w:trHeight w:val="386"/>
          <w:tblHeader/>
        </w:trPr>
        <w:tc>
          <w:tcPr>
            <w:tcW w:w="835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DB34B7" w:rsidRPr="00536DA8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99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31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04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8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00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2" w:type="pct"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2020.</w:t>
            </w:r>
          </w:p>
        </w:tc>
        <w:tc>
          <w:tcPr>
            <w:tcW w:w="699" w:type="pct"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592" w:type="pct"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2022.</w:t>
            </w:r>
          </w:p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DB34B7" w:rsidRPr="001A4D2F" w:rsidTr="002D69E2">
        <w:trPr>
          <w:trHeight w:val="140"/>
        </w:trPr>
        <w:tc>
          <w:tcPr>
            <w:tcW w:w="835" w:type="pct"/>
            <w:tcBorders>
              <w:left w:val="double" w:sz="4" w:space="0" w:color="auto"/>
            </w:tcBorders>
          </w:tcPr>
          <w:p w:rsidR="00DB34B7" w:rsidRPr="001A4D2F" w:rsidRDefault="00DB34B7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1.2.1 </w:t>
            </w:r>
            <w:r w:rsidR="00DF098D">
              <w:rPr>
                <w:lang w:val="sr-Cyrl-CS"/>
              </w:rPr>
              <w:t>Utvrđivanje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plana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prioritetnih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analiza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radi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preispitivanja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pretnji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ranjivosti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utvrđivanje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metodologije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njihove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izrade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imajući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vidu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rezultate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nacionalne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procene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drugih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sličnih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aktivnosti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po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potrebi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poput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supranacionalne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procene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Evropske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unije</w:t>
            </w:r>
          </w:p>
        </w:tc>
        <w:tc>
          <w:tcPr>
            <w:tcW w:w="399" w:type="pct"/>
          </w:tcPr>
          <w:p w:rsidR="00DB34B7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USPN</w:t>
            </w:r>
          </w:p>
        </w:tc>
        <w:tc>
          <w:tcPr>
            <w:tcW w:w="431" w:type="pct"/>
          </w:tcPr>
          <w:p w:rsidR="00DB34B7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04" w:type="pct"/>
          </w:tcPr>
          <w:p w:rsidR="00DB34B7" w:rsidRPr="001A4D2F" w:rsidRDefault="0053445B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</w:t>
            </w:r>
            <w:r w:rsidR="00DB34B7" w:rsidRPr="001A4D2F">
              <w:rPr>
                <w:lang w:val="sr-Cyrl-CS"/>
              </w:rPr>
              <w:t>2020</w:t>
            </w:r>
            <w:r w:rsidRPr="001A4D2F">
              <w:rPr>
                <w:lang w:val="sr-Cyrl-CS"/>
              </w:rPr>
              <w:t>.</w:t>
            </w:r>
          </w:p>
        </w:tc>
        <w:tc>
          <w:tcPr>
            <w:tcW w:w="548" w:type="pct"/>
          </w:tcPr>
          <w:p w:rsidR="00DD68A6" w:rsidRPr="001A4D2F" w:rsidRDefault="00DF098D" w:rsidP="00DD68A6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DB34B7" w:rsidRPr="001A4D2F" w:rsidRDefault="00DB34B7" w:rsidP="00C11F8E">
            <w:pPr>
              <w:rPr>
                <w:color w:val="FF0000"/>
                <w:highlight w:val="yellow"/>
                <w:lang w:val="sr-Cyrl-CS"/>
              </w:rPr>
            </w:pPr>
          </w:p>
        </w:tc>
        <w:tc>
          <w:tcPr>
            <w:tcW w:w="500" w:type="pct"/>
          </w:tcPr>
          <w:p w:rsidR="00DB34B7" w:rsidRPr="001A4D2F" w:rsidRDefault="00DB34B7" w:rsidP="00C11F8E">
            <w:pPr>
              <w:rPr>
                <w:color w:val="FF0000"/>
                <w:highlight w:val="yellow"/>
                <w:lang w:val="sr-Cyrl-CS"/>
              </w:rPr>
            </w:pPr>
          </w:p>
        </w:tc>
        <w:tc>
          <w:tcPr>
            <w:tcW w:w="592" w:type="pct"/>
          </w:tcPr>
          <w:p w:rsidR="00DB34B7" w:rsidRPr="001A4D2F" w:rsidRDefault="00DB34B7" w:rsidP="00C11F8E">
            <w:pPr>
              <w:rPr>
                <w:color w:val="FF0000"/>
                <w:highlight w:val="yellow"/>
                <w:lang w:val="sr-Cyrl-CS"/>
              </w:rPr>
            </w:pPr>
          </w:p>
        </w:tc>
        <w:tc>
          <w:tcPr>
            <w:tcW w:w="699" w:type="pct"/>
          </w:tcPr>
          <w:p w:rsidR="00DB34B7" w:rsidRPr="001A4D2F" w:rsidRDefault="00DB34B7" w:rsidP="00C11F8E">
            <w:pPr>
              <w:rPr>
                <w:color w:val="FF0000"/>
                <w:highlight w:val="yellow"/>
                <w:lang w:val="sr-Cyrl-CS"/>
              </w:rPr>
            </w:pPr>
          </w:p>
        </w:tc>
        <w:tc>
          <w:tcPr>
            <w:tcW w:w="592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</w:tr>
      <w:tr w:rsidR="00BD0F86" w:rsidRPr="001A4D2F" w:rsidTr="00C802E4">
        <w:trPr>
          <w:trHeight w:val="3727"/>
        </w:trPr>
        <w:tc>
          <w:tcPr>
            <w:tcW w:w="835" w:type="pct"/>
            <w:tcBorders>
              <w:left w:val="double" w:sz="4" w:space="0" w:color="auto"/>
            </w:tcBorders>
          </w:tcPr>
          <w:p w:rsidR="00BD0F86" w:rsidRPr="001A4D2F" w:rsidRDefault="00BD0F86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1.2.2 </w:t>
            </w:r>
            <w:r w:rsidR="00DF098D">
              <w:rPr>
                <w:lang w:val="sr-Cyrl-CS"/>
              </w:rPr>
              <w:t>Sprovođenje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analiza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aktivnosti</w:t>
            </w:r>
            <w:r w:rsidRPr="001A4D2F">
              <w:rPr>
                <w:lang w:val="sr-Cyrl-CS"/>
              </w:rPr>
              <w:t xml:space="preserve"> 1.2.1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prosleđivanje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rezultata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analiza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primerenoj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formi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učesnicima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sistemu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po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potrebi</w:t>
            </w:r>
            <w:r w:rsidRPr="001A4D2F">
              <w:rPr>
                <w:lang w:val="sr-Cyrl-CS"/>
              </w:rPr>
              <w:t xml:space="preserve">. </w:t>
            </w:r>
          </w:p>
        </w:tc>
        <w:tc>
          <w:tcPr>
            <w:tcW w:w="399" w:type="pct"/>
          </w:tcPr>
          <w:p w:rsidR="00BD0F86" w:rsidRPr="001A4D2F" w:rsidRDefault="00DF098D" w:rsidP="0053445B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  <w:r w:rsidR="00BD0F86" w:rsidRPr="001A4D2F">
              <w:rPr>
                <w:lang w:val="sr-Cyrl-CS"/>
              </w:rPr>
              <w:t xml:space="preserve"> </w:t>
            </w:r>
          </w:p>
        </w:tc>
        <w:tc>
          <w:tcPr>
            <w:tcW w:w="431" w:type="pct"/>
          </w:tcPr>
          <w:p w:rsidR="00BD0F86" w:rsidRPr="001A4D2F" w:rsidRDefault="00DF098D" w:rsidP="009E1129">
            <w:pPr>
              <w:rPr>
                <w:lang w:val="sr-Cyrl-CS"/>
              </w:rPr>
            </w:pPr>
            <w:r>
              <w:rPr>
                <w:lang w:val="sr-Cyrl-CS"/>
              </w:rPr>
              <w:t>RJT</w:t>
            </w:r>
            <w:r w:rsidR="00BD0F8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MUP</w:t>
            </w:r>
            <w:r w:rsidR="00BD0F8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USPN</w:t>
            </w:r>
            <w:r w:rsidR="00BD0F8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UC</w:t>
            </w:r>
            <w:r w:rsidR="00BD0F8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Nadzorni</w:t>
            </w:r>
            <w:r w:rsidR="00BD0F8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  <w:r w:rsidR="00BD0F8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predstavnici</w:t>
            </w:r>
            <w:r w:rsidR="00BD0F86" w:rsidRPr="001A4D2F">
              <w:rPr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privatnog</w:t>
            </w:r>
            <w:r w:rsidR="00BD0F86" w:rsidRPr="00DA0EC2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lang w:val="sr-Cyrl-CS"/>
              </w:rPr>
              <w:t>sektora</w:t>
            </w:r>
            <w:r w:rsidR="00BD0F86" w:rsidRPr="001A4D2F">
              <w:rPr>
                <w:lang w:val="sr-Cyrl-CS"/>
              </w:rPr>
              <w:t xml:space="preserve"> (</w:t>
            </w:r>
            <w:r>
              <w:rPr>
                <w:sz w:val="20"/>
                <w:szCs w:val="20"/>
                <w:lang w:val="sr-Cyrl-CS"/>
              </w:rPr>
              <w:t>obveznici</w:t>
            </w:r>
            <w:r w:rsidR="00BD0F86" w:rsidRPr="00DA0EC2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i</w:t>
            </w:r>
            <w:r w:rsidR="00BD0F86" w:rsidRPr="00DA0EC2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udruženja</w:t>
            </w:r>
            <w:r w:rsidR="00BD0F86" w:rsidRPr="001A4D2F">
              <w:rPr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obveznika</w:t>
            </w:r>
            <w:r w:rsidR="00BD0F86" w:rsidRPr="00DA0EC2">
              <w:rPr>
                <w:sz w:val="20"/>
                <w:szCs w:val="20"/>
                <w:lang w:val="sr-Cyrl-CS"/>
              </w:rPr>
              <w:t>)</w:t>
            </w:r>
          </w:p>
        </w:tc>
        <w:tc>
          <w:tcPr>
            <w:tcW w:w="404" w:type="pct"/>
          </w:tcPr>
          <w:p w:rsidR="00BD0F86" w:rsidRPr="001A4D2F" w:rsidRDefault="0053445B" w:rsidP="0053445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II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</w:t>
            </w:r>
            <w:r w:rsidR="00BD0F86" w:rsidRPr="001A4D2F">
              <w:rPr>
                <w:lang w:val="sr-Cyrl-CS"/>
              </w:rPr>
              <w:t>2020</w:t>
            </w:r>
            <w:r w:rsidRPr="001A4D2F">
              <w:rPr>
                <w:lang w:val="sr-Cyrl-CS"/>
              </w:rPr>
              <w:t xml:space="preserve"> –IV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</w:t>
            </w:r>
            <w:r w:rsidR="00BD0F86" w:rsidRPr="001A4D2F">
              <w:rPr>
                <w:lang w:val="sr-Cyrl-CS"/>
              </w:rPr>
              <w:t>202</w:t>
            </w:r>
            <w:r w:rsidRPr="001A4D2F">
              <w:rPr>
                <w:lang w:val="sr-Cyrl-CS"/>
              </w:rPr>
              <w:t>0.</w:t>
            </w:r>
          </w:p>
        </w:tc>
        <w:tc>
          <w:tcPr>
            <w:tcW w:w="548" w:type="pct"/>
          </w:tcPr>
          <w:p w:rsidR="00F77324" w:rsidRPr="001A4D2F" w:rsidRDefault="00DF098D" w:rsidP="00F77324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BD0F86" w:rsidRPr="001A4D2F" w:rsidRDefault="00DF098D" w:rsidP="00C802E4">
            <w:pPr>
              <w:pStyle w:val="basic-paragraph"/>
              <w:rPr>
                <w:highlight w:val="yellow"/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međunarodnih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  <w:r w:rsidR="00F77324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Projekat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sprečavanje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pranja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novca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Republici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Srbiji</w:t>
            </w:r>
            <w:r w:rsidR="00F77324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EU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IPA</w:t>
            </w:r>
            <w:r w:rsidR="00F77324" w:rsidRPr="001A4D2F">
              <w:rPr>
                <w:lang w:val="sr-Cyrl-CS"/>
              </w:rPr>
              <w:t xml:space="preserve"> 2015), </w:t>
            </w:r>
            <w:r>
              <w:rPr>
                <w:lang w:val="sr-Cyrl-CS"/>
              </w:rPr>
              <w:t>OEBS</w:t>
            </w:r>
          </w:p>
        </w:tc>
        <w:tc>
          <w:tcPr>
            <w:tcW w:w="500" w:type="pct"/>
          </w:tcPr>
          <w:p w:rsidR="00BD0F86" w:rsidRPr="001A4D2F" w:rsidRDefault="00BD0F86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BD0F86" w:rsidRPr="001A4D2F" w:rsidRDefault="00BD0F86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BD0F86" w:rsidRPr="001A4D2F" w:rsidRDefault="00BD0F86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BD0F86" w:rsidRPr="001A4D2F" w:rsidRDefault="00BD0F86" w:rsidP="00C11F8E">
            <w:pPr>
              <w:rPr>
                <w:lang w:val="sr-Cyrl-CS"/>
              </w:rPr>
            </w:pPr>
          </w:p>
        </w:tc>
      </w:tr>
      <w:tr w:rsidR="00DB34B7" w:rsidRPr="001A4D2F" w:rsidTr="00C802E4">
        <w:trPr>
          <w:trHeight w:val="2405"/>
        </w:trPr>
        <w:tc>
          <w:tcPr>
            <w:tcW w:w="835" w:type="pct"/>
            <w:tcBorders>
              <w:left w:val="double" w:sz="4" w:space="0" w:color="auto"/>
            </w:tcBorders>
          </w:tcPr>
          <w:p w:rsidR="00DB34B7" w:rsidRDefault="00DB34B7" w:rsidP="00C11F8E">
            <w:pPr>
              <w:rPr>
                <w:sz w:val="22"/>
                <w:szCs w:val="22"/>
              </w:rPr>
            </w:pPr>
            <w:r w:rsidRPr="00DA0EC2">
              <w:rPr>
                <w:sz w:val="22"/>
                <w:szCs w:val="22"/>
                <w:lang w:val="sr-Cyrl-CS"/>
              </w:rPr>
              <w:t xml:space="preserve">1.2.3 </w:t>
            </w:r>
            <w:r w:rsidR="00DF098D">
              <w:rPr>
                <w:sz w:val="22"/>
                <w:szCs w:val="22"/>
                <w:lang w:val="sr-Cyrl-CS"/>
              </w:rPr>
              <w:t>Analiza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učestalih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obrazaca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trendova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pranja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novca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finansiranja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terorizma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izrada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upoznavanje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relevantnih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učesnika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u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sistemu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u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primerenoj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formi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o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rezultatima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te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analize</w:t>
            </w:r>
            <w:r w:rsidRPr="00DA0EC2">
              <w:rPr>
                <w:sz w:val="22"/>
                <w:szCs w:val="22"/>
                <w:lang w:val="sr-Cyrl-CS"/>
              </w:rPr>
              <w:t xml:space="preserve"> (</w:t>
            </w:r>
            <w:r w:rsidR="00DF098D">
              <w:rPr>
                <w:sz w:val="22"/>
                <w:szCs w:val="22"/>
                <w:lang w:val="sr-Cyrl-CS"/>
              </w:rPr>
              <w:t>dokument</w:t>
            </w:r>
            <w:r w:rsidR="00C802E4" w:rsidRPr="00DA0EC2">
              <w:rPr>
                <w:sz w:val="22"/>
                <w:szCs w:val="22"/>
                <w:lang w:val="sr-Cyrl-CS"/>
              </w:rPr>
              <w:t xml:space="preserve">: </w:t>
            </w:r>
            <w:r w:rsidR="00DF098D">
              <w:rPr>
                <w:sz w:val="22"/>
                <w:szCs w:val="22"/>
                <w:lang w:val="sr-Cyrl-CS"/>
              </w:rPr>
              <w:t>Trendovi</w:t>
            </w:r>
            <w:r w:rsidR="00C802E4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</w:t>
            </w:r>
            <w:r w:rsidR="00C802E4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tipologije</w:t>
            </w:r>
            <w:r w:rsidR="00C802E4" w:rsidRPr="00DA0EC2">
              <w:rPr>
                <w:sz w:val="22"/>
                <w:szCs w:val="22"/>
                <w:lang w:val="sr-Cyrl-CS"/>
              </w:rPr>
              <w:t>)</w:t>
            </w:r>
          </w:p>
          <w:p w:rsidR="00DA0EC2" w:rsidRPr="00DA0EC2" w:rsidRDefault="00DA0EC2" w:rsidP="00C11F8E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</w:tcPr>
          <w:p w:rsidR="00DB34B7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USPN</w:t>
            </w:r>
          </w:p>
        </w:tc>
        <w:tc>
          <w:tcPr>
            <w:tcW w:w="431" w:type="pct"/>
          </w:tcPr>
          <w:p w:rsidR="00DB34B7" w:rsidRPr="001A4D2F" w:rsidRDefault="00DF098D" w:rsidP="009E1129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  <w:r w:rsidR="0053445B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RJT</w:t>
            </w:r>
            <w:r w:rsidR="00DB34B7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MUP</w:t>
            </w:r>
            <w:r w:rsidR="00DB34B7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USPN</w:t>
            </w:r>
            <w:r w:rsidR="00DB34B7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UC</w:t>
            </w:r>
            <w:r w:rsidR="009E1129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Nadzorni</w:t>
            </w:r>
            <w:r w:rsidR="00DB34B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  <w:r w:rsidR="00DB34B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DB34B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dr</w:t>
            </w:r>
            <w:r w:rsidR="00DB34B7" w:rsidRPr="001A4D2F">
              <w:rPr>
                <w:lang w:val="sr-Cyrl-CS"/>
              </w:rPr>
              <w:t>.</w:t>
            </w:r>
          </w:p>
        </w:tc>
        <w:tc>
          <w:tcPr>
            <w:tcW w:w="404" w:type="pct"/>
          </w:tcPr>
          <w:p w:rsidR="00DB34B7" w:rsidRPr="001A4D2F" w:rsidRDefault="0053445B" w:rsidP="00C11F8E">
            <w:pPr>
              <w:rPr>
                <w:color w:val="FF0000"/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2021.</w:t>
            </w:r>
          </w:p>
        </w:tc>
        <w:tc>
          <w:tcPr>
            <w:tcW w:w="548" w:type="pct"/>
          </w:tcPr>
          <w:p w:rsidR="00F77324" w:rsidRPr="001A4D2F" w:rsidRDefault="00DF098D" w:rsidP="00F77324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DB34B7" w:rsidRPr="001A4D2F" w:rsidRDefault="00DF098D" w:rsidP="00C802E4">
            <w:pPr>
              <w:pStyle w:val="basic-paragraph"/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međunarodnih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  <w:r w:rsidR="00F77324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OEBS</w:t>
            </w:r>
            <w:r w:rsidR="00C802E4" w:rsidRPr="001A4D2F">
              <w:rPr>
                <w:lang w:val="sr-Cyrl-CS"/>
              </w:rPr>
              <w:t>)</w:t>
            </w:r>
          </w:p>
        </w:tc>
        <w:tc>
          <w:tcPr>
            <w:tcW w:w="500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</w:tr>
      <w:tr w:rsidR="00DB34B7" w:rsidRPr="001A4D2F" w:rsidTr="002D69E2">
        <w:trPr>
          <w:trHeight w:val="140"/>
        </w:trPr>
        <w:tc>
          <w:tcPr>
            <w:tcW w:w="835" w:type="pct"/>
            <w:tcBorders>
              <w:left w:val="double" w:sz="4" w:space="0" w:color="auto"/>
            </w:tcBorders>
          </w:tcPr>
          <w:p w:rsidR="00DB34B7" w:rsidRPr="001A4D2F" w:rsidRDefault="00DB34B7" w:rsidP="00B654E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1.2.</w:t>
            </w:r>
            <w:r w:rsidR="00B654ED" w:rsidRPr="001A4D2F">
              <w:rPr>
                <w:lang w:val="sr-Cyrl-CS"/>
              </w:rPr>
              <w:t>4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Analiza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praćenje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od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strane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nadzornih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lastRenderedPageBreak/>
              <w:t>organa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vezi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uvođenjem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proizvoda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tehnologija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finansijskom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nefinansijskom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sektoru</w:t>
            </w:r>
          </w:p>
        </w:tc>
        <w:tc>
          <w:tcPr>
            <w:tcW w:w="399" w:type="pct"/>
          </w:tcPr>
          <w:p w:rsidR="00DB34B7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KT</w:t>
            </w:r>
          </w:p>
        </w:tc>
        <w:tc>
          <w:tcPr>
            <w:tcW w:w="431" w:type="pct"/>
          </w:tcPr>
          <w:p w:rsidR="00DB34B7" w:rsidRPr="001A4D2F" w:rsidRDefault="00DF098D" w:rsidP="0053445B">
            <w:pPr>
              <w:rPr>
                <w:lang w:val="sr-Cyrl-CS"/>
              </w:rPr>
            </w:pPr>
            <w:r>
              <w:rPr>
                <w:lang w:val="sr-Cyrl-CS"/>
              </w:rPr>
              <w:t>Nadzorni</w:t>
            </w:r>
            <w:r w:rsidR="0053445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  <w:r w:rsidR="0053445B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USPN</w:t>
            </w:r>
            <w:r w:rsidR="00DB34B7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lastRenderedPageBreak/>
              <w:t>MUP</w:t>
            </w:r>
            <w:r w:rsidR="00DB34B7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RJT</w:t>
            </w:r>
            <w:r w:rsidR="00DB34B7" w:rsidRPr="001A4D2F">
              <w:rPr>
                <w:lang w:val="sr-Cyrl-CS"/>
              </w:rPr>
              <w:t>,</w:t>
            </w:r>
            <w:r w:rsidR="0053445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obveznici</w:t>
            </w:r>
          </w:p>
        </w:tc>
        <w:tc>
          <w:tcPr>
            <w:tcW w:w="404" w:type="pct"/>
          </w:tcPr>
          <w:p w:rsidR="00DB34B7" w:rsidRPr="001A4D2F" w:rsidRDefault="0053445B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48" w:type="pct"/>
          </w:tcPr>
          <w:p w:rsidR="00F77324" w:rsidRPr="001A4D2F" w:rsidRDefault="00DF098D" w:rsidP="00F77324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lastRenderedPageBreak/>
              <w:t>aktivnosti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DB34B7" w:rsidRPr="001A4D2F" w:rsidRDefault="00DB34B7" w:rsidP="00C11F8E">
            <w:pPr>
              <w:rPr>
                <w:color w:val="FF0000"/>
                <w:lang w:val="sr-Cyrl-CS"/>
              </w:rPr>
            </w:pPr>
          </w:p>
        </w:tc>
        <w:tc>
          <w:tcPr>
            <w:tcW w:w="500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DB34B7" w:rsidRPr="001A4D2F" w:rsidRDefault="00DB34B7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40"/>
        </w:trPr>
        <w:tc>
          <w:tcPr>
            <w:tcW w:w="835" w:type="pct"/>
          </w:tcPr>
          <w:p w:rsidR="00F77324" w:rsidRDefault="002374BA" w:rsidP="002374BA">
            <w:r w:rsidRPr="001A4D2F">
              <w:rPr>
                <w:lang w:val="sr-Cyrl-CS"/>
              </w:rPr>
              <w:lastRenderedPageBreak/>
              <w:t xml:space="preserve">1.2.5 </w:t>
            </w:r>
            <w:r w:rsidR="00DF098D">
              <w:rPr>
                <w:lang w:val="sr-Cyrl-CS"/>
              </w:rPr>
              <w:t>Uspostaviti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normativni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okvir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kojim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će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bliže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regulisati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poslovanje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virtuelnom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imovinom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pružaoci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usluga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vezi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virtuelnom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imovinom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dodatno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unaprediti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postojeći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pravni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okvir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koji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odnosi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umanjenje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od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vezi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ovom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imovinom</w:t>
            </w:r>
            <w:r w:rsidRPr="001A4D2F">
              <w:rPr>
                <w:lang w:val="sr-Cyrl-CS"/>
              </w:rPr>
              <w:t xml:space="preserve">  </w:t>
            </w:r>
          </w:p>
          <w:p w:rsidR="00DA0EC2" w:rsidRPr="00DA0EC2" w:rsidRDefault="00DA0EC2" w:rsidP="002374BA"/>
        </w:tc>
        <w:tc>
          <w:tcPr>
            <w:tcW w:w="399" w:type="pct"/>
          </w:tcPr>
          <w:p w:rsidR="00F77324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VRS</w:t>
            </w:r>
          </w:p>
        </w:tc>
        <w:tc>
          <w:tcPr>
            <w:tcW w:w="431" w:type="pct"/>
          </w:tcPr>
          <w:p w:rsidR="00F77324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KHoV</w:t>
            </w:r>
            <w:r w:rsidR="00F77324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NBS</w:t>
            </w:r>
            <w:r w:rsidR="00F77324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MFIN</w:t>
            </w:r>
          </w:p>
        </w:tc>
        <w:tc>
          <w:tcPr>
            <w:tcW w:w="404" w:type="pct"/>
          </w:tcPr>
          <w:p w:rsidR="00F77324" w:rsidRPr="001A4D2F" w:rsidRDefault="00F77324" w:rsidP="00C11F8E">
            <w:pPr>
              <w:rPr>
                <w:color w:val="FF0000"/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2020.</w:t>
            </w:r>
          </w:p>
        </w:tc>
        <w:tc>
          <w:tcPr>
            <w:tcW w:w="548" w:type="pct"/>
          </w:tcPr>
          <w:p w:rsidR="00F77324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40"/>
        </w:trPr>
        <w:tc>
          <w:tcPr>
            <w:tcW w:w="835" w:type="pct"/>
          </w:tcPr>
          <w:p w:rsidR="00F77324" w:rsidRPr="001A4D2F" w:rsidRDefault="00F77324" w:rsidP="0069535B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1.2.6 </w:t>
            </w:r>
            <w:r w:rsidR="00DF098D">
              <w:rPr>
                <w:lang w:val="sr-Cyrl-CS"/>
              </w:rPr>
              <w:t>Analizirati</w:t>
            </w:r>
            <w:r w:rsidR="002374BA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pretnje</w:t>
            </w:r>
            <w:r w:rsidR="002374BA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="002374BA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vezi</w:t>
            </w:r>
            <w:r w:rsidR="002374BA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="002374BA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poslovanjem</w:t>
            </w:r>
            <w:r w:rsidR="002374BA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institucija</w:t>
            </w:r>
            <w:r w:rsidR="002374BA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elektronskog</w:t>
            </w:r>
            <w:r w:rsidR="002374BA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  <w:r w:rsidR="002374BA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</w:t>
            </w:r>
            <w:r w:rsidR="002374BA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lastRenderedPageBreak/>
              <w:t>trećih</w:t>
            </w:r>
            <w:r w:rsidR="002374BA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država</w:t>
            </w:r>
          </w:p>
        </w:tc>
        <w:tc>
          <w:tcPr>
            <w:tcW w:w="399" w:type="pct"/>
          </w:tcPr>
          <w:p w:rsidR="00F77324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NBS</w:t>
            </w:r>
          </w:p>
        </w:tc>
        <w:tc>
          <w:tcPr>
            <w:tcW w:w="431" w:type="pct"/>
          </w:tcPr>
          <w:p w:rsidR="00F77324" w:rsidRPr="001A4D2F" w:rsidRDefault="00DF098D" w:rsidP="009E1129">
            <w:pPr>
              <w:rPr>
                <w:lang w:val="sr-Cyrl-CS"/>
              </w:rPr>
            </w:pPr>
            <w:r>
              <w:rPr>
                <w:lang w:val="sr-Cyrl-CS"/>
              </w:rPr>
              <w:t>USPN</w:t>
            </w:r>
            <w:r w:rsidR="00F77324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MUP</w:t>
            </w:r>
            <w:r w:rsidR="00F77324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KT</w:t>
            </w:r>
          </w:p>
        </w:tc>
        <w:tc>
          <w:tcPr>
            <w:tcW w:w="404" w:type="pct"/>
          </w:tcPr>
          <w:p w:rsidR="00F77324" w:rsidRPr="001A4D2F" w:rsidRDefault="00DF098D" w:rsidP="00C11F8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Decembar</w:t>
            </w:r>
            <w:r w:rsidR="00F77324" w:rsidRPr="00536DA8">
              <w:rPr>
                <w:sz w:val="22"/>
                <w:szCs w:val="22"/>
                <w:lang w:val="sr-Cyrl-CS"/>
              </w:rPr>
              <w:t xml:space="preserve"> </w:t>
            </w:r>
            <w:r w:rsidR="00F77324" w:rsidRPr="001A4D2F">
              <w:rPr>
                <w:lang w:val="sr-Cyrl-CS"/>
              </w:rPr>
              <w:t>2020.</w:t>
            </w:r>
          </w:p>
        </w:tc>
        <w:tc>
          <w:tcPr>
            <w:tcW w:w="548" w:type="pct"/>
          </w:tcPr>
          <w:p w:rsidR="00F77324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40"/>
        </w:trPr>
        <w:tc>
          <w:tcPr>
            <w:tcW w:w="835" w:type="pct"/>
          </w:tcPr>
          <w:p w:rsidR="00F77324" w:rsidRPr="001A4D2F" w:rsidRDefault="00F77324" w:rsidP="00B654ED">
            <w:pPr>
              <w:rPr>
                <w:lang w:val="sr-Cyrl-CS"/>
              </w:rPr>
            </w:pPr>
            <w:r w:rsidRPr="001A4D2F">
              <w:rPr>
                <w:rFonts w:eastAsia="Times New Roman"/>
                <w:lang w:val="sr-Cyrl-CS" w:eastAsia="en-GB"/>
              </w:rPr>
              <w:lastRenderedPageBreak/>
              <w:t xml:space="preserve">1.2.7 </w:t>
            </w:r>
            <w:r w:rsidR="00DF098D">
              <w:rPr>
                <w:rFonts w:eastAsia="Times New Roman"/>
                <w:lang w:val="sr-Cyrl-CS" w:eastAsia="en-GB"/>
              </w:rPr>
              <w:t>Kontinuirano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i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interaktivno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sarađivati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sa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privatnim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sektorom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radi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blagovremenog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otkrivanja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novih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proizvoda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i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tehnologija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koje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se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mogu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zloupotrebiti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za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pranje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novca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i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finansiranje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terorizma</w:t>
            </w:r>
          </w:p>
        </w:tc>
        <w:tc>
          <w:tcPr>
            <w:tcW w:w="399" w:type="pct"/>
          </w:tcPr>
          <w:p w:rsidR="00F77324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USPN</w:t>
            </w:r>
          </w:p>
        </w:tc>
        <w:tc>
          <w:tcPr>
            <w:tcW w:w="431" w:type="pct"/>
          </w:tcPr>
          <w:p w:rsidR="00F77324" w:rsidRPr="00F010BF" w:rsidRDefault="00DF098D" w:rsidP="009E1129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Nadzorni</w:t>
            </w:r>
            <w:r w:rsidR="00F77324" w:rsidRPr="00F010B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organi</w:t>
            </w:r>
            <w:r w:rsidR="00F77324" w:rsidRPr="00F010BF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KT</w:t>
            </w:r>
            <w:r w:rsidR="00F77324" w:rsidRPr="00F010BF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obveznici</w:t>
            </w:r>
            <w:r w:rsidR="00F77324" w:rsidRPr="00F010BF">
              <w:rPr>
                <w:sz w:val="20"/>
                <w:szCs w:val="20"/>
                <w:lang w:val="sr-Cyrl-CS"/>
              </w:rPr>
              <w:t xml:space="preserve">, </w:t>
            </w:r>
            <w:r>
              <w:rPr>
                <w:sz w:val="20"/>
                <w:szCs w:val="20"/>
                <w:lang w:val="sr-Cyrl-CS"/>
              </w:rPr>
              <w:t>udruženja</w:t>
            </w:r>
            <w:r w:rsidR="00F77324" w:rsidRPr="00F010B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obveznika</w:t>
            </w:r>
          </w:p>
        </w:tc>
        <w:tc>
          <w:tcPr>
            <w:tcW w:w="404" w:type="pct"/>
          </w:tcPr>
          <w:p w:rsidR="00F77324" w:rsidRPr="00F010BF" w:rsidRDefault="00F77324" w:rsidP="00C11F8E">
            <w:pPr>
              <w:rPr>
                <w:sz w:val="20"/>
                <w:szCs w:val="20"/>
                <w:lang w:val="sr-Cyrl-CS"/>
              </w:rPr>
            </w:pPr>
            <w:r w:rsidRPr="00F010BF">
              <w:rPr>
                <w:sz w:val="20"/>
                <w:szCs w:val="20"/>
                <w:lang w:val="sr-Cyrl-CS"/>
              </w:rPr>
              <w:t xml:space="preserve">IV </w:t>
            </w:r>
            <w:r w:rsidR="00DF098D">
              <w:rPr>
                <w:sz w:val="20"/>
                <w:szCs w:val="20"/>
                <w:lang w:val="sr-Cyrl-CS"/>
              </w:rPr>
              <w:t>kvartal</w:t>
            </w:r>
            <w:r w:rsidRPr="00F010BF">
              <w:rPr>
                <w:sz w:val="20"/>
                <w:szCs w:val="20"/>
                <w:lang w:val="sr-Cyrl-CS"/>
              </w:rPr>
              <w:t xml:space="preserve"> 2022.</w:t>
            </w:r>
          </w:p>
        </w:tc>
        <w:tc>
          <w:tcPr>
            <w:tcW w:w="548" w:type="pct"/>
          </w:tcPr>
          <w:p w:rsidR="00F77324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649"/>
        </w:trPr>
        <w:tc>
          <w:tcPr>
            <w:tcW w:w="835" w:type="pct"/>
          </w:tcPr>
          <w:p w:rsidR="00F77324" w:rsidRPr="001A4D2F" w:rsidRDefault="00F77324" w:rsidP="00C11F8E">
            <w:pPr>
              <w:rPr>
                <w:rFonts w:eastAsia="Times New Roman"/>
                <w:lang w:val="sr-Cyrl-CS" w:eastAsia="en-GB"/>
              </w:rPr>
            </w:pPr>
            <w:r w:rsidRPr="001A4D2F">
              <w:rPr>
                <w:rFonts w:eastAsia="Times New Roman"/>
                <w:lang w:val="sr-Cyrl-CS" w:eastAsia="en-GB"/>
              </w:rPr>
              <w:t xml:space="preserve">1.2.8. </w:t>
            </w:r>
            <w:r w:rsidR="00DF098D">
              <w:rPr>
                <w:rFonts w:eastAsia="Times New Roman"/>
                <w:lang w:val="sr-Cyrl-CS" w:eastAsia="en-GB"/>
              </w:rPr>
              <w:t>Kontinuirano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obaveštavati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državne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organe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u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sistemu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za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sprečavanje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pranja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novca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i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finansiranja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terorizma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u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vezi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sa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novim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proizvodima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i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novim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tehnologijama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koji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predstavljaju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rizik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od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pranja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novca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ili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finansiranja</w:t>
            </w:r>
            <w:r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terorizma</w:t>
            </w:r>
          </w:p>
        </w:tc>
        <w:tc>
          <w:tcPr>
            <w:tcW w:w="399" w:type="pct"/>
          </w:tcPr>
          <w:p w:rsidR="00F77324" w:rsidRPr="001A4D2F" w:rsidRDefault="00DF098D" w:rsidP="00C11F8E">
            <w:pPr>
              <w:rPr>
                <w:lang w:val="sr-Cyrl-CS"/>
              </w:rPr>
            </w:pPr>
            <w:r>
              <w:rPr>
                <w:rFonts w:eastAsia="Times New Roman"/>
                <w:lang w:val="sr-Cyrl-CS" w:eastAsia="en-GB"/>
              </w:rPr>
              <w:t>USPN</w:t>
            </w:r>
          </w:p>
        </w:tc>
        <w:tc>
          <w:tcPr>
            <w:tcW w:w="431" w:type="pct"/>
          </w:tcPr>
          <w:p w:rsidR="00F77324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  <w:r w:rsidR="00F77324" w:rsidRPr="001A4D2F">
              <w:rPr>
                <w:rFonts w:eastAsia="Times New Roman"/>
                <w:lang w:val="sr-Cyrl-CS" w:eastAsia="en-GB"/>
              </w:rPr>
              <w:tab/>
            </w:r>
          </w:p>
        </w:tc>
        <w:tc>
          <w:tcPr>
            <w:tcW w:w="404" w:type="pct"/>
          </w:tcPr>
          <w:p w:rsidR="00F77324" w:rsidRPr="001A4D2F" w:rsidRDefault="00F77324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48" w:type="pct"/>
          </w:tcPr>
          <w:p w:rsidR="00F77324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40"/>
        </w:trPr>
        <w:tc>
          <w:tcPr>
            <w:tcW w:w="835" w:type="pct"/>
          </w:tcPr>
          <w:p w:rsidR="00F77324" w:rsidRPr="001A4D2F" w:rsidRDefault="00B46C05" w:rsidP="001626DC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1.2.9. </w:t>
            </w:r>
            <w:r w:rsidR="00DF098D">
              <w:rPr>
                <w:lang w:val="sr-Cyrl-CS"/>
              </w:rPr>
              <w:t>Proaktivno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analizirati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propise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stanovišta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potencijalnih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sistem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borbu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lastRenderedPageBreak/>
              <w:t>protiv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</w:p>
        </w:tc>
        <w:tc>
          <w:tcPr>
            <w:tcW w:w="399" w:type="pct"/>
          </w:tcPr>
          <w:p w:rsidR="00F77324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KT</w:t>
            </w:r>
          </w:p>
        </w:tc>
        <w:tc>
          <w:tcPr>
            <w:tcW w:w="431" w:type="pct"/>
          </w:tcPr>
          <w:p w:rsidR="00F77324" w:rsidRPr="00F010BF" w:rsidRDefault="00DF098D" w:rsidP="001626DC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Sve</w:t>
            </w:r>
            <w:r w:rsidR="001626DC" w:rsidRPr="00F010B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relevantne</w:t>
            </w:r>
            <w:r w:rsidR="001626DC" w:rsidRPr="00F010B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institucije</w:t>
            </w:r>
            <w:r w:rsidR="001626DC" w:rsidRPr="00F010B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i</w:t>
            </w:r>
            <w:r w:rsidR="001626DC" w:rsidRPr="00F010BF">
              <w:rPr>
                <w:sz w:val="20"/>
                <w:szCs w:val="20"/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organi</w:t>
            </w:r>
          </w:p>
        </w:tc>
        <w:tc>
          <w:tcPr>
            <w:tcW w:w="404" w:type="pct"/>
          </w:tcPr>
          <w:p w:rsidR="00F77324" w:rsidRPr="00F010BF" w:rsidRDefault="00F77324" w:rsidP="00B654ED">
            <w:pPr>
              <w:rPr>
                <w:sz w:val="20"/>
                <w:szCs w:val="20"/>
                <w:lang w:val="sr-Cyrl-CS"/>
              </w:rPr>
            </w:pPr>
            <w:r w:rsidRPr="00F010BF">
              <w:rPr>
                <w:sz w:val="20"/>
                <w:szCs w:val="20"/>
                <w:lang w:val="sr-Cyrl-CS"/>
              </w:rPr>
              <w:t xml:space="preserve">IV </w:t>
            </w:r>
            <w:r w:rsidR="00DF098D">
              <w:rPr>
                <w:sz w:val="20"/>
                <w:szCs w:val="20"/>
                <w:lang w:val="sr-Cyrl-CS"/>
              </w:rPr>
              <w:t>kvartal</w:t>
            </w:r>
            <w:r w:rsidRPr="00F010BF">
              <w:rPr>
                <w:sz w:val="20"/>
                <w:szCs w:val="20"/>
                <w:lang w:val="sr-Cyrl-CS"/>
              </w:rPr>
              <w:t xml:space="preserve"> 2022.</w:t>
            </w:r>
          </w:p>
        </w:tc>
        <w:tc>
          <w:tcPr>
            <w:tcW w:w="548" w:type="pct"/>
          </w:tcPr>
          <w:p w:rsidR="00F77324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40"/>
        </w:trPr>
        <w:tc>
          <w:tcPr>
            <w:tcW w:w="835" w:type="pct"/>
          </w:tcPr>
          <w:p w:rsidR="00F77324" w:rsidRDefault="00F77324" w:rsidP="00B46C05">
            <w:r w:rsidRPr="001A4D2F">
              <w:rPr>
                <w:lang w:val="sr-Cyrl-CS"/>
              </w:rPr>
              <w:lastRenderedPageBreak/>
              <w:t>1.2.</w:t>
            </w:r>
            <w:r w:rsidR="0009405E" w:rsidRPr="001A4D2F">
              <w:rPr>
                <w:lang w:val="sr-Cyrl-CS"/>
              </w:rPr>
              <w:t>1</w:t>
            </w:r>
            <w:r w:rsidR="00B46C05" w:rsidRPr="001A4D2F">
              <w:rPr>
                <w:lang w:val="sr-Cyrl-CS"/>
              </w:rPr>
              <w:t>0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Izvršiti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analizu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pravnog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okvira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kojim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reguliše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prenos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fizički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prenosivih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sredstava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plaćanja</w:t>
            </w:r>
            <w:r w:rsidRPr="001A4D2F">
              <w:rPr>
                <w:lang w:val="sr-Cyrl-CS"/>
              </w:rPr>
              <w:t xml:space="preserve"> (</w:t>
            </w:r>
            <w:r w:rsidR="00DF098D">
              <w:rPr>
                <w:lang w:val="sr-Cyrl-CS"/>
              </w:rPr>
              <w:t>Zakon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sprečavanju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Zakon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deviznom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poslovanju</w:t>
            </w:r>
            <w:r w:rsidRPr="001A4D2F">
              <w:rPr>
                <w:lang w:val="sr-Cyrl-CS"/>
              </w:rPr>
              <w:t xml:space="preserve">)  </w:t>
            </w:r>
          </w:p>
          <w:p w:rsidR="00DA0EC2" w:rsidRPr="00DA0EC2" w:rsidRDefault="00DA0EC2" w:rsidP="00B46C05"/>
        </w:tc>
        <w:tc>
          <w:tcPr>
            <w:tcW w:w="399" w:type="pct"/>
          </w:tcPr>
          <w:p w:rsidR="00F77324" w:rsidRPr="001A4D2F" w:rsidRDefault="00DF098D" w:rsidP="00B654ED">
            <w:pPr>
              <w:rPr>
                <w:lang w:val="sr-Cyrl-CS"/>
              </w:rPr>
            </w:pPr>
            <w:r>
              <w:rPr>
                <w:lang w:val="sr-Cyrl-CS"/>
              </w:rPr>
              <w:t>USPN</w:t>
            </w:r>
          </w:p>
        </w:tc>
        <w:tc>
          <w:tcPr>
            <w:tcW w:w="431" w:type="pct"/>
          </w:tcPr>
          <w:p w:rsidR="00F77324" w:rsidRPr="001A4D2F" w:rsidRDefault="00DF098D" w:rsidP="009E1129">
            <w:pPr>
              <w:rPr>
                <w:lang w:val="sr-Cyrl-CS"/>
              </w:rPr>
            </w:pPr>
            <w:r>
              <w:rPr>
                <w:lang w:val="sr-Cyrl-CS"/>
              </w:rPr>
              <w:t>NBS</w:t>
            </w:r>
            <w:r w:rsidR="00F77324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UC</w:t>
            </w:r>
            <w:r w:rsidR="00F77324" w:rsidRPr="001A4D2F">
              <w:rPr>
                <w:lang w:val="sr-Cyrl-CS"/>
              </w:rPr>
              <w:t>,</w:t>
            </w:r>
            <w:r w:rsidR="001821C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MUP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nadležni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sud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tužilaštvo</w:t>
            </w:r>
          </w:p>
        </w:tc>
        <w:tc>
          <w:tcPr>
            <w:tcW w:w="404" w:type="pct"/>
          </w:tcPr>
          <w:p w:rsidR="00F77324" w:rsidRPr="001A4D2F" w:rsidRDefault="00F77324" w:rsidP="00B654ED">
            <w:pPr>
              <w:rPr>
                <w:color w:val="FF0000"/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2020.</w:t>
            </w:r>
          </w:p>
        </w:tc>
        <w:tc>
          <w:tcPr>
            <w:tcW w:w="548" w:type="pct"/>
          </w:tcPr>
          <w:p w:rsidR="00F77324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1821C4" w:rsidRPr="001A4D2F" w:rsidTr="002D69E2">
        <w:trPr>
          <w:trHeight w:val="140"/>
        </w:trPr>
        <w:tc>
          <w:tcPr>
            <w:tcW w:w="835" w:type="pct"/>
          </w:tcPr>
          <w:p w:rsidR="001821C4" w:rsidRPr="001A4D2F" w:rsidRDefault="001821C4" w:rsidP="0009405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1.2.</w:t>
            </w:r>
            <w:r w:rsidR="00B46C05" w:rsidRPr="001A4D2F">
              <w:rPr>
                <w:lang w:val="sr-Cyrl-CS"/>
              </w:rPr>
              <w:t>11</w:t>
            </w:r>
            <w:r w:rsidRPr="001A4D2F">
              <w:rPr>
                <w:lang w:val="sr-Cyrl-CS"/>
              </w:rPr>
              <w:t xml:space="preserve">. </w:t>
            </w:r>
            <w:r w:rsidR="00DF098D">
              <w:rPr>
                <w:lang w:val="sr-Cyrl-CS"/>
              </w:rPr>
              <w:t>Izmeniti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normativni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okvir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potrebi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skladu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rezultatima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analize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aktivnosti</w:t>
            </w:r>
            <w:r w:rsidRPr="001A4D2F">
              <w:rPr>
                <w:lang w:val="sr-Cyrl-CS"/>
              </w:rPr>
              <w:t xml:space="preserve"> 1.2.10.</w:t>
            </w:r>
          </w:p>
        </w:tc>
        <w:tc>
          <w:tcPr>
            <w:tcW w:w="399" w:type="pct"/>
          </w:tcPr>
          <w:p w:rsidR="001821C4" w:rsidRPr="001A4D2F" w:rsidRDefault="00DF098D" w:rsidP="00B654ED">
            <w:pPr>
              <w:rPr>
                <w:lang w:val="sr-Cyrl-CS"/>
              </w:rPr>
            </w:pPr>
            <w:r>
              <w:rPr>
                <w:lang w:val="sr-Cyrl-CS"/>
              </w:rPr>
              <w:t>USPN</w:t>
            </w:r>
          </w:p>
        </w:tc>
        <w:tc>
          <w:tcPr>
            <w:tcW w:w="431" w:type="pct"/>
          </w:tcPr>
          <w:p w:rsidR="001821C4" w:rsidRPr="001A4D2F" w:rsidRDefault="00DF098D" w:rsidP="009E1129">
            <w:pPr>
              <w:rPr>
                <w:lang w:val="sr-Cyrl-CS"/>
              </w:rPr>
            </w:pPr>
            <w:r>
              <w:rPr>
                <w:lang w:val="sr-Cyrl-CS"/>
              </w:rPr>
              <w:t>NBS</w:t>
            </w:r>
          </w:p>
        </w:tc>
        <w:tc>
          <w:tcPr>
            <w:tcW w:w="404" w:type="pct"/>
          </w:tcPr>
          <w:p w:rsidR="001821C4" w:rsidRPr="001A4D2F" w:rsidRDefault="001821C4" w:rsidP="001821C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48" w:type="pct"/>
          </w:tcPr>
          <w:p w:rsidR="001821C4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1821C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1821C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1821C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1821C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1821C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1821C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F010BF" w:rsidRDefault="00F010BF">
            <w:pPr>
              <w:rPr>
                <w:lang w:val="sr-Cyrl-CS"/>
              </w:rPr>
            </w:pPr>
          </w:p>
          <w:p w:rsidR="00F010BF" w:rsidRDefault="00F010BF">
            <w:pPr>
              <w:rPr>
                <w:lang w:val="sr-Cyrl-CS"/>
              </w:rPr>
            </w:pPr>
          </w:p>
          <w:p w:rsidR="00F010BF" w:rsidRPr="001A4D2F" w:rsidRDefault="00F010BF">
            <w:pPr>
              <w:rPr>
                <w:lang w:val="sr-Cyrl-CS"/>
              </w:rPr>
            </w:pPr>
          </w:p>
        </w:tc>
        <w:tc>
          <w:tcPr>
            <w:tcW w:w="500" w:type="pct"/>
          </w:tcPr>
          <w:p w:rsidR="001821C4" w:rsidRPr="001A4D2F" w:rsidRDefault="001821C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1821C4" w:rsidRPr="001A4D2F" w:rsidRDefault="001821C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1821C4" w:rsidRPr="001A4D2F" w:rsidRDefault="001821C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1821C4" w:rsidRPr="001A4D2F" w:rsidRDefault="001821C4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40"/>
        </w:trPr>
        <w:tc>
          <w:tcPr>
            <w:tcW w:w="835" w:type="pct"/>
          </w:tcPr>
          <w:p w:rsidR="00F77324" w:rsidRPr="001A4D2F" w:rsidRDefault="00F77324" w:rsidP="00B46C05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1.2.</w:t>
            </w:r>
            <w:r w:rsidR="0009405E" w:rsidRPr="001A4D2F">
              <w:rPr>
                <w:lang w:val="sr-Cyrl-CS"/>
              </w:rPr>
              <w:t>1</w:t>
            </w:r>
            <w:r w:rsidR="00B46C05" w:rsidRPr="001A4D2F">
              <w:rPr>
                <w:lang w:val="sr-Cyrl-CS"/>
              </w:rPr>
              <w:t>2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Uspostaviti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Jedinstveni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registar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korisnika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novčane</w:t>
            </w:r>
            <w:r w:rsidR="002374BA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doznake</w:t>
            </w:r>
          </w:p>
        </w:tc>
        <w:tc>
          <w:tcPr>
            <w:tcW w:w="399" w:type="pct"/>
          </w:tcPr>
          <w:p w:rsidR="00F77324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NBS</w:t>
            </w:r>
          </w:p>
        </w:tc>
        <w:tc>
          <w:tcPr>
            <w:tcW w:w="431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404" w:type="pct"/>
          </w:tcPr>
          <w:p w:rsidR="00F77324" w:rsidRPr="001A4D2F" w:rsidRDefault="00F010BF" w:rsidP="00C11F8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II </w:t>
            </w:r>
            <w:r w:rsidR="00DF098D">
              <w:rPr>
                <w:lang w:val="sr-Cyrl-CS"/>
              </w:rPr>
              <w:t>kvartal</w:t>
            </w:r>
            <w:r w:rsidR="00F77324" w:rsidRPr="001A4D2F">
              <w:rPr>
                <w:lang w:val="sr-Cyrl-CS"/>
              </w:rPr>
              <w:t xml:space="preserve"> 2020.</w:t>
            </w:r>
          </w:p>
        </w:tc>
        <w:tc>
          <w:tcPr>
            <w:tcW w:w="548" w:type="pct"/>
          </w:tcPr>
          <w:p w:rsidR="00F77324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40"/>
        </w:trPr>
        <w:tc>
          <w:tcPr>
            <w:tcW w:w="835" w:type="pct"/>
          </w:tcPr>
          <w:p w:rsidR="00F77324" w:rsidRPr="001A4D2F" w:rsidRDefault="00F77324" w:rsidP="0009405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1.2.</w:t>
            </w:r>
            <w:r w:rsidR="00B46C05" w:rsidRPr="001A4D2F">
              <w:rPr>
                <w:lang w:val="sr-Cyrl-CS"/>
              </w:rPr>
              <w:t>13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Periodično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analizirati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funkcionalnost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lastRenderedPageBreak/>
              <w:t>Jedinstvenog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registra</w:t>
            </w:r>
            <w:r w:rsidR="002374BA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korisnika</w:t>
            </w:r>
            <w:r w:rsidR="002374BA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novčane</w:t>
            </w:r>
            <w:r w:rsidR="002374BA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doznake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usvajati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mere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potrebi</w:t>
            </w:r>
          </w:p>
        </w:tc>
        <w:tc>
          <w:tcPr>
            <w:tcW w:w="399" w:type="pct"/>
          </w:tcPr>
          <w:p w:rsidR="00F77324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NBS</w:t>
            </w:r>
          </w:p>
        </w:tc>
        <w:tc>
          <w:tcPr>
            <w:tcW w:w="431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404" w:type="pct"/>
          </w:tcPr>
          <w:p w:rsidR="00F77324" w:rsidRPr="001A4D2F" w:rsidRDefault="00F77324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48" w:type="pct"/>
          </w:tcPr>
          <w:p w:rsidR="00F77324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lastRenderedPageBreak/>
              <w:t>aktivnosti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40"/>
        </w:trPr>
        <w:tc>
          <w:tcPr>
            <w:tcW w:w="835" w:type="pct"/>
          </w:tcPr>
          <w:p w:rsidR="00F77324" w:rsidRPr="001A4D2F" w:rsidRDefault="00F77324" w:rsidP="00B46C05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1.2.</w:t>
            </w:r>
            <w:r w:rsidR="0009405E" w:rsidRPr="001A4D2F">
              <w:rPr>
                <w:lang w:val="sr-Cyrl-CS"/>
              </w:rPr>
              <w:t>1</w:t>
            </w:r>
            <w:r w:rsidR="00B46C05" w:rsidRPr="001A4D2F">
              <w:rPr>
                <w:lang w:val="sr-Cyrl-CS"/>
              </w:rPr>
              <w:t>4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Uspostaviti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Jedinstveni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registar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sefova</w:t>
            </w:r>
          </w:p>
        </w:tc>
        <w:tc>
          <w:tcPr>
            <w:tcW w:w="399" w:type="pct"/>
          </w:tcPr>
          <w:p w:rsidR="00F77324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NBS</w:t>
            </w:r>
          </w:p>
        </w:tc>
        <w:tc>
          <w:tcPr>
            <w:tcW w:w="431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404" w:type="pct"/>
          </w:tcPr>
          <w:p w:rsidR="00F77324" w:rsidRPr="001A4D2F" w:rsidRDefault="00F77324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II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2020.</w:t>
            </w:r>
          </w:p>
        </w:tc>
        <w:tc>
          <w:tcPr>
            <w:tcW w:w="548" w:type="pct"/>
          </w:tcPr>
          <w:p w:rsidR="00F77324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40"/>
        </w:trPr>
        <w:tc>
          <w:tcPr>
            <w:tcW w:w="835" w:type="pct"/>
          </w:tcPr>
          <w:p w:rsidR="00F77324" w:rsidRPr="001A4D2F" w:rsidRDefault="00F77324" w:rsidP="0009405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1.2.</w:t>
            </w:r>
            <w:r w:rsidR="00B46C05" w:rsidRPr="001A4D2F">
              <w:rPr>
                <w:lang w:val="sr-Cyrl-CS"/>
              </w:rPr>
              <w:t>15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Kontinuirano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obaveštavanje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svih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relevantnih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učesnika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sistemu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javno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dostupnim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bazama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podataka</w:t>
            </w:r>
          </w:p>
        </w:tc>
        <w:tc>
          <w:tcPr>
            <w:tcW w:w="399" w:type="pct"/>
          </w:tcPr>
          <w:p w:rsidR="00F77324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31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404" w:type="pct"/>
          </w:tcPr>
          <w:p w:rsidR="00F77324" w:rsidRDefault="00F7732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  <w:p w:rsidR="00F010BF" w:rsidRDefault="00F010BF">
            <w:pPr>
              <w:rPr>
                <w:lang w:val="sr-Cyrl-CS"/>
              </w:rPr>
            </w:pPr>
          </w:p>
          <w:p w:rsidR="00F010BF" w:rsidRDefault="00F010BF">
            <w:pPr>
              <w:rPr>
                <w:lang w:val="sr-Cyrl-CS"/>
              </w:rPr>
            </w:pPr>
          </w:p>
          <w:p w:rsidR="00F010BF" w:rsidRDefault="00F010BF">
            <w:pPr>
              <w:rPr>
                <w:lang w:val="sr-Cyrl-CS"/>
              </w:rPr>
            </w:pPr>
          </w:p>
          <w:p w:rsidR="00F010BF" w:rsidRDefault="00F010BF">
            <w:pPr>
              <w:rPr>
                <w:lang w:val="sr-Cyrl-CS"/>
              </w:rPr>
            </w:pPr>
          </w:p>
          <w:p w:rsidR="00F010BF" w:rsidRDefault="00F010BF">
            <w:pPr>
              <w:rPr>
                <w:lang w:val="sr-Cyrl-CS"/>
              </w:rPr>
            </w:pPr>
          </w:p>
          <w:p w:rsidR="00F010BF" w:rsidRPr="001A4D2F" w:rsidRDefault="00F010BF">
            <w:pPr>
              <w:rPr>
                <w:lang w:val="sr-Cyrl-CS"/>
              </w:rPr>
            </w:pPr>
          </w:p>
        </w:tc>
        <w:tc>
          <w:tcPr>
            <w:tcW w:w="548" w:type="pct"/>
          </w:tcPr>
          <w:p w:rsidR="00F77324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40"/>
        </w:trPr>
        <w:tc>
          <w:tcPr>
            <w:tcW w:w="835" w:type="pct"/>
          </w:tcPr>
          <w:p w:rsidR="00F77324" w:rsidRPr="001A4D2F" w:rsidRDefault="00F77324" w:rsidP="00B46C05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1.2.</w:t>
            </w:r>
            <w:r w:rsidR="0009405E" w:rsidRPr="001A4D2F">
              <w:rPr>
                <w:lang w:val="sr-Cyrl-CS"/>
              </w:rPr>
              <w:t>1</w:t>
            </w:r>
            <w:r w:rsidR="00B46C05" w:rsidRPr="001A4D2F">
              <w:rPr>
                <w:lang w:val="sr-Cyrl-CS"/>
              </w:rPr>
              <w:t>6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Najmanje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jednom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godišnje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upoređivati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rezultate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nacionalne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procene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izveštaja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izvršenim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kontrolama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nadzornih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organa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radi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ocene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razumevanja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od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strane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obveznika</w:t>
            </w:r>
            <w:r w:rsidRPr="001A4D2F">
              <w:rPr>
                <w:lang w:val="sr-Cyrl-CS"/>
              </w:rPr>
              <w:t xml:space="preserve"> </w:t>
            </w:r>
          </w:p>
        </w:tc>
        <w:tc>
          <w:tcPr>
            <w:tcW w:w="399" w:type="pct"/>
          </w:tcPr>
          <w:p w:rsidR="00F77324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31" w:type="pct"/>
          </w:tcPr>
          <w:p w:rsidR="00F77324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Nadzorni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</w:p>
        </w:tc>
        <w:tc>
          <w:tcPr>
            <w:tcW w:w="404" w:type="pct"/>
          </w:tcPr>
          <w:p w:rsidR="00F77324" w:rsidRPr="001A4D2F" w:rsidRDefault="00F7732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48" w:type="pct"/>
          </w:tcPr>
          <w:p w:rsidR="00F77324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F77324" w:rsidRPr="001A4D2F" w:rsidTr="002D69E2">
        <w:trPr>
          <w:trHeight w:val="140"/>
        </w:trPr>
        <w:tc>
          <w:tcPr>
            <w:tcW w:w="835" w:type="pct"/>
          </w:tcPr>
          <w:p w:rsidR="00F77324" w:rsidRPr="00DA0EC2" w:rsidRDefault="00F77324" w:rsidP="00B46C05">
            <w:pPr>
              <w:rPr>
                <w:sz w:val="22"/>
                <w:szCs w:val="22"/>
                <w:lang w:val="sr-Cyrl-CS"/>
              </w:rPr>
            </w:pPr>
            <w:r w:rsidRPr="00DA0EC2">
              <w:rPr>
                <w:sz w:val="22"/>
                <w:szCs w:val="22"/>
                <w:lang w:val="sr-Cyrl-CS"/>
              </w:rPr>
              <w:lastRenderedPageBreak/>
              <w:t>1.</w:t>
            </w:r>
            <w:r w:rsidR="001821C4" w:rsidRPr="00DA0EC2">
              <w:rPr>
                <w:sz w:val="22"/>
                <w:szCs w:val="22"/>
                <w:lang w:val="sr-Cyrl-CS"/>
              </w:rPr>
              <w:t>2.</w:t>
            </w:r>
            <w:r w:rsidR="0009405E" w:rsidRPr="00DA0EC2">
              <w:rPr>
                <w:sz w:val="22"/>
                <w:szCs w:val="22"/>
                <w:lang w:val="sr-Cyrl-CS"/>
              </w:rPr>
              <w:t>1</w:t>
            </w:r>
            <w:r w:rsidR="00B46C05" w:rsidRPr="00DA0EC2">
              <w:rPr>
                <w:sz w:val="22"/>
                <w:szCs w:val="22"/>
                <w:lang w:val="sr-Cyrl-CS"/>
              </w:rPr>
              <w:t>7</w:t>
            </w:r>
            <w:r w:rsidRPr="00DA0EC2">
              <w:rPr>
                <w:sz w:val="22"/>
                <w:szCs w:val="22"/>
                <w:lang w:val="sr-Cyrl-CS"/>
              </w:rPr>
              <w:t xml:space="preserve">. </w:t>
            </w:r>
            <w:r w:rsidR="00DF098D">
              <w:rPr>
                <w:sz w:val="22"/>
                <w:szCs w:val="22"/>
                <w:lang w:val="sr-Cyrl-CS"/>
              </w:rPr>
              <w:t>Kontinuirano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sagledavati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kvalitet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analiza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rizika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koje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obveznici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sprovode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u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skladu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sa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članom</w:t>
            </w:r>
            <w:r w:rsidRPr="00DA0EC2">
              <w:rPr>
                <w:sz w:val="22"/>
                <w:szCs w:val="22"/>
                <w:lang w:val="sr-Cyrl-CS"/>
              </w:rPr>
              <w:t xml:space="preserve"> 6. </w:t>
            </w:r>
            <w:r w:rsidR="00DF098D">
              <w:rPr>
                <w:sz w:val="22"/>
                <w:szCs w:val="22"/>
                <w:lang w:val="sr-Cyrl-CS"/>
              </w:rPr>
              <w:t>Zakona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o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sprečavanju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pranja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novca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finansiranja</w:t>
            </w:r>
            <w:r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terorizma</w:t>
            </w:r>
          </w:p>
        </w:tc>
        <w:tc>
          <w:tcPr>
            <w:tcW w:w="399" w:type="pct"/>
          </w:tcPr>
          <w:p w:rsidR="00F77324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USPN</w:t>
            </w:r>
          </w:p>
        </w:tc>
        <w:tc>
          <w:tcPr>
            <w:tcW w:w="431" w:type="pct"/>
          </w:tcPr>
          <w:p w:rsidR="00F77324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Nadzorni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</w:p>
        </w:tc>
        <w:tc>
          <w:tcPr>
            <w:tcW w:w="404" w:type="pct"/>
          </w:tcPr>
          <w:p w:rsidR="00F77324" w:rsidRPr="001A4D2F" w:rsidRDefault="00F77324" w:rsidP="00C11F8E">
            <w:pPr>
              <w:rPr>
                <w:color w:val="FF0000"/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48" w:type="pct"/>
          </w:tcPr>
          <w:p w:rsidR="00F77324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5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59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</w:tbl>
    <w:p w:rsidR="00F43ECD" w:rsidRPr="001A4D2F" w:rsidRDefault="00F43ECD" w:rsidP="00C11F8E">
      <w:pPr>
        <w:rPr>
          <w:b/>
          <w:lang w:val="sr-Cyrl-CS"/>
        </w:rPr>
      </w:pPr>
    </w:p>
    <w:p w:rsidR="00F43ECD" w:rsidRPr="001A4D2F" w:rsidRDefault="00F43ECD" w:rsidP="00C11F8E">
      <w:pPr>
        <w:rPr>
          <w:lang w:val="sr-Cyrl-CS"/>
        </w:rPr>
      </w:pPr>
    </w:p>
    <w:tbl>
      <w:tblPr>
        <w:tblStyle w:val="TableGrid"/>
        <w:tblW w:w="4986" w:type="pct"/>
        <w:tblInd w:w="11" w:type="dxa"/>
        <w:tblLayout w:type="fixed"/>
        <w:tblLook w:val="04A0"/>
      </w:tblPr>
      <w:tblGrid>
        <w:gridCol w:w="3194"/>
        <w:gridCol w:w="1458"/>
        <w:gridCol w:w="1965"/>
        <w:gridCol w:w="382"/>
        <w:gridCol w:w="775"/>
        <w:gridCol w:w="1693"/>
        <w:gridCol w:w="1527"/>
        <w:gridCol w:w="1561"/>
        <w:gridCol w:w="1580"/>
      </w:tblGrid>
      <w:tr w:rsidR="00F43ECD" w:rsidRPr="001A4D2F" w:rsidTr="00C11F8E">
        <w:trPr>
          <w:trHeight w:val="168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DF098D" w:rsidP="00FD6ACD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4" w:name="_Toc32409908"/>
            <w:r>
              <w:rPr>
                <w:rFonts w:cs="Times New Roman"/>
                <w:sz w:val="24"/>
                <w:lang w:val="sr-Cyrl-CS"/>
              </w:rPr>
              <w:t>Mera</w:t>
            </w:r>
            <w:r w:rsidR="00054E20" w:rsidRPr="001A4D2F">
              <w:rPr>
                <w:rFonts w:cs="Times New Roman"/>
                <w:sz w:val="24"/>
                <w:lang w:val="sr-Cyrl-CS"/>
              </w:rPr>
              <w:t xml:space="preserve"> 1.</w:t>
            </w:r>
            <w:r w:rsidR="00FD6ACD" w:rsidRPr="001A4D2F">
              <w:rPr>
                <w:rFonts w:cs="Times New Roman"/>
                <w:sz w:val="24"/>
                <w:lang w:val="sr-Cyrl-CS"/>
              </w:rPr>
              <w:t>3</w:t>
            </w:r>
            <w:r w:rsidR="00054E20" w:rsidRPr="001A4D2F">
              <w:rPr>
                <w:rFonts w:cs="Times New Roman"/>
                <w:sz w:val="24"/>
                <w:lang w:val="sr-Cyrl-CS"/>
              </w:rPr>
              <w:t xml:space="preserve">: </w:t>
            </w:r>
            <w:r>
              <w:rPr>
                <w:rFonts w:cs="Times New Roman"/>
                <w:sz w:val="24"/>
                <w:lang w:val="sr-Cyrl-CS"/>
              </w:rPr>
              <w:t>Razrađivanje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mehanizama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koordinacije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saradnje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između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organa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nadležnih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za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nadzor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, </w:t>
            </w:r>
            <w:r>
              <w:rPr>
                <w:rFonts w:cs="Times New Roman"/>
                <w:sz w:val="24"/>
                <w:lang w:val="sr-Cyrl-CS"/>
              </w:rPr>
              <w:t>finansijskoobaveštajne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poslove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, </w:t>
            </w:r>
            <w:r>
              <w:rPr>
                <w:rFonts w:cs="Times New Roman"/>
                <w:sz w:val="24"/>
                <w:lang w:val="sr-Cyrl-CS"/>
              </w:rPr>
              <w:t>istrage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, </w:t>
            </w:r>
            <w:r>
              <w:rPr>
                <w:rFonts w:cs="Times New Roman"/>
                <w:sz w:val="24"/>
                <w:lang w:val="sr-Cyrl-CS"/>
              </w:rPr>
              <w:t>postupke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za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pranje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novca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finansiranje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terorizma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oduzimanje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imovine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unapređenje</w:t>
            </w:r>
            <w:r w:rsidR="00FD6A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međunarodne</w:t>
            </w:r>
            <w:r w:rsidR="00054E2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saradnje</w:t>
            </w:r>
            <w:bookmarkEnd w:id="4"/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</w:p>
        </w:tc>
      </w:tr>
      <w:tr w:rsidR="00F43ECD" w:rsidRPr="001A4D2F" w:rsidTr="00C11F8E">
        <w:trPr>
          <w:trHeight w:val="298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DF098D" w:rsidP="007F7FA4">
            <w:pPr>
              <w:rPr>
                <w:lang w:val="sr-Cyrl-CS"/>
              </w:rPr>
            </w:pPr>
            <w:r>
              <w:rPr>
                <w:lang w:val="sr-Cyrl-CS"/>
              </w:rPr>
              <w:t>Organ</w:t>
            </w:r>
            <w:r w:rsidR="00F43ECD" w:rsidRPr="001A4D2F">
              <w:rPr>
                <w:lang w:val="sr-Cyrl-CS"/>
              </w:rPr>
              <w:t xml:space="preserve"> o</w:t>
            </w:r>
            <w:r>
              <w:rPr>
                <w:lang w:val="sr-Cyrl-CS"/>
              </w:rPr>
              <w:t>dgovoran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sprovođenje</w:t>
            </w:r>
            <w:r w:rsidR="00F43ECD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koordinisanje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sprovođenja</w:t>
            </w:r>
            <w:r w:rsidR="00F43ECD" w:rsidRPr="001A4D2F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mere</w:t>
            </w:r>
            <w:r w:rsidR="00F43ECD" w:rsidRPr="001A4D2F">
              <w:rPr>
                <w:lang w:val="sr-Cyrl-CS"/>
              </w:rPr>
              <w:t>:</w:t>
            </w:r>
            <w:r w:rsidR="007F7F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Koordinaciono</w:t>
            </w:r>
            <w:r w:rsidR="007F7F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telo</w:t>
            </w:r>
            <w:r w:rsidR="007F7F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7F7F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sprečavanje</w:t>
            </w:r>
            <w:r w:rsidR="007F7F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pranja</w:t>
            </w:r>
            <w:r w:rsidR="007F7F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novca</w:t>
            </w:r>
            <w:r w:rsidR="007F7F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7F7F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finansiranja</w:t>
            </w:r>
            <w:r w:rsidR="007F7F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terorizma</w:t>
            </w:r>
          </w:p>
        </w:tc>
      </w:tr>
      <w:tr w:rsidR="00F43ECD" w:rsidRPr="001A4D2F" w:rsidTr="00C11F8E">
        <w:trPr>
          <w:trHeight w:val="298"/>
        </w:trPr>
        <w:tc>
          <w:tcPr>
            <w:tcW w:w="247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Period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sprovođenja</w:t>
            </w:r>
            <w:r w:rsidR="00F43ECD" w:rsidRPr="001A4D2F">
              <w:rPr>
                <w:lang w:val="sr-Cyrl-CS"/>
              </w:rPr>
              <w:t>:</w:t>
            </w:r>
            <w:r w:rsidR="007F7FA4" w:rsidRPr="001A4D2F">
              <w:rPr>
                <w:lang w:val="sr-Cyrl-CS"/>
              </w:rPr>
              <w:t xml:space="preserve"> 2020-2022</w:t>
            </w:r>
          </w:p>
        </w:tc>
        <w:tc>
          <w:tcPr>
            <w:tcW w:w="252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Tip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F43ECD" w:rsidRPr="001A4D2F">
              <w:rPr>
                <w:lang w:val="sr-Cyrl-CS"/>
              </w:rPr>
              <w:t>:</w:t>
            </w:r>
            <w:r w:rsidR="0046486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Institucionalno</w:t>
            </w:r>
            <w:r w:rsidR="00464869" w:rsidRPr="001A4D2F">
              <w:rPr>
                <w:lang w:val="sr-Cyrl-CS"/>
              </w:rPr>
              <w:t>-</w:t>
            </w:r>
            <w:r>
              <w:rPr>
                <w:lang w:val="sr-Cyrl-CS"/>
              </w:rPr>
              <w:t>upravljačko</w:t>
            </w:r>
            <w:r w:rsidR="00464869" w:rsidRPr="001A4D2F">
              <w:rPr>
                <w:lang w:val="sr-Cyrl-CS"/>
              </w:rPr>
              <w:t>-</w:t>
            </w:r>
            <w:r>
              <w:rPr>
                <w:lang w:val="sr-Cyrl-CS"/>
              </w:rPr>
              <w:t>organizaciona</w:t>
            </w:r>
          </w:p>
        </w:tc>
      </w:tr>
      <w:tr w:rsidR="004316AD" w:rsidRPr="001A4D2F" w:rsidTr="004316AD">
        <w:trPr>
          <w:trHeight w:val="950"/>
        </w:trPr>
        <w:tc>
          <w:tcPr>
            <w:tcW w:w="1130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Pokazatelj</w:t>
            </w:r>
            <w:r w:rsidR="004316AD" w:rsidRPr="001A4D2F">
              <w:rPr>
                <w:lang w:val="sr-Cyrl-CS"/>
              </w:rPr>
              <w:t>(</w:t>
            </w:r>
            <w:r>
              <w:rPr>
                <w:lang w:val="sr-Cyrl-CS"/>
              </w:rPr>
              <w:t>i</w:t>
            </w:r>
            <w:r w:rsidR="004316AD" w:rsidRPr="001A4D2F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nivou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4316AD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pokazatelj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rezultata</w:t>
            </w:r>
            <w:r w:rsidR="004316AD" w:rsidRPr="001A4D2F">
              <w:rPr>
                <w:lang w:val="sr-Cyrl-CS"/>
              </w:rPr>
              <w:t>)</w:t>
            </w:r>
          </w:p>
        </w:tc>
        <w:tc>
          <w:tcPr>
            <w:tcW w:w="516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</w:t>
            </w:r>
            <w:r w:rsidR="00DF098D">
              <w:rPr>
                <w:lang w:val="sr-Cyrl-CS"/>
              </w:rPr>
              <w:t>edinica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mere</w:t>
            </w:r>
          </w:p>
          <w:p w:rsidR="004316AD" w:rsidRPr="001A4D2F" w:rsidRDefault="004316AD" w:rsidP="00C11F8E">
            <w:pPr>
              <w:rPr>
                <w:lang w:val="sr-Cyrl-CS"/>
              </w:rPr>
            </w:pPr>
          </w:p>
        </w:tc>
        <w:tc>
          <w:tcPr>
            <w:tcW w:w="695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Izvor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provere</w:t>
            </w:r>
          </w:p>
        </w:tc>
        <w:tc>
          <w:tcPr>
            <w:tcW w:w="409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Početna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4316AD" w:rsidRPr="001A4D2F">
              <w:rPr>
                <w:lang w:val="sr-Cyrl-CS"/>
              </w:rPr>
              <w:t xml:space="preserve"> </w:t>
            </w:r>
          </w:p>
        </w:tc>
        <w:tc>
          <w:tcPr>
            <w:tcW w:w="599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Bazna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godina</w:t>
            </w:r>
          </w:p>
        </w:tc>
        <w:tc>
          <w:tcPr>
            <w:tcW w:w="540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4316AD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4316AD" w:rsidRPr="001A4D2F">
              <w:rPr>
                <w:lang w:val="sr-Cyrl-CS"/>
              </w:rPr>
              <w:t xml:space="preserve"> 2020.</w:t>
            </w:r>
          </w:p>
        </w:tc>
        <w:tc>
          <w:tcPr>
            <w:tcW w:w="552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4316AD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4316AD" w:rsidRPr="001A4D2F">
              <w:rPr>
                <w:lang w:val="sr-Cyrl-CS"/>
              </w:rPr>
              <w:t xml:space="preserve"> 2021.</w:t>
            </w:r>
          </w:p>
        </w:tc>
        <w:tc>
          <w:tcPr>
            <w:tcW w:w="559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4316AD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885F9C" w:rsidRPr="001A4D2F">
              <w:rPr>
                <w:lang w:val="sr-Cyrl-CS"/>
              </w:rPr>
              <w:t xml:space="preserve"> 2022.</w:t>
            </w:r>
          </w:p>
        </w:tc>
      </w:tr>
      <w:tr w:rsidR="00F43ECD" w:rsidRPr="001A4D2F" w:rsidTr="004316AD">
        <w:trPr>
          <w:trHeight w:val="950"/>
        </w:trPr>
        <w:tc>
          <w:tcPr>
            <w:tcW w:w="1130" w:type="pct"/>
            <w:tcBorders>
              <w:top w:val="double" w:sz="4" w:space="0" w:color="auto"/>
            </w:tcBorders>
            <w:shd w:val="clear" w:color="auto" w:fill="auto"/>
          </w:tcPr>
          <w:p w:rsidR="00F43ECD" w:rsidRPr="001A4D2F" w:rsidRDefault="00DF098D" w:rsidP="007F7FA4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Napredak</w:t>
            </w:r>
            <w:r w:rsidR="007F7FA4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u</w:t>
            </w:r>
            <w:r w:rsidR="007F7FA4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delotvornosti</w:t>
            </w:r>
            <w:r w:rsidR="007F7FA4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i</w:t>
            </w:r>
            <w:r w:rsidR="007F7FA4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tehničkoj</w:t>
            </w:r>
            <w:r w:rsidR="007F7FA4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usklađenosti</w:t>
            </w:r>
            <w:r w:rsidR="007F7FA4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sa</w:t>
            </w:r>
            <w:r w:rsidR="007F7FA4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relevantnim</w:t>
            </w:r>
            <w:r w:rsidR="007F7FA4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međunarodnim</w:t>
            </w:r>
            <w:r w:rsidR="007F7FA4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standardima</w:t>
            </w:r>
            <w:r w:rsidR="004316AD" w:rsidRPr="001A4D2F">
              <w:rPr>
                <w:color w:val="auto"/>
                <w:lang w:val="sr-Cyrl-CS"/>
              </w:rPr>
              <w:t>,</w:t>
            </w:r>
            <w:r w:rsidR="007F7FA4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na</w:t>
            </w:r>
            <w:r w:rsidR="00E62F72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godišnjem</w:t>
            </w:r>
            <w:r w:rsidR="00E62F72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nivou</w:t>
            </w:r>
          </w:p>
        </w:tc>
        <w:tc>
          <w:tcPr>
            <w:tcW w:w="516" w:type="pct"/>
            <w:tcBorders>
              <w:top w:val="double" w:sz="4" w:space="0" w:color="auto"/>
            </w:tcBorders>
            <w:shd w:val="clear" w:color="auto" w:fill="auto"/>
          </w:tcPr>
          <w:p w:rsidR="00F43ECD" w:rsidRPr="001A4D2F" w:rsidRDefault="00DF098D" w:rsidP="00F07D7D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Da</w:t>
            </w:r>
            <w:r w:rsidR="005F240E" w:rsidRPr="001A4D2F">
              <w:rPr>
                <w:color w:val="auto"/>
                <w:lang w:val="sr-Cyrl-CS"/>
              </w:rPr>
              <w:t>/</w:t>
            </w:r>
            <w:r>
              <w:rPr>
                <w:color w:val="auto"/>
                <w:lang w:val="sr-Cyrl-CS"/>
              </w:rPr>
              <w:t>Ne</w:t>
            </w:r>
          </w:p>
        </w:tc>
        <w:tc>
          <w:tcPr>
            <w:tcW w:w="695" w:type="pct"/>
            <w:tcBorders>
              <w:top w:val="double" w:sz="4" w:space="0" w:color="auto"/>
            </w:tcBorders>
            <w:shd w:val="clear" w:color="auto" w:fill="auto"/>
          </w:tcPr>
          <w:p w:rsidR="00F43ECD" w:rsidRPr="001A4D2F" w:rsidRDefault="00DF098D" w:rsidP="00F07D7D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Izveštaj</w:t>
            </w:r>
            <w:r w:rsidR="007F7FA4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Manivala</w:t>
            </w:r>
            <w:r w:rsidR="007F7FA4" w:rsidRPr="001A4D2F">
              <w:rPr>
                <w:color w:val="auto"/>
                <w:lang w:val="sr-Cyrl-CS"/>
              </w:rPr>
              <w:t xml:space="preserve">, </w:t>
            </w:r>
            <w:r>
              <w:rPr>
                <w:color w:val="auto"/>
                <w:lang w:val="sr-Cyrl-CS"/>
              </w:rPr>
              <w:t>Izveštaji</w:t>
            </w:r>
            <w:r w:rsidR="00121212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o</w:t>
            </w:r>
            <w:r w:rsidR="00121212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radu</w:t>
            </w:r>
            <w:r w:rsidR="00121212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nadležnih</w:t>
            </w:r>
            <w:r w:rsidR="00121212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organa</w:t>
            </w:r>
            <w:r w:rsidR="00121212" w:rsidRPr="001A4D2F">
              <w:rPr>
                <w:color w:val="auto"/>
                <w:lang w:val="sr-Cyrl-CS"/>
              </w:rPr>
              <w:t xml:space="preserve">, </w:t>
            </w:r>
            <w:r>
              <w:rPr>
                <w:color w:val="auto"/>
                <w:lang w:val="sr-Cyrl-CS"/>
              </w:rPr>
              <w:t>Koordinacionog</w:t>
            </w:r>
            <w:r w:rsidR="00121212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tela</w:t>
            </w:r>
          </w:p>
        </w:tc>
        <w:tc>
          <w:tcPr>
            <w:tcW w:w="409" w:type="pct"/>
            <w:gridSpan w:val="2"/>
            <w:tcBorders>
              <w:top w:val="double" w:sz="4" w:space="0" w:color="auto"/>
            </w:tcBorders>
            <w:shd w:val="clear" w:color="auto" w:fill="auto"/>
          </w:tcPr>
          <w:p w:rsidR="00F43ECD" w:rsidRPr="001A4D2F" w:rsidRDefault="00DF098D" w:rsidP="00F07D7D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Da</w:t>
            </w:r>
          </w:p>
        </w:tc>
        <w:tc>
          <w:tcPr>
            <w:tcW w:w="599" w:type="pct"/>
            <w:tcBorders>
              <w:top w:val="double" w:sz="4" w:space="0" w:color="auto"/>
            </w:tcBorders>
            <w:shd w:val="clear" w:color="auto" w:fill="auto"/>
          </w:tcPr>
          <w:p w:rsidR="00F43ECD" w:rsidRPr="001A4D2F" w:rsidRDefault="007F7FA4" w:rsidP="00F07D7D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2019.</w:t>
            </w:r>
          </w:p>
        </w:tc>
        <w:tc>
          <w:tcPr>
            <w:tcW w:w="540" w:type="pct"/>
            <w:tcBorders>
              <w:top w:val="double" w:sz="4" w:space="0" w:color="auto"/>
            </w:tcBorders>
            <w:shd w:val="clear" w:color="auto" w:fill="auto"/>
          </w:tcPr>
          <w:p w:rsidR="00F43ECD" w:rsidRPr="001A4D2F" w:rsidRDefault="00DF098D" w:rsidP="00F07D7D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Da</w:t>
            </w:r>
          </w:p>
        </w:tc>
        <w:tc>
          <w:tcPr>
            <w:tcW w:w="552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43ECD" w:rsidRPr="001A4D2F" w:rsidRDefault="00DF098D" w:rsidP="00F07D7D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Da</w:t>
            </w:r>
          </w:p>
        </w:tc>
        <w:tc>
          <w:tcPr>
            <w:tcW w:w="559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F43ECD" w:rsidRPr="001A4D2F" w:rsidRDefault="00DF098D" w:rsidP="00F07D7D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Da</w:t>
            </w:r>
          </w:p>
        </w:tc>
      </w:tr>
    </w:tbl>
    <w:p w:rsidR="00F43ECD" w:rsidRPr="001A4D2F" w:rsidRDefault="00F43ECD" w:rsidP="00C11F8E">
      <w:pPr>
        <w:rPr>
          <w:lang w:val="sr-Cyrl-CS"/>
        </w:rPr>
      </w:pPr>
    </w:p>
    <w:p w:rsidR="00F43ECD" w:rsidRPr="001A4D2F" w:rsidRDefault="00F43ECD" w:rsidP="00C11F8E">
      <w:pPr>
        <w:rPr>
          <w:lang w:val="sr-Cyrl-CS"/>
        </w:rPr>
      </w:pPr>
    </w:p>
    <w:tbl>
      <w:tblPr>
        <w:tblStyle w:val="TableGrid"/>
        <w:tblW w:w="5000" w:type="pct"/>
        <w:tblLayout w:type="fixed"/>
        <w:tblLook w:val="04A0"/>
      </w:tblPr>
      <w:tblGrid>
        <w:gridCol w:w="2358"/>
        <w:gridCol w:w="1128"/>
        <w:gridCol w:w="1222"/>
        <w:gridCol w:w="1145"/>
        <w:gridCol w:w="1554"/>
        <w:gridCol w:w="1143"/>
        <w:gridCol w:w="1905"/>
        <w:gridCol w:w="1701"/>
        <w:gridCol w:w="2019"/>
      </w:tblGrid>
      <w:tr w:rsidR="002E2CAF" w:rsidRPr="001A4D2F" w:rsidTr="006B4500">
        <w:trPr>
          <w:trHeight w:val="140"/>
        </w:trPr>
        <w:tc>
          <w:tcPr>
            <w:tcW w:w="83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2E2CAF" w:rsidRPr="00536DA8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Naziv</w:t>
            </w:r>
            <w:r w:rsidR="002E2CA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aktivnosti</w:t>
            </w:r>
            <w:r w:rsidR="002E2CAF" w:rsidRPr="00536DA8">
              <w:rPr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39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536DA8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Organ</w:t>
            </w:r>
            <w:r w:rsidR="002E2CA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koji</w:t>
            </w:r>
            <w:r w:rsidR="002E2CA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sprovodi</w:t>
            </w:r>
            <w:r w:rsidR="002E2CA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aktivnost</w:t>
            </w:r>
          </w:p>
        </w:tc>
        <w:tc>
          <w:tcPr>
            <w:tcW w:w="431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536DA8" w:rsidRDefault="002E2CAF" w:rsidP="00C11F8E">
            <w:pPr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O</w:t>
            </w:r>
            <w:r w:rsidR="00DF098D">
              <w:rPr>
                <w:b/>
                <w:sz w:val="18"/>
                <w:szCs w:val="18"/>
                <w:lang w:val="sr-Cyrl-CS"/>
              </w:rPr>
              <w:t>rgani</w:t>
            </w:r>
            <w:r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partneri</w:t>
            </w:r>
            <w:r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u</w:t>
            </w:r>
            <w:r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sprovođenju</w:t>
            </w:r>
            <w:r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aktivnosti</w:t>
            </w:r>
          </w:p>
        </w:tc>
        <w:tc>
          <w:tcPr>
            <w:tcW w:w="40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536DA8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Rok</w:t>
            </w:r>
            <w:r w:rsidR="002E2CA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za</w:t>
            </w:r>
            <w:r w:rsidR="002E2CA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završetak</w:t>
            </w:r>
            <w:r w:rsidR="002E2CA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aktivnosti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536DA8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Izvor</w:t>
            </w:r>
            <w:r w:rsidR="002E2CA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finansiranja</w:t>
            </w:r>
          </w:p>
        </w:tc>
        <w:tc>
          <w:tcPr>
            <w:tcW w:w="40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536DA8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Veza</w:t>
            </w:r>
            <w:r w:rsidR="002E2CA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sa</w:t>
            </w:r>
            <w:r w:rsidR="002E2CA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4"/>
                <w:szCs w:val="14"/>
                <w:lang w:val="sr-Cyrl-CS"/>
              </w:rPr>
              <w:t>programskim</w:t>
            </w:r>
            <w:r w:rsidR="002E2CAF" w:rsidRPr="00063345">
              <w:rPr>
                <w:b/>
                <w:sz w:val="14"/>
                <w:szCs w:val="14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budžetom</w:t>
            </w:r>
          </w:p>
          <w:p w:rsidR="002E2CAF" w:rsidRPr="00536DA8" w:rsidRDefault="002E2CAF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984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536DA8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Ukupna</w:t>
            </w:r>
            <w:r w:rsidR="002E2CA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procenjena</w:t>
            </w:r>
            <w:r w:rsidR="002E2CA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finansijska</w:t>
            </w:r>
            <w:r w:rsidR="002E2CA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sredstva</w:t>
            </w:r>
            <w:r w:rsidR="002E2CA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po</w:t>
            </w:r>
            <w:r w:rsidR="002E2CA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izvorima</w:t>
            </w:r>
            <w:r w:rsidR="002E2CAF" w:rsidRPr="00536DA8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u</w:t>
            </w:r>
            <w:r w:rsidR="002E2CAF" w:rsidRPr="00536DA8">
              <w:rPr>
                <w:b/>
                <w:sz w:val="18"/>
                <w:szCs w:val="18"/>
                <w:lang w:val="sr-Cyrl-CS"/>
              </w:rPr>
              <w:t xml:space="preserve"> 000 </w:t>
            </w:r>
            <w:r>
              <w:rPr>
                <w:b/>
                <w:sz w:val="18"/>
                <w:szCs w:val="18"/>
                <w:lang w:val="sr-Cyrl-CS"/>
              </w:rPr>
              <w:t>din</w:t>
            </w:r>
            <w:r w:rsidR="002E2CAF" w:rsidRPr="00536DA8">
              <w:rPr>
                <w:b/>
                <w:sz w:val="18"/>
                <w:szCs w:val="18"/>
                <w:lang w:val="sr-Cyrl-CS"/>
              </w:rPr>
              <w:t>.</w:t>
            </w:r>
          </w:p>
        </w:tc>
      </w:tr>
      <w:tr w:rsidR="006B4500" w:rsidRPr="001A4D2F" w:rsidTr="006B4500">
        <w:trPr>
          <w:trHeight w:val="386"/>
        </w:trPr>
        <w:tc>
          <w:tcPr>
            <w:tcW w:w="832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DB34B7" w:rsidRPr="00536DA8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98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31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04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48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403" w:type="pct"/>
            <w:vMerge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672" w:type="pct"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2020.</w:t>
            </w:r>
          </w:p>
        </w:tc>
        <w:tc>
          <w:tcPr>
            <w:tcW w:w="600" w:type="pct"/>
            <w:shd w:val="clear" w:color="auto" w:fill="E5DFEC" w:themeFill="accent4" w:themeFillTint="33"/>
          </w:tcPr>
          <w:p w:rsidR="00DB34B7" w:rsidRPr="00536DA8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712" w:type="pct"/>
            <w:shd w:val="clear" w:color="auto" w:fill="E5DFEC" w:themeFill="accent4" w:themeFillTint="33"/>
          </w:tcPr>
          <w:p w:rsidR="00DB34B7" w:rsidRPr="00536DA8" w:rsidRDefault="00DB34B7" w:rsidP="00DB34B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36DA8">
              <w:rPr>
                <w:b/>
                <w:sz w:val="18"/>
                <w:szCs w:val="18"/>
                <w:lang w:val="sr-Cyrl-CS"/>
              </w:rPr>
              <w:t>2022.</w:t>
            </w:r>
          </w:p>
        </w:tc>
      </w:tr>
      <w:tr w:rsidR="00F77324" w:rsidRPr="001A4D2F" w:rsidTr="006B4500">
        <w:trPr>
          <w:trHeight w:val="2293"/>
        </w:trPr>
        <w:tc>
          <w:tcPr>
            <w:tcW w:w="832" w:type="pct"/>
            <w:tcBorders>
              <w:left w:val="double" w:sz="4" w:space="0" w:color="auto"/>
            </w:tcBorders>
          </w:tcPr>
          <w:p w:rsidR="00F77324" w:rsidRPr="001A4D2F" w:rsidRDefault="00F77324" w:rsidP="007F7FA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1.3.1 </w:t>
            </w:r>
            <w:r w:rsidR="00DF098D">
              <w:rPr>
                <w:lang w:val="sr-Cyrl-CS"/>
              </w:rPr>
              <w:t>Razmotriti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mogućnosti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izradu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regionalne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procene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analize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umrežavanje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registrima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drugih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država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drugim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inicijativama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skladu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dobrom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međunarodnom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praksom</w:t>
            </w:r>
            <w:r w:rsidRPr="001A4D2F">
              <w:rPr>
                <w:lang w:val="sr-Cyrl-CS"/>
              </w:rPr>
              <w:t>.</w:t>
            </w:r>
          </w:p>
        </w:tc>
        <w:tc>
          <w:tcPr>
            <w:tcW w:w="398" w:type="pct"/>
          </w:tcPr>
          <w:p w:rsidR="00F77324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31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404" w:type="pct"/>
          </w:tcPr>
          <w:p w:rsidR="00F77324" w:rsidRPr="001A4D2F" w:rsidRDefault="00F77324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48" w:type="pct"/>
          </w:tcPr>
          <w:p w:rsidR="00F77324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3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7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71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A9340A" w:rsidRPr="001A4D2F" w:rsidTr="006B4500">
        <w:trPr>
          <w:trHeight w:val="140"/>
        </w:trPr>
        <w:tc>
          <w:tcPr>
            <w:tcW w:w="832" w:type="pct"/>
            <w:tcBorders>
              <w:left w:val="double" w:sz="4" w:space="0" w:color="auto"/>
            </w:tcBorders>
          </w:tcPr>
          <w:p w:rsidR="00A9340A" w:rsidRPr="001A4D2F" w:rsidRDefault="00A9340A" w:rsidP="007F7FA4">
            <w:pPr>
              <w:rPr>
                <w:lang w:val="sr-Cyrl-CS"/>
              </w:rPr>
            </w:pPr>
            <w:r w:rsidRPr="001A4D2F">
              <w:rPr>
                <w:bCs/>
                <w:lang w:val="sr-Cyrl-CS"/>
              </w:rPr>
              <w:t xml:space="preserve">1.3.2 </w:t>
            </w:r>
            <w:r w:rsidR="00DF098D">
              <w:rPr>
                <w:bCs/>
                <w:lang w:val="sr-Cyrl-CS"/>
              </w:rPr>
              <w:t>Ostvarivati</w:t>
            </w:r>
            <w:r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saradnju</w:t>
            </w:r>
            <w:r w:rsidRPr="001A4D2F">
              <w:rPr>
                <w:bCs/>
                <w:lang w:val="sr-Cyrl-CS"/>
              </w:rPr>
              <w:t xml:space="preserve">, </w:t>
            </w:r>
            <w:r w:rsidR="00DF098D">
              <w:rPr>
                <w:bCs/>
                <w:lang w:val="sr-Cyrl-CS"/>
              </w:rPr>
              <w:t>uključujući</w:t>
            </w:r>
            <w:r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i</w:t>
            </w:r>
            <w:r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kroz</w:t>
            </w:r>
            <w:r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prikupljanje</w:t>
            </w:r>
            <w:r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informacija</w:t>
            </w:r>
            <w:r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o</w:t>
            </w:r>
            <w:r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uporednoj</w:t>
            </w:r>
            <w:r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praksi</w:t>
            </w:r>
            <w:r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drugih</w:t>
            </w:r>
            <w:r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država</w:t>
            </w:r>
            <w:r w:rsidRPr="001A4D2F">
              <w:rPr>
                <w:bCs/>
                <w:lang w:val="sr-Cyrl-CS"/>
              </w:rPr>
              <w:t xml:space="preserve">, </w:t>
            </w:r>
            <w:r w:rsidR="00DF098D">
              <w:rPr>
                <w:bCs/>
                <w:lang w:val="sr-Cyrl-CS"/>
              </w:rPr>
              <w:t>posebno</w:t>
            </w:r>
            <w:r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država</w:t>
            </w:r>
            <w:r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regiona</w:t>
            </w:r>
            <w:r w:rsidRPr="001A4D2F">
              <w:rPr>
                <w:bCs/>
                <w:lang w:val="sr-Cyrl-CS"/>
              </w:rPr>
              <w:t xml:space="preserve">, </w:t>
            </w:r>
            <w:r w:rsidR="00DF098D">
              <w:rPr>
                <w:bCs/>
                <w:lang w:val="sr-Cyrl-CS"/>
              </w:rPr>
              <w:t>o</w:t>
            </w:r>
            <w:r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pitanjima</w:t>
            </w:r>
            <w:r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bitnim</w:t>
            </w:r>
            <w:r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za</w:t>
            </w:r>
            <w:r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sprovođenje</w:t>
            </w:r>
            <w:r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prioritetnih</w:t>
            </w:r>
            <w:r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analiza</w:t>
            </w:r>
            <w:r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i</w:t>
            </w:r>
            <w:r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nacionalne</w:t>
            </w:r>
            <w:r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procene</w:t>
            </w:r>
            <w:r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rizika</w:t>
            </w:r>
          </w:p>
        </w:tc>
        <w:tc>
          <w:tcPr>
            <w:tcW w:w="398" w:type="pct"/>
          </w:tcPr>
          <w:p w:rsidR="00A9340A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31" w:type="pct"/>
          </w:tcPr>
          <w:p w:rsidR="00A9340A" w:rsidRPr="001A4D2F" w:rsidRDefault="00A9340A">
            <w:pPr>
              <w:rPr>
                <w:lang w:val="sr-Cyrl-CS"/>
              </w:rPr>
            </w:pPr>
          </w:p>
        </w:tc>
        <w:tc>
          <w:tcPr>
            <w:tcW w:w="404" w:type="pct"/>
          </w:tcPr>
          <w:p w:rsidR="00A9340A" w:rsidRPr="001A4D2F" w:rsidRDefault="00A9340A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48" w:type="pct"/>
          </w:tcPr>
          <w:p w:rsidR="00A9340A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3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72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00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712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</w:tr>
      <w:tr w:rsidR="00A9340A" w:rsidRPr="001A4D2F" w:rsidTr="006B4500">
        <w:trPr>
          <w:trHeight w:val="543"/>
        </w:trPr>
        <w:tc>
          <w:tcPr>
            <w:tcW w:w="832" w:type="pct"/>
            <w:tcBorders>
              <w:left w:val="double" w:sz="4" w:space="0" w:color="auto"/>
            </w:tcBorders>
          </w:tcPr>
          <w:p w:rsidR="00DA0EC2" w:rsidRPr="00DA0EC2" w:rsidRDefault="00A9340A" w:rsidP="007F7FA4">
            <w:pPr>
              <w:rPr>
                <w:rFonts w:eastAsia="Times New Roman"/>
                <w:sz w:val="22"/>
                <w:szCs w:val="22"/>
                <w:lang w:eastAsia="en-GB"/>
              </w:rPr>
            </w:pPr>
            <w:r w:rsidRPr="00DA0EC2">
              <w:rPr>
                <w:rFonts w:eastAsia="Times New Roman"/>
                <w:sz w:val="22"/>
                <w:szCs w:val="22"/>
                <w:lang w:val="sr-Cyrl-CS" w:eastAsia="en-GB"/>
              </w:rPr>
              <w:t xml:space="preserve">1.3.3 </w:t>
            </w:r>
            <w:r w:rsidR="00DF098D">
              <w:rPr>
                <w:rFonts w:eastAsia="Times New Roman"/>
                <w:sz w:val="22"/>
                <w:szCs w:val="22"/>
                <w:lang w:val="sr-Cyrl-CS" w:eastAsia="en-GB"/>
              </w:rPr>
              <w:t>Potpisivanje</w:t>
            </w:r>
            <w:r w:rsidRPr="00DA0EC2">
              <w:rPr>
                <w:rFonts w:eastAsia="Times New Roman"/>
                <w:sz w:val="22"/>
                <w:szCs w:val="22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sz w:val="22"/>
                <w:szCs w:val="22"/>
                <w:lang w:val="sr-Cyrl-CS" w:eastAsia="en-GB"/>
              </w:rPr>
              <w:t>memoranduma</w:t>
            </w:r>
            <w:r w:rsidRPr="00DA0EC2">
              <w:rPr>
                <w:rFonts w:eastAsia="Times New Roman"/>
                <w:sz w:val="22"/>
                <w:szCs w:val="22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sz w:val="22"/>
                <w:szCs w:val="22"/>
                <w:lang w:val="sr-Cyrl-CS" w:eastAsia="en-GB"/>
              </w:rPr>
              <w:t>između</w:t>
            </w:r>
            <w:r w:rsidRPr="00DA0EC2">
              <w:rPr>
                <w:rFonts w:eastAsia="Times New Roman"/>
                <w:sz w:val="22"/>
                <w:szCs w:val="22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sz w:val="22"/>
                <w:szCs w:val="22"/>
                <w:lang w:val="sr-Cyrl-CS" w:eastAsia="en-GB"/>
              </w:rPr>
              <w:t>domaćih</w:t>
            </w:r>
            <w:r w:rsidRPr="00DA0EC2">
              <w:rPr>
                <w:rFonts w:eastAsia="Times New Roman"/>
                <w:sz w:val="22"/>
                <w:szCs w:val="22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sz w:val="22"/>
                <w:szCs w:val="22"/>
                <w:lang w:val="sr-Cyrl-CS" w:eastAsia="en-GB"/>
              </w:rPr>
              <w:t>nadzornih</w:t>
            </w:r>
            <w:r w:rsidRPr="00DA0EC2">
              <w:rPr>
                <w:rFonts w:eastAsia="Times New Roman"/>
                <w:sz w:val="22"/>
                <w:szCs w:val="22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sz w:val="22"/>
                <w:szCs w:val="22"/>
                <w:lang w:val="sr-Cyrl-CS" w:eastAsia="en-GB"/>
              </w:rPr>
              <w:t>organa</w:t>
            </w:r>
            <w:r w:rsidRPr="00DA0EC2">
              <w:rPr>
                <w:rFonts w:eastAsia="Times New Roman"/>
                <w:sz w:val="22"/>
                <w:szCs w:val="22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sz w:val="22"/>
                <w:szCs w:val="22"/>
                <w:lang w:val="sr-Cyrl-CS" w:eastAsia="en-GB"/>
              </w:rPr>
              <w:t>i</w:t>
            </w:r>
            <w:r w:rsidRPr="00DA0EC2">
              <w:rPr>
                <w:rFonts w:eastAsia="Times New Roman"/>
                <w:sz w:val="22"/>
                <w:szCs w:val="22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sz w:val="22"/>
                <w:szCs w:val="22"/>
                <w:lang w:val="sr-Cyrl-CS" w:eastAsia="en-GB"/>
              </w:rPr>
              <w:t>nadzornih</w:t>
            </w:r>
            <w:r w:rsidRPr="00DA0EC2">
              <w:rPr>
                <w:rFonts w:eastAsia="Times New Roman"/>
                <w:sz w:val="22"/>
                <w:szCs w:val="22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sz w:val="22"/>
                <w:szCs w:val="22"/>
                <w:lang w:val="sr-Cyrl-CS" w:eastAsia="en-GB"/>
              </w:rPr>
              <w:t>organa</w:t>
            </w:r>
            <w:r w:rsidRPr="00DA0EC2">
              <w:rPr>
                <w:rFonts w:eastAsia="Times New Roman"/>
                <w:sz w:val="22"/>
                <w:szCs w:val="22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sz w:val="22"/>
                <w:szCs w:val="22"/>
                <w:lang w:val="sr-Cyrl-CS" w:eastAsia="en-GB"/>
              </w:rPr>
              <w:t>drugih</w:t>
            </w:r>
            <w:r w:rsidRPr="00DA0EC2">
              <w:rPr>
                <w:rFonts w:eastAsia="Times New Roman"/>
                <w:sz w:val="22"/>
                <w:szCs w:val="22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sz w:val="22"/>
                <w:szCs w:val="22"/>
                <w:lang w:val="sr-Cyrl-CS" w:eastAsia="en-GB"/>
              </w:rPr>
              <w:t>zemalja</w:t>
            </w:r>
            <w:r w:rsidRPr="00DA0EC2">
              <w:rPr>
                <w:rFonts w:eastAsia="Times New Roman"/>
                <w:sz w:val="22"/>
                <w:szCs w:val="22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sz w:val="22"/>
                <w:szCs w:val="22"/>
                <w:lang w:val="sr-Cyrl-CS" w:eastAsia="en-GB"/>
              </w:rPr>
              <w:t>u</w:t>
            </w:r>
            <w:r w:rsidRPr="00DA0EC2">
              <w:rPr>
                <w:rFonts w:eastAsia="Times New Roman"/>
                <w:sz w:val="22"/>
                <w:szCs w:val="22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sz w:val="22"/>
                <w:szCs w:val="22"/>
                <w:lang w:val="sr-Cyrl-CS" w:eastAsia="en-GB"/>
              </w:rPr>
              <w:t>oblasti</w:t>
            </w:r>
            <w:r w:rsidRPr="00DA0EC2">
              <w:rPr>
                <w:rFonts w:eastAsia="Times New Roman"/>
                <w:sz w:val="22"/>
                <w:szCs w:val="22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sz w:val="22"/>
                <w:szCs w:val="22"/>
                <w:lang w:val="sr-Cyrl-CS" w:eastAsia="en-GB"/>
              </w:rPr>
              <w:t>sprečavanja</w:t>
            </w:r>
            <w:r w:rsidRPr="00DA0EC2">
              <w:rPr>
                <w:rFonts w:eastAsia="Times New Roman"/>
                <w:sz w:val="22"/>
                <w:szCs w:val="22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sz w:val="22"/>
                <w:szCs w:val="22"/>
                <w:lang w:val="sr-Cyrl-CS" w:eastAsia="en-GB"/>
              </w:rPr>
              <w:t>pranja</w:t>
            </w:r>
            <w:r w:rsidRPr="00DA0EC2">
              <w:rPr>
                <w:rFonts w:eastAsia="Times New Roman"/>
                <w:sz w:val="22"/>
                <w:szCs w:val="22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sz w:val="22"/>
                <w:szCs w:val="22"/>
                <w:lang w:val="sr-Cyrl-CS" w:eastAsia="en-GB"/>
              </w:rPr>
              <w:t>novca</w:t>
            </w:r>
            <w:r w:rsidRPr="00DA0EC2">
              <w:rPr>
                <w:rFonts w:eastAsia="Times New Roman"/>
                <w:sz w:val="22"/>
                <w:szCs w:val="22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sz w:val="22"/>
                <w:szCs w:val="22"/>
                <w:lang w:val="sr-Cyrl-CS" w:eastAsia="en-GB"/>
              </w:rPr>
              <w:t>i</w:t>
            </w:r>
            <w:r w:rsidRPr="00DA0EC2">
              <w:rPr>
                <w:rFonts w:eastAsia="Times New Roman"/>
                <w:sz w:val="22"/>
                <w:szCs w:val="22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sz w:val="22"/>
                <w:szCs w:val="22"/>
                <w:lang w:val="sr-Cyrl-CS" w:eastAsia="en-GB"/>
              </w:rPr>
              <w:t>finansiranja</w:t>
            </w:r>
            <w:r w:rsidRPr="00DA0EC2">
              <w:rPr>
                <w:rFonts w:eastAsia="Times New Roman"/>
                <w:sz w:val="22"/>
                <w:szCs w:val="22"/>
                <w:lang w:val="sr-Cyrl-CS" w:eastAsia="en-GB"/>
              </w:rPr>
              <w:t xml:space="preserve"> </w:t>
            </w:r>
          </w:p>
          <w:p w:rsidR="00A9340A" w:rsidRPr="001A4D2F" w:rsidRDefault="00DF098D" w:rsidP="007F7FA4">
            <w:pPr>
              <w:rPr>
                <w:rFonts w:eastAsia="Times New Roman"/>
                <w:lang w:val="sr-Cyrl-CS" w:eastAsia="en-GB"/>
              </w:rPr>
            </w:pPr>
            <w:r>
              <w:rPr>
                <w:rFonts w:eastAsia="Times New Roman"/>
                <w:sz w:val="22"/>
                <w:szCs w:val="22"/>
                <w:lang w:val="sr-Cyrl-CS" w:eastAsia="en-GB"/>
              </w:rPr>
              <w:t>terorizma</w:t>
            </w:r>
          </w:p>
        </w:tc>
        <w:tc>
          <w:tcPr>
            <w:tcW w:w="398" w:type="pct"/>
          </w:tcPr>
          <w:p w:rsidR="00A9340A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31" w:type="pct"/>
          </w:tcPr>
          <w:p w:rsidR="00A9340A" w:rsidRPr="001A4D2F" w:rsidRDefault="00DF098D" w:rsidP="007F7FA4">
            <w:pPr>
              <w:rPr>
                <w:lang w:val="sr-Cyrl-CS"/>
              </w:rPr>
            </w:pPr>
            <w:r>
              <w:rPr>
                <w:lang w:val="sr-Cyrl-CS"/>
              </w:rPr>
              <w:t>Nadzorni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</w:p>
        </w:tc>
        <w:tc>
          <w:tcPr>
            <w:tcW w:w="404" w:type="pct"/>
          </w:tcPr>
          <w:p w:rsidR="00A9340A" w:rsidRPr="001A4D2F" w:rsidRDefault="00A9340A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48" w:type="pct"/>
          </w:tcPr>
          <w:p w:rsidR="00A9340A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3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72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00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712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</w:tr>
      <w:tr w:rsidR="00F77324" w:rsidRPr="001A4D2F" w:rsidTr="006B4500">
        <w:trPr>
          <w:trHeight w:val="140"/>
        </w:trPr>
        <w:tc>
          <w:tcPr>
            <w:tcW w:w="832" w:type="pct"/>
            <w:tcBorders>
              <w:left w:val="double" w:sz="4" w:space="0" w:color="auto"/>
            </w:tcBorders>
          </w:tcPr>
          <w:p w:rsidR="00F77324" w:rsidRPr="001A4D2F" w:rsidRDefault="000B0100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1.3.4</w:t>
            </w:r>
            <w:r w:rsidR="00F7732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Zaključivati</w:t>
            </w:r>
            <w:r w:rsidR="00F7732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lastRenderedPageBreak/>
              <w:t>sporazume</w:t>
            </w:r>
            <w:r w:rsidR="00F7732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="00F7732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međunarodnoj</w:t>
            </w:r>
            <w:r w:rsidR="00F7732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saradnji</w:t>
            </w:r>
            <w:r w:rsidR="00F7732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="00F7732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drugim</w:t>
            </w:r>
            <w:r w:rsidR="00F7732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državama</w:t>
            </w:r>
            <w:r w:rsidR="00F7732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="00F7732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raspodeli</w:t>
            </w:r>
            <w:r w:rsidR="00F7732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oduzete</w:t>
            </w:r>
            <w:r w:rsidR="00F7732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imovine</w:t>
            </w:r>
          </w:p>
        </w:tc>
        <w:tc>
          <w:tcPr>
            <w:tcW w:w="398" w:type="pct"/>
          </w:tcPr>
          <w:p w:rsidR="00F77324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MP</w:t>
            </w:r>
          </w:p>
        </w:tc>
        <w:tc>
          <w:tcPr>
            <w:tcW w:w="431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404" w:type="pct"/>
          </w:tcPr>
          <w:p w:rsidR="00F77324" w:rsidRPr="001A4D2F" w:rsidRDefault="00F77324" w:rsidP="007F7FA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lastRenderedPageBreak/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48" w:type="pct"/>
          </w:tcPr>
          <w:p w:rsidR="00F77324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Finansira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lastRenderedPageBreak/>
              <w:t>okviru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3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7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600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  <w:tc>
          <w:tcPr>
            <w:tcW w:w="712" w:type="pct"/>
          </w:tcPr>
          <w:p w:rsidR="00F77324" w:rsidRPr="001A4D2F" w:rsidRDefault="00F77324" w:rsidP="00C11F8E">
            <w:pPr>
              <w:rPr>
                <w:lang w:val="sr-Cyrl-CS"/>
              </w:rPr>
            </w:pPr>
          </w:p>
        </w:tc>
      </w:tr>
      <w:tr w:rsidR="00A9340A" w:rsidRPr="001A4D2F" w:rsidTr="006B4500">
        <w:trPr>
          <w:trHeight w:val="543"/>
          <w:tblHeader/>
        </w:trPr>
        <w:tc>
          <w:tcPr>
            <w:tcW w:w="832" w:type="pct"/>
            <w:tcBorders>
              <w:left w:val="double" w:sz="4" w:space="0" w:color="auto"/>
            </w:tcBorders>
          </w:tcPr>
          <w:p w:rsidR="00A9340A" w:rsidRPr="001A4D2F" w:rsidRDefault="000B0100" w:rsidP="007F7FA4">
            <w:pPr>
              <w:rPr>
                <w:rFonts w:eastAsia="Times New Roman"/>
                <w:lang w:val="sr-Cyrl-CS" w:eastAsia="en-GB"/>
              </w:rPr>
            </w:pPr>
            <w:r>
              <w:rPr>
                <w:rFonts w:eastAsia="Times New Roman"/>
                <w:lang w:val="sr-Cyrl-CS" w:eastAsia="en-GB"/>
              </w:rPr>
              <w:lastRenderedPageBreak/>
              <w:t>1.3.5</w:t>
            </w:r>
            <w:r w:rsidR="00A9340A"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Pregled</w:t>
            </w:r>
            <w:r w:rsidR="002374BA"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mehanizama</w:t>
            </w:r>
            <w:r w:rsidR="002374BA"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za</w:t>
            </w:r>
            <w:r w:rsidR="002374BA"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međuagencijske</w:t>
            </w:r>
            <w:r w:rsidR="00A9340A"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saradnje</w:t>
            </w:r>
            <w:r w:rsidR="00A9340A"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i</w:t>
            </w:r>
            <w:r w:rsidR="00A9340A"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davanje</w:t>
            </w:r>
            <w:r w:rsidR="00A9340A"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preporuka</w:t>
            </w:r>
            <w:r w:rsidR="00A9340A"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za</w:t>
            </w:r>
            <w:r w:rsidR="00A9340A"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njihovo</w:t>
            </w:r>
            <w:r w:rsidR="00A9340A"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unapređenje</w:t>
            </w:r>
          </w:p>
        </w:tc>
        <w:tc>
          <w:tcPr>
            <w:tcW w:w="398" w:type="pct"/>
          </w:tcPr>
          <w:p w:rsidR="00A9340A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31" w:type="pct"/>
          </w:tcPr>
          <w:p w:rsidR="00A9340A" w:rsidRPr="000B0100" w:rsidRDefault="00DF098D" w:rsidP="007F7FA4">
            <w:pPr>
              <w:rPr>
                <w:sz w:val="18"/>
                <w:szCs w:val="18"/>
                <w:lang w:val="sr-Cyrl-CS"/>
              </w:rPr>
            </w:pPr>
            <w:bookmarkStart w:id="5" w:name="_GoBack"/>
            <w:r>
              <w:rPr>
                <w:sz w:val="18"/>
                <w:szCs w:val="18"/>
                <w:lang w:val="sr-Cyrl-CS"/>
              </w:rPr>
              <w:t>Relevantni</w:t>
            </w:r>
            <w:r w:rsidR="00BB04FA" w:rsidRPr="000B0100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organi</w:t>
            </w:r>
            <w:r w:rsidR="00BB04FA" w:rsidRPr="000B0100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i</w:t>
            </w:r>
            <w:r w:rsidR="00BB04FA" w:rsidRPr="000B0100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institucije</w:t>
            </w:r>
            <w:bookmarkEnd w:id="5"/>
          </w:p>
        </w:tc>
        <w:tc>
          <w:tcPr>
            <w:tcW w:w="404" w:type="pct"/>
          </w:tcPr>
          <w:p w:rsidR="00A9340A" w:rsidRPr="001A4D2F" w:rsidRDefault="00A9340A" w:rsidP="007F7FA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48" w:type="pct"/>
          </w:tcPr>
          <w:p w:rsidR="00A9340A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3" w:type="pct"/>
          </w:tcPr>
          <w:p w:rsidR="00A9340A" w:rsidRPr="001A4D2F" w:rsidRDefault="00A9340A" w:rsidP="007F7FA4">
            <w:pPr>
              <w:rPr>
                <w:lang w:val="sr-Cyrl-CS"/>
              </w:rPr>
            </w:pPr>
          </w:p>
        </w:tc>
        <w:tc>
          <w:tcPr>
            <w:tcW w:w="672" w:type="pct"/>
          </w:tcPr>
          <w:p w:rsidR="00A9340A" w:rsidRPr="001A4D2F" w:rsidRDefault="00A9340A" w:rsidP="007F7FA4">
            <w:pPr>
              <w:rPr>
                <w:lang w:val="sr-Cyrl-CS"/>
              </w:rPr>
            </w:pPr>
          </w:p>
        </w:tc>
        <w:tc>
          <w:tcPr>
            <w:tcW w:w="600" w:type="pct"/>
          </w:tcPr>
          <w:p w:rsidR="00A9340A" w:rsidRPr="001A4D2F" w:rsidRDefault="00A9340A" w:rsidP="007F7FA4">
            <w:pPr>
              <w:rPr>
                <w:lang w:val="sr-Cyrl-CS"/>
              </w:rPr>
            </w:pPr>
          </w:p>
        </w:tc>
        <w:tc>
          <w:tcPr>
            <w:tcW w:w="712" w:type="pct"/>
          </w:tcPr>
          <w:p w:rsidR="00A9340A" w:rsidRPr="001A4D2F" w:rsidRDefault="00A9340A" w:rsidP="007F7FA4">
            <w:pPr>
              <w:rPr>
                <w:lang w:val="sr-Cyrl-CS"/>
              </w:rPr>
            </w:pPr>
          </w:p>
        </w:tc>
      </w:tr>
      <w:tr w:rsidR="00A9340A" w:rsidRPr="001A4D2F" w:rsidTr="006B4500">
        <w:trPr>
          <w:trHeight w:val="543"/>
          <w:tblHeader/>
        </w:trPr>
        <w:tc>
          <w:tcPr>
            <w:tcW w:w="832" w:type="pct"/>
            <w:tcBorders>
              <w:left w:val="double" w:sz="4" w:space="0" w:color="auto"/>
            </w:tcBorders>
          </w:tcPr>
          <w:p w:rsidR="00A9340A" w:rsidRPr="001A4D2F" w:rsidRDefault="000B0100" w:rsidP="007F7FA4">
            <w:pPr>
              <w:rPr>
                <w:rFonts w:eastAsia="Times New Roman"/>
                <w:lang w:val="sr-Cyrl-CS" w:eastAsia="en-GB"/>
              </w:rPr>
            </w:pPr>
            <w:r>
              <w:rPr>
                <w:rFonts w:eastAsia="Times New Roman"/>
                <w:lang w:val="sr-Cyrl-CS" w:eastAsia="en-GB"/>
              </w:rPr>
              <w:t>1.3.6</w:t>
            </w:r>
            <w:r w:rsidR="00A9340A"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Obrazovanje</w:t>
            </w:r>
            <w:r w:rsidR="00A9340A"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stručnih</w:t>
            </w:r>
            <w:r w:rsidR="00A9340A"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timova</w:t>
            </w:r>
            <w:r w:rsidR="00A9340A"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Koordinacionog</w:t>
            </w:r>
            <w:r w:rsidR="00A9340A"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tela</w:t>
            </w:r>
            <w:r w:rsidR="00A9340A"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u</w:t>
            </w:r>
            <w:r w:rsidR="00A9340A"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skladu</w:t>
            </w:r>
            <w:r w:rsidR="00A9340A"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sa</w:t>
            </w:r>
            <w:r w:rsidR="00A9340A"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Poslovnikom</w:t>
            </w:r>
            <w:r w:rsidR="00A9340A"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o</w:t>
            </w:r>
            <w:r w:rsidR="00A9340A" w:rsidRPr="001A4D2F">
              <w:rPr>
                <w:rFonts w:eastAsia="Times New Roman"/>
                <w:lang w:val="sr-Cyrl-CS" w:eastAsia="en-GB"/>
              </w:rPr>
              <w:t xml:space="preserve"> </w:t>
            </w:r>
            <w:r w:rsidR="00DF098D">
              <w:rPr>
                <w:rFonts w:eastAsia="Times New Roman"/>
                <w:lang w:val="sr-Cyrl-CS" w:eastAsia="en-GB"/>
              </w:rPr>
              <w:t>radu</w:t>
            </w:r>
          </w:p>
        </w:tc>
        <w:tc>
          <w:tcPr>
            <w:tcW w:w="398" w:type="pct"/>
          </w:tcPr>
          <w:p w:rsidR="00A9340A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31" w:type="pct"/>
          </w:tcPr>
          <w:p w:rsidR="00A9340A" w:rsidRPr="00326C84" w:rsidRDefault="00DF098D" w:rsidP="007F7FA4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Relevantni</w:t>
            </w:r>
            <w:r w:rsidR="00BB04FA" w:rsidRPr="00326C8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organi</w:t>
            </w:r>
            <w:r w:rsidR="00BB04FA" w:rsidRPr="00326C8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i</w:t>
            </w:r>
            <w:r w:rsidR="00BB04FA" w:rsidRPr="00326C8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institucije</w:t>
            </w:r>
          </w:p>
        </w:tc>
        <w:tc>
          <w:tcPr>
            <w:tcW w:w="404" w:type="pct"/>
          </w:tcPr>
          <w:p w:rsidR="00A9340A" w:rsidRPr="001A4D2F" w:rsidRDefault="00A9340A" w:rsidP="007F7FA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48" w:type="pct"/>
          </w:tcPr>
          <w:p w:rsidR="00A9340A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3" w:type="pct"/>
          </w:tcPr>
          <w:p w:rsidR="00A9340A" w:rsidRPr="001A4D2F" w:rsidRDefault="00A9340A" w:rsidP="007F7FA4">
            <w:pPr>
              <w:rPr>
                <w:lang w:val="sr-Cyrl-CS"/>
              </w:rPr>
            </w:pPr>
          </w:p>
        </w:tc>
        <w:tc>
          <w:tcPr>
            <w:tcW w:w="672" w:type="pct"/>
          </w:tcPr>
          <w:p w:rsidR="00A9340A" w:rsidRPr="001A4D2F" w:rsidRDefault="00A9340A" w:rsidP="007F7FA4">
            <w:pPr>
              <w:rPr>
                <w:lang w:val="sr-Cyrl-CS"/>
              </w:rPr>
            </w:pPr>
          </w:p>
        </w:tc>
        <w:tc>
          <w:tcPr>
            <w:tcW w:w="600" w:type="pct"/>
          </w:tcPr>
          <w:p w:rsidR="00A9340A" w:rsidRPr="001A4D2F" w:rsidRDefault="00A9340A" w:rsidP="007F7FA4">
            <w:pPr>
              <w:rPr>
                <w:lang w:val="sr-Cyrl-CS"/>
              </w:rPr>
            </w:pPr>
          </w:p>
        </w:tc>
        <w:tc>
          <w:tcPr>
            <w:tcW w:w="712" w:type="pct"/>
          </w:tcPr>
          <w:p w:rsidR="00A9340A" w:rsidRPr="001A4D2F" w:rsidRDefault="00A9340A" w:rsidP="007F7FA4">
            <w:pPr>
              <w:rPr>
                <w:lang w:val="sr-Cyrl-CS"/>
              </w:rPr>
            </w:pPr>
          </w:p>
        </w:tc>
      </w:tr>
      <w:tr w:rsidR="00A9340A" w:rsidRPr="001A4D2F" w:rsidTr="006B4500">
        <w:trPr>
          <w:trHeight w:val="140"/>
        </w:trPr>
        <w:tc>
          <w:tcPr>
            <w:tcW w:w="832" w:type="pct"/>
            <w:tcBorders>
              <w:left w:val="double" w:sz="4" w:space="0" w:color="auto"/>
            </w:tcBorders>
          </w:tcPr>
          <w:p w:rsidR="00A9340A" w:rsidRPr="001A4D2F" w:rsidRDefault="000B0100" w:rsidP="007F7FA4">
            <w:pPr>
              <w:rPr>
                <w:lang w:val="sr-Cyrl-CS"/>
              </w:rPr>
            </w:pPr>
            <w:r>
              <w:rPr>
                <w:bCs/>
                <w:lang w:val="sr-Cyrl-CS"/>
              </w:rPr>
              <w:t>1.3.7</w:t>
            </w:r>
            <w:r w:rsidR="00A9340A"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Unapređenje</w:t>
            </w:r>
            <w:r w:rsidR="00A9340A"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znanja</w:t>
            </w:r>
            <w:r w:rsidR="00A9340A"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i</w:t>
            </w:r>
            <w:r w:rsidR="00A9340A"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veština</w:t>
            </w:r>
            <w:r w:rsidR="00A9340A"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za</w:t>
            </w:r>
            <w:r w:rsidR="00A9340A"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korišćenje</w:t>
            </w:r>
            <w:r w:rsidR="00A9340A"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postojećih</w:t>
            </w:r>
            <w:r w:rsidR="00A9340A"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mehanizama</w:t>
            </w:r>
            <w:r w:rsidR="00A9340A"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međunarodne</w:t>
            </w:r>
            <w:r w:rsidR="00A9340A"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saradnje</w:t>
            </w:r>
            <w:r w:rsidR="00A9340A"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u</w:t>
            </w:r>
            <w:r w:rsidR="00A9340A"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cilju</w:t>
            </w:r>
            <w:r w:rsidR="00A9340A"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otkrivanja</w:t>
            </w:r>
            <w:r w:rsidR="00A9340A"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imovine</w:t>
            </w:r>
            <w:r w:rsidR="00A9340A"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stečene</w:t>
            </w:r>
            <w:r w:rsidR="00A9340A"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krivičnim</w:t>
            </w:r>
            <w:r w:rsidR="00A9340A" w:rsidRPr="001A4D2F">
              <w:rPr>
                <w:bCs/>
                <w:lang w:val="sr-Cyrl-CS"/>
              </w:rPr>
              <w:t xml:space="preserve"> </w:t>
            </w:r>
            <w:r w:rsidR="00DF098D">
              <w:rPr>
                <w:bCs/>
                <w:lang w:val="sr-Cyrl-CS"/>
              </w:rPr>
              <w:t>delom</w:t>
            </w:r>
          </w:p>
        </w:tc>
        <w:tc>
          <w:tcPr>
            <w:tcW w:w="398" w:type="pct"/>
          </w:tcPr>
          <w:p w:rsidR="00A9340A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31" w:type="pct"/>
          </w:tcPr>
          <w:p w:rsidR="00A9340A" w:rsidRPr="00326C84" w:rsidRDefault="00DF098D" w:rsidP="00BB04FA">
            <w:pPr>
              <w:rPr>
                <w:sz w:val="18"/>
                <w:szCs w:val="18"/>
                <w:highlight w:val="yellow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Relevantni</w:t>
            </w:r>
            <w:r w:rsidR="00BB04FA" w:rsidRPr="00326C8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organi</w:t>
            </w:r>
            <w:r w:rsidR="00BB04FA" w:rsidRPr="00326C8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i</w:t>
            </w:r>
            <w:r w:rsidR="00BB04FA" w:rsidRPr="00326C8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institucije</w:t>
            </w:r>
          </w:p>
        </w:tc>
        <w:tc>
          <w:tcPr>
            <w:tcW w:w="404" w:type="pct"/>
          </w:tcPr>
          <w:p w:rsidR="00A9340A" w:rsidRPr="001A4D2F" w:rsidRDefault="00A9340A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48" w:type="pct"/>
          </w:tcPr>
          <w:p w:rsidR="00A9340A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3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72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00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712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</w:tr>
    </w:tbl>
    <w:p w:rsidR="00F43ECD" w:rsidRDefault="00F43ECD" w:rsidP="00C11F8E"/>
    <w:p w:rsidR="00DA0EC2" w:rsidRPr="00DA0EC2" w:rsidRDefault="00DA0EC2" w:rsidP="00C11F8E"/>
    <w:tbl>
      <w:tblPr>
        <w:tblStyle w:val="TableGrid"/>
        <w:tblW w:w="5000" w:type="pct"/>
        <w:tblInd w:w="11" w:type="dxa"/>
        <w:tblLayout w:type="fixed"/>
        <w:tblLook w:val="04A0"/>
      </w:tblPr>
      <w:tblGrid>
        <w:gridCol w:w="3195"/>
        <w:gridCol w:w="1460"/>
        <w:gridCol w:w="1366"/>
        <w:gridCol w:w="978"/>
        <w:gridCol w:w="1177"/>
        <w:gridCol w:w="1296"/>
        <w:gridCol w:w="1525"/>
        <w:gridCol w:w="1559"/>
        <w:gridCol w:w="1619"/>
      </w:tblGrid>
      <w:tr w:rsidR="00F43ECD" w:rsidRPr="001A4D2F" w:rsidTr="00F67792">
        <w:trPr>
          <w:trHeight w:val="168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DF098D" w:rsidP="002374BA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6" w:name="_Toc32409909"/>
            <w:r>
              <w:rPr>
                <w:rFonts w:cs="Times New Roman"/>
                <w:sz w:val="24"/>
                <w:lang w:val="sr-Cyrl-CS"/>
              </w:rPr>
              <w:t>Mera</w:t>
            </w:r>
            <w:r w:rsidR="007F7FA4" w:rsidRPr="001A4D2F">
              <w:rPr>
                <w:rFonts w:cs="Times New Roman"/>
                <w:sz w:val="24"/>
                <w:lang w:val="sr-Cyrl-CS"/>
              </w:rPr>
              <w:t xml:space="preserve"> 1.4</w:t>
            </w:r>
            <w:r w:rsidR="00F43ECD" w:rsidRPr="001A4D2F">
              <w:rPr>
                <w:rFonts w:cs="Times New Roman"/>
                <w:sz w:val="24"/>
                <w:lang w:val="sr-Cyrl-CS"/>
              </w:rPr>
              <w:t>:</w:t>
            </w:r>
            <w:r w:rsidR="00054E2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Obezbeđenje</w:t>
            </w:r>
            <w:r w:rsidR="00054E2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usklađenosti</w:t>
            </w:r>
            <w:r w:rsidR="00054E2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zakonodavnih</w:t>
            </w:r>
            <w:r w:rsidR="00054E2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</w:t>
            </w:r>
            <w:r w:rsidR="00054E2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institucionalnih</w:t>
            </w:r>
            <w:r w:rsidR="00B033B8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mehanizama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u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oblasti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borbe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protiv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pranja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novca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finansiranja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terorizma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sa</w:t>
            </w:r>
            <w:r w:rsidR="002374BA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međunarodnim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standardima</w:t>
            </w:r>
            <w:bookmarkEnd w:id="6"/>
          </w:p>
        </w:tc>
      </w:tr>
      <w:tr w:rsidR="00F43ECD" w:rsidRPr="001A4D2F" w:rsidTr="00F67792">
        <w:trPr>
          <w:trHeight w:val="298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Organ</w:t>
            </w:r>
            <w:r w:rsidR="00F43ECD" w:rsidRPr="001A4D2F">
              <w:rPr>
                <w:lang w:val="sr-Cyrl-CS"/>
              </w:rPr>
              <w:t xml:space="preserve"> o</w:t>
            </w:r>
            <w:r>
              <w:rPr>
                <w:lang w:val="sr-Cyrl-CS"/>
              </w:rPr>
              <w:t>dgovoran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sprovođenje</w:t>
            </w:r>
            <w:r w:rsidR="00F43ECD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koordinisanje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sprovođenja</w:t>
            </w:r>
            <w:r w:rsidR="00F43ECD" w:rsidRPr="001A4D2F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mere</w:t>
            </w:r>
            <w:r w:rsidR="00F43ECD" w:rsidRPr="001A4D2F">
              <w:rPr>
                <w:lang w:val="sr-Cyrl-CS"/>
              </w:rPr>
              <w:t>:</w:t>
            </w:r>
            <w:r w:rsidR="00F07D7D" w:rsidRPr="001A4D2F">
              <w:rPr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Koordinaciono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telo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za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sprečavanje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pranja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novca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i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finansiranja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terorizma</w:t>
            </w:r>
          </w:p>
        </w:tc>
      </w:tr>
      <w:tr w:rsidR="00F43ECD" w:rsidRPr="001A4D2F" w:rsidTr="00F67792">
        <w:trPr>
          <w:trHeight w:val="298"/>
        </w:trPr>
        <w:tc>
          <w:tcPr>
            <w:tcW w:w="246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Period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sprovođenja</w:t>
            </w:r>
            <w:r w:rsidR="00F43ECD" w:rsidRPr="001A4D2F">
              <w:rPr>
                <w:lang w:val="sr-Cyrl-CS"/>
              </w:rPr>
              <w:t>:</w:t>
            </w:r>
            <w:r w:rsidR="00F07D7D" w:rsidRPr="001A4D2F">
              <w:rPr>
                <w:lang w:val="sr-Cyrl-CS"/>
              </w:rPr>
              <w:t xml:space="preserve"> 2020-202</w:t>
            </w:r>
            <w:r w:rsidR="003030E6" w:rsidRPr="001A4D2F">
              <w:rPr>
                <w:lang w:val="sr-Cyrl-CS"/>
              </w:rPr>
              <w:t>2</w:t>
            </w:r>
          </w:p>
        </w:tc>
        <w:tc>
          <w:tcPr>
            <w:tcW w:w="253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Tip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F43ECD" w:rsidRPr="001A4D2F">
              <w:rPr>
                <w:lang w:val="sr-Cyrl-CS"/>
              </w:rPr>
              <w:t>:</w:t>
            </w:r>
            <w:r w:rsidR="0046486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Institucionalno</w:t>
            </w:r>
            <w:r w:rsidR="00464869" w:rsidRPr="001A4D2F">
              <w:rPr>
                <w:lang w:val="sr-Cyrl-CS"/>
              </w:rPr>
              <w:t>-</w:t>
            </w:r>
            <w:r>
              <w:rPr>
                <w:lang w:val="sr-Cyrl-CS"/>
              </w:rPr>
              <w:t>upravljačko</w:t>
            </w:r>
            <w:r w:rsidR="00464869" w:rsidRPr="001A4D2F">
              <w:rPr>
                <w:lang w:val="sr-Cyrl-CS"/>
              </w:rPr>
              <w:t>-</w:t>
            </w:r>
            <w:r>
              <w:rPr>
                <w:lang w:val="sr-Cyrl-CS"/>
              </w:rPr>
              <w:t>organizaciona</w:t>
            </w:r>
          </w:p>
        </w:tc>
      </w:tr>
      <w:tr w:rsidR="004316AD" w:rsidRPr="001A4D2F" w:rsidTr="00C802E4">
        <w:trPr>
          <w:trHeight w:val="950"/>
        </w:trPr>
        <w:tc>
          <w:tcPr>
            <w:tcW w:w="1127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Pokazatelj</w:t>
            </w:r>
            <w:r w:rsidR="004316AD" w:rsidRPr="001A4D2F">
              <w:rPr>
                <w:lang w:val="sr-Cyrl-CS"/>
              </w:rPr>
              <w:t>(</w:t>
            </w:r>
            <w:r>
              <w:rPr>
                <w:lang w:val="sr-Cyrl-CS"/>
              </w:rPr>
              <w:t>i</w:t>
            </w:r>
            <w:r w:rsidR="004316AD" w:rsidRPr="001A4D2F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nivou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4316AD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pokazatelj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rezultata</w:t>
            </w:r>
            <w:r w:rsidR="004316AD" w:rsidRPr="001A4D2F">
              <w:rPr>
                <w:lang w:val="sr-Cyrl-CS"/>
              </w:rPr>
              <w:t>)</w:t>
            </w:r>
          </w:p>
        </w:tc>
        <w:tc>
          <w:tcPr>
            <w:tcW w:w="515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</w:t>
            </w:r>
            <w:r w:rsidR="00DF098D">
              <w:rPr>
                <w:lang w:val="sr-Cyrl-CS"/>
              </w:rPr>
              <w:t>edinica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mere</w:t>
            </w:r>
          </w:p>
          <w:p w:rsidR="004316AD" w:rsidRPr="001A4D2F" w:rsidRDefault="004316AD" w:rsidP="00C11F8E">
            <w:pPr>
              <w:rPr>
                <w:lang w:val="sr-Cyrl-CS"/>
              </w:rPr>
            </w:pPr>
          </w:p>
        </w:tc>
        <w:tc>
          <w:tcPr>
            <w:tcW w:w="482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Izvor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provere</w:t>
            </w:r>
          </w:p>
        </w:tc>
        <w:tc>
          <w:tcPr>
            <w:tcW w:w="760" w:type="pct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Početna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4316AD" w:rsidRPr="001A4D2F">
              <w:rPr>
                <w:lang w:val="sr-Cyrl-CS"/>
              </w:rPr>
              <w:t xml:space="preserve"> </w:t>
            </w:r>
          </w:p>
        </w:tc>
        <w:tc>
          <w:tcPr>
            <w:tcW w:w="457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Bazna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godina</w:t>
            </w:r>
          </w:p>
        </w:tc>
        <w:tc>
          <w:tcPr>
            <w:tcW w:w="538" w:type="pct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4316AD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4316AD" w:rsidRPr="001A4D2F">
              <w:rPr>
                <w:lang w:val="sr-Cyrl-CS"/>
              </w:rPr>
              <w:t xml:space="preserve"> 2020.</w:t>
            </w:r>
          </w:p>
        </w:tc>
        <w:tc>
          <w:tcPr>
            <w:tcW w:w="550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4316AD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4316AD" w:rsidRPr="001A4D2F">
              <w:rPr>
                <w:lang w:val="sr-Cyrl-CS"/>
              </w:rPr>
              <w:t xml:space="preserve"> 2021.</w:t>
            </w:r>
          </w:p>
        </w:tc>
        <w:tc>
          <w:tcPr>
            <w:tcW w:w="571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4316AD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885F9C" w:rsidRPr="001A4D2F">
              <w:rPr>
                <w:lang w:val="sr-Cyrl-CS"/>
              </w:rPr>
              <w:t xml:space="preserve"> 2022.</w:t>
            </w:r>
          </w:p>
        </w:tc>
      </w:tr>
      <w:tr w:rsidR="00F43ECD" w:rsidRPr="001A4D2F" w:rsidTr="00C802E4">
        <w:trPr>
          <w:trHeight w:val="302"/>
        </w:trPr>
        <w:tc>
          <w:tcPr>
            <w:tcW w:w="1127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DF098D" w:rsidP="00F16B6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Ocena</w:t>
            </w:r>
            <w:r w:rsidR="00DA006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ukupne</w:t>
            </w:r>
            <w:r w:rsidR="00F16B6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tehničke</w:t>
            </w:r>
            <w:r w:rsidR="00F16B6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usklađenosti</w:t>
            </w:r>
            <w:r w:rsidR="00F16B6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sistema</w:t>
            </w:r>
            <w:r w:rsidR="00F16B6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DA006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borbu</w:t>
            </w:r>
            <w:r w:rsidR="00DA006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protiv</w:t>
            </w:r>
            <w:r w:rsidR="00DA006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pranja</w:t>
            </w:r>
            <w:r w:rsidR="00DA006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novca</w:t>
            </w:r>
            <w:r w:rsidR="00DA006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DA006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finansiranja</w:t>
            </w:r>
            <w:r w:rsidR="00DA006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terorizma</w:t>
            </w:r>
            <w:r w:rsidR="00DA006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DA006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Republici</w:t>
            </w:r>
            <w:r w:rsidR="00DA006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Srbiji</w:t>
            </w:r>
            <w:r w:rsidR="00DA006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</w:t>
            </w:r>
            <w:r w:rsidR="00F16B6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međunarodnim</w:t>
            </w:r>
            <w:r w:rsidR="00F16B6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standardima</w:t>
            </w:r>
            <w:r w:rsidR="00F16B6E" w:rsidRPr="001A4D2F">
              <w:rPr>
                <w:lang w:val="sr-Cyrl-CS"/>
              </w:rPr>
              <w:t xml:space="preserve"> </w:t>
            </w:r>
          </w:p>
        </w:tc>
        <w:tc>
          <w:tcPr>
            <w:tcW w:w="515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DF098D" w:rsidP="00C11F8E">
            <w:pPr>
              <w:shd w:val="clear" w:color="auto" w:fill="FFFFFF" w:themeFill="background1"/>
              <w:rPr>
                <w:i/>
                <w:lang w:val="sr-Cyrl-CS"/>
              </w:rPr>
            </w:pPr>
            <w:r>
              <w:rPr>
                <w:lang w:val="sr-Cyrl-CS"/>
              </w:rPr>
              <w:t>Ocena</w:t>
            </w:r>
            <w:r w:rsidR="00F16B6E" w:rsidRPr="001A4D2F">
              <w:rPr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u</w:t>
            </w:r>
            <w:r w:rsidR="00C802E4" w:rsidRPr="001A4D2F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velikoj</w:t>
            </w:r>
            <w:r w:rsidR="00C802E4" w:rsidRPr="001A4D2F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meri</w:t>
            </w:r>
            <w:r w:rsidR="00C802E4" w:rsidRPr="001A4D2F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usklađen</w:t>
            </w:r>
            <w:r w:rsidR="004316AD" w:rsidRPr="001A4D2F">
              <w:rPr>
                <w:i/>
                <w:lang w:val="sr-Cyrl-CS"/>
              </w:rPr>
              <w:t xml:space="preserve"> (LC)</w:t>
            </w:r>
            <w:r w:rsidR="00F16B6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ili</w:t>
            </w:r>
            <w:r w:rsidR="00F16B6E" w:rsidRPr="001A4D2F">
              <w:rPr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usklađen</w:t>
            </w:r>
            <w:r w:rsidR="004316AD" w:rsidRPr="001A4D2F">
              <w:rPr>
                <w:i/>
                <w:lang w:val="sr-Cyrl-CS"/>
              </w:rPr>
              <w:t xml:space="preserve"> (C)</w:t>
            </w:r>
          </w:p>
          <w:p w:rsidR="00050AB0" w:rsidRPr="001A4D2F" w:rsidRDefault="00050AB0" w:rsidP="00C11F8E">
            <w:pPr>
              <w:shd w:val="clear" w:color="auto" w:fill="FFFFFF" w:themeFill="background1"/>
              <w:rPr>
                <w:i/>
                <w:lang w:val="sr-Cyrl-CS"/>
              </w:rPr>
            </w:pPr>
          </w:p>
        </w:tc>
        <w:tc>
          <w:tcPr>
            <w:tcW w:w="482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nadležnih</w:t>
            </w:r>
            <w:r w:rsidR="00F3579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organa</w:t>
            </w:r>
            <w:r w:rsidR="00F3579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F3579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Manivala</w:t>
            </w:r>
            <w:r w:rsidR="00050AB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napretku</w:t>
            </w:r>
            <w:r w:rsidR="00050AB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Srbije</w:t>
            </w:r>
          </w:p>
        </w:tc>
        <w:tc>
          <w:tcPr>
            <w:tcW w:w="760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050AB0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NC</w:t>
            </w:r>
            <w:r w:rsidR="00C802E4" w:rsidRPr="001A4D2F">
              <w:rPr>
                <w:lang w:val="sr-Cyrl-CS"/>
              </w:rPr>
              <w:t xml:space="preserve"> (</w:t>
            </w:r>
            <w:r w:rsidR="00DF098D">
              <w:rPr>
                <w:lang w:val="sr-Cyrl-CS"/>
              </w:rPr>
              <w:t>neusklađen</w:t>
            </w:r>
            <w:r w:rsidR="00C802E4" w:rsidRPr="001A4D2F">
              <w:rPr>
                <w:lang w:val="sr-Cyrl-CS"/>
              </w:rPr>
              <w:t>)</w:t>
            </w:r>
            <w:r w:rsidRPr="001A4D2F">
              <w:rPr>
                <w:lang w:val="sr-Cyrl-CS"/>
              </w:rPr>
              <w:t xml:space="preserve"> – 0</w:t>
            </w:r>
          </w:p>
          <w:p w:rsidR="00050AB0" w:rsidRPr="001A4D2F" w:rsidRDefault="00050AB0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PC</w:t>
            </w:r>
            <w:r w:rsidR="00C802E4" w:rsidRPr="001A4D2F">
              <w:rPr>
                <w:lang w:val="sr-Cyrl-CS"/>
              </w:rPr>
              <w:t xml:space="preserve"> (</w:t>
            </w:r>
            <w:r w:rsidR="00DF098D">
              <w:rPr>
                <w:lang w:val="sr-Cyrl-CS"/>
              </w:rPr>
              <w:t>delimično</w:t>
            </w:r>
            <w:r w:rsidR="00C802E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usklađen</w:t>
            </w:r>
            <w:r w:rsidR="00C802E4" w:rsidRPr="001A4D2F">
              <w:rPr>
                <w:lang w:val="sr-Cyrl-CS"/>
              </w:rPr>
              <w:t>)</w:t>
            </w:r>
            <w:r w:rsidRPr="001A4D2F">
              <w:rPr>
                <w:lang w:val="sr-Cyrl-CS"/>
              </w:rPr>
              <w:t xml:space="preserve"> – 4</w:t>
            </w:r>
          </w:p>
          <w:p w:rsidR="00050AB0" w:rsidRPr="001A4D2F" w:rsidRDefault="00050AB0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LC </w:t>
            </w:r>
            <w:r w:rsidR="00C802E4" w:rsidRPr="001A4D2F">
              <w:rPr>
                <w:lang w:val="sr-Cyrl-CS"/>
              </w:rPr>
              <w:t>(</w:t>
            </w:r>
            <w:r w:rsidR="00DF098D">
              <w:rPr>
                <w:lang w:val="sr-Cyrl-CS"/>
              </w:rPr>
              <w:t>u</w:t>
            </w:r>
            <w:r w:rsidR="00C802E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velikoj</w:t>
            </w:r>
            <w:r w:rsidR="00C802E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meri</w:t>
            </w:r>
            <w:r w:rsidR="00C802E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usklađen</w:t>
            </w:r>
            <w:r w:rsidR="00C802E4" w:rsidRPr="001A4D2F">
              <w:rPr>
                <w:lang w:val="sr-Cyrl-CS"/>
              </w:rPr>
              <w:t>)</w:t>
            </w:r>
            <w:r w:rsidRPr="001A4D2F">
              <w:rPr>
                <w:lang w:val="sr-Cyrl-CS"/>
              </w:rPr>
              <w:t>– 31</w:t>
            </w:r>
          </w:p>
          <w:p w:rsidR="00050AB0" w:rsidRPr="001A4D2F" w:rsidRDefault="00050AB0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C</w:t>
            </w:r>
            <w:r w:rsidR="00C802E4" w:rsidRPr="001A4D2F">
              <w:rPr>
                <w:lang w:val="sr-Cyrl-CS"/>
              </w:rPr>
              <w:t xml:space="preserve"> (</w:t>
            </w:r>
            <w:r w:rsidR="00DF098D">
              <w:rPr>
                <w:lang w:val="sr-Cyrl-CS"/>
              </w:rPr>
              <w:t>usklađen</w:t>
            </w:r>
            <w:r w:rsidR="00C802E4" w:rsidRPr="001A4D2F">
              <w:rPr>
                <w:lang w:val="sr-Cyrl-CS"/>
              </w:rPr>
              <w:t>)</w:t>
            </w:r>
            <w:r w:rsidRPr="001A4D2F">
              <w:rPr>
                <w:lang w:val="sr-Cyrl-CS"/>
              </w:rPr>
              <w:t xml:space="preserve"> – 5 </w:t>
            </w:r>
          </w:p>
        </w:tc>
        <w:tc>
          <w:tcPr>
            <w:tcW w:w="457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F43ECD" w:rsidRPr="001A4D2F" w:rsidRDefault="00F3579D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2019.</w:t>
            </w:r>
          </w:p>
        </w:tc>
        <w:tc>
          <w:tcPr>
            <w:tcW w:w="53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050AB0" w:rsidRPr="001A4D2F" w:rsidRDefault="00050AB0" w:rsidP="00050AB0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NC – 0</w:t>
            </w:r>
          </w:p>
          <w:p w:rsidR="00050AB0" w:rsidRPr="001A4D2F" w:rsidRDefault="00050AB0" w:rsidP="00050AB0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PC – 0</w:t>
            </w:r>
          </w:p>
          <w:p w:rsidR="00050AB0" w:rsidRPr="001A4D2F" w:rsidRDefault="00050AB0" w:rsidP="00050AB0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LC/</w:t>
            </w:r>
            <w:r w:rsidR="00DF098D">
              <w:rPr>
                <w:lang w:val="sr-Cyrl-CS"/>
              </w:rPr>
              <w:t>S</w:t>
            </w:r>
            <w:r w:rsidRPr="001A4D2F">
              <w:rPr>
                <w:lang w:val="sr-Cyrl-CS"/>
              </w:rPr>
              <w:t xml:space="preserve"> - 40</w:t>
            </w:r>
          </w:p>
          <w:p w:rsidR="00F43ECD" w:rsidRPr="001A4D2F" w:rsidRDefault="00F43ECD" w:rsidP="00050AB0">
            <w:pPr>
              <w:shd w:val="clear" w:color="auto" w:fill="FFFFFF" w:themeFill="background1"/>
              <w:rPr>
                <w:lang w:val="sr-Cyrl-CS"/>
              </w:rPr>
            </w:pPr>
          </w:p>
        </w:tc>
        <w:tc>
          <w:tcPr>
            <w:tcW w:w="55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0AB0" w:rsidRPr="001A4D2F" w:rsidRDefault="00050AB0" w:rsidP="00050AB0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NC – 0</w:t>
            </w:r>
          </w:p>
          <w:p w:rsidR="00050AB0" w:rsidRPr="001A4D2F" w:rsidRDefault="00050AB0" w:rsidP="00050AB0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PC – 0</w:t>
            </w:r>
          </w:p>
          <w:p w:rsidR="00050AB0" w:rsidRPr="001A4D2F" w:rsidRDefault="00050AB0" w:rsidP="00050AB0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LC/</w:t>
            </w:r>
            <w:r w:rsidR="00DF098D">
              <w:rPr>
                <w:lang w:val="sr-Cyrl-CS"/>
              </w:rPr>
              <w:t>S</w:t>
            </w:r>
            <w:r w:rsidRPr="001A4D2F">
              <w:rPr>
                <w:lang w:val="sr-Cyrl-CS"/>
              </w:rPr>
              <w:t xml:space="preserve"> - 40</w:t>
            </w:r>
          </w:p>
          <w:p w:rsidR="00F43ECD" w:rsidRPr="001A4D2F" w:rsidRDefault="00F43ECD" w:rsidP="00050AB0">
            <w:pPr>
              <w:shd w:val="clear" w:color="auto" w:fill="FFFFFF" w:themeFill="background1"/>
              <w:rPr>
                <w:lang w:val="sr-Cyrl-CS"/>
              </w:rPr>
            </w:pPr>
          </w:p>
        </w:tc>
        <w:tc>
          <w:tcPr>
            <w:tcW w:w="571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50AB0" w:rsidRPr="001A4D2F" w:rsidRDefault="00050AB0" w:rsidP="00050AB0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NC – 0</w:t>
            </w:r>
          </w:p>
          <w:p w:rsidR="00050AB0" w:rsidRPr="001A4D2F" w:rsidRDefault="00050AB0" w:rsidP="00050AB0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PC – 0</w:t>
            </w:r>
          </w:p>
          <w:p w:rsidR="00050AB0" w:rsidRPr="001A4D2F" w:rsidRDefault="00050AB0" w:rsidP="00050AB0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LC/</w:t>
            </w:r>
            <w:r w:rsidR="00DF098D">
              <w:rPr>
                <w:lang w:val="sr-Cyrl-CS"/>
              </w:rPr>
              <w:t>S</w:t>
            </w:r>
            <w:r w:rsidRPr="001A4D2F">
              <w:rPr>
                <w:lang w:val="sr-Cyrl-CS"/>
              </w:rPr>
              <w:t xml:space="preserve"> - 40</w:t>
            </w:r>
          </w:p>
          <w:p w:rsidR="00F43ECD" w:rsidRPr="001A4D2F" w:rsidRDefault="00F43ECD" w:rsidP="00050AB0">
            <w:pPr>
              <w:shd w:val="clear" w:color="auto" w:fill="FFFFFF" w:themeFill="background1"/>
              <w:rPr>
                <w:lang w:val="sr-Cyrl-CS"/>
              </w:rPr>
            </w:pPr>
          </w:p>
        </w:tc>
      </w:tr>
    </w:tbl>
    <w:p w:rsidR="00F43ECD" w:rsidRDefault="00F43ECD" w:rsidP="00C11F8E"/>
    <w:p w:rsidR="00C44B14" w:rsidRDefault="00C44B14" w:rsidP="00C11F8E"/>
    <w:p w:rsidR="00C44B14" w:rsidRDefault="00C44B14" w:rsidP="00C11F8E"/>
    <w:p w:rsidR="00C44B14" w:rsidRDefault="00C44B14" w:rsidP="00C11F8E"/>
    <w:p w:rsidR="00C44B14" w:rsidRDefault="00C44B14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C44B14" w:rsidRDefault="00C44B14" w:rsidP="00C11F8E"/>
    <w:p w:rsidR="00C44B14" w:rsidRPr="00C44B14" w:rsidRDefault="00C44B14" w:rsidP="00C11F8E"/>
    <w:tbl>
      <w:tblPr>
        <w:tblStyle w:val="TableGrid"/>
        <w:tblW w:w="5000" w:type="pct"/>
        <w:tblLayout w:type="fixed"/>
        <w:tblLook w:val="04A0"/>
      </w:tblPr>
      <w:tblGrid>
        <w:gridCol w:w="2392"/>
        <w:gridCol w:w="1117"/>
        <w:gridCol w:w="1262"/>
        <w:gridCol w:w="1157"/>
        <w:gridCol w:w="1568"/>
        <w:gridCol w:w="1400"/>
        <w:gridCol w:w="1843"/>
        <w:gridCol w:w="1701"/>
        <w:gridCol w:w="1735"/>
      </w:tblGrid>
      <w:tr w:rsidR="002E2CAF" w:rsidRPr="001A4D2F" w:rsidTr="00FF5F4C">
        <w:trPr>
          <w:trHeight w:val="140"/>
          <w:tblHeader/>
        </w:trPr>
        <w:tc>
          <w:tcPr>
            <w:tcW w:w="84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2E2CAF" w:rsidRPr="00C44B14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Naziv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aktivnosti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39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C44B14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Organ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koji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sprovodi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aktivnost</w:t>
            </w:r>
          </w:p>
        </w:tc>
        <w:tc>
          <w:tcPr>
            <w:tcW w:w="445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C44B14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Organi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partneri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u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sprovođenju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aktivnosti</w:t>
            </w:r>
          </w:p>
        </w:tc>
        <w:tc>
          <w:tcPr>
            <w:tcW w:w="40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C44B14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Rok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za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završetak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aktivnosti</w:t>
            </w:r>
          </w:p>
        </w:tc>
        <w:tc>
          <w:tcPr>
            <w:tcW w:w="55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C44B14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Izvor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finansiranja</w:t>
            </w:r>
          </w:p>
        </w:tc>
        <w:tc>
          <w:tcPr>
            <w:tcW w:w="49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C44B14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Veza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sa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programskim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budžetom</w:t>
            </w:r>
          </w:p>
          <w:p w:rsidR="002E2CAF" w:rsidRPr="00C44B14" w:rsidRDefault="002E2CAF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862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2E2CAF" w:rsidRPr="00C44B14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Ukupna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procenjena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finansijska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sredstva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po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izvorima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u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 xml:space="preserve"> 000 </w:t>
            </w:r>
            <w:r>
              <w:rPr>
                <w:b/>
                <w:sz w:val="18"/>
                <w:szCs w:val="18"/>
                <w:lang w:val="sr-Cyrl-CS"/>
              </w:rPr>
              <w:t>din</w:t>
            </w:r>
            <w:r w:rsidR="002E2CAF" w:rsidRPr="00C44B14">
              <w:rPr>
                <w:b/>
                <w:sz w:val="18"/>
                <w:szCs w:val="18"/>
                <w:lang w:val="sr-Cyrl-CS"/>
              </w:rPr>
              <w:t>.</w:t>
            </w:r>
          </w:p>
        </w:tc>
      </w:tr>
      <w:tr w:rsidR="00DB34B7" w:rsidRPr="001A4D2F" w:rsidTr="00FF5F4C">
        <w:trPr>
          <w:trHeight w:val="386"/>
          <w:tblHeader/>
        </w:trPr>
        <w:tc>
          <w:tcPr>
            <w:tcW w:w="844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DB34B7" w:rsidRPr="00C44B14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94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45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08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53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494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650" w:type="pct"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2020</w:t>
            </w:r>
            <w:r w:rsidR="001B4CBD" w:rsidRPr="00C44B14">
              <w:rPr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600" w:type="pct"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2021</w:t>
            </w:r>
            <w:r w:rsidR="001B4CBD" w:rsidRPr="00C44B14">
              <w:rPr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612" w:type="pct"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2022</w:t>
            </w:r>
            <w:r w:rsidR="001B4CBD" w:rsidRPr="00C44B14">
              <w:rPr>
                <w:b/>
                <w:sz w:val="18"/>
                <w:szCs w:val="18"/>
                <w:lang w:val="sr-Cyrl-CS"/>
              </w:rPr>
              <w:t>.</w:t>
            </w:r>
          </w:p>
          <w:p w:rsidR="00DB34B7" w:rsidRPr="00C44B14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A9340A" w:rsidRPr="001A4D2F" w:rsidTr="00FF5F4C">
        <w:trPr>
          <w:trHeight w:val="1439"/>
          <w:tblHeader/>
        </w:trPr>
        <w:tc>
          <w:tcPr>
            <w:tcW w:w="844" w:type="pct"/>
            <w:tcBorders>
              <w:left w:val="double" w:sz="4" w:space="0" w:color="auto"/>
            </w:tcBorders>
          </w:tcPr>
          <w:p w:rsidR="00A9340A" w:rsidRPr="001A4D2F" w:rsidRDefault="00A9340A" w:rsidP="00D13B9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1.4.1 </w:t>
            </w:r>
            <w:r w:rsidR="00DF098D">
              <w:rPr>
                <w:lang w:val="sr-Cyrl-CS"/>
              </w:rPr>
              <w:t>Praćenje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ispunjenosti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međunarodnih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standarda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oblasti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borbe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protiv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Pr="001A4D2F">
              <w:rPr>
                <w:lang w:val="sr-Cyrl-CS"/>
              </w:rPr>
              <w:t xml:space="preserve"> </w:t>
            </w:r>
          </w:p>
        </w:tc>
        <w:tc>
          <w:tcPr>
            <w:tcW w:w="394" w:type="pct"/>
          </w:tcPr>
          <w:p w:rsidR="00A9340A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45" w:type="pct"/>
          </w:tcPr>
          <w:p w:rsidR="00A9340A" w:rsidRPr="00C44B14" w:rsidRDefault="00DF098D" w:rsidP="00C11F8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Relevantni</w:t>
            </w:r>
            <w:r w:rsidR="00274562" w:rsidRPr="00C44B1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organi</w:t>
            </w:r>
            <w:r w:rsidR="00274562" w:rsidRPr="00C44B1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i</w:t>
            </w:r>
            <w:r w:rsidR="00274562" w:rsidRPr="00C44B1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institucije</w:t>
            </w:r>
          </w:p>
        </w:tc>
        <w:tc>
          <w:tcPr>
            <w:tcW w:w="408" w:type="pct"/>
          </w:tcPr>
          <w:p w:rsidR="00A9340A" w:rsidRPr="001A4D2F" w:rsidRDefault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53" w:type="pct"/>
          </w:tcPr>
          <w:p w:rsidR="00A9340A" w:rsidRPr="001A4D2F" w:rsidRDefault="00DF098D" w:rsidP="00F77324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494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50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00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12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</w:tr>
      <w:tr w:rsidR="00D13B96" w:rsidRPr="001A4D2F" w:rsidTr="00FF5F4C">
        <w:trPr>
          <w:trHeight w:val="1124"/>
          <w:tblHeader/>
        </w:trPr>
        <w:tc>
          <w:tcPr>
            <w:tcW w:w="844" w:type="pct"/>
            <w:tcBorders>
              <w:left w:val="double" w:sz="4" w:space="0" w:color="auto"/>
            </w:tcBorders>
          </w:tcPr>
          <w:p w:rsidR="00D13B96" w:rsidRPr="001A4D2F" w:rsidRDefault="00D13B96" w:rsidP="00D13B9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1.4.2 </w:t>
            </w:r>
            <w:r w:rsidR="00DF098D">
              <w:rPr>
                <w:lang w:val="sr-Cyrl-CS"/>
              </w:rPr>
              <w:t>Iniciranje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podržavanje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aktivnosti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cilju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usklađivanja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međunarodnim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preporukama</w:t>
            </w:r>
          </w:p>
        </w:tc>
        <w:tc>
          <w:tcPr>
            <w:tcW w:w="394" w:type="pct"/>
          </w:tcPr>
          <w:p w:rsidR="00D13B96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45" w:type="pct"/>
          </w:tcPr>
          <w:p w:rsidR="00D13B96" w:rsidRPr="00C44B14" w:rsidRDefault="00DF098D" w:rsidP="00C11F8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Relevantni</w:t>
            </w:r>
            <w:r w:rsidR="00D13B96" w:rsidRPr="00C44B1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organi</w:t>
            </w:r>
            <w:r w:rsidR="00D13B96" w:rsidRPr="00C44B1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i</w:t>
            </w:r>
            <w:r w:rsidR="00D13B96" w:rsidRPr="00C44B1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institucije</w:t>
            </w:r>
          </w:p>
        </w:tc>
        <w:tc>
          <w:tcPr>
            <w:tcW w:w="408" w:type="pct"/>
          </w:tcPr>
          <w:p w:rsidR="00D13B96" w:rsidRPr="001A4D2F" w:rsidRDefault="00D13B96" w:rsidP="0036322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53" w:type="pct"/>
          </w:tcPr>
          <w:p w:rsidR="00D13B96" w:rsidRPr="001A4D2F" w:rsidRDefault="00DF098D" w:rsidP="00363221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D13B9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D13B9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D13B9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D13B9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D13B9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D13B9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94" w:type="pct"/>
          </w:tcPr>
          <w:p w:rsidR="00D13B96" w:rsidRPr="001A4D2F" w:rsidRDefault="00D13B96" w:rsidP="00C11F8E">
            <w:pPr>
              <w:rPr>
                <w:lang w:val="sr-Cyrl-CS"/>
              </w:rPr>
            </w:pPr>
          </w:p>
        </w:tc>
        <w:tc>
          <w:tcPr>
            <w:tcW w:w="650" w:type="pct"/>
          </w:tcPr>
          <w:p w:rsidR="00D13B96" w:rsidRPr="001A4D2F" w:rsidRDefault="00D13B96" w:rsidP="00C11F8E">
            <w:pPr>
              <w:rPr>
                <w:lang w:val="sr-Cyrl-CS"/>
              </w:rPr>
            </w:pPr>
          </w:p>
        </w:tc>
        <w:tc>
          <w:tcPr>
            <w:tcW w:w="600" w:type="pct"/>
          </w:tcPr>
          <w:p w:rsidR="00D13B96" w:rsidRPr="001A4D2F" w:rsidRDefault="00D13B96" w:rsidP="00C11F8E">
            <w:pPr>
              <w:rPr>
                <w:lang w:val="sr-Cyrl-CS"/>
              </w:rPr>
            </w:pPr>
          </w:p>
        </w:tc>
        <w:tc>
          <w:tcPr>
            <w:tcW w:w="612" w:type="pct"/>
          </w:tcPr>
          <w:p w:rsidR="00D13B96" w:rsidRPr="001A4D2F" w:rsidRDefault="00D13B96" w:rsidP="00C11F8E">
            <w:pPr>
              <w:rPr>
                <w:lang w:val="sr-Cyrl-CS"/>
              </w:rPr>
            </w:pPr>
          </w:p>
        </w:tc>
      </w:tr>
      <w:tr w:rsidR="00A9340A" w:rsidRPr="001A4D2F" w:rsidTr="00FF5F4C">
        <w:trPr>
          <w:trHeight w:val="1840"/>
          <w:tblHeader/>
        </w:trPr>
        <w:tc>
          <w:tcPr>
            <w:tcW w:w="844" w:type="pct"/>
            <w:tcBorders>
              <w:left w:val="double" w:sz="4" w:space="0" w:color="auto"/>
            </w:tcBorders>
          </w:tcPr>
          <w:p w:rsidR="00A9340A" w:rsidRPr="001A4D2F" w:rsidRDefault="00A9340A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1.4</w:t>
            </w:r>
            <w:r w:rsidR="00D13B96" w:rsidRPr="001A4D2F">
              <w:rPr>
                <w:lang w:val="sr-Cyrl-CS"/>
              </w:rPr>
              <w:t>.3</w:t>
            </w:r>
            <w:r w:rsidRPr="001A4D2F">
              <w:rPr>
                <w:lang w:val="sr-Cyrl-CS"/>
              </w:rPr>
              <w:t xml:space="preserve">. </w:t>
            </w:r>
            <w:r w:rsidR="00DF098D">
              <w:rPr>
                <w:lang w:val="sr-Cyrl-CS"/>
              </w:rPr>
              <w:t>Širiti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svest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 </w:t>
            </w:r>
            <w:r w:rsidR="00DF098D">
              <w:rPr>
                <w:lang w:val="sr-Cyrl-CS"/>
              </w:rPr>
              <w:t>upoznavati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sve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relevantne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učesnike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sistemu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standardima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smernicama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primerima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najbolje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prakse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FATF</w:t>
            </w:r>
          </w:p>
        </w:tc>
        <w:tc>
          <w:tcPr>
            <w:tcW w:w="394" w:type="pct"/>
          </w:tcPr>
          <w:p w:rsidR="00A9340A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45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408" w:type="pct"/>
          </w:tcPr>
          <w:p w:rsidR="00A9340A" w:rsidRPr="001A4D2F" w:rsidRDefault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53" w:type="pct"/>
          </w:tcPr>
          <w:p w:rsidR="00A9340A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  <w:r w:rsidR="00A9340A" w:rsidRPr="001A4D2F">
              <w:rPr>
                <w:lang w:val="sr-Cyrl-CS"/>
              </w:rPr>
              <w:t xml:space="preserve"> </w:t>
            </w:r>
          </w:p>
          <w:p w:rsidR="00A9340A" w:rsidRPr="001A4D2F" w:rsidRDefault="00A9340A" w:rsidP="00C11F8E">
            <w:pPr>
              <w:rPr>
                <w:lang w:val="sr-Cyrl-CS"/>
              </w:rPr>
            </w:pPr>
          </w:p>
          <w:p w:rsidR="00A9340A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  <w:r w:rsidR="00A9340A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Projekat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sprečavanje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pranja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novca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Republici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Srbiji</w:t>
            </w:r>
            <w:r w:rsidR="00A9340A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EU</w:t>
            </w:r>
            <w:r w:rsidR="00A9340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IPA</w:t>
            </w:r>
            <w:r w:rsidR="00A9340A" w:rsidRPr="001A4D2F">
              <w:rPr>
                <w:lang w:val="sr-Cyrl-CS"/>
              </w:rPr>
              <w:t xml:space="preserve"> 2015), </w:t>
            </w:r>
            <w:r>
              <w:rPr>
                <w:lang w:val="sr-Cyrl-CS"/>
              </w:rPr>
              <w:t>OEBS</w:t>
            </w:r>
          </w:p>
        </w:tc>
        <w:tc>
          <w:tcPr>
            <w:tcW w:w="494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50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00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  <w:tc>
          <w:tcPr>
            <w:tcW w:w="612" w:type="pct"/>
          </w:tcPr>
          <w:p w:rsidR="00A9340A" w:rsidRPr="001A4D2F" w:rsidRDefault="00A9340A" w:rsidP="00C11F8E">
            <w:pPr>
              <w:rPr>
                <w:lang w:val="sr-Cyrl-CS"/>
              </w:rPr>
            </w:pPr>
          </w:p>
        </w:tc>
      </w:tr>
      <w:tr w:rsidR="00F3579D" w:rsidRPr="001A4D2F" w:rsidTr="00FF5F4C">
        <w:trPr>
          <w:trHeight w:val="1377"/>
          <w:tblHeader/>
        </w:trPr>
        <w:tc>
          <w:tcPr>
            <w:tcW w:w="844" w:type="pct"/>
            <w:tcBorders>
              <w:left w:val="double" w:sz="4" w:space="0" w:color="auto"/>
            </w:tcBorders>
          </w:tcPr>
          <w:p w:rsidR="00F3579D" w:rsidRPr="001A4D2F" w:rsidRDefault="00F3579D" w:rsidP="00D13B9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1.4.</w:t>
            </w:r>
            <w:r w:rsidR="00D13B96" w:rsidRPr="001A4D2F">
              <w:rPr>
                <w:lang w:val="sr-Cyrl-CS"/>
              </w:rPr>
              <w:t>4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Redovno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pratiti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analizirati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aktivnosti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oblasti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borbe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protiv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nivou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Evropske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unije</w:t>
            </w:r>
            <w:r w:rsidRPr="001A4D2F">
              <w:rPr>
                <w:lang w:val="sr-Cyrl-CS"/>
              </w:rPr>
              <w:t xml:space="preserve"> </w:t>
            </w:r>
          </w:p>
        </w:tc>
        <w:tc>
          <w:tcPr>
            <w:tcW w:w="394" w:type="pct"/>
          </w:tcPr>
          <w:p w:rsidR="00F3579D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45" w:type="pct"/>
          </w:tcPr>
          <w:p w:rsidR="00F3579D" w:rsidRPr="00C44B14" w:rsidRDefault="00DF098D" w:rsidP="00C11F8E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Relevantni</w:t>
            </w:r>
            <w:r w:rsidR="00C951CC" w:rsidRPr="00C44B1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organi</w:t>
            </w:r>
            <w:r w:rsidR="00C951CC" w:rsidRPr="00C44B1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i</w:t>
            </w:r>
            <w:r w:rsidR="00C951CC" w:rsidRPr="00C44B1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institucije</w:t>
            </w:r>
          </w:p>
        </w:tc>
        <w:tc>
          <w:tcPr>
            <w:tcW w:w="408" w:type="pct"/>
          </w:tcPr>
          <w:p w:rsidR="00F3579D" w:rsidRPr="001A4D2F" w:rsidRDefault="00F3579D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53" w:type="pct"/>
          </w:tcPr>
          <w:p w:rsidR="00F3579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F7732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  <w:r w:rsidR="00F77324" w:rsidRPr="001A4D2F">
              <w:rPr>
                <w:lang w:val="sr-Cyrl-CS"/>
              </w:rPr>
              <w:t xml:space="preserve"> </w:t>
            </w:r>
          </w:p>
        </w:tc>
        <w:tc>
          <w:tcPr>
            <w:tcW w:w="494" w:type="pct"/>
          </w:tcPr>
          <w:p w:rsidR="00F3579D" w:rsidRPr="001A4D2F" w:rsidRDefault="00F3579D" w:rsidP="00C11F8E">
            <w:pPr>
              <w:rPr>
                <w:lang w:val="sr-Cyrl-CS"/>
              </w:rPr>
            </w:pPr>
          </w:p>
        </w:tc>
        <w:tc>
          <w:tcPr>
            <w:tcW w:w="650" w:type="pct"/>
          </w:tcPr>
          <w:p w:rsidR="00F3579D" w:rsidRPr="001A4D2F" w:rsidRDefault="00F3579D" w:rsidP="00C11F8E">
            <w:pPr>
              <w:rPr>
                <w:color w:val="FF0000"/>
                <w:lang w:val="sr-Cyrl-CS"/>
              </w:rPr>
            </w:pPr>
          </w:p>
        </w:tc>
        <w:tc>
          <w:tcPr>
            <w:tcW w:w="600" w:type="pct"/>
          </w:tcPr>
          <w:p w:rsidR="00F3579D" w:rsidRPr="001A4D2F" w:rsidRDefault="00F3579D" w:rsidP="00C11F8E">
            <w:pPr>
              <w:rPr>
                <w:lang w:val="sr-Cyrl-CS"/>
              </w:rPr>
            </w:pPr>
          </w:p>
        </w:tc>
        <w:tc>
          <w:tcPr>
            <w:tcW w:w="612" w:type="pct"/>
          </w:tcPr>
          <w:p w:rsidR="00F3579D" w:rsidRPr="001A4D2F" w:rsidRDefault="00F3579D" w:rsidP="00C11F8E">
            <w:pPr>
              <w:rPr>
                <w:lang w:val="sr-Cyrl-CS"/>
              </w:rPr>
            </w:pPr>
          </w:p>
        </w:tc>
      </w:tr>
      <w:tr w:rsidR="00D13B96" w:rsidRPr="001A4D2F" w:rsidTr="00FF5F4C">
        <w:trPr>
          <w:trHeight w:val="1255"/>
          <w:tblHeader/>
        </w:trPr>
        <w:tc>
          <w:tcPr>
            <w:tcW w:w="844" w:type="pct"/>
            <w:tcBorders>
              <w:left w:val="double" w:sz="4" w:space="0" w:color="auto"/>
            </w:tcBorders>
          </w:tcPr>
          <w:p w:rsidR="00D13B96" w:rsidRPr="001A4D2F" w:rsidRDefault="00D13B96" w:rsidP="00D13B9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1.4.5. </w:t>
            </w:r>
            <w:r w:rsidR="00DF098D">
              <w:rPr>
                <w:lang w:val="sr-Cyrl-CS"/>
              </w:rPr>
              <w:t>Po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potrebi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usvajati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neophodne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mere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Republici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Srbiji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skladu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analizama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aktivnosti</w:t>
            </w:r>
            <w:r w:rsidRPr="001A4D2F">
              <w:rPr>
                <w:lang w:val="sr-Cyrl-CS"/>
              </w:rPr>
              <w:t xml:space="preserve"> 1.4.4</w:t>
            </w:r>
          </w:p>
        </w:tc>
        <w:tc>
          <w:tcPr>
            <w:tcW w:w="394" w:type="pct"/>
          </w:tcPr>
          <w:p w:rsidR="00D13B96" w:rsidRPr="001A4D2F" w:rsidRDefault="00DF098D" w:rsidP="00363221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45" w:type="pct"/>
          </w:tcPr>
          <w:p w:rsidR="00D13B96" w:rsidRPr="00C44B14" w:rsidRDefault="00DF098D" w:rsidP="00363221">
            <w:pPr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Relevantni</w:t>
            </w:r>
            <w:r w:rsidR="00D13B96" w:rsidRPr="00C44B1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organi</w:t>
            </w:r>
            <w:r w:rsidR="00D13B96" w:rsidRPr="00C44B1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i</w:t>
            </w:r>
            <w:r w:rsidR="00D13B96" w:rsidRPr="00C44B14">
              <w:rPr>
                <w:sz w:val="18"/>
                <w:szCs w:val="18"/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institucije</w:t>
            </w:r>
          </w:p>
        </w:tc>
        <w:tc>
          <w:tcPr>
            <w:tcW w:w="408" w:type="pct"/>
          </w:tcPr>
          <w:p w:rsidR="00D13B96" w:rsidRPr="001A4D2F" w:rsidRDefault="00D13B96" w:rsidP="0036322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53" w:type="pct"/>
          </w:tcPr>
          <w:p w:rsidR="00D13B96" w:rsidRPr="001A4D2F" w:rsidRDefault="00DF098D" w:rsidP="00363221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D13B9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D13B9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D13B9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D13B9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D13B9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D13B9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94" w:type="pct"/>
          </w:tcPr>
          <w:p w:rsidR="00D13B96" w:rsidRPr="001A4D2F" w:rsidRDefault="00D13B96" w:rsidP="00C11F8E">
            <w:pPr>
              <w:rPr>
                <w:lang w:val="sr-Cyrl-CS"/>
              </w:rPr>
            </w:pPr>
          </w:p>
        </w:tc>
        <w:tc>
          <w:tcPr>
            <w:tcW w:w="650" w:type="pct"/>
          </w:tcPr>
          <w:p w:rsidR="00D13B96" w:rsidRPr="001A4D2F" w:rsidRDefault="00D13B96" w:rsidP="00C11F8E">
            <w:pPr>
              <w:rPr>
                <w:color w:val="FF0000"/>
                <w:lang w:val="sr-Cyrl-CS"/>
              </w:rPr>
            </w:pPr>
          </w:p>
        </w:tc>
        <w:tc>
          <w:tcPr>
            <w:tcW w:w="600" w:type="pct"/>
          </w:tcPr>
          <w:p w:rsidR="00D13B96" w:rsidRPr="001A4D2F" w:rsidRDefault="00D13B96" w:rsidP="00C11F8E">
            <w:pPr>
              <w:rPr>
                <w:lang w:val="sr-Cyrl-CS"/>
              </w:rPr>
            </w:pPr>
          </w:p>
        </w:tc>
        <w:tc>
          <w:tcPr>
            <w:tcW w:w="612" w:type="pct"/>
          </w:tcPr>
          <w:p w:rsidR="00D13B96" w:rsidRPr="001A4D2F" w:rsidRDefault="00D13B96" w:rsidP="00C11F8E">
            <w:pPr>
              <w:rPr>
                <w:lang w:val="sr-Cyrl-CS"/>
              </w:rPr>
            </w:pPr>
          </w:p>
        </w:tc>
      </w:tr>
    </w:tbl>
    <w:p w:rsidR="00F43ECD" w:rsidRPr="001A4D2F" w:rsidRDefault="00F43ECD" w:rsidP="00C11F8E">
      <w:pPr>
        <w:rPr>
          <w:lang w:val="sr-Cyrl-CS"/>
        </w:rPr>
      </w:pPr>
    </w:p>
    <w:p w:rsidR="00F43ECD" w:rsidRPr="001A4D2F" w:rsidRDefault="00F43ECD" w:rsidP="00C11F8E">
      <w:pPr>
        <w:rPr>
          <w:lang w:val="sr-Cyrl-CS"/>
        </w:rPr>
      </w:pPr>
    </w:p>
    <w:tbl>
      <w:tblPr>
        <w:tblStyle w:val="TableGrid"/>
        <w:tblW w:w="14132" w:type="dxa"/>
        <w:tblInd w:w="10" w:type="dxa"/>
        <w:tblLayout w:type="fixed"/>
        <w:tblLook w:val="04A0"/>
      </w:tblPr>
      <w:tblGrid>
        <w:gridCol w:w="3359"/>
        <w:gridCol w:w="1842"/>
        <w:gridCol w:w="1985"/>
        <w:gridCol w:w="1276"/>
        <w:gridCol w:w="1134"/>
        <w:gridCol w:w="1559"/>
        <w:gridCol w:w="1559"/>
        <w:gridCol w:w="1418"/>
      </w:tblGrid>
      <w:tr w:rsidR="00F43ECD" w:rsidRPr="001A4D2F" w:rsidTr="00DF0DDF">
        <w:trPr>
          <w:trHeight w:val="320"/>
        </w:trPr>
        <w:tc>
          <w:tcPr>
            <w:tcW w:w="14132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F43ECD" w:rsidRPr="001A4D2F" w:rsidRDefault="00DF098D" w:rsidP="00090975">
            <w:pPr>
              <w:pStyle w:val="Heading2"/>
              <w:spacing w:before="0" w:beforeAutospacing="0" w:after="0" w:afterAutospacing="0"/>
              <w:rPr>
                <w:szCs w:val="24"/>
                <w:lang w:val="sr-Cyrl-CS"/>
              </w:rPr>
            </w:pPr>
            <w:bookmarkStart w:id="7" w:name="_Toc32409910"/>
            <w:r>
              <w:rPr>
                <w:szCs w:val="24"/>
                <w:lang w:val="sr-Cyrl-CS"/>
              </w:rPr>
              <w:t>Posebni</w:t>
            </w:r>
            <w:r w:rsidR="00F43ECD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cilj</w:t>
            </w:r>
            <w:r w:rsidR="00F43ECD" w:rsidRPr="001A4D2F">
              <w:rPr>
                <w:szCs w:val="24"/>
                <w:lang w:val="sr-Cyrl-CS"/>
              </w:rPr>
              <w:t xml:space="preserve"> 2. </w:t>
            </w:r>
            <w:r>
              <w:rPr>
                <w:szCs w:val="24"/>
                <w:lang w:val="sr-Cyrl-CS"/>
              </w:rPr>
              <w:t>Sprečiti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unošenje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u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finansijski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i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nefinansijski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sistem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imovine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za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koju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se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sumnja</w:t>
            </w:r>
            <w:r w:rsidR="00090975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da</w:t>
            </w:r>
            <w:r w:rsidR="00090975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je</w:t>
            </w:r>
            <w:r w:rsidR="00090975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stečena</w:t>
            </w:r>
            <w:r w:rsidR="00090975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krivičnim</w:t>
            </w:r>
            <w:r w:rsidR="00090975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delom</w:t>
            </w:r>
            <w:r w:rsidR="00090975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ili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koja</w:t>
            </w:r>
            <w:r w:rsidR="00090975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je</w:t>
            </w:r>
            <w:r w:rsidR="00090975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namenjena</w:t>
            </w:r>
            <w:r w:rsidR="00090975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finansiranju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terorizma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ili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širenju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oružja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za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masovno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uništenje</w:t>
            </w:r>
            <w:r w:rsidR="00B720FB" w:rsidRPr="001A4D2F">
              <w:rPr>
                <w:szCs w:val="24"/>
                <w:lang w:val="sr-Cyrl-CS"/>
              </w:rPr>
              <w:t xml:space="preserve">, </w:t>
            </w:r>
            <w:r>
              <w:rPr>
                <w:szCs w:val="24"/>
                <w:lang w:val="sr-Cyrl-CS"/>
              </w:rPr>
              <w:t>odnosno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unaprediti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otkrivanje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takve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imovine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ukoliko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je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već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u</w:t>
            </w:r>
            <w:r w:rsidR="00B720FB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sistemu</w:t>
            </w:r>
            <w:bookmarkEnd w:id="7"/>
          </w:p>
        </w:tc>
      </w:tr>
      <w:tr w:rsidR="00F43ECD" w:rsidRPr="001A4D2F" w:rsidTr="00DF0DDF">
        <w:trPr>
          <w:trHeight w:val="320"/>
        </w:trPr>
        <w:tc>
          <w:tcPr>
            <w:tcW w:w="14132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F43ECD" w:rsidRPr="001A4D2F" w:rsidRDefault="00DF098D" w:rsidP="00C11F8E">
            <w:pPr>
              <w:rPr>
                <w:lang w:val="sr-Cyrl-CS"/>
              </w:rPr>
            </w:pPr>
            <w:r>
              <w:rPr>
                <w:rFonts w:eastAsia="Times New Roman"/>
                <w:color w:val="222222"/>
                <w:lang w:val="sr-Cyrl-CS"/>
              </w:rPr>
              <w:t>Institucija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odgovorna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za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praćenje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i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kontrolu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realizacije</w:t>
            </w:r>
            <w:r w:rsidR="00F43ECD" w:rsidRPr="001A4D2F">
              <w:rPr>
                <w:rFonts w:eastAsia="Times New Roman"/>
                <w:color w:val="222222"/>
                <w:lang w:val="sr-Cyrl-CS"/>
              </w:rPr>
              <w:t xml:space="preserve">: </w:t>
            </w:r>
            <w:r>
              <w:rPr>
                <w:rFonts w:eastAsia="Times New Roman"/>
                <w:color w:val="222222"/>
                <w:lang w:val="sr-Cyrl-CS"/>
              </w:rPr>
              <w:t>Koordinaciono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telo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za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sprečavanje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pranja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novca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i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finansiranja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terorizma</w:t>
            </w:r>
          </w:p>
        </w:tc>
      </w:tr>
      <w:tr w:rsidR="004316AD" w:rsidRPr="001A4D2F" w:rsidTr="00DF0DDF">
        <w:trPr>
          <w:trHeight w:val="575"/>
        </w:trPr>
        <w:tc>
          <w:tcPr>
            <w:tcW w:w="33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Pokazatelj</w:t>
            </w:r>
            <w:r w:rsidR="004316AD" w:rsidRPr="001A4D2F">
              <w:rPr>
                <w:lang w:val="sr-Cyrl-CS"/>
              </w:rPr>
              <w:t>(</w:t>
            </w:r>
            <w:r>
              <w:rPr>
                <w:lang w:val="sr-Cyrl-CS"/>
              </w:rPr>
              <w:t>i</w:t>
            </w:r>
            <w:r w:rsidR="004316AD" w:rsidRPr="001A4D2F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nivou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posebnog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cilja</w:t>
            </w:r>
            <w:r w:rsidR="004316AD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pokazatelj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ishoda</w:t>
            </w:r>
            <w:r w:rsidR="004316AD" w:rsidRPr="001A4D2F">
              <w:rPr>
                <w:lang w:val="sr-Cyrl-CS"/>
              </w:rPr>
              <w:t>)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4316A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</w:t>
            </w:r>
            <w:r w:rsidR="00DF098D">
              <w:rPr>
                <w:lang w:val="sr-Cyrl-CS"/>
              </w:rPr>
              <w:t>edinica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mere</w:t>
            </w:r>
          </w:p>
          <w:p w:rsidR="004316AD" w:rsidRPr="001A4D2F" w:rsidRDefault="004316AD" w:rsidP="00C11F8E">
            <w:pPr>
              <w:rPr>
                <w:lang w:val="sr-Cyrl-CS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Izvor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provere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Početna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4316AD" w:rsidRPr="001A4D2F">
              <w:rPr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Bazna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godina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4316AD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4316AD" w:rsidRPr="001A4D2F">
              <w:rPr>
                <w:lang w:val="sr-Cyrl-CS"/>
              </w:rPr>
              <w:t xml:space="preserve"> 2020.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4316AD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4316A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4316AD" w:rsidRPr="001A4D2F">
              <w:rPr>
                <w:lang w:val="sr-Cyrl-CS"/>
              </w:rPr>
              <w:t xml:space="preserve"> 2021.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316AD" w:rsidRPr="001A4D2F" w:rsidRDefault="00DF098D" w:rsidP="004316AD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885F9C" w:rsidRPr="001A4D2F">
              <w:rPr>
                <w:lang w:val="sr-Cyrl-CS"/>
              </w:rPr>
              <w:t xml:space="preserve"> 2022.</w:t>
            </w:r>
          </w:p>
        </w:tc>
      </w:tr>
      <w:tr w:rsidR="00321E8D" w:rsidRPr="001A4D2F" w:rsidTr="00DF0DDF">
        <w:trPr>
          <w:trHeight w:val="254"/>
        </w:trPr>
        <w:tc>
          <w:tcPr>
            <w:tcW w:w="33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DF098D" w:rsidP="00321E8D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Ocena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tehničke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usklađenosti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sistema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međunarodnim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standardima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relevantnim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preporukama</w:t>
            </w:r>
            <w:r w:rsidR="00321E8D" w:rsidRPr="001A4D2F">
              <w:rPr>
                <w:lang w:val="sr-Cyrl-CS"/>
              </w:rPr>
              <w:t xml:space="preserve"> 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A0064" w:rsidRPr="001A4D2F" w:rsidRDefault="00DF098D" w:rsidP="00DA0064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Ocena</w:t>
            </w:r>
            <w:r w:rsidR="00DA0064" w:rsidRPr="001A4D2F">
              <w:rPr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u</w:t>
            </w:r>
            <w:r w:rsidR="00DA0064" w:rsidRPr="001A4D2F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velikoj</w:t>
            </w:r>
            <w:r w:rsidR="00DA0064" w:rsidRPr="001A4D2F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meri</w:t>
            </w:r>
            <w:r w:rsidR="00DA0064" w:rsidRPr="001A4D2F">
              <w:rPr>
                <w:i/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usklađen</w:t>
            </w:r>
            <w:r w:rsidR="00DA0064" w:rsidRPr="001A4D2F">
              <w:rPr>
                <w:lang w:val="sr-Cyrl-CS"/>
              </w:rPr>
              <w:t xml:space="preserve"> </w:t>
            </w:r>
            <w:r w:rsidR="00CC3224" w:rsidRPr="001A4D2F">
              <w:rPr>
                <w:lang w:val="sr-Cyrl-CS"/>
              </w:rPr>
              <w:t xml:space="preserve">(LC) </w:t>
            </w:r>
            <w:r>
              <w:rPr>
                <w:lang w:val="sr-Cyrl-CS"/>
              </w:rPr>
              <w:t>ili</w:t>
            </w:r>
            <w:r w:rsidR="00DA0064" w:rsidRPr="001A4D2F">
              <w:rPr>
                <w:lang w:val="sr-Cyrl-CS"/>
              </w:rPr>
              <w:t xml:space="preserve"> </w:t>
            </w:r>
            <w:r>
              <w:rPr>
                <w:i/>
                <w:lang w:val="sr-Cyrl-CS"/>
              </w:rPr>
              <w:t>usklađen</w:t>
            </w:r>
            <w:r w:rsidR="00CC3224" w:rsidRPr="001A4D2F">
              <w:rPr>
                <w:i/>
                <w:lang w:val="sr-Cyrl-CS"/>
              </w:rPr>
              <w:t xml:space="preserve"> </w:t>
            </w:r>
            <w:r w:rsidR="00CC3224" w:rsidRPr="001A4D2F">
              <w:rPr>
                <w:lang w:val="sr-Cyrl-CS"/>
              </w:rPr>
              <w:t>(C)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i/>
                <w:lang w:val="sr-Cyrl-CS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DF098D" w:rsidP="00321E8D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nadležnih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organa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Manivala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napretku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Srbije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NC – 0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PC – 4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LC – 31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C – 5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NC – 0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PC – 0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LC/</w:t>
            </w:r>
            <w:r w:rsidR="00DF098D">
              <w:rPr>
                <w:lang w:val="sr-Cyrl-CS"/>
              </w:rPr>
              <w:t>S</w:t>
            </w:r>
            <w:r w:rsidRPr="001A4D2F">
              <w:rPr>
                <w:lang w:val="sr-Cyrl-CS"/>
              </w:rPr>
              <w:t xml:space="preserve"> - 40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NC – 0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PC – 0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LC/</w:t>
            </w:r>
            <w:r w:rsidR="00DF098D">
              <w:rPr>
                <w:lang w:val="sr-Cyrl-CS"/>
              </w:rPr>
              <w:t>S</w:t>
            </w:r>
            <w:r w:rsidRPr="001A4D2F">
              <w:rPr>
                <w:lang w:val="sr-Cyrl-CS"/>
              </w:rPr>
              <w:t xml:space="preserve"> - 40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NC – 0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PC – 0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LC/</w:t>
            </w:r>
            <w:r w:rsidR="00DF098D">
              <w:rPr>
                <w:lang w:val="sr-Cyrl-CS"/>
              </w:rPr>
              <w:t>S</w:t>
            </w:r>
            <w:r w:rsidRPr="001A4D2F">
              <w:rPr>
                <w:lang w:val="sr-Cyrl-CS"/>
              </w:rPr>
              <w:t xml:space="preserve"> - 40</w:t>
            </w:r>
          </w:p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</w:p>
        </w:tc>
      </w:tr>
      <w:tr w:rsidR="00321E8D" w:rsidRPr="001A4D2F" w:rsidTr="00DF0DDF">
        <w:trPr>
          <w:trHeight w:val="254"/>
        </w:trPr>
        <w:tc>
          <w:tcPr>
            <w:tcW w:w="33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DF098D" w:rsidP="00321E8D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color w:val="auto"/>
                <w:lang w:val="sr-Cyrl-CS"/>
              </w:rPr>
              <w:t>Napredak</w:t>
            </w:r>
            <w:r w:rsidR="005C5D8A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na</w:t>
            </w:r>
            <w:r w:rsidR="005C5D8A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neposrednim</w:t>
            </w:r>
            <w:r w:rsidR="005C5D8A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rezultatima</w:t>
            </w:r>
            <w:r w:rsidR="00321E8D" w:rsidRPr="001A4D2F">
              <w:rPr>
                <w:color w:val="auto"/>
                <w:lang w:val="sr-Cyrl-CS"/>
              </w:rPr>
              <w:t xml:space="preserve"> 3, 4 </w:t>
            </w:r>
            <w:r>
              <w:rPr>
                <w:color w:val="auto"/>
                <w:lang w:val="sr-Cyrl-CS"/>
              </w:rPr>
              <w:t>i</w:t>
            </w:r>
            <w:r w:rsidR="00321E8D" w:rsidRPr="001A4D2F">
              <w:rPr>
                <w:color w:val="auto"/>
                <w:lang w:val="sr-Cyrl-CS"/>
              </w:rPr>
              <w:t xml:space="preserve"> 6 </w:t>
            </w:r>
            <w:r>
              <w:rPr>
                <w:color w:val="auto"/>
                <w:lang w:val="sr-Cyrl-CS"/>
              </w:rPr>
              <w:t>po</w:t>
            </w:r>
            <w:r w:rsidR="00321E8D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Metodologiji</w:t>
            </w:r>
            <w:r w:rsidR="00321E8D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FATF</w:t>
            </w:r>
            <w:r w:rsidR="00DA0064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na</w:t>
            </w:r>
            <w:r w:rsidR="00DA0064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lastRenderedPageBreak/>
              <w:t>godišnjem</w:t>
            </w:r>
            <w:r w:rsidR="00DA0064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nivou</w:t>
            </w:r>
          </w:p>
        </w:tc>
        <w:tc>
          <w:tcPr>
            <w:tcW w:w="18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Da</w:t>
            </w:r>
            <w:r w:rsidR="00321E8D" w:rsidRPr="001A4D2F">
              <w:rPr>
                <w:lang w:val="sr-Cyrl-CS"/>
              </w:rPr>
              <w:t>/</w:t>
            </w:r>
            <w:r>
              <w:rPr>
                <w:lang w:val="sr-Cyrl-CS"/>
              </w:rPr>
              <w:t>Ne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nadležnih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organa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Manivala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napretku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Srbije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DF098D" w:rsidP="00321E8D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DF098D" w:rsidP="00321E8D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21E8D" w:rsidRPr="001A4D2F" w:rsidRDefault="00DF098D" w:rsidP="00321E8D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</w:tr>
    </w:tbl>
    <w:p w:rsidR="00F43ECD" w:rsidRPr="001A4D2F" w:rsidRDefault="00F43ECD" w:rsidP="00C11F8E">
      <w:pPr>
        <w:tabs>
          <w:tab w:val="left" w:pos="1940"/>
        </w:tabs>
        <w:rPr>
          <w:lang w:val="sr-Cyrl-CS"/>
        </w:rPr>
      </w:pPr>
    </w:p>
    <w:p w:rsidR="00F43ECD" w:rsidRDefault="00F43ECD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Pr="00DA0EC2" w:rsidRDefault="00DA0EC2" w:rsidP="00C11F8E">
      <w:pPr>
        <w:tabs>
          <w:tab w:val="left" w:pos="1940"/>
        </w:tabs>
      </w:pPr>
    </w:p>
    <w:tbl>
      <w:tblPr>
        <w:tblStyle w:val="TableGrid"/>
        <w:tblW w:w="14132" w:type="dxa"/>
        <w:tblInd w:w="10" w:type="dxa"/>
        <w:tblLayout w:type="fixed"/>
        <w:tblLook w:val="04A0"/>
      </w:tblPr>
      <w:tblGrid>
        <w:gridCol w:w="3359"/>
        <w:gridCol w:w="1233"/>
        <w:gridCol w:w="2169"/>
        <w:gridCol w:w="141"/>
        <w:gridCol w:w="1418"/>
        <w:gridCol w:w="1559"/>
        <w:gridCol w:w="1418"/>
        <w:gridCol w:w="1417"/>
        <w:gridCol w:w="1418"/>
      </w:tblGrid>
      <w:tr w:rsidR="00F43ECD" w:rsidRPr="001A4D2F" w:rsidTr="00DF0DDF">
        <w:trPr>
          <w:trHeight w:val="169"/>
        </w:trPr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DF098D" w:rsidP="00C11F8E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8" w:name="_Toc32409911"/>
            <w:r>
              <w:rPr>
                <w:rFonts w:cs="Times New Roman"/>
                <w:sz w:val="24"/>
                <w:lang w:val="sr-Cyrl-CS"/>
              </w:rPr>
              <w:t>Mera</w:t>
            </w:r>
            <w:r w:rsidR="00F43ECD" w:rsidRPr="001A4D2F">
              <w:rPr>
                <w:rFonts w:cs="Times New Roman"/>
                <w:sz w:val="24"/>
                <w:lang w:val="sr-Cyrl-CS"/>
              </w:rPr>
              <w:t xml:space="preserve"> 2.1. </w:t>
            </w:r>
            <w:r>
              <w:rPr>
                <w:rFonts w:cs="Times New Roman"/>
                <w:sz w:val="24"/>
                <w:lang w:val="sr-Cyrl-CS"/>
              </w:rPr>
              <w:t>Unapređenje</w:t>
            </w:r>
            <w:r w:rsidR="00054E2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efikasnosti</w:t>
            </w:r>
            <w:r w:rsidR="00054E2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praćenja</w:t>
            </w:r>
            <w:r w:rsidR="00054E2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</w:t>
            </w:r>
            <w:r w:rsidR="00054E2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kvaliteta</w:t>
            </w:r>
            <w:r w:rsidR="00054E2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prijava</w:t>
            </w:r>
            <w:r w:rsidR="00054E2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sumnjivih</w:t>
            </w:r>
            <w:r w:rsidR="00054E2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aktivnosti</w:t>
            </w:r>
            <w:r w:rsidR="00054E2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koje</w:t>
            </w:r>
            <w:r w:rsidR="00054E2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dostavljaju</w:t>
            </w:r>
            <w:r w:rsidR="00054E2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obveznici</w:t>
            </w:r>
            <w:bookmarkEnd w:id="8"/>
          </w:p>
        </w:tc>
      </w:tr>
      <w:tr w:rsidR="00F43ECD" w:rsidRPr="001A4D2F" w:rsidTr="00DF0DDF">
        <w:trPr>
          <w:trHeight w:val="300"/>
        </w:trPr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F43ECD" w:rsidRPr="001A4D2F" w:rsidRDefault="00DF098D" w:rsidP="00C11F8E">
            <w:pPr>
              <w:rPr>
                <w:color w:val="auto"/>
                <w:lang w:val="sr-Cyrl-CS"/>
              </w:rPr>
            </w:pPr>
            <w:r>
              <w:rPr>
                <w:rFonts w:eastAsia="Times New Roman"/>
                <w:color w:val="auto"/>
                <w:lang w:val="sr-Cyrl-CS"/>
              </w:rPr>
              <w:t>Institucija</w:t>
            </w:r>
            <w:r w:rsidR="00F43ECD" w:rsidRPr="001A4D2F">
              <w:rPr>
                <w:rFonts w:eastAsia="Times New Roman"/>
                <w:color w:val="auto"/>
                <w:lang w:val="sr-Cyrl-CS"/>
              </w:rPr>
              <w:t xml:space="preserve"> </w:t>
            </w:r>
            <w:r>
              <w:rPr>
                <w:rFonts w:eastAsia="Times New Roman"/>
                <w:color w:val="auto"/>
                <w:lang w:val="sr-Cyrl-CS"/>
              </w:rPr>
              <w:t>odgovorna</w:t>
            </w:r>
            <w:r w:rsidR="00F43ECD" w:rsidRPr="001A4D2F">
              <w:rPr>
                <w:rFonts w:eastAsia="Times New Roman"/>
                <w:color w:val="auto"/>
                <w:lang w:val="sr-Cyrl-CS"/>
              </w:rPr>
              <w:t xml:space="preserve"> </w:t>
            </w:r>
            <w:r>
              <w:rPr>
                <w:rFonts w:eastAsia="Times New Roman"/>
                <w:color w:val="auto"/>
                <w:lang w:val="sr-Cyrl-CS"/>
              </w:rPr>
              <w:t>za</w:t>
            </w:r>
            <w:r w:rsidR="00F43ECD" w:rsidRPr="001A4D2F">
              <w:rPr>
                <w:rFonts w:eastAsia="Times New Roman"/>
                <w:color w:val="auto"/>
                <w:lang w:val="sr-Cyrl-CS"/>
              </w:rPr>
              <w:t xml:space="preserve"> </w:t>
            </w:r>
            <w:r>
              <w:rPr>
                <w:rFonts w:eastAsia="Times New Roman"/>
                <w:color w:val="auto"/>
                <w:lang w:val="sr-Cyrl-CS"/>
              </w:rPr>
              <w:t>praćenje</w:t>
            </w:r>
            <w:r w:rsidR="00F43ECD" w:rsidRPr="001A4D2F">
              <w:rPr>
                <w:rFonts w:eastAsia="Times New Roman"/>
                <w:color w:val="auto"/>
                <w:lang w:val="sr-Cyrl-CS"/>
              </w:rPr>
              <w:t xml:space="preserve"> </w:t>
            </w:r>
            <w:r>
              <w:rPr>
                <w:rFonts w:eastAsia="Times New Roman"/>
                <w:color w:val="auto"/>
                <w:lang w:val="sr-Cyrl-CS"/>
              </w:rPr>
              <w:t>i</w:t>
            </w:r>
            <w:r w:rsidR="00F43ECD" w:rsidRPr="001A4D2F">
              <w:rPr>
                <w:rFonts w:eastAsia="Times New Roman"/>
                <w:color w:val="auto"/>
                <w:lang w:val="sr-Cyrl-CS"/>
              </w:rPr>
              <w:t xml:space="preserve"> </w:t>
            </w:r>
            <w:r>
              <w:rPr>
                <w:rFonts w:eastAsia="Times New Roman"/>
                <w:color w:val="auto"/>
                <w:lang w:val="sr-Cyrl-CS"/>
              </w:rPr>
              <w:t>kontrolu</w:t>
            </w:r>
            <w:r w:rsidR="00F43ECD" w:rsidRPr="001A4D2F">
              <w:rPr>
                <w:rFonts w:eastAsia="Times New Roman"/>
                <w:color w:val="auto"/>
                <w:lang w:val="sr-Cyrl-CS"/>
              </w:rPr>
              <w:t xml:space="preserve"> </w:t>
            </w:r>
            <w:r>
              <w:rPr>
                <w:rFonts w:eastAsia="Times New Roman"/>
                <w:color w:val="auto"/>
                <w:lang w:val="sr-Cyrl-CS"/>
              </w:rPr>
              <w:t>realizacije</w:t>
            </w:r>
            <w:r w:rsidR="00F43ECD" w:rsidRPr="001A4D2F">
              <w:rPr>
                <w:rFonts w:eastAsia="Times New Roman"/>
                <w:color w:val="auto"/>
                <w:lang w:val="sr-Cyrl-CS"/>
              </w:rPr>
              <w:t>:</w:t>
            </w:r>
            <w:r w:rsidR="00E0054E" w:rsidRPr="001A4D2F">
              <w:rPr>
                <w:rFonts w:eastAsia="Times New Roman"/>
                <w:color w:val="auto"/>
                <w:lang w:val="sr-Cyrl-CS"/>
              </w:rPr>
              <w:t xml:space="preserve"> </w:t>
            </w:r>
            <w:r>
              <w:rPr>
                <w:rFonts w:eastAsia="Times New Roman"/>
                <w:color w:val="auto"/>
                <w:lang w:val="sr-Cyrl-CS"/>
              </w:rPr>
              <w:t>Uprava</w:t>
            </w:r>
            <w:r w:rsidR="00E0054E" w:rsidRPr="001A4D2F">
              <w:rPr>
                <w:rFonts w:eastAsia="Times New Roman"/>
                <w:color w:val="auto"/>
                <w:lang w:val="sr-Cyrl-CS"/>
              </w:rPr>
              <w:t xml:space="preserve"> </w:t>
            </w:r>
            <w:r>
              <w:rPr>
                <w:rFonts w:eastAsia="Times New Roman"/>
                <w:color w:val="auto"/>
                <w:lang w:val="sr-Cyrl-CS"/>
              </w:rPr>
              <w:t>za</w:t>
            </w:r>
            <w:r w:rsidR="00E0054E" w:rsidRPr="001A4D2F">
              <w:rPr>
                <w:rFonts w:eastAsia="Times New Roman"/>
                <w:color w:val="auto"/>
                <w:lang w:val="sr-Cyrl-CS"/>
              </w:rPr>
              <w:t xml:space="preserve"> </w:t>
            </w:r>
            <w:r>
              <w:rPr>
                <w:rFonts w:eastAsia="Times New Roman"/>
                <w:color w:val="auto"/>
                <w:lang w:val="sr-Cyrl-CS"/>
              </w:rPr>
              <w:t>sprečavanje</w:t>
            </w:r>
            <w:r w:rsidR="00E0054E" w:rsidRPr="001A4D2F">
              <w:rPr>
                <w:rFonts w:eastAsia="Times New Roman"/>
                <w:color w:val="auto"/>
                <w:lang w:val="sr-Cyrl-CS"/>
              </w:rPr>
              <w:t xml:space="preserve"> </w:t>
            </w:r>
            <w:r>
              <w:rPr>
                <w:rFonts w:eastAsia="Times New Roman"/>
                <w:color w:val="auto"/>
                <w:lang w:val="sr-Cyrl-CS"/>
              </w:rPr>
              <w:t>pranja</w:t>
            </w:r>
            <w:r w:rsidR="00E0054E" w:rsidRPr="001A4D2F">
              <w:rPr>
                <w:rFonts w:eastAsia="Times New Roman"/>
                <w:color w:val="auto"/>
                <w:lang w:val="sr-Cyrl-CS"/>
              </w:rPr>
              <w:t xml:space="preserve"> </w:t>
            </w:r>
            <w:r>
              <w:rPr>
                <w:rFonts w:eastAsia="Times New Roman"/>
                <w:color w:val="auto"/>
                <w:lang w:val="sr-Cyrl-CS"/>
              </w:rPr>
              <w:t>novca</w:t>
            </w:r>
          </w:p>
        </w:tc>
      </w:tr>
      <w:tr w:rsidR="00F43ECD" w:rsidRPr="001A4D2F" w:rsidTr="00DF0DDF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Period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sprovođenja</w:t>
            </w:r>
            <w:r w:rsidR="00F43ECD" w:rsidRPr="001A4D2F">
              <w:rPr>
                <w:lang w:val="sr-Cyrl-CS"/>
              </w:rPr>
              <w:t>:</w:t>
            </w:r>
            <w:r w:rsidR="00E0054E" w:rsidRPr="001A4D2F">
              <w:rPr>
                <w:lang w:val="sr-Cyrl-CS"/>
              </w:rPr>
              <w:t xml:space="preserve"> 2020-2022.</w:t>
            </w:r>
          </w:p>
        </w:tc>
        <w:tc>
          <w:tcPr>
            <w:tcW w:w="72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Tip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F43ECD" w:rsidRPr="001A4D2F">
              <w:rPr>
                <w:lang w:val="sr-Cyrl-CS"/>
              </w:rPr>
              <w:t>:</w:t>
            </w:r>
            <w:r w:rsidR="0046486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Institucionalno</w:t>
            </w:r>
            <w:r w:rsidR="00464869" w:rsidRPr="001A4D2F">
              <w:rPr>
                <w:lang w:val="sr-Cyrl-CS"/>
              </w:rPr>
              <w:t>-</w:t>
            </w:r>
            <w:r>
              <w:rPr>
                <w:lang w:val="sr-Cyrl-CS"/>
              </w:rPr>
              <w:t>upravljačko</w:t>
            </w:r>
            <w:r w:rsidR="00464869" w:rsidRPr="001A4D2F">
              <w:rPr>
                <w:lang w:val="sr-Cyrl-CS"/>
              </w:rPr>
              <w:t>-</w:t>
            </w:r>
            <w:r>
              <w:rPr>
                <w:lang w:val="sr-Cyrl-CS"/>
              </w:rPr>
              <w:t>organizaciona</w:t>
            </w:r>
          </w:p>
        </w:tc>
      </w:tr>
      <w:tr w:rsidR="00DF0DDF" w:rsidRPr="001A4D2F" w:rsidTr="00DF0DDF">
        <w:trPr>
          <w:trHeight w:val="716"/>
        </w:trPr>
        <w:tc>
          <w:tcPr>
            <w:tcW w:w="33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Pokazatelj</w:t>
            </w:r>
            <w:r w:rsidR="00DF0DDF" w:rsidRPr="001A4D2F">
              <w:rPr>
                <w:lang w:val="sr-Cyrl-CS"/>
              </w:rPr>
              <w:t>(</w:t>
            </w:r>
            <w:r>
              <w:rPr>
                <w:lang w:val="sr-Cyrl-CS"/>
              </w:rPr>
              <w:t>i</w:t>
            </w:r>
            <w:r w:rsidR="00DF0DDF" w:rsidRPr="001A4D2F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na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nivou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DF0DDF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pokazatelj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rezultata</w:t>
            </w:r>
            <w:r w:rsidR="00DF0DDF" w:rsidRPr="001A4D2F">
              <w:rPr>
                <w:lang w:val="sr-Cyrl-CS"/>
              </w:rPr>
              <w:t>)</w:t>
            </w:r>
          </w:p>
        </w:tc>
        <w:tc>
          <w:tcPr>
            <w:tcW w:w="123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</w:t>
            </w:r>
            <w:r w:rsidR="00DF098D">
              <w:rPr>
                <w:lang w:val="sr-Cyrl-CS"/>
              </w:rPr>
              <w:t>edinica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mere</w:t>
            </w:r>
          </w:p>
          <w:p w:rsidR="00DF0DDF" w:rsidRPr="001A4D2F" w:rsidRDefault="00DF0DDF" w:rsidP="00C11F8E">
            <w:pPr>
              <w:rPr>
                <w:lang w:val="sr-Cyrl-CS"/>
              </w:rPr>
            </w:pPr>
          </w:p>
        </w:tc>
        <w:tc>
          <w:tcPr>
            <w:tcW w:w="216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Izvor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provere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Početna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DF0DDF" w:rsidRPr="001A4D2F">
              <w:rPr>
                <w:lang w:val="sr-Cyrl-CS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Bazna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godina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DF0DDF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DF0DDF" w:rsidRPr="001A4D2F">
              <w:rPr>
                <w:lang w:val="sr-Cyrl-CS"/>
              </w:rPr>
              <w:t xml:space="preserve"> 2020.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DF0DDF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DF0DDF" w:rsidRPr="001A4D2F">
              <w:rPr>
                <w:lang w:val="sr-Cyrl-CS"/>
              </w:rPr>
              <w:t xml:space="preserve"> 2021.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0DDF" w:rsidRDefault="00DF098D" w:rsidP="00DF0DDF">
            <w:r>
              <w:rPr>
                <w:lang w:val="sr-Cyrl-CS"/>
              </w:rPr>
              <w:t>Ciljana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885F9C" w:rsidRPr="001A4D2F">
              <w:rPr>
                <w:lang w:val="sr-Cyrl-CS"/>
              </w:rPr>
              <w:t xml:space="preserve"> 2022.</w:t>
            </w:r>
          </w:p>
          <w:p w:rsidR="00C44B14" w:rsidRDefault="00C44B14" w:rsidP="00DF0DDF"/>
          <w:p w:rsidR="00C44B14" w:rsidRPr="00C44B14" w:rsidRDefault="00C44B14" w:rsidP="00DF0DDF"/>
        </w:tc>
      </w:tr>
      <w:tr w:rsidR="00321E8D" w:rsidRPr="001A4D2F" w:rsidTr="00DF0DDF">
        <w:trPr>
          <w:trHeight w:val="304"/>
        </w:trPr>
        <w:tc>
          <w:tcPr>
            <w:tcW w:w="33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DF098D" w:rsidP="005C5D8A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color w:val="auto"/>
                <w:lang w:val="sr-Cyrl-CS"/>
              </w:rPr>
              <w:t>Napredak</w:t>
            </w:r>
            <w:r w:rsidR="00321E8D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na</w:t>
            </w:r>
            <w:r w:rsidR="00321E8D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neposrednom</w:t>
            </w:r>
            <w:r w:rsidR="00321E8D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rezultatu</w:t>
            </w:r>
            <w:r w:rsidR="00321E8D" w:rsidRPr="001A4D2F">
              <w:rPr>
                <w:color w:val="auto"/>
                <w:lang w:val="sr-Cyrl-CS"/>
              </w:rPr>
              <w:t xml:space="preserve"> 6 </w:t>
            </w:r>
            <w:r>
              <w:rPr>
                <w:color w:val="auto"/>
                <w:lang w:val="sr-Cyrl-CS"/>
              </w:rPr>
              <w:t>po</w:t>
            </w:r>
            <w:r w:rsidR="00321E8D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Metodologiji</w:t>
            </w:r>
            <w:r w:rsidR="00321E8D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FATF</w:t>
            </w:r>
            <w:r w:rsidR="00DA0064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na</w:t>
            </w:r>
            <w:r w:rsidR="00DA0064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godišnjem</w:t>
            </w:r>
            <w:r w:rsidR="00DA0064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nivou</w:t>
            </w:r>
          </w:p>
        </w:tc>
        <w:tc>
          <w:tcPr>
            <w:tcW w:w="12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DF098D" w:rsidP="00321E8D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  <w:r w:rsidR="00321E8D" w:rsidRPr="001A4D2F">
              <w:rPr>
                <w:lang w:val="sr-Cyrl-CS"/>
              </w:rPr>
              <w:t>/</w:t>
            </w:r>
            <w:r>
              <w:rPr>
                <w:lang w:val="sr-Cyrl-CS"/>
              </w:rPr>
              <w:t>Ne</w:t>
            </w:r>
          </w:p>
        </w:tc>
        <w:tc>
          <w:tcPr>
            <w:tcW w:w="21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DF098D" w:rsidP="00321E8D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nadležnih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organa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Manivala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napretku</w:t>
            </w:r>
            <w:r w:rsidR="00321E8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Srbije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DF098D" w:rsidP="00321E8D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321E8D" w:rsidP="00321E8D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2019.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321E8D" w:rsidRPr="001A4D2F" w:rsidRDefault="00DF098D" w:rsidP="00321E8D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21E8D" w:rsidRPr="001A4D2F" w:rsidRDefault="00DF098D" w:rsidP="00321E8D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21E8D" w:rsidRPr="001A4D2F" w:rsidRDefault="00DF098D" w:rsidP="00321E8D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</w:tr>
    </w:tbl>
    <w:p w:rsidR="00F43ECD" w:rsidRPr="001A4D2F" w:rsidRDefault="00F43ECD" w:rsidP="00C11F8E">
      <w:pPr>
        <w:rPr>
          <w:lang w:val="sr-Cyrl-CS"/>
        </w:rPr>
      </w:pPr>
    </w:p>
    <w:p w:rsidR="00FA1340" w:rsidRPr="001A4D2F" w:rsidRDefault="00FA1340" w:rsidP="00C11F8E">
      <w:pPr>
        <w:rPr>
          <w:lang w:val="sr-Cyrl-CS"/>
        </w:rPr>
      </w:pPr>
    </w:p>
    <w:tbl>
      <w:tblPr>
        <w:tblStyle w:val="TableGrid"/>
        <w:tblW w:w="5000" w:type="pct"/>
        <w:tblLayout w:type="fixed"/>
        <w:tblLook w:val="04A0"/>
      </w:tblPr>
      <w:tblGrid>
        <w:gridCol w:w="2392"/>
        <w:gridCol w:w="1143"/>
        <w:gridCol w:w="1236"/>
        <w:gridCol w:w="1157"/>
        <w:gridCol w:w="1568"/>
        <w:gridCol w:w="1154"/>
        <w:gridCol w:w="1990"/>
        <w:gridCol w:w="1675"/>
        <w:gridCol w:w="1860"/>
      </w:tblGrid>
      <w:tr w:rsidR="00D53854" w:rsidRPr="001A4D2F" w:rsidTr="00D53854">
        <w:trPr>
          <w:trHeight w:val="140"/>
        </w:trPr>
        <w:tc>
          <w:tcPr>
            <w:tcW w:w="84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Naziv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aktivnosti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40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Organ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koji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sprovodi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aktivnost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53854" w:rsidP="00C11F8E">
            <w:pPr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O</w:t>
            </w:r>
            <w:r w:rsidR="00DF098D">
              <w:rPr>
                <w:b/>
                <w:sz w:val="18"/>
                <w:szCs w:val="18"/>
                <w:lang w:val="sr-Cyrl-CS"/>
              </w:rPr>
              <w:t>rgani</w:t>
            </w:r>
            <w:r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partneri</w:t>
            </w:r>
            <w:r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u</w:t>
            </w:r>
            <w:r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sprovođenju</w:t>
            </w:r>
            <w:r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aktivnosti</w:t>
            </w:r>
          </w:p>
        </w:tc>
        <w:tc>
          <w:tcPr>
            <w:tcW w:w="40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Rok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za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završetak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aktivnosti</w:t>
            </w:r>
          </w:p>
        </w:tc>
        <w:tc>
          <w:tcPr>
            <w:tcW w:w="55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Izvor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finansiranja</w:t>
            </w:r>
          </w:p>
        </w:tc>
        <w:tc>
          <w:tcPr>
            <w:tcW w:w="407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Veza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sa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programskim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budžetom</w:t>
            </w:r>
          </w:p>
          <w:p w:rsidR="00D53854" w:rsidRPr="00C44B14" w:rsidRDefault="00D5385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949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Ukupna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procenjena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finansijska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sredstva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po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izvorima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u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000 </w:t>
            </w:r>
            <w:r>
              <w:rPr>
                <w:b/>
                <w:sz w:val="18"/>
                <w:szCs w:val="18"/>
                <w:lang w:val="sr-Cyrl-CS"/>
              </w:rPr>
              <w:t>din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>.</w:t>
            </w:r>
          </w:p>
        </w:tc>
      </w:tr>
      <w:tr w:rsidR="00DB34B7" w:rsidRPr="001A4D2F" w:rsidTr="00DB34B7">
        <w:trPr>
          <w:trHeight w:val="386"/>
        </w:trPr>
        <w:tc>
          <w:tcPr>
            <w:tcW w:w="844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DB34B7" w:rsidRPr="00C44B14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03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36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08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53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407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2" w:type="pct"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2020.</w:t>
            </w:r>
          </w:p>
        </w:tc>
        <w:tc>
          <w:tcPr>
            <w:tcW w:w="591" w:type="pct"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656" w:type="pct"/>
            <w:shd w:val="clear" w:color="auto" w:fill="E5DFEC" w:themeFill="accent4" w:themeFillTint="33"/>
          </w:tcPr>
          <w:p w:rsidR="00DB34B7" w:rsidRPr="00C44B14" w:rsidRDefault="00DB34B7" w:rsidP="00DB34B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2022.</w:t>
            </w:r>
          </w:p>
        </w:tc>
      </w:tr>
      <w:tr w:rsidR="001254C3" w:rsidRPr="001A4D2F" w:rsidTr="00DB34B7">
        <w:trPr>
          <w:trHeight w:val="543"/>
        </w:trPr>
        <w:tc>
          <w:tcPr>
            <w:tcW w:w="844" w:type="pct"/>
            <w:vMerge w:val="restart"/>
            <w:tcBorders>
              <w:left w:val="double" w:sz="4" w:space="0" w:color="auto"/>
            </w:tcBorders>
          </w:tcPr>
          <w:p w:rsidR="001254C3" w:rsidRPr="001A4D2F" w:rsidRDefault="001254C3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2.1.1. </w:t>
            </w:r>
            <w:r w:rsidR="00DF098D">
              <w:rPr>
                <w:lang w:val="sr-Cyrl-CS"/>
              </w:rPr>
              <w:t>Doneti</w:t>
            </w:r>
            <w:r w:rsidR="00D25E4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odnosno</w:t>
            </w:r>
            <w:r w:rsidR="00D25E4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unaprediti</w:t>
            </w:r>
            <w:r w:rsidR="00D25E4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postojeće</w:t>
            </w:r>
            <w:r w:rsidR="00D25E4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lastRenderedPageBreak/>
              <w:t>preporuke</w:t>
            </w:r>
            <w:r w:rsidR="00D25E4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="00D25E4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obaveštavanje</w:t>
            </w:r>
            <w:r w:rsidR="00D25E4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Uprave</w:t>
            </w:r>
            <w:r w:rsidR="00D25E4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="00D25E44" w:rsidRPr="001A4D2F">
              <w:rPr>
                <w:lang w:val="sr-Cyrl-CS"/>
              </w:rPr>
              <w:t xml:space="preserve">  </w:t>
            </w:r>
            <w:r w:rsidR="00DF098D">
              <w:rPr>
                <w:lang w:val="sr-Cyrl-CS"/>
              </w:rPr>
              <w:t>sumnjivim</w:t>
            </w:r>
            <w:r w:rsidR="00D25E4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aktivnostima</w:t>
            </w:r>
          </w:p>
        </w:tc>
        <w:tc>
          <w:tcPr>
            <w:tcW w:w="403" w:type="pct"/>
            <w:vMerge w:val="restart"/>
          </w:tcPr>
          <w:p w:rsidR="001254C3" w:rsidRPr="001A4D2F" w:rsidRDefault="00DF098D" w:rsidP="001254C3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USPN</w:t>
            </w:r>
            <w:r w:rsidR="001254C3" w:rsidRPr="001A4D2F">
              <w:rPr>
                <w:lang w:val="sr-Cyrl-CS"/>
              </w:rPr>
              <w:t xml:space="preserve"> </w:t>
            </w:r>
          </w:p>
        </w:tc>
        <w:tc>
          <w:tcPr>
            <w:tcW w:w="436" w:type="pct"/>
            <w:vMerge w:val="restart"/>
          </w:tcPr>
          <w:p w:rsidR="001254C3" w:rsidRPr="001A4D2F" w:rsidRDefault="00DF098D" w:rsidP="001821C4">
            <w:pPr>
              <w:rPr>
                <w:lang w:val="sr-Cyrl-CS"/>
              </w:rPr>
            </w:pPr>
            <w:r>
              <w:rPr>
                <w:lang w:val="sr-Cyrl-CS"/>
              </w:rPr>
              <w:t>Nadzorni</w:t>
            </w:r>
            <w:r w:rsidR="0009405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  <w:r w:rsidR="0009405E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lastRenderedPageBreak/>
              <w:t>MUP</w:t>
            </w:r>
            <w:r w:rsidR="0009405E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RJT</w:t>
            </w:r>
          </w:p>
        </w:tc>
        <w:tc>
          <w:tcPr>
            <w:tcW w:w="408" w:type="pct"/>
            <w:vMerge w:val="restart"/>
          </w:tcPr>
          <w:p w:rsidR="001254C3" w:rsidRPr="001A4D2F" w:rsidRDefault="00DF098D" w:rsidP="001254C3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Decembar</w:t>
            </w:r>
            <w:r w:rsidR="001254C3" w:rsidRPr="001A4D2F">
              <w:rPr>
                <w:lang w:val="sr-Cyrl-CS"/>
              </w:rPr>
              <w:t xml:space="preserve"> 2020. </w:t>
            </w:r>
            <w:r>
              <w:rPr>
                <w:lang w:val="sr-Cyrl-CS"/>
              </w:rPr>
              <w:lastRenderedPageBreak/>
              <w:t>godine</w:t>
            </w:r>
          </w:p>
        </w:tc>
        <w:tc>
          <w:tcPr>
            <w:tcW w:w="553" w:type="pct"/>
          </w:tcPr>
          <w:p w:rsidR="001254C3" w:rsidRPr="001A4D2F" w:rsidRDefault="00DF098D" w:rsidP="001254C3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Izvor</w:t>
            </w:r>
            <w:r w:rsidR="001254C3" w:rsidRPr="001A4D2F">
              <w:rPr>
                <w:lang w:val="sr-Cyrl-CS"/>
              </w:rPr>
              <w:t xml:space="preserve"> 1 - </w:t>
            </w:r>
            <w:r>
              <w:rPr>
                <w:lang w:val="sr-Cyrl-CS"/>
              </w:rPr>
              <w:t>EU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podrška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lastRenderedPageBreak/>
              <w:t>sprečavanju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pranja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novca</w:t>
            </w:r>
          </w:p>
        </w:tc>
        <w:tc>
          <w:tcPr>
            <w:tcW w:w="407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702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591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656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</w:tr>
      <w:tr w:rsidR="001254C3" w:rsidRPr="001A4D2F" w:rsidTr="00DB34B7">
        <w:trPr>
          <w:trHeight w:val="140"/>
        </w:trPr>
        <w:tc>
          <w:tcPr>
            <w:tcW w:w="844" w:type="pct"/>
            <w:vMerge/>
            <w:tcBorders>
              <w:left w:val="double" w:sz="4" w:space="0" w:color="auto"/>
            </w:tcBorders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403" w:type="pct"/>
            <w:vMerge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436" w:type="pct"/>
            <w:vMerge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408" w:type="pct"/>
            <w:vMerge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553" w:type="pct"/>
          </w:tcPr>
          <w:p w:rsidR="001254C3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Izvor</w:t>
            </w:r>
            <w:r w:rsidR="001254C3" w:rsidRPr="001A4D2F">
              <w:rPr>
                <w:lang w:val="sr-Cyrl-CS"/>
              </w:rPr>
              <w:t xml:space="preserve"> 2 –M</w:t>
            </w:r>
            <w:r>
              <w:rPr>
                <w:lang w:val="sr-Cyrl-CS"/>
              </w:rPr>
              <w:t>isija</w:t>
            </w:r>
            <w:r w:rsidR="001254C3" w:rsidRPr="001A4D2F">
              <w:rPr>
                <w:lang w:val="sr-Cyrl-CS"/>
              </w:rPr>
              <w:t xml:space="preserve"> OE</w:t>
            </w:r>
            <w:r>
              <w:rPr>
                <w:lang w:val="sr-Cyrl-CS"/>
              </w:rPr>
              <w:t>BS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Srbiji</w:t>
            </w:r>
          </w:p>
        </w:tc>
        <w:tc>
          <w:tcPr>
            <w:tcW w:w="407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702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591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656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</w:tr>
      <w:tr w:rsidR="001254C3" w:rsidRPr="001A4D2F" w:rsidTr="00DB34B7">
        <w:trPr>
          <w:trHeight w:val="140"/>
        </w:trPr>
        <w:tc>
          <w:tcPr>
            <w:tcW w:w="844" w:type="pct"/>
            <w:tcBorders>
              <w:left w:val="double" w:sz="4" w:space="0" w:color="auto"/>
            </w:tcBorders>
          </w:tcPr>
          <w:p w:rsidR="001254C3" w:rsidRPr="001A4D2F" w:rsidRDefault="001254C3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2.1.2. </w:t>
            </w:r>
            <w:r w:rsidR="00DF098D">
              <w:rPr>
                <w:lang w:val="sr-Cyrl-CS"/>
              </w:rPr>
              <w:t>Unapređivati</w:t>
            </w:r>
            <w:r w:rsidR="00D25E4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kvalitet</w:t>
            </w:r>
            <w:r w:rsidR="00D25E4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obaveštavanja</w:t>
            </w:r>
            <w:r w:rsidR="00D25E4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obveznika</w:t>
            </w:r>
            <w:r w:rsidR="00D25E4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="00D25E4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ishodu</w:t>
            </w:r>
            <w:r w:rsidR="00D25E4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njihovih</w:t>
            </w:r>
            <w:r w:rsidR="00D25E4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obaveštenja</w:t>
            </w:r>
            <w:r w:rsidR="00D25E4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="00D25E4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sumnjivim</w:t>
            </w:r>
            <w:r w:rsidR="00D25E4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aktivnostima</w:t>
            </w:r>
          </w:p>
        </w:tc>
        <w:tc>
          <w:tcPr>
            <w:tcW w:w="403" w:type="pct"/>
          </w:tcPr>
          <w:p w:rsidR="001254C3" w:rsidRPr="001A4D2F" w:rsidRDefault="00DF098D" w:rsidP="001254C3">
            <w:pPr>
              <w:rPr>
                <w:lang w:val="sr-Cyrl-CS"/>
              </w:rPr>
            </w:pPr>
            <w:r>
              <w:rPr>
                <w:lang w:val="sr-Cyrl-CS"/>
              </w:rPr>
              <w:t>USPN</w:t>
            </w:r>
          </w:p>
        </w:tc>
        <w:tc>
          <w:tcPr>
            <w:tcW w:w="436" w:type="pct"/>
          </w:tcPr>
          <w:p w:rsidR="001254C3" w:rsidRPr="001A4D2F" w:rsidRDefault="001254C3" w:rsidP="001254C3">
            <w:pPr>
              <w:jc w:val="center"/>
              <w:rPr>
                <w:lang w:val="sr-Cyrl-CS"/>
              </w:rPr>
            </w:pPr>
          </w:p>
        </w:tc>
        <w:tc>
          <w:tcPr>
            <w:tcW w:w="408" w:type="pct"/>
          </w:tcPr>
          <w:p w:rsidR="001254C3" w:rsidRPr="00C44B14" w:rsidRDefault="001254C3" w:rsidP="001254C3">
            <w:pPr>
              <w:rPr>
                <w:sz w:val="20"/>
                <w:szCs w:val="20"/>
                <w:lang w:val="sr-Cyrl-CS"/>
              </w:rPr>
            </w:pPr>
            <w:r w:rsidRPr="00C44B14">
              <w:rPr>
                <w:sz w:val="20"/>
                <w:szCs w:val="20"/>
                <w:lang w:val="sr-Cyrl-CS"/>
              </w:rPr>
              <w:t xml:space="preserve">IV </w:t>
            </w:r>
            <w:r w:rsidR="00DF098D">
              <w:rPr>
                <w:sz w:val="20"/>
                <w:szCs w:val="20"/>
                <w:lang w:val="sr-Cyrl-CS"/>
              </w:rPr>
              <w:t>kvartal</w:t>
            </w:r>
            <w:r w:rsidRPr="00C44B14">
              <w:rPr>
                <w:sz w:val="20"/>
                <w:szCs w:val="20"/>
                <w:lang w:val="sr-Cyrl-CS"/>
              </w:rPr>
              <w:t xml:space="preserve"> 2022. </w:t>
            </w:r>
            <w:r w:rsidR="00DF098D">
              <w:rPr>
                <w:sz w:val="20"/>
                <w:szCs w:val="20"/>
                <w:lang w:val="sr-Cyrl-CS"/>
              </w:rPr>
              <w:t>godine</w:t>
            </w:r>
            <w:r w:rsidRPr="00C44B14">
              <w:rPr>
                <w:sz w:val="20"/>
                <w:szCs w:val="20"/>
                <w:lang w:val="sr-Cyrl-CS"/>
              </w:rPr>
              <w:t xml:space="preserve"> (</w:t>
            </w:r>
            <w:r w:rsidR="00DF098D">
              <w:rPr>
                <w:sz w:val="20"/>
                <w:szCs w:val="20"/>
                <w:lang w:val="sr-Cyrl-CS"/>
              </w:rPr>
              <w:t>kontinuirana</w:t>
            </w:r>
            <w:r w:rsidRPr="00C44B14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aktivnost</w:t>
            </w:r>
            <w:r w:rsidRPr="00C44B14">
              <w:rPr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53" w:type="pct"/>
          </w:tcPr>
          <w:p w:rsidR="001254C3" w:rsidRPr="001A4D2F" w:rsidRDefault="00DF098D" w:rsidP="001254C3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7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702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591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656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</w:tr>
      <w:tr w:rsidR="001254C3" w:rsidRPr="001A4D2F" w:rsidTr="00DB34B7">
        <w:trPr>
          <w:trHeight w:val="140"/>
        </w:trPr>
        <w:tc>
          <w:tcPr>
            <w:tcW w:w="844" w:type="pct"/>
            <w:tcBorders>
              <w:left w:val="double" w:sz="4" w:space="0" w:color="auto"/>
            </w:tcBorders>
            <w:shd w:val="clear" w:color="auto" w:fill="auto"/>
          </w:tcPr>
          <w:p w:rsidR="001254C3" w:rsidRPr="00C44B14" w:rsidRDefault="001254C3" w:rsidP="001254C3">
            <w:pPr>
              <w:rPr>
                <w:sz w:val="22"/>
                <w:szCs w:val="22"/>
                <w:lang w:val="sr-Cyrl-CS"/>
              </w:rPr>
            </w:pPr>
            <w:r w:rsidRPr="00C44B14">
              <w:rPr>
                <w:sz w:val="22"/>
                <w:szCs w:val="22"/>
                <w:lang w:val="sr-Cyrl-CS"/>
              </w:rPr>
              <w:t xml:space="preserve">2.1.3. </w:t>
            </w:r>
            <w:r w:rsidR="00DF098D">
              <w:rPr>
                <w:sz w:val="22"/>
                <w:szCs w:val="22"/>
                <w:lang w:val="sr-Cyrl-CS"/>
              </w:rPr>
              <w:t>Uvođenje</w:t>
            </w:r>
            <w:r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stručnog</w:t>
            </w:r>
            <w:r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ispita</w:t>
            </w:r>
            <w:r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za</w:t>
            </w:r>
            <w:r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ovlašćena</w:t>
            </w:r>
            <w:r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lica</w:t>
            </w:r>
            <w:r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u</w:t>
            </w:r>
            <w:r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skladu</w:t>
            </w:r>
            <w:r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sa</w:t>
            </w:r>
            <w:r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Zakonom</w:t>
            </w:r>
            <w:r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o</w:t>
            </w:r>
            <w:r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sprečavanju</w:t>
            </w:r>
            <w:r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pranja</w:t>
            </w:r>
            <w:r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novca</w:t>
            </w:r>
            <w:r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</w:t>
            </w:r>
            <w:r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finansiranja</w:t>
            </w:r>
            <w:r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terorizma</w:t>
            </w:r>
          </w:p>
        </w:tc>
        <w:tc>
          <w:tcPr>
            <w:tcW w:w="403" w:type="pct"/>
          </w:tcPr>
          <w:p w:rsidR="001254C3" w:rsidRPr="001A4D2F" w:rsidRDefault="00DF098D" w:rsidP="001254C3">
            <w:pPr>
              <w:rPr>
                <w:lang w:val="sr-Cyrl-CS"/>
              </w:rPr>
            </w:pPr>
            <w:r>
              <w:rPr>
                <w:lang w:val="sr-Cyrl-CS"/>
              </w:rPr>
              <w:t>USPN</w:t>
            </w:r>
          </w:p>
          <w:p w:rsidR="001254C3" w:rsidRPr="001A4D2F" w:rsidRDefault="001254C3" w:rsidP="001254C3">
            <w:pPr>
              <w:rPr>
                <w:lang w:val="sr-Cyrl-CS"/>
              </w:rPr>
            </w:pPr>
          </w:p>
        </w:tc>
        <w:tc>
          <w:tcPr>
            <w:tcW w:w="436" w:type="pct"/>
          </w:tcPr>
          <w:p w:rsidR="001254C3" w:rsidRPr="001A4D2F" w:rsidRDefault="00DF098D" w:rsidP="001821C4">
            <w:pPr>
              <w:rPr>
                <w:lang w:val="sr-Cyrl-CS"/>
              </w:rPr>
            </w:pPr>
            <w:r>
              <w:rPr>
                <w:lang w:val="sr-Cyrl-CS"/>
              </w:rPr>
              <w:t>Nadzorni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</w:p>
        </w:tc>
        <w:tc>
          <w:tcPr>
            <w:tcW w:w="408" w:type="pct"/>
          </w:tcPr>
          <w:p w:rsidR="001254C3" w:rsidRPr="001A4D2F" w:rsidRDefault="00DF098D" w:rsidP="001254C3">
            <w:pPr>
              <w:rPr>
                <w:lang w:val="sr-Cyrl-CS"/>
              </w:rPr>
            </w:pPr>
            <w:r>
              <w:rPr>
                <w:lang w:val="sr-Cyrl-CS"/>
              </w:rPr>
              <w:t>Oktobar</w:t>
            </w:r>
            <w:r w:rsidR="001254C3" w:rsidRPr="001A4D2F">
              <w:rPr>
                <w:lang w:val="sr-Cyrl-CS"/>
              </w:rPr>
              <w:t xml:space="preserve"> 2021.</w:t>
            </w:r>
          </w:p>
        </w:tc>
        <w:tc>
          <w:tcPr>
            <w:tcW w:w="553" w:type="pct"/>
          </w:tcPr>
          <w:p w:rsidR="001254C3" w:rsidRPr="001A4D2F" w:rsidRDefault="00DF098D" w:rsidP="001254C3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7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702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591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656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</w:tr>
      <w:tr w:rsidR="001254C3" w:rsidRPr="001A4D2F" w:rsidTr="00B362E0">
        <w:trPr>
          <w:trHeight w:val="274"/>
        </w:trPr>
        <w:tc>
          <w:tcPr>
            <w:tcW w:w="844" w:type="pct"/>
            <w:tcBorders>
              <w:left w:val="double" w:sz="4" w:space="0" w:color="auto"/>
            </w:tcBorders>
          </w:tcPr>
          <w:p w:rsidR="001254C3" w:rsidRPr="001A4D2F" w:rsidRDefault="001254C3" w:rsidP="00D25E4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2.1.4.</w:t>
            </w:r>
            <w:r w:rsidR="00D25E44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Izraditi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listu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indikatora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prepoznavanje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lica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transakcija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postoje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osnovi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sumnje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radi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putem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interneta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drugim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krivičnim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delima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visokotehnološkog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kriminala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oblasti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pružanja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finansijskih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usluga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nadležnosti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NBS</w:t>
            </w:r>
          </w:p>
        </w:tc>
        <w:tc>
          <w:tcPr>
            <w:tcW w:w="403" w:type="pct"/>
          </w:tcPr>
          <w:p w:rsidR="001254C3" w:rsidRPr="001A4D2F" w:rsidRDefault="00DF098D" w:rsidP="001254C3">
            <w:pPr>
              <w:rPr>
                <w:lang w:val="sr-Cyrl-CS"/>
              </w:rPr>
            </w:pPr>
            <w:r>
              <w:rPr>
                <w:lang w:val="sr-Cyrl-CS"/>
              </w:rPr>
              <w:t>NBS</w:t>
            </w: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</w:tc>
        <w:tc>
          <w:tcPr>
            <w:tcW w:w="436" w:type="pct"/>
          </w:tcPr>
          <w:p w:rsidR="001254C3" w:rsidRPr="001A4D2F" w:rsidRDefault="00DF098D" w:rsidP="001254C3">
            <w:pPr>
              <w:rPr>
                <w:lang w:val="sr-Cyrl-CS"/>
              </w:rPr>
            </w:pPr>
            <w:r>
              <w:rPr>
                <w:lang w:val="sr-Cyrl-CS"/>
              </w:rPr>
              <w:t>USPN</w:t>
            </w: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</w:tc>
        <w:tc>
          <w:tcPr>
            <w:tcW w:w="408" w:type="pct"/>
          </w:tcPr>
          <w:p w:rsidR="001254C3" w:rsidRPr="001A4D2F" w:rsidRDefault="00DF098D" w:rsidP="001254C3">
            <w:pPr>
              <w:rPr>
                <w:lang w:val="sr-Cyrl-CS"/>
              </w:rPr>
            </w:pPr>
            <w:r>
              <w:rPr>
                <w:lang w:val="sr-Cyrl-CS"/>
              </w:rPr>
              <w:t>Oktobar</w:t>
            </w:r>
            <w:r w:rsidR="001254C3" w:rsidRPr="001A4D2F">
              <w:rPr>
                <w:lang w:val="sr-Cyrl-CS"/>
              </w:rPr>
              <w:t xml:space="preserve"> 2020.</w:t>
            </w: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</w:tc>
        <w:tc>
          <w:tcPr>
            <w:tcW w:w="553" w:type="pct"/>
          </w:tcPr>
          <w:p w:rsidR="001254C3" w:rsidRPr="001A4D2F" w:rsidRDefault="00DF098D" w:rsidP="001254C3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  <w:p w:rsidR="001254C3" w:rsidRPr="001A4D2F" w:rsidRDefault="001254C3" w:rsidP="001254C3">
            <w:pPr>
              <w:rPr>
                <w:lang w:val="sr-Cyrl-CS"/>
              </w:rPr>
            </w:pPr>
          </w:p>
        </w:tc>
        <w:tc>
          <w:tcPr>
            <w:tcW w:w="407" w:type="pct"/>
          </w:tcPr>
          <w:p w:rsidR="001254C3" w:rsidRPr="001A4D2F" w:rsidRDefault="001254C3" w:rsidP="001254C3">
            <w:pPr>
              <w:rPr>
                <w:lang w:val="sr-Cyrl-CS"/>
              </w:rPr>
            </w:pPr>
          </w:p>
        </w:tc>
        <w:tc>
          <w:tcPr>
            <w:tcW w:w="702" w:type="pct"/>
          </w:tcPr>
          <w:p w:rsidR="001254C3" w:rsidRPr="001A4D2F" w:rsidRDefault="001254C3" w:rsidP="001254C3">
            <w:pPr>
              <w:rPr>
                <w:lang w:val="sr-Cyrl-CS"/>
              </w:rPr>
            </w:pPr>
          </w:p>
        </w:tc>
        <w:tc>
          <w:tcPr>
            <w:tcW w:w="591" w:type="pct"/>
          </w:tcPr>
          <w:p w:rsidR="001254C3" w:rsidRPr="001A4D2F" w:rsidRDefault="001254C3" w:rsidP="001254C3">
            <w:pPr>
              <w:rPr>
                <w:lang w:val="sr-Cyrl-CS"/>
              </w:rPr>
            </w:pPr>
          </w:p>
        </w:tc>
        <w:tc>
          <w:tcPr>
            <w:tcW w:w="656" w:type="pct"/>
          </w:tcPr>
          <w:p w:rsidR="001254C3" w:rsidRPr="001A4D2F" w:rsidRDefault="001254C3" w:rsidP="001254C3">
            <w:pPr>
              <w:rPr>
                <w:lang w:val="sr-Cyrl-CS"/>
              </w:rPr>
            </w:pPr>
          </w:p>
        </w:tc>
      </w:tr>
      <w:tr w:rsidR="001254C3" w:rsidRPr="001A4D2F" w:rsidTr="00DB34B7">
        <w:trPr>
          <w:trHeight w:val="140"/>
        </w:trPr>
        <w:tc>
          <w:tcPr>
            <w:tcW w:w="844" w:type="pct"/>
            <w:tcBorders>
              <w:left w:val="double" w:sz="4" w:space="0" w:color="auto"/>
            </w:tcBorders>
          </w:tcPr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2.1.5. </w:t>
            </w:r>
            <w:r w:rsidR="00DF098D">
              <w:rPr>
                <w:lang w:val="sr-Cyrl-CS"/>
              </w:rPr>
              <w:t>Izraditi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listu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lastRenderedPageBreak/>
              <w:t>indikatora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prepoznavanje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lica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transakcija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postoje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osnovi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sumnje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radi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putem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interneta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drugim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krivičnim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delima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visokotehnološkog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kriminala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oblasti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pružanja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finansijskih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usluga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nadležnosti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KHOV</w:t>
            </w:r>
          </w:p>
          <w:p w:rsidR="001254C3" w:rsidRDefault="001254C3" w:rsidP="001254C3"/>
          <w:p w:rsidR="00C44B14" w:rsidRPr="00C44B14" w:rsidRDefault="00C44B14" w:rsidP="001254C3"/>
          <w:p w:rsidR="001254C3" w:rsidRPr="001A4D2F" w:rsidRDefault="001254C3" w:rsidP="001254C3">
            <w:pPr>
              <w:rPr>
                <w:lang w:val="sr-Cyrl-CS"/>
              </w:rPr>
            </w:pPr>
          </w:p>
        </w:tc>
        <w:tc>
          <w:tcPr>
            <w:tcW w:w="403" w:type="pct"/>
          </w:tcPr>
          <w:p w:rsidR="001254C3" w:rsidRPr="001A4D2F" w:rsidRDefault="00DF098D" w:rsidP="001254C3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KHOV</w:t>
            </w:r>
          </w:p>
          <w:p w:rsidR="001254C3" w:rsidRPr="001A4D2F" w:rsidRDefault="001254C3" w:rsidP="001254C3">
            <w:pPr>
              <w:rPr>
                <w:lang w:val="sr-Cyrl-CS"/>
              </w:rPr>
            </w:pPr>
          </w:p>
        </w:tc>
        <w:tc>
          <w:tcPr>
            <w:tcW w:w="436" w:type="pct"/>
          </w:tcPr>
          <w:p w:rsidR="001254C3" w:rsidRPr="001A4D2F" w:rsidRDefault="00DF098D" w:rsidP="001254C3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USPN</w:t>
            </w:r>
          </w:p>
        </w:tc>
        <w:tc>
          <w:tcPr>
            <w:tcW w:w="408" w:type="pct"/>
          </w:tcPr>
          <w:p w:rsidR="001254C3" w:rsidRPr="001A4D2F" w:rsidRDefault="00DF098D" w:rsidP="001254C3">
            <w:pPr>
              <w:rPr>
                <w:lang w:val="sr-Cyrl-CS"/>
              </w:rPr>
            </w:pPr>
            <w:r>
              <w:rPr>
                <w:lang w:val="sr-Cyrl-CS"/>
              </w:rPr>
              <w:t>Četvrti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lastRenderedPageBreak/>
              <w:t>kvartal</w:t>
            </w:r>
            <w:r w:rsidR="001254C3" w:rsidRPr="001A4D2F">
              <w:rPr>
                <w:lang w:val="sr-Cyrl-CS"/>
              </w:rPr>
              <w:t xml:space="preserve"> 2021. </w:t>
            </w:r>
            <w:r>
              <w:rPr>
                <w:lang w:val="sr-Cyrl-CS"/>
              </w:rPr>
              <w:t>godine</w:t>
            </w:r>
          </w:p>
        </w:tc>
        <w:tc>
          <w:tcPr>
            <w:tcW w:w="553" w:type="pct"/>
          </w:tcPr>
          <w:p w:rsidR="001254C3" w:rsidRPr="001A4D2F" w:rsidRDefault="00DF098D" w:rsidP="001254C3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Finansira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lastRenderedPageBreak/>
              <w:t>okviru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7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702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591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656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</w:tr>
      <w:tr w:rsidR="001254C3" w:rsidRPr="001A4D2F" w:rsidTr="00DB34B7">
        <w:trPr>
          <w:trHeight w:val="140"/>
        </w:trPr>
        <w:tc>
          <w:tcPr>
            <w:tcW w:w="844" w:type="pct"/>
            <w:tcBorders>
              <w:left w:val="double" w:sz="4" w:space="0" w:color="auto"/>
            </w:tcBorders>
          </w:tcPr>
          <w:p w:rsidR="001254C3" w:rsidRPr="001A4D2F" w:rsidRDefault="001254C3" w:rsidP="001254C3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2.1.6 </w:t>
            </w:r>
            <w:r w:rsidR="00DF098D">
              <w:rPr>
                <w:lang w:val="sr-Cyrl-CS"/>
              </w:rPr>
              <w:t>Unapređenje</w:t>
            </w:r>
            <w:r w:rsidR="00B362E0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kvaliteta</w:t>
            </w:r>
            <w:r w:rsidR="00B362E0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obaveštavanja</w:t>
            </w:r>
            <w:r w:rsidR="00B362E0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="00B362E0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sumnjivim</w:t>
            </w:r>
            <w:r w:rsidR="00B362E0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aktivnostima</w:t>
            </w:r>
            <w:r w:rsidR="00B362E0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="00B362E0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skladu</w:t>
            </w:r>
            <w:r w:rsidR="00B362E0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="00B362E0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analizom</w:t>
            </w:r>
            <w:r w:rsidR="00B362E0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</w:p>
        </w:tc>
        <w:tc>
          <w:tcPr>
            <w:tcW w:w="403" w:type="pct"/>
          </w:tcPr>
          <w:p w:rsidR="001254C3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USPN</w:t>
            </w:r>
          </w:p>
        </w:tc>
        <w:tc>
          <w:tcPr>
            <w:tcW w:w="436" w:type="pct"/>
          </w:tcPr>
          <w:p w:rsidR="001254C3" w:rsidRPr="001A4D2F" w:rsidRDefault="00DF098D" w:rsidP="001254C3">
            <w:pPr>
              <w:rPr>
                <w:lang w:val="sr-Cyrl-CS"/>
              </w:rPr>
            </w:pPr>
            <w:r>
              <w:rPr>
                <w:lang w:val="sr-Cyrl-CS"/>
              </w:rPr>
              <w:t>Nadzorni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  <w:r w:rsidR="001254C3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organi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krivičnih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istraga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gonjenja</w:t>
            </w:r>
            <w:r w:rsidR="001254C3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obveznici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zakonu</w:t>
            </w:r>
            <w:r w:rsidR="001254C3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drugi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državni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</w:p>
        </w:tc>
        <w:tc>
          <w:tcPr>
            <w:tcW w:w="408" w:type="pct"/>
          </w:tcPr>
          <w:p w:rsidR="001254C3" w:rsidRPr="001A4D2F" w:rsidRDefault="00DF098D" w:rsidP="001254C3">
            <w:pPr>
              <w:rPr>
                <w:lang w:val="sr-Cyrl-CS"/>
              </w:rPr>
            </w:pPr>
            <w:r>
              <w:rPr>
                <w:lang w:val="sr-Cyrl-CS"/>
              </w:rPr>
              <w:t>Četvrti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kvartal</w:t>
            </w:r>
            <w:r w:rsidR="001254C3" w:rsidRPr="001A4D2F">
              <w:rPr>
                <w:lang w:val="sr-Cyrl-CS"/>
              </w:rPr>
              <w:t xml:space="preserve"> 2022. </w:t>
            </w:r>
            <w:r>
              <w:rPr>
                <w:lang w:val="sr-Cyrl-CS"/>
              </w:rPr>
              <w:t>godine</w:t>
            </w:r>
            <w:r w:rsidR="001254C3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kontinuirana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</w:t>
            </w:r>
            <w:r w:rsidR="001254C3" w:rsidRPr="001A4D2F">
              <w:rPr>
                <w:lang w:val="sr-Cyrl-CS"/>
              </w:rPr>
              <w:t>)</w:t>
            </w:r>
          </w:p>
          <w:p w:rsidR="001254C3" w:rsidRPr="001A4D2F" w:rsidRDefault="001254C3" w:rsidP="001254C3">
            <w:pPr>
              <w:rPr>
                <w:lang w:val="sr-Cyrl-CS"/>
              </w:rPr>
            </w:pPr>
          </w:p>
        </w:tc>
        <w:tc>
          <w:tcPr>
            <w:tcW w:w="553" w:type="pct"/>
          </w:tcPr>
          <w:p w:rsidR="001254C3" w:rsidRPr="001A4D2F" w:rsidRDefault="00DF098D" w:rsidP="001254C3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  <w:r w:rsidR="001254C3" w:rsidRPr="001A4D2F">
              <w:rPr>
                <w:lang w:val="sr-Cyrl-CS"/>
              </w:rPr>
              <w:t xml:space="preserve"> </w:t>
            </w:r>
          </w:p>
          <w:p w:rsidR="001254C3" w:rsidRPr="001A4D2F" w:rsidRDefault="00DF098D" w:rsidP="001254C3">
            <w:pPr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mađunarodnih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  <w:r w:rsidR="001254C3" w:rsidRPr="001A4D2F">
              <w:rPr>
                <w:lang w:val="sr-Cyrl-CS"/>
              </w:rPr>
              <w:t xml:space="preserve">  (</w:t>
            </w:r>
            <w:r>
              <w:rPr>
                <w:lang w:val="sr-Cyrl-CS"/>
              </w:rPr>
              <w:t>EU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podrška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sprečavanju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pranja</w:t>
            </w:r>
            <w:r w:rsidR="001254C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novca</w:t>
            </w:r>
            <w:r w:rsidR="001254C3" w:rsidRPr="001A4D2F">
              <w:rPr>
                <w:lang w:val="sr-Cyrl-CS"/>
              </w:rPr>
              <w:t>)</w:t>
            </w:r>
          </w:p>
        </w:tc>
        <w:tc>
          <w:tcPr>
            <w:tcW w:w="407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702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591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  <w:tc>
          <w:tcPr>
            <w:tcW w:w="656" w:type="pct"/>
          </w:tcPr>
          <w:p w:rsidR="001254C3" w:rsidRPr="001A4D2F" w:rsidRDefault="001254C3" w:rsidP="00C11F8E">
            <w:pPr>
              <w:rPr>
                <w:lang w:val="sr-Cyrl-CS"/>
              </w:rPr>
            </w:pPr>
          </w:p>
        </w:tc>
      </w:tr>
    </w:tbl>
    <w:p w:rsidR="00F43ECD" w:rsidRPr="001A4D2F" w:rsidRDefault="00F43ECD" w:rsidP="00C11F8E">
      <w:pPr>
        <w:rPr>
          <w:lang w:val="sr-Cyrl-CS"/>
        </w:rPr>
      </w:pPr>
    </w:p>
    <w:p w:rsidR="00EE56CF" w:rsidRDefault="00EE56CF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Pr="00DA0EC2" w:rsidRDefault="00DA0EC2" w:rsidP="00C11F8E"/>
    <w:tbl>
      <w:tblPr>
        <w:tblStyle w:val="TableGrid"/>
        <w:tblW w:w="14132" w:type="dxa"/>
        <w:tblInd w:w="10" w:type="dxa"/>
        <w:tblLayout w:type="fixed"/>
        <w:tblLook w:val="04A0"/>
      </w:tblPr>
      <w:tblGrid>
        <w:gridCol w:w="3219"/>
        <w:gridCol w:w="1274"/>
        <w:gridCol w:w="2126"/>
        <w:gridCol w:w="436"/>
        <w:gridCol w:w="784"/>
        <w:gridCol w:w="2040"/>
        <w:gridCol w:w="1559"/>
        <w:gridCol w:w="1276"/>
        <w:gridCol w:w="1418"/>
      </w:tblGrid>
      <w:tr w:rsidR="00F43ECD" w:rsidRPr="001A4D2F" w:rsidTr="00DF0DDF">
        <w:trPr>
          <w:trHeight w:val="168"/>
        </w:trPr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DF098D" w:rsidP="00C11F8E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9" w:name="_Toc32409912"/>
            <w:r>
              <w:rPr>
                <w:rFonts w:cs="Times New Roman"/>
                <w:sz w:val="24"/>
                <w:lang w:val="sr-Cyrl-CS"/>
              </w:rPr>
              <w:t>Mera</w:t>
            </w:r>
            <w:r w:rsidR="00EB2DE7" w:rsidRPr="001A4D2F">
              <w:rPr>
                <w:rFonts w:cs="Times New Roman"/>
                <w:sz w:val="24"/>
                <w:lang w:val="sr-Cyrl-CS"/>
              </w:rPr>
              <w:t xml:space="preserve"> 2.2: </w:t>
            </w:r>
            <w:r>
              <w:rPr>
                <w:rFonts w:cs="Times New Roman"/>
                <w:sz w:val="24"/>
                <w:lang w:val="sr-Cyrl-CS"/>
              </w:rPr>
              <w:t>Sprečavanje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zloupotrebe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finansijskog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nefinansijskog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sektora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za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svrhe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pranja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novca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, </w:t>
            </w:r>
            <w:r>
              <w:rPr>
                <w:rFonts w:cs="Times New Roman"/>
                <w:sz w:val="24"/>
                <w:lang w:val="sr-Cyrl-CS"/>
              </w:rPr>
              <w:t>finansiranja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terorizma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širenja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oružja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za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masovno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uništenje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kroz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mere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poznavanja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praćenja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stranke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kod</w:t>
            </w:r>
            <w:r w:rsidR="005C01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obveznika</w:t>
            </w:r>
            <w:bookmarkEnd w:id="9"/>
          </w:p>
        </w:tc>
      </w:tr>
      <w:tr w:rsidR="00F43ECD" w:rsidRPr="001A4D2F" w:rsidTr="00DF0DDF">
        <w:trPr>
          <w:trHeight w:val="298"/>
        </w:trPr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Organ</w:t>
            </w:r>
            <w:r w:rsidR="00F43ECD" w:rsidRPr="001A4D2F">
              <w:rPr>
                <w:lang w:val="sr-Cyrl-CS"/>
              </w:rPr>
              <w:t xml:space="preserve"> o</w:t>
            </w:r>
            <w:r>
              <w:rPr>
                <w:lang w:val="sr-Cyrl-CS"/>
              </w:rPr>
              <w:t>dgovoran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sprovođenje</w:t>
            </w:r>
            <w:r w:rsidR="00F43ECD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koordinisanje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sprovođenja</w:t>
            </w:r>
            <w:r w:rsidR="00F43ECD" w:rsidRPr="001A4D2F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mere</w:t>
            </w:r>
            <w:r w:rsidR="00F43ECD" w:rsidRPr="001A4D2F">
              <w:rPr>
                <w:lang w:val="sr-Cyrl-CS"/>
              </w:rPr>
              <w:t>: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Koordinaciono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telo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sprečavanje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pranja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novca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finansiranja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terorizma</w:t>
            </w:r>
          </w:p>
        </w:tc>
      </w:tr>
      <w:tr w:rsidR="00F43ECD" w:rsidRPr="001A4D2F" w:rsidTr="00DF0DDF">
        <w:trPr>
          <w:trHeight w:val="298"/>
        </w:trPr>
        <w:tc>
          <w:tcPr>
            <w:tcW w:w="705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Period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sprovođenja</w:t>
            </w:r>
            <w:r w:rsidR="00F43ECD" w:rsidRPr="001A4D2F">
              <w:rPr>
                <w:lang w:val="sr-Cyrl-CS"/>
              </w:rPr>
              <w:t>:</w:t>
            </w:r>
            <w:r w:rsidR="0022234E" w:rsidRPr="001A4D2F">
              <w:rPr>
                <w:lang w:val="sr-Cyrl-CS"/>
              </w:rPr>
              <w:t xml:space="preserve"> 2020-2022.</w:t>
            </w:r>
          </w:p>
        </w:tc>
        <w:tc>
          <w:tcPr>
            <w:tcW w:w="707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43ECD" w:rsidRPr="001A4D2F" w:rsidRDefault="00DF098D" w:rsidP="00434EDC">
            <w:pPr>
              <w:rPr>
                <w:lang w:val="sr-Cyrl-CS"/>
              </w:rPr>
            </w:pPr>
            <w:r>
              <w:rPr>
                <w:lang w:val="sr-Cyrl-CS"/>
              </w:rPr>
              <w:t>Tip</w:t>
            </w:r>
            <w:r w:rsidR="00F43EC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F43ECD" w:rsidRPr="001A4D2F">
              <w:rPr>
                <w:lang w:val="sr-Cyrl-CS"/>
              </w:rPr>
              <w:t>: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Institucionalno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upravljačko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organizaciona</w:t>
            </w:r>
          </w:p>
        </w:tc>
      </w:tr>
      <w:tr w:rsidR="00DF0DDF" w:rsidRPr="001A4D2F" w:rsidTr="00675F8D">
        <w:trPr>
          <w:trHeight w:val="950"/>
        </w:trPr>
        <w:tc>
          <w:tcPr>
            <w:tcW w:w="321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Pokazatelj</w:t>
            </w:r>
            <w:r w:rsidR="00DF0DDF" w:rsidRPr="001A4D2F">
              <w:rPr>
                <w:lang w:val="sr-Cyrl-CS"/>
              </w:rPr>
              <w:t>(</w:t>
            </w:r>
            <w:r>
              <w:rPr>
                <w:lang w:val="sr-Cyrl-CS"/>
              </w:rPr>
              <w:t>i</w:t>
            </w:r>
            <w:r w:rsidR="00DF0DDF" w:rsidRPr="001A4D2F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na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nivou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DF0DDF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pokazatelj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rezultata</w:t>
            </w:r>
            <w:r w:rsidR="00DF0DDF" w:rsidRPr="001A4D2F">
              <w:rPr>
                <w:lang w:val="sr-Cyrl-CS"/>
              </w:rPr>
              <w:t>)</w:t>
            </w:r>
          </w:p>
        </w:tc>
        <w:tc>
          <w:tcPr>
            <w:tcW w:w="127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</w:t>
            </w:r>
            <w:r w:rsidR="00DF098D">
              <w:rPr>
                <w:lang w:val="sr-Cyrl-CS"/>
              </w:rPr>
              <w:t>edinica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mere</w:t>
            </w:r>
          </w:p>
          <w:p w:rsidR="00DF0DDF" w:rsidRPr="001A4D2F" w:rsidRDefault="00DF0DDF" w:rsidP="00C11F8E">
            <w:pPr>
              <w:rPr>
                <w:lang w:val="sr-Cyrl-CS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Izvor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provere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Početna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DF0DDF" w:rsidRPr="001A4D2F">
              <w:rPr>
                <w:lang w:val="sr-Cyrl-CS"/>
              </w:rPr>
              <w:t xml:space="preserve"> </w:t>
            </w:r>
          </w:p>
        </w:tc>
        <w:tc>
          <w:tcPr>
            <w:tcW w:w="204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Bazna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godina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DF0DDF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DF0DDF" w:rsidRPr="001A4D2F">
              <w:rPr>
                <w:lang w:val="sr-Cyrl-CS"/>
              </w:rPr>
              <w:t xml:space="preserve"> 2020.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DF0DDF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DF0DDF" w:rsidRPr="001A4D2F">
              <w:rPr>
                <w:lang w:val="sr-Cyrl-CS"/>
              </w:rPr>
              <w:t xml:space="preserve"> 2021.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DF0DDF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885F9C" w:rsidRPr="001A4D2F">
              <w:rPr>
                <w:lang w:val="sr-Cyrl-CS"/>
              </w:rPr>
              <w:t xml:space="preserve"> 2022.</w:t>
            </w:r>
          </w:p>
        </w:tc>
      </w:tr>
      <w:tr w:rsidR="00EE56CF" w:rsidRPr="001A4D2F" w:rsidTr="00675F8D">
        <w:trPr>
          <w:trHeight w:val="302"/>
        </w:trPr>
        <w:tc>
          <w:tcPr>
            <w:tcW w:w="3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E56CF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Unapređen</w:t>
            </w:r>
            <w:r w:rsidR="005C5D8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sistem</w:t>
            </w:r>
            <w:r w:rsidR="005C5D8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registracije</w:t>
            </w:r>
            <w:r w:rsidR="005C5D8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stvarnih</w:t>
            </w:r>
            <w:r w:rsidR="005C5D8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vlasnika</w:t>
            </w:r>
            <w:r w:rsidR="005C5D8A" w:rsidRPr="001A4D2F">
              <w:rPr>
                <w:lang w:val="sr-Cyrl-CS"/>
              </w:rPr>
              <w:t xml:space="preserve"> </w:t>
            </w: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E56CF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  <w:r w:rsidR="005C5D8A" w:rsidRPr="001A4D2F">
              <w:rPr>
                <w:lang w:val="sr-Cyrl-CS"/>
              </w:rPr>
              <w:t>/</w:t>
            </w:r>
            <w:r>
              <w:rPr>
                <w:lang w:val="sr-Cyrl-CS"/>
              </w:rPr>
              <w:t>Ne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E56CF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5C5D8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5C5D8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radu</w:t>
            </w:r>
            <w:r w:rsidR="005C5D8A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APR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E56CF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Ne</w:t>
            </w:r>
          </w:p>
        </w:tc>
        <w:tc>
          <w:tcPr>
            <w:tcW w:w="20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E56CF" w:rsidRPr="001A4D2F" w:rsidRDefault="00EE56CF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EE56CF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56CF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56CF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</w:tr>
      <w:tr w:rsidR="008A7033" w:rsidRPr="001A4D2F" w:rsidTr="00675F8D">
        <w:trPr>
          <w:trHeight w:val="302"/>
        </w:trPr>
        <w:tc>
          <w:tcPr>
            <w:tcW w:w="3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1A0C43" w:rsidRPr="001A4D2F" w:rsidRDefault="00DF098D" w:rsidP="006F74D9">
            <w:pPr>
              <w:shd w:val="clear" w:color="auto" w:fill="FFFFFF" w:themeFill="background1"/>
              <w:rPr>
                <w:color w:val="FF0000"/>
                <w:lang w:val="sr-Cyrl-CS"/>
              </w:rPr>
            </w:pPr>
            <w:r>
              <w:rPr>
                <w:lang w:val="sr-Cyrl-CS"/>
              </w:rPr>
              <w:t>Donete</w:t>
            </w:r>
            <w:r w:rsidR="006F74D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izmene</w:t>
            </w:r>
            <w:r w:rsidR="006F74D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6F74D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dopune</w:t>
            </w:r>
            <w:r w:rsidR="006F74D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Pravilnika</w:t>
            </w:r>
            <w:r w:rsidR="006F74D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6F74D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metodologiji</w:t>
            </w:r>
            <w:r w:rsidR="006F74D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6F74D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izvršavanje</w:t>
            </w:r>
            <w:r w:rsidR="006F74D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poslova</w:t>
            </w:r>
            <w:r w:rsidR="006F74D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6F74D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skladu</w:t>
            </w:r>
            <w:r w:rsidR="006F74D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</w:t>
            </w:r>
            <w:r w:rsidR="006F74D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Zakonom</w:t>
            </w:r>
            <w:r w:rsidR="006F74D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6F74D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SPN</w:t>
            </w:r>
            <w:r w:rsidR="006F74D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6F74D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FT</w:t>
            </w:r>
            <w:r w:rsidR="006F74D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6F74D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rezultatima</w:t>
            </w:r>
            <w:r w:rsidR="006F74D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NPR</w:t>
            </w: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A7033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  <w:r w:rsidR="006F74D9" w:rsidRPr="001A4D2F">
              <w:rPr>
                <w:lang w:val="sr-Cyrl-CS"/>
              </w:rPr>
              <w:t>/</w:t>
            </w:r>
            <w:r>
              <w:rPr>
                <w:lang w:val="sr-Cyrl-CS"/>
              </w:rPr>
              <w:t>Ne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A7033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Donošenje</w:t>
            </w:r>
            <w:r w:rsidR="008A703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Pravilnika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A7033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Ne</w:t>
            </w:r>
          </w:p>
        </w:tc>
        <w:tc>
          <w:tcPr>
            <w:tcW w:w="20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A7033" w:rsidRPr="001A4D2F" w:rsidRDefault="006F74D9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A7033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7033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A7033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</w:tr>
      <w:tr w:rsidR="00692B78" w:rsidRPr="001A4D2F" w:rsidTr="00675F8D">
        <w:trPr>
          <w:trHeight w:val="302"/>
        </w:trPr>
        <w:tc>
          <w:tcPr>
            <w:tcW w:w="32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92B78" w:rsidRPr="001A4D2F" w:rsidRDefault="00DF098D" w:rsidP="00996814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Unapređenje</w:t>
            </w:r>
            <w:r w:rsidR="00692B7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sistema</w:t>
            </w:r>
            <w:r w:rsidR="00692B7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692B7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skladu</w:t>
            </w:r>
            <w:r w:rsidR="00692B7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</w:t>
            </w:r>
            <w:r w:rsidR="00692B7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prepoznatim</w:t>
            </w:r>
            <w:r w:rsidR="00692B7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rizicima</w:t>
            </w:r>
            <w:r w:rsidR="00692B7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692B7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692B7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ove</w:t>
            </w:r>
            <w:r w:rsidR="00692B7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99681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</w:t>
            </w:r>
            <w:r w:rsidR="0099681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godišnjem</w:t>
            </w:r>
            <w:r w:rsidR="0099681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nivou</w:t>
            </w:r>
          </w:p>
        </w:tc>
        <w:tc>
          <w:tcPr>
            <w:tcW w:w="12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92B78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  <w:r w:rsidR="00692B78" w:rsidRPr="001A4D2F">
              <w:rPr>
                <w:lang w:val="sr-Cyrl-CS"/>
              </w:rPr>
              <w:t>/</w:t>
            </w:r>
            <w:r>
              <w:rPr>
                <w:lang w:val="sr-Cyrl-CS"/>
              </w:rPr>
              <w:t>Ne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92B78" w:rsidRPr="001A4D2F" w:rsidRDefault="00DF098D" w:rsidP="006C4E6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Izveštaji</w:t>
            </w:r>
            <w:r w:rsidR="006C4E6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nadležnih</w:t>
            </w:r>
            <w:r w:rsidR="006C4E6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institucija</w:t>
            </w:r>
            <w:r w:rsidR="006C4E6E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Izveštaj</w:t>
            </w:r>
            <w:r w:rsidR="006C4E6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Koordinacionog</w:t>
            </w:r>
            <w:r w:rsidR="006C4E6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tela</w:t>
            </w:r>
          </w:p>
        </w:tc>
        <w:tc>
          <w:tcPr>
            <w:tcW w:w="122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92B78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20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92B78" w:rsidRPr="001A4D2F" w:rsidRDefault="006C4E6E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692B78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92B78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692B78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</w:tr>
    </w:tbl>
    <w:p w:rsidR="00F43ECD" w:rsidRDefault="00F43ECD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Pr="00DA0EC2" w:rsidRDefault="00DA0EC2" w:rsidP="00C11F8E"/>
    <w:tbl>
      <w:tblPr>
        <w:tblStyle w:val="TableGrid"/>
        <w:tblW w:w="5000" w:type="pct"/>
        <w:tblLayout w:type="fixed"/>
        <w:tblLook w:val="04A0"/>
      </w:tblPr>
      <w:tblGrid>
        <w:gridCol w:w="2392"/>
        <w:gridCol w:w="1142"/>
        <w:gridCol w:w="1236"/>
        <w:gridCol w:w="1157"/>
        <w:gridCol w:w="1568"/>
        <w:gridCol w:w="1154"/>
        <w:gridCol w:w="1684"/>
        <w:gridCol w:w="1829"/>
        <w:gridCol w:w="2013"/>
      </w:tblGrid>
      <w:tr w:rsidR="00D53854" w:rsidRPr="001A4D2F" w:rsidTr="00D53854">
        <w:trPr>
          <w:trHeight w:val="140"/>
          <w:tblHeader/>
        </w:trPr>
        <w:tc>
          <w:tcPr>
            <w:tcW w:w="84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Naziv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aktivnosti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40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Organ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koji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sprovodi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aktivnost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53854" w:rsidP="00C11F8E">
            <w:pPr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O</w:t>
            </w:r>
            <w:r w:rsidR="00DF098D">
              <w:rPr>
                <w:b/>
                <w:sz w:val="18"/>
                <w:szCs w:val="18"/>
                <w:lang w:val="sr-Cyrl-CS"/>
              </w:rPr>
              <w:t>rgani</w:t>
            </w:r>
            <w:r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partneri</w:t>
            </w:r>
            <w:r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u</w:t>
            </w:r>
            <w:r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sprovođenju</w:t>
            </w:r>
            <w:r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aktivnosti</w:t>
            </w:r>
          </w:p>
        </w:tc>
        <w:tc>
          <w:tcPr>
            <w:tcW w:w="40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Rok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za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završetak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aktivnosti</w:t>
            </w:r>
          </w:p>
        </w:tc>
        <w:tc>
          <w:tcPr>
            <w:tcW w:w="55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Izvor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finansiranja</w:t>
            </w:r>
          </w:p>
        </w:tc>
        <w:tc>
          <w:tcPr>
            <w:tcW w:w="407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F098D" w:rsidP="00C11F8E">
            <w:pPr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Veza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sa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4"/>
                <w:szCs w:val="14"/>
                <w:lang w:val="sr-Cyrl-CS"/>
              </w:rPr>
              <w:t>programskim</w:t>
            </w:r>
            <w:r w:rsidR="00D53854" w:rsidRPr="00C44B14">
              <w:rPr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budžetom</w:t>
            </w:r>
          </w:p>
          <w:p w:rsidR="00D53854" w:rsidRPr="00C44B14" w:rsidRDefault="00D5385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949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C44B14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Ukupna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procenjena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finansijska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sredstva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po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izvorima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u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 xml:space="preserve"> 000 </w:t>
            </w:r>
            <w:r>
              <w:rPr>
                <w:b/>
                <w:sz w:val="18"/>
                <w:szCs w:val="18"/>
                <w:lang w:val="sr-Cyrl-CS"/>
              </w:rPr>
              <w:t>din</w:t>
            </w:r>
            <w:r w:rsidR="00D53854" w:rsidRPr="00C44B14">
              <w:rPr>
                <w:b/>
                <w:sz w:val="18"/>
                <w:szCs w:val="18"/>
                <w:lang w:val="sr-Cyrl-CS"/>
              </w:rPr>
              <w:t>.</w:t>
            </w:r>
          </w:p>
        </w:tc>
      </w:tr>
      <w:tr w:rsidR="00DB34B7" w:rsidRPr="001A4D2F" w:rsidTr="00DB34B7">
        <w:trPr>
          <w:trHeight w:val="386"/>
          <w:tblHeader/>
        </w:trPr>
        <w:tc>
          <w:tcPr>
            <w:tcW w:w="844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DB34B7" w:rsidRPr="00C44B14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03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36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08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53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407" w:type="pct"/>
            <w:vMerge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94" w:type="pct"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2020.</w:t>
            </w:r>
          </w:p>
        </w:tc>
        <w:tc>
          <w:tcPr>
            <w:tcW w:w="645" w:type="pct"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710" w:type="pct"/>
            <w:shd w:val="clear" w:color="auto" w:fill="E5DFEC" w:themeFill="accent4" w:themeFillTint="33"/>
          </w:tcPr>
          <w:p w:rsidR="00DB34B7" w:rsidRPr="00C44B14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C44B14">
              <w:rPr>
                <w:b/>
                <w:sz w:val="18"/>
                <w:szCs w:val="18"/>
                <w:lang w:val="sr-Cyrl-CS"/>
              </w:rPr>
              <w:t>2022.</w:t>
            </w:r>
          </w:p>
          <w:p w:rsidR="00DB34B7" w:rsidRPr="00C44B14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1254C3" w:rsidRPr="001A4D2F" w:rsidTr="00DB34B7">
        <w:trPr>
          <w:trHeight w:val="543"/>
        </w:trPr>
        <w:tc>
          <w:tcPr>
            <w:tcW w:w="844" w:type="pct"/>
            <w:tcBorders>
              <w:left w:val="double" w:sz="4" w:space="0" w:color="auto"/>
            </w:tcBorders>
          </w:tcPr>
          <w:p w:rsidR="001254C3" w:rsidRPr="001A4D2F" w:rsidRDefault="001254C3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2.2.1 </w:t>
            </w:r>
            <w:r w:rsidR="00DF098D">
              <w:rPr>
                <w:lang w:val="sr-Cyrl-CS"/>
              </w:rPr>
              <w:t>Izmeniti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Zakon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Centralnoj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evidenciji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stvarnih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vlasnika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omogućiti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osnivačima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Registrovanih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subjekata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koji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osnivaju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elektronski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APR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da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istovremeno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podnošenjem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elektronske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prijave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osnivanja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izvrše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evidentiranje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stvarnog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vlasnika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Centralnu</w:t>
            </w:r>
            <w:r w:rsidR="00F51459"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evidenciju</w:t>
            </w:r>
            <w:r w:rsidR="00F51459"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</w:t>
            </w:r>
            <w:r w:rsidR="00F51459"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sa</w:t>
            </w:r>
            <w:r w:rsidR="00F51459"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tim</w:t>
            </w:r>
            <w:r w:rsidR="00F51459"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u</w:t>
            </w:r>
            <w:r w:rsidR="00F51459"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vezi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razviti</w:t>
            </w:r>
            <w:r w:rsidR="00F51459" w:rsidRPr="00C44B14">
              <w:rPr>
                <w:sz w:val="22"/>
                <w:szCs w:val="22"/>
                <w:lang w:val="sr-Cyrl-CS"/>
              </w:rPr>
              <w:t>/</w:t>
            </w:r>
            <w:r w:rsidR="00DF098D">
              <w:rPr>
                <w:sz w:val="22"/>
                <w:szCs w:val="22"/>
                <w:lang w:val="sr-Cyrl-CS"/>
              </w:rPr>
              <w:t>unaprediti</w:t>
            </w:r>
            <w:r w:rsidR="00F51459"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softversku</w:t>
            </w:r>
            <w:r w:rsidR="00F51459" w:rsidRPr="00C44B14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aplikaciju</w:t>
            </w:r>
            <w:r w:rsidR="00F51459" w:rsidRPr="00C44B14"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03" w:type="pct"/>
          </w:tcPr>
          <w:p w:rsidR="001254C3" w:rsidRPr="001A4D2F" w:rsidRDefault="00DF098D" w:rsidP="001254C3">
            <w:pPr>
              <w:rPr>
                <w:lang w:val="sr-Cyrl-CS"/>
              </w:rPr>
            </w:pPr>
            <w:r>
              <w:rPr>
                <w:lang w:val="sr-Cyrl-CS"/>
              </w:rPr>
              <w:t>MPRIV</w:t>
            </w:r>
          </w:p>
        </w:tc>
        <w:tc>
          <w:tcPr>
            <w:tcW w:w="436" w:type="pct"/>
          </w:tcPr>
          <w:p w:rsidR="001254C3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APR</w:t>
            </w:r>
          </w:p>
        </w:tc>
        <w:tc>
          <w:tcPr>
            <w:tcW w:w="408" w:type="pct"/>
          </w:tcPr>
          <w:p w:rsidR="001254C3" w:rsidRPr="001A4D2F" w:rsidRDefault="00DF098D" w:rsidP="001254C3">
            <w:pPr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Četvrti</w:t>
            </w:r>
            <w:r w:rsidR="001254C3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kvartal</w:t>
            </w:r>
            <w:r w:rsidR="001254C3" w:rsidRPr="001A4D2F">
              <w:rPr>
                <w:color w:val="auto"/>
                <w:lang w:val="sr-Cyrl-CS"/>
              </w:rPr>
              <w:t xml:space="preserve"> 2021. </w:t>
            </w:r>
            <w:r>
              <w:rPr>
                <w:color w:val="auto"/>
                <w:lang w:val="sr-Cyrl-CS"/>
              </w:rPr>
              <w:t>godine</w:t>
            </w:r>
          </w:p>
        </w:tc>
        <w:tc>
          <w:tcPr>
            <w:tcW w:w="553" w:type="pct"/>
          </w:tcPr>
          <w:p w:rsidR="001254C3" w:rsidRPr="001A4D2F" w:rsidRDefault="00DF098D" w:rsidP="001254C3">
            <w:pPr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Sredstva</w:t>
            </w:r>
            <w:r w:rsidR="001254C3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nisu</w:t>
            </w:r>
            <w:r w:rsidR="001254C3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obezbeđena</w:t>
            </w:r>
            <w:r w:rsidR="001254C3" w:rsidRPr="001A4D2F">
              <w:rPr>
                <w:color w:val="auto"/>
                <w:lang w:val="sr-Cyrl-CS"/>
              </w:rPr>
              <w:t>-</w:t>
            </w:r>
            <w:r>
              <w:rPr>
                <w:color w:val="auto"/>
                <w:lang w:val="sr-Cyrl-CS"/>
              </w:rPr>
              <w:t>poznat</w:t>
            </w:r>
            <w:r w:rsidR="001254C3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izvor</w:t>
            </w:r>
            <w:r w:rsidR="001254C3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finansiranja</w:t>
            </w:r>
            <w:r w:rsidR="001254C3" w:rsidRPr="00C44B14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407" w:type="pct"/>
          </w:tcPr>
          <w:p w:rsidR="001254C3" w:rsidRPr="001A4D2F" w:rsidRDefault="001254C3" w:rsidP="001254C3">
            <w:pPr>
              <w:rPr>
                <w:color w:val="auto"/>
                <w:lang w:val="sr-Cyrl-CS"/>
              </w:rPr>
            </w:pPr>
          </w:p>
        </w:tc>
        <w:tc>
          <w:tcPr>
            <w:tcW w:w="594" w:type="pct"/>
          </w:tcPr>
          <w:p w:rsidR="001254C3" w:rsidRPr="001A4D2F" w:rsidRDefault="001254C3" w:rsidP="001254C3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11.800</w:t>
            </w:r>
          </w:p>
        </w:tc>
        <w:tc>
          <w:tcPr>
            <w:tcW w:w="645" w:type="pct"/>
          </w:tcPr>
          <w:p w:rsidR="001254C3" w:rsidRPr="001A4D2F" w:rsidRDefault="001254C3" w:rsidP="001254C3">
            <w:pPr>
              <w:rPr>
                <w:color w:val="auto"/>
                <w:lang w:val="sr-Cyrl-CS"/>
              </w:rPr>
            </w:pPr>
          </w:p>
        </w:tc>
        <w:tc>
          <w:tcPr>
            <w:tcW w:w="710" w:type="pct"/>
          </w:tcPr>
          <w:p w:rsidR="001254C3" w:rsidRPr="001A4D2F" w:rsidRDefault="001254C3" w:rsidP="00C11F8E">
            <w:pPr>
              <w:rPr>
                <w:color w:val="auto"/>
                <w:lang w:val="sr-Cyrl-CS"/>
              </w:rPr>
            </w:pPr>
          </w:p>
        </w:tc>
      </w:tr>
      <w:tr w:rsidR="001254C3" w:rsidRPr="001A4D2F" w:rsidTr="00DB34B7">
        <w:trPr>
          <w:trHeight w:val="543"/>
        </w:trPr>
        <w:tc>
          <w:tcPr>
            <w:tcW w:w="844" w:type="pct"/>
            <w:tcBorders>
              <w:left w:val="double" w:sz="4" w:space="0" w:color="auto"/>
            </w:tcBorders>
          </w:tcPr>
          <w:p w:rsidR="001254C3" w:rsidRPr="001A4D2F" w:rsidRDefault="001254C3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2.2.2. </w:t>
            </w:r>
            <w:r w:rsidR="00DF098D">
              <w:rPr>
                <w:lang w:val="sr-Cyrl-CS"/>
              </w:rPr>
              <w:t>Izmeniti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Zakon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Centralnoj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evidenciji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stvarnih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vlasnika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kojima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će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unaprediti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sadržina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Centralne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evidencije</w:t>
            </w:r>
            <w:r w:rsidR="00F51459" w:rsidRPr="001A4D2F">
              <w:rPr>
                <w:lang w:val="sr-Cyrl-CS"/>
              </w:rPr>
              <w:t xml:space="preserve"> (</w:t>
            </w:r>
            <w:r w:rsidR="00DF098D">
              <w:rPr>
                <w:lang w:val="sr-Cyrl-CS"/>
              </w:rPr>
              <w:t>uvesti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obavezu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evidentiranja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stvarnog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vlasnika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Registrovanog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subjekta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svakom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lastRenderedPageBreak/>
              <w:t>od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osnova</w:t>
            </w:r>
            <w:r w:rsidR="00F51459"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obavezu</w:t>
            </w:r>
            <w:r w:rsidR="00F51459" w:rsidRPr="001A4D2F">
              <w:rPr>
                <w:lang w:val="sr-Cyrl-CS"/>
              </w:rPr>
              <w:t xml:space="preserve"> up-load –</w:t>
            </w:r>
            <w:r w:rsidR="00DF098D">
              <w:rPr>
                <w:lang w:val="sr-Cyrl-CS"/>
              </w:rPr>
              <w:t>ovanja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dokumenata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šematskih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prikaza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vlasničke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strukture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Centralnu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evidenciju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stvarnih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vlasnika</w:t>
            </w:r>
            <w:r w:rsidR="00F51459" w:rsidRPr="001A4D2F">
              <w:rPr>
                <w:lang w:val="sr-Cyrl-CS"/>
              </w:rPr>
              <w:t xml:space="preserve">) </w:t>
            </w:r>
            <w:r w:rsidR="00DF098D">
              <w:rPr>
                <w:lang w:val="sr-Cyrl-CS"/>
              </w:rPr>
              <w:t>i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tim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vezi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razviti</w:t>
            </w:r>
            <w:r w:rsidR="00F51459" w:rsidRPr="001A4D2F">
              <w:rPr>
                <w:lang w:val="sr-Cyrl-CS"/>
              </w:rPr>
              <w:t>/</w:t>
            </w:r>
            <w:r w:rsidR="00DF098D">
              <w:rPr>
                <w:lang w:val="sr-Cyrl-CS"/>
              </w:rPr>
              <w:t>unaprediti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softversku</w:t>
            </w:r>
            <w:r w:rsidR="00F51459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aplikaciju</w:t>
            </w:r>
            <w:r w:rsidR="00F51459" w:rsidRPr="001A4D2F">
              <w:rPr>
                <w:lang w:val="sr-Cyrl-CS"/>
              </w:rPr>
              <w:t>.</w:t>
            </w:r>
          </w:p>
        </w:tc>
        <w:tc>
          <w:tcPr>
            <w:tcW w:w="403" w:type="pct"/>
          </w:tcPr>
          <w:p w:rsidR="001254C3" w:rsidRPr="001A4D2F" w:rsidRDefault="00DF098D" w:rsidP="001254C3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MPRIV</w:t>
            </w:r>
          </w:p>
        </w:tc>
        <w:tc>
          <w:tcPr>
            <w:tcW w:w="436" w:type="pct"/>
          </w:tcPr>
          <w:p w:rsidR="001254C3" w:rsidRPr="001A4D2F" w:rsidRDefault="00DF098D" w:rsidP="001254C3">
            <w:pPr>
              <w:rPr>
                <w:lang w:val="sr-Cyrl-CS"/>
              </w:rPr>
            </w:pPr>
            <w:r>
              <w:rPr>
                <w:lang w:val="sr-Cyrl-CS"/>
              </w:rPr>
              <w:t>APR</w:t>
            </w:r>
          </w:p>
        </w:tc>
        <w:tc>
          <w:tcPr>
            <w:tcW w:w="408" w:type="pct"/>
          </w:tcPr>
          <w:p w:rsidR="001254C3" w:rsidRPr="001A4D2F" w:rsidRDefault="00DF098D" w:rsidP="001254C3">
            <w:pPr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Četvrti</w:t>
            </w:r>
            <w:r w:rsidR="00692B78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kvartal</w:t>
            </w:r>
            <w:r w:rsidR="00692B78" w:rsidRPr="001A4D2F">
              <w:rPr>
                <w:color w:val="auto"/>
                <w:lang w:val="sr-Cyrl-CS"/>
              </w:rPr>
              <w:t xml:space="preserve"> 2022</w:t>
            </w:r>
            <w:r w:rsidR="001254C3" w:rsidRPr="001A4D2F">
              <w:rPr>
                <w:color w:val="auto"/>
                <w:lang w:val="sr-Cyrl-CS"/>
              </w:rPr>
              <w:t xml:space="preserve">. </w:t>
            </w:r>
            <w:r>
              <w:rPr>
                <w:color w:val="auto"/>
                <w:lang w:val="sr-Cyrl-CS"/>
              </w:rPr>
              <w:t>godine</w:t>
            </w:r>
          </w:p>
          <w:p w:rsidR="001254C3" w:rsidRPr="001A4D2F" w:rsidRDefault="001254C3" w:rsidP="001254C3">
            <w:pPr>
              <w:rPr>
                <w:color w:val="auto"/>
                <w:lang w:val="sr-Cyrl-CS"/>
              </w:rPr>
            </w:pPr>
          </w:p>
        </w:tc>
        <w:tc>
          <w:tcPr>
            <w:tcW w:w="553" w:type="pct"/>
          </w:tcPr>
          <w:p w:rsidR="001254C3" w:rsidRPr="001A4D2F" w:rsidRDefault="00DF098D" w:rsidP="001254C3">
            <w:pPr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Sredstva</w:t>
            </w:r>
            <w:r w:rsidR="001254C3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nisu</w:t>
            </w:r>
            <w:r w:rsidR="001254C3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obezbeđena</w:t>
            </w:r>
            <w:r w:rsidR="001254C3" w:rsidRPr="001A4D2F">
              <w:rPr>
                <w:color w:val="auto"/>
                <w:lang w:val="sr-Cyrl-CS"/>
              </w:rPr>
              <w:t>-</w:t>
            </w:r>
            <w:r>
              <w:rPr>
                <w:color w:val="auto"/>
                <w:lang w:val="sr-Cyrl-CS"/>
              </w:rPr>
              <w:t>poznat</w:t>
            </w:r>
            <w:r w:rsidR="001254C3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izvor</w:t>
            </w:r>
            <w:r w:rsidR="001254C3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sz w:val="22"/>
                <w:szCs w:val="22"/>
                <w:lang w:val="sr-Cyrl-CS"/>
              </w:rPr>
              <w:t>finansiranja</w:t>
            </w:r>
          </w:p>
        </w:tc>
        <w:tc>
          <w:tcPr>
            <w:tcW w:w="407" w:type="pct"/>
          </w:tcPr>
          <w:p w:rsidR="001254C3" w:rsidRPr="001A4D2F" w:rsidRDefault="001254C3" w:rsidP="001254C3">
            <w:pPr>
              <w:rPr>
                <w:color w:val="auto"/>
                <w:lang w:val="sr-Cyrl-CS"/>
              </w:rPr>
            </w:pPr>
          </w:p>
        </w:tc>
        <w:tc>
          <w:tcPr>
            <w:tcW w:w="594" w:type="pct"/>
          </w:tcPr>
          <w:p w:rsidR="001254C3" w:rsidRPr="001A4D2F" w:rsidRDefault="001254C3" w:rsidP="001254C3">
            <w:pPr>
              <w:rPr>
                <w:color w:val="auto"/>
                <w:lang w:val="sr-Cyrl-CS"/>
              </w:rPr>
            </w:pPr>
          </w:p>
        </w:tc>
        <w:tc>
          <w:tcPr>
            <w:tcW w:w="645" w:type="pct"/>
          </w:tcPr>
          <w:p w:rsidR="001254C3" w:rsidRPr="001A4D2F" w:rsidRDefault="005C5D8A" w:rsidP="001254C3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17.700</w:t>
            </w:r>
          </w:p>
        </w:tc>
        <w:tc>
          <w:tcPr>
            <w:tcW w:w="710" w:type="pct"/>
          </w:tcPr>
          <w:p w:rsidR="001254C3" w:rsidRPr="001A4D2F" w:rsidRDefault="001254C3" w:rsidP="001254C3">
            <w:pPr>
              <w:rPr>
                <w:color w:val="auto"/>
                <w:lang w:val="sr-Cyrl-CS"/>
              </w:rPr>
            </w:pPr>
          </w:p>
        </w:tc>
      </w:tr>
      <w:tr w:rsidR="000F0BD0" w:rsidRPr="001A4D2F" w:rsidTr="00DF0DDF">
        <w:trPr>
          <w:trHeight w:val="705"/>
        </w:trPr>
        <w:tc>
          <w:tcPr>
            <w:tcW w:w="844" w:type="pct"/>
            <w:tcBorders>
              <w:left w:val="double" w:sz="4" w:space="0" w:color="auto"/>
            </w:tcBorders>
          </w:tcPr>
          <w:p w:rsidR="000F0BD0" w:rsidRPr="001A4D2F" w:rsidRDefault="000F0BD0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2.2.3 </w:t>
            </w:r>
            <w:r w:rsidR="00DF098D">
              <w:rPr>
                <w:lang w:val="sr-Cyrl-CS"/>
              </w:rPr>
              <w:t>Izmene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dopune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Pravilnika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metodologiji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izvršavanje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poslova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skladu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Zakonom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SPN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FT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rezultatima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NPR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naročito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pogledu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primene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pojednostavljenih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pojačanih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radnji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mera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poznavanja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praćenja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stranke</w:t>
            </w:r>
          </w:p>
        </w:tc>
        <w:tc>
          <w:tcPr>
            <w:tcW w:w="403" w:type="pct"/>
          </w:tcPr>
          <w:p w:rsidR="000F0BD0" w:rsidRPr="001A4D2F" w:rsidRDefault="00DF098D" w:rsidP="000F0BD0">
            <w:pPr>
              <w:rPr>
                <w:lang w:val="sr-Cyrl-CS"/>
              </w:rPr>
            </w:pPr>
            <w:r>
              <w:rPr>
                <w:lang w:val="sr-Cyrl-CS"/>
              </w:rPr>
              <w:t>MFIN</w:t>
            </w:r>
          </w:p>
        </w:tc>
        <w:tc>
          <w:tcPr>
            <w:tcW w:w="436" w:type="pct"/>
          </w:tcPr>
          <w:p w:rsidR="000F0BD0" w:rsidRPr="001A4D2F" w:rsidRDefault="00DF098D" w:rsidP="006C303F">
            <w:pPr>
              <w:rPr>
                <w:lang w:val="sr-Cyrl-CS"/>
              </w:rPr>
            </w:pPr>
            <w:r>
              <w:rPr>
                <w:lang w:val="sr-Cyrl-CS"/>
              </w:rPr>
              <w:t>Nadzorni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  <w:r w:rsidR="000F0BD0" w:rsidRPr="001A4D2F">
              <w:rPr>
                <w:lang w:val="sr-Cyrl-CS"/>
              </w:rPr>
              <w:t xml:space="preserve"> </w:t>
            </w:r>
          </w:p>
        </w:tc>
        <w:tc>
          <w:tcPr>
            <w:tcW w:w="408" w:type="pct"/>
          </w:tcPr>
          <w:p w:rsidR="000F0BD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April</w:t>
            </w:r>
            <w:r w:rsidR="000F0BD0" w:rsidRPr="001A4D2F">
              <w:rPr>
                <w:lang w:val="sr-Cyrl-CS"/>
              </w:rPr>
              <w:t xml:space="preserve"> 2020.</w:t>
            </w:r>
          </w:p>
        </w:tc>
        <w:tc>
          <w:tcPr>
            <w:tcW w:w="553" w:type="pct"/>
          </w:tcPr>
          <w:p w:rsidR="000F0BD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7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594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710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</w:tr>
      <w:tr w:rsidR="000F0BD0" w:rsidRPr="001A4D2F" w:rsidTr="00DB34B7">
        <w:trPr>
          <w:trHeight w:val="1111"/>
        </w:trPr>
        <w:tc>
          <w:tcPr>
            <w:tcW w:w="844" w:type="pct"/>
            <w:tcBorders>
              <w:left w:val="double" w:sz="4" w:space="0" w:color="auto"/>
            </w:tcBorders>
          </w:tcPr>
          <w:p w:rsidR="000F0BD0" w:rsidRPr="001A4D2F" w:rsidRDefault="000F0BD0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2.2.4. </w:t>
            </w:r>
            <w:r w:rsidR="00DF098D">
              <w:rPr>
                <w:lang w:val="sr-Cyrl-CS"/>
              </w:rPr>
              <w:t>Izraditi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akta</w:t>
            </w:r>
            <w:r w:rsidRPr="001A4D2F">
              <w:rPr>
                <w:lang w:val="sr-Cyrl-CS"/>
              </w:rPr>
              <w:t xml:space="preserve"> (</w:t>
            </w:r>
            <w:r w:rsidR="00DF098D">
              <w:rPr>
                <w:lang w:val="sr-Cyrl-CS"/>
              </w:rPr>
              <w:t>smernice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procenu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od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PN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FT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indikatore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prepoznavanje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sumnjivih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transakcija</w:t>
            </w:r>
            <w:r w:rsidRPr="001A4D2F">
              <w:rPr>
                <w:lang w:val="sr-Cyrl-CS"/>
              </w:rPr>
              <w:t xml:space="preserve">)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lica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bave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lastRenderedPageBreak/>
              <w:t>poštanskim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saobraćajem</w:t>
            </w:r>
          </w:p>
        </w:tc>
        <w:tc>
          <w:tcPr>
            <w:tcW w:w="403" w:type="pct"/>
          </w:tcPr>
          <w:p w:rsidR="000F0BD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MTTT</w:t>
            </w:r>
            <w:r w:rsidR="000F0BD0" w:rsidRPr="001A4D2F">
              <w:rPr>
                <w:lang w:val="sr-Cyrl-CS"/>
              </w:rPr>
              <w:t xml:space="preserve"> – </w:t>
            </w:r>
            <w:r>
              <w:rPr>
                <w:lang w:val="sr-Cyrl-CS"/>
              </w:rPr>
              <w:t>Grupa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nadzor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oblasti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poštanskog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saobraćaj</w:t>
            </w:r>
            <w:r>
              <w:rPr>
                <w:lang w:val="sr-Cyrl-CS"/>
              </w:rPr>
              <w:lastRenderedPageBreak/>
              <w:t>a</w:t>
            </w:r>
          </w:p>
        </w:tc>
        <w:tc>
          <w:tcPr>
            <w:tcW w:w="436" w:type="pct"/>
          </w:tcPr>
          <w:p w:rsidR="000F0BD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USPN</w:t>
            </w:r>
          </w:p>
        </w:tc>
        <w:tc>
          <w:tcPr>
            <w:tcW w:w="408" w:type="pct"/>
          </w:tcPr>
          <w:p w:rsidR="000F0BD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April</w:t>
            </w:r>
            <w:r w:rsidR="000F0BD0" w:rsidRPr="001A4D2F">
              <w:rPr>
                <w:lang w:val="sr-Cyrl-CS"/>
              </w:rPr>
              <w:t xml:space="preserve"> 2020. </w:t>
            </w:r>
            <w:r>
              <w:rPr>
                <w:lang w:val="sr-Cyrl-CS"/>
              </w:rPr>
              <w:t>godine</w:t>
            </w:r>
          </w:p>
        </w:tc>
        <w:tc>
          <w:tcPr>
            <w:tcW w:w="553" w:type="pct"/>
          </w:tcPr>
          <w:p w:rsidR="000F0BD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7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594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710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</w:tr>
      <w:tr w:rsidR="000F0BD0" w:rsidRPr="001A4D2F" w:rsidTr="00DB34B7">
        <w:trPr>
          <w:trHeight w:val="543"/>
        </w:trPr>
        <w:tc>
          <w:tcPr>
            <w:tcW w:w="844" w:type="pct"/>
            <w:tcBorders>
              <w:left w:val="double" w:sz="4" w:space="0" w:color="auto"/>
            </w:tcBorders>
          </w:tcPr>
          <w:p w:rsidR="000F0BD0" w:rsidRPr="001A4D2F" w:rsidRDefault="000F0BD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2.2.5. </w:t>
            </w:r>
            <w:r w:rsidR="00DF098D">
              <w:rPr>
                <w:lang w:val="sr-Cyrl-CS"/>
              </w:rPr>
              <w:t>Doneti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odnosno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unaprediti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upitnike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aktivnostima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obveznika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vezi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ograničavanjem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raspolaganja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imovinom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cilju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sprečavanja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širenja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oružja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masovno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uništenje</w:t>
            </w:r>
          </w:p>
        </w:tc>
        <w:tc>
          <w:tcPr>
            <w:tcW w:w="403" w:type="pct"/>
          </w:tcPr>
          <w:p w:rsidR="000F0BD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USPN</w:t>
            </w:r>
          </w:p>
        </w:tc>
        <w:tc>
          <w:tcPr>
            <w:tcW w:w="436" w:type="pct"/>
          </w:tcPr>
          <w:p w:rsidR="000F0BD0" w:rsidRPr="001A4D2F" w:rsidRDefault="00DF098D" w:rsidP="006C303F">
            <w:pPr>
              <w:rPr>
                <w:lang w:val="sr-Cyrl-CS"/>
              </w:rPr>
            </w:pPr>
            <w:r>
              <w:rPr>
                <w:lang w:val="sr-Cyrl-CS"/>
              </w:rPr>
              <w:t>Nadzorni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</w:p>
        </w:tc>
        <w:tc>
          <w:tcPr>
            <w:tcW w:w="408" w:type="pct"/>
          </w:tcPr>
          <w:p w:rsidR="000F0BD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Četvrti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kvartal</w:t>
            </w:r>
            <w:r w:rsidR="000F0BD0" w:rsidRPr="001A4D2F">
              <w:rPr>
                <w:lang w:val="sr-Cyrl-CS"/>
              </w:rPr>
              <w:t xml:space="preserve"> 2022. </w:t>
            </w:r>
            <w:r>
              <w:rPr>
                <w:lang w:val="sr-Cyrl-CS"/>
              </w:rPr>
              <w:t>godine</w:t>
            </w:r>
            <w:r w:rsidR="000F0BD0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kontinuirana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aktivnost</w:t>
            </w:r>
            <w:r w:rsidR="000F0BD0" w:rsidRPr="00DA0EC2">
              <w:rPr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53" w:type="pct"/>
          </w:tcPr>
          <w:p w:rsidR="000F0BD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7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594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710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</w:tr>
      <w:tr w:rsidR="000F0BD0" w:rsidRPr="001A4D2F" w:rsidTr="00DB34B7">
        <w:trPr>
          <w:trHeight w:val="1579"/>
        </w:trPr>
        <w:tc>
          <w:tcPr>
            <w:tcW w:w="844" w:type="pct"/>
            <w:tcBorders>
              <w:left w:val="double" w:sz="4" w:space="0" w:color="auto"/>
            </w:tcBorders>
          </w:tcPr>
          <w:p w:rsidR="000F0BD0" w:rsidRPr="001A4D2F" w:rsidRDefault="000F0BD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2.2.6. </w:t>
            </w:r>
            <w:r w:rsidR="00DF098D">
              <w:rPr>
                <w:lang w:val="sr-Cyrl-CS"/>
              </w:rPr>
              <w:t>Sprovoditi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analize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načina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učestalosti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korišćenja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podataka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evidentiranih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Centralnoj</w:t>
            </w:r>
            <w:r w:rsidR="00B56E4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evidenciji</w:t>
            </w:r>
            <w:r w:rsidR="00B56E4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stvarnih</w:t>
            </w:r>
            <w:r w:rsidR="00B56E4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vlasnika</w:t>
            </w:r>
            <w:r w:rsidR="00B56E4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="00B56E4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njihovog</w:t>
            </w:r>
            <w:r w:rsidR="00B56E4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značaja</w:t>
            </w:r>
            <w:r w:rsidR="00B56E4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="00B56E4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radu</w:t>
            </w:r>
            <w:r w:rsidR="00B56E4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svih</w:t>
            </w:r>
            <w:r w:rsidR="00B56E4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učesnika</w:t>
            </w:r>
            <w:r w:rsidR="00B56E4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="00B56E4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sistemu</w:t>
            </w:r>
            <w:r w:rsidR="00B56E46" w:rsidRPr="001A4D2F">
              <w:rPr>
                <w:lang w:val="sr-Cyrl-CS"/>
              </w:rPr>
              <w:t xml:space="preserve"> (</w:t>
            </w:r>
            <w:r w:rsidR="00DF098D">
              <w:rPr>
                <w:lang w:val="sr-Cyrl-CS"/>
              </w:rPr>
              <w:t>obveznika</w:t>
            </w:r>
            <w:r w:rsidR="00B56E46"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Uprave</w:t>
            </w:r>
            <w:r w:rsidR="00B56E46"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policije</w:t>
            </w:r>
            <w:r w:rsidR="00B56E46"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tužilaštva</w:t>
            </w:r>
            <w:r w:rsidR="00B56E46"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itd</w:t>
            </w:r>
            <w:r w:rsidR="00B56E46" w:rsidRPr="001A4D2F">
              <w:rPr>
                <w:lang w:val="sr-Cyrl-CS"/>
              </w:rPr>
              <w:t>.)</w:t>
            </w:r>
          </w:p>
          <w:p w:rsidR="00E31352" w:rsidRPr="001A4D2F" w:rsidRDefault="00E31352" w:rsidP="0022234E">
            <w:pPr>
              <w:rPr>
                <w:lang w:val="sr-Cyrl-CS"/>
              </w:rPr>
            </w:pPr>
          </w:p>
          <w:p w:rsidR="00E31352" w:rsidRPr="001A4D2F" w:rsidRDefault="00E31352" w:rsidP="00E31352">
            <w:pPr>
              <w:rPr>
                <w:lang w:val="sr-Cyrl-CS"/>
              </w:rPr>
            </w:pPr>
          </w:p>
        </w:tc>
        <w:tc>
          <w:tcPr>
            <w:tcW w:w="403" w:type="pct"/>
          </w:tcPr>
          <w:p w:rsidR="000F0BD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36" w:type="pct"/>
          </w:tcPr>
          <w:p w:rsidR="000F0BD0" w:rsidRPr="001A4D2F" w:rsidRDefault="00DF098D" w:rsidP="006C303F">
            <w:pPr>
              <w:rPr>
                <w:lang w:val="sr-Cyrl-CS"/>
              </w:rPr>
            </w:pPr>
            <w:r>
              <w:rPr>
                <w:lang w:val="sr-Cyrl-CS"/>
              </w:rPr>
              <w:t>APR</w:t>
            </w:r>
            <w:r w:rsidR="000F0BD0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Nadzorni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  <w:r w:rsidR="000F0BD0" w:rsidRPr="001A4D2F">
              <w:rPr>
                <w:lang w:val="sr-Cyrl-CS"/>
              </w:rPr>
              <w:t xml:space="preserve"> </w:t>
            </w:r>
          </w:p>
        </w:tc>
        <w:tc>
          <w:tcPr>
            <w:tcW w:w="408" w:type="pct"/>
          </w:tcPr>
          <w:p w:rsidR="00DA0EC2" w:rsidRDefault="00DF098D" w:rsidP="0022234E">
            <w:r>
              <w:rPr>
                <w:lang w:val="sr-Cyrl-CS"/>
              </w:rPr>
              <w:t>Četvrti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kvartal</w:t>
            </w:r>
            <w:r w:rsidR="000F0BD0" w:rsidRPr="001A4D2F">
              <w:rPr>
                <w:lang w:val="sr-Cyrl-CS"/>
              </w:rPr>
              <w:t xml:space="preserve"> 2022. </w:t>
            </w:r>
            <w:r>
              <w:rPr>
                <w:lang w:val="sr-Cyrl-CS"/>
              </w:rPr>
              <w:t>godine</w:t>
            </w:r>
            <w:r w:rsidR="000F0BD0" w:rsidRPr="001A4D2F">
              <w:rPr>
                <w:lang w:val="sr-Cyrl-CS"/>
              </w:rPr>
              <w:t xml:space="preserve"> </w:t>
            </w:r>
          </w:p>
          <w:p w:rsidR="00DA0EC2" w:rsidRDefault="00DA0EC2" w:rsidP="0022234E"/>
          <w:p w:rsidR="00DA0EC2" w:rsidRDefault="00DA0EC2" w:rsidP="0022234E"/>
          <w:p w:rsidR="000F0BD0" w:rsidRPr="00DA0EC2" w:rsidRDefault="000F0BD0" w:rsidP="0022234E">
            <w:pPr>
              <w:rPr>
                <w:sz w:val="20"/>
                <w:szCs w:val="20"/>
                <w:lang w:val="sr-Cyrl-CS"/>
              </w:rPr>
            </w:pPr>
            <w:r w:rsidRPr="00DA0EC2">
              <w:rPr>
                <w:sz w:val="20"/>
                <w:szCs w:val="20"/>
                <w:lang w:val="sr-Cyrl-CS"/>
              </w:rPr>
              <w:t>(</w:t>
            </w:r>
            <w:r w:rsidR="00DF098D">
              <w:rPr>
                <w:sz w:val="20"/>
                <w:szCs w:val="20"/>
                <w:lang w:val="sr-Cyrl-CS"/>
              </w:rPr>
              <w:t>kontinuirana</w:t>
            </w:r>
            <w:r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aktivnost</w:t>
            </w:r>
          </w:p>
        </w:tc>
        <w:tc>
          <w:tcPr>
            <w:tcW w:w="553" w:type="pct"/>
          </w:tcPr>
          <w:p w:rsidR="000F0BD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7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594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710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</w:tr>
      <w:tr w:rsidR="005B03E9" w:rsidRPr="001A4D2F" w:rsidTr="00DB34B7">
        <w:trPr>
          <w:trHeight w:val="1579"/>
        </w:trPr>
        <w:tc>
          <w:tcPr>
            <w:tcW w:w="844" w:type="pct"/>
            <w:tcBorders>
              <w:left w:val="double" w:sz="4" w:space="0" w:color="auto"/>
            </w:tcBorders>
          </w:tcPr>
          <w:p w:rsidR="005B03E9" w:rsidRPr="001A4D2F" w:rsidRDefault="005B03E9" w:rsidP="005B03E9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2.2.7. </w:t>
            </w:r>
            <w:r w:rsidR="00DF098D">
              <w:rPr>
                <w:lang w:val="sr-Cyrl-CS"/>
              </w:rPr>
              <w:t>Preduzimati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mere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unapređenje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stanja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osnovu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analiza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aktivnosti</w:t>
            </w:r>
            <w:r w:rsidRPr="001A4D2F">
              <w:rPr>
                <w:lang w:val="sr-Cyrl-CS"/>
              </w:rPr>
              <w:t xml:space="preserve"> 2.2.6 </w:t>
            </w:r>
          </w:p>
        </w:tc>
        <w:tc>
          <w:tcPr>
            <w:tcW w:w="403" w:type="pct"/>
          </w:tcPr>
          <w:p w:rsidR="005B03E9" w:rsidRPr="001A4D2F" w:rsidRDefault="00DF098D" w:rsidP="005B03E9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36" w:type="pct"/>
          </w:tcPr>
          <w:p w:rsidR="005B03E9" w:rsidRPr="001A4D2F" w:rsidRDefault="00DF098D" w:rsidP="005B03E9">
            <w:pPr>
              <w:rPr>
                <w:lang w:val="sr-Cyrl-CS"/>
              </w:rPr>
            </w:pPr>
            <w:r>
              <w:rPr>
                <w:lang w:val="sr-Cyrl-CS"/>
              </w:rPr>
              <w:t>APR</w:t>
            </w:r>
            <w:r w:rsidR="005B03E9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Nadzorni</w:t>
            </w:r>
            <w:r w:rsidR="005B03E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  <w:r w:rsidR="005B03E9" w:rsidRPr="001A4D2F">
              <w:rPr>
                <w:lang w:val="sr-Cyrl-CS"/>
              </w:rPr>
              <w:t xml:space="preserve"> </w:t>
            </w:r>
          </w:p>
        </w:tc>
        <w:tc>
          <w:tcPr>
            <w:tcW w:w="408" w:type="pct"/>
          </w:tcPr>
          <w:p w:rsidR="005B03E9" w:rsidRPr="001A4D2F" w:rsidRDefault="00DF098D" w:rsidP="005B03E9">
            <w:pPr>
              <w:rPr>
                <w:lang w:val="sr-Cyrl-CS"/>
              </w:rPr>
            </w:pPr>
            <w:r>
              <w:rPr>
                <w:lang w:val="sr-Cyrl-CS"/>
              </w:rPr>
              <w:t>Četvrti</w:t>
            </w:r>
            <w:r w:rsidR="005B03E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kvartal</w:t>
            </w:r>
            <w:r w:rsidR="005B03E9" w:rsidRPr="001A4D2F">
              <w:rPr>
                <w:lang w:val="sr-Cyrl-CS"/>
              </w:rPr>
              <w:t xml:space="preserve"> 2022. </w:t>
            </w:r>
            <w:r>
              <w:rPr>
                <w:lang w:val="sr-Cyrl-CS"/>
              </w:rPr>
              <w:t>godine</w:t>
            </w:r>
            <w:r w:rsidR="005B03E9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kontinuirana</w:t>
            </w:r>
            <w:r w:rsidR="005B03E9" w:rsidRPr="001A4D2F">
              <w:rPr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aktivnost</w:t>
            </w:r>
          </w:p>
        </w:tc>
        <w:tc>
          <w:tcPr>
            <w:tcW w:w="553" w:type="pct"/>
          </w:tcPr>
          <w:p w:rsidR="005B03E9" w:rsidRPr="001A4D2F" w:rsidRDefault="00DF098D" w:rsidP="005B03E9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5B03E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5B03E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5B03E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5B03E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5B03E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5B03E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7" w:type="pct"/>
          </w:tcPr>
          <w:p w:rsidR="005B03E9" w:rsidRPr="001A4D2F" w:rsidRDefault="005B03E9" w:rsidP="00C11F8E">
            <w:pPr>
              <w:rPr>
                <w:lang w:val="sr-Cyrl-CS"/>
              </w:rPr>
            </w:pPr>
          </w:p>
        </w:tc>
        <w:tc>
          <w:tcPr>
            <w:tcW w:w="594" w:type="pct"/>
          </w:tcPr>
          <w:p w:rsidR="005B03E9" w:rsidRPr="001A4D2F" w:rsidRDefault="005B03E9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5B03E9" w:rsidRPr="001A4D2F" w:rsidRDefault="005B03E9" w:rsidP="00C11F8E">
            <w:pPr>
              <w:rPr>
                <w:lang w:val="sr-Cyrl-CS"/>
              </w:rPr>
            </w:pPr>
          </w:p>
        </w:tc>
        <w:tc>
          <w:tcPr>
            <w:tcW w:w="710" w:type="pct"/>
          </w:tcPr>
          <w:p w:rsidR="005B03E9" w:rsidRPr="001A4D2F" w:rsidRDefault="005B03E9" w:rsidP="00C11F8E">
            <w:pPr>
              <w:rPr>
                <w:lang w:val="sr-Cyrl-CS"/>
              </w:rPr>
            </w:pPr>
          </w:p>
        </w:tc>
      </w:tr>
      <w:tr w:rsidR="000F0BD0" w:rsidRPr="001A4D2F" w:rsidTr="00DB34B7">
        <w:trPr>
          <w:trHeight w:val="1402"/>
        </w:trPr>
        <w:tc>
          <w:tcPr>
            <w:tcW w:w="844" w:type="pct"/>
            <w:tcBorders>
              <w:left w:val="double" w:sz="4" w:space="0" w:color="auto"/>
            </w:tcBorders>
          </w:tcPr>
          <w:p w:rsidR="000F0BD0" w:rsidRDefault="000F0BD0" w:rsidP="005B03E9">
            <w:r w:rsidRPr="001A4D2F">
              <w:rPr>
                <w:lang w:val="sr-Cyrl-CS"/>
              </w:rPr>
              <w:t>2.2.</w:t>
            </w:r>
            <w:r w:rsidR="005B03E9" w:rsidRPr="001A4D2F">
              <w:rPr>
                <w:lang w:val="sr-Cyrl-CS"/>
              </w:rPr>
              <w:t>8</w:t>
            </w:r>
            <w:r w:rsidRPr="001A4D2F">
              <w:rPr>
                <w:lang w:val="sr-Cyrl-CS"/>
              </w:rPr>
              <w:t xml:space="preserve">. </w:t>
            </w:r>
            <w:r w:rsidR="00DF098D">
              <w:rPr>
                <w:lang w:val="sr-Cyrl-CS"/>
              </w:rPr>
              <w:t>Uvesti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obavezu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fizička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lica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sistemu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PDV</w:t>
            </w:r>
            <w:r w:rsidRPr="001A4D2F">
              <w:rPr>
                <w:lang w:val="sr-Cyrl-CS"/>
              </w:rPr>
              <w:t>-</w:t>
            </w:r>
            <w:r w:rsidR="00DF098D">
              <w:rPr>
                <w:lang w:val="sr-Cyrl-CS"/>
              </w:rPr>
              <w:t>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bave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izgradnjom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građevinskih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objekata</w:t>
            </w:r>
            <w:r w:rsidRPr="001A4D2F">
              <w:rPr>
                <w:lang w:val="sr-Cyrl-CS"/>
              </w:rPr>
              <w:t>-</w:t>
            </w:r>
            <w:r w:rsidR="00DF098D">
              <w:rPr>
                <w:lang w:val="sr-Cyrl-CS"/>
              </w:rPr>
              <w:t>investitori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da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otvore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namenski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račun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svoje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poslovanje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obavljaju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preko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istog</w:t>
            </w:r>
          </w:p>
          <w:p w:rsidR="00DA0EC2" w:rsidRPr="00DA0EC2" w:rsidRDefault="00DA0EC2" w:rsidP="005B03E9"/>
        </w:tc>
        <w:tc>
          <w:tcPr>
            <w:tcW w:w="403" w:type="pct"/>
          </w:tcPr>
          <w:p w:rsidR="000F0BD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PU</w:t>
            </w:r>
          </w:p>
        </w:tc>
        <w:tc>
          <w:tcPr>
            <w:tcW w:w="436" w:type="pct"/>
          </w:tcPr>
          <w:p w:rsidR="000F0BD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MFIN</w:t>
            </w:r>
          </w:p>
        </w:tc>
        <w:tc>
          <w:tcPr>
            <w:tcW w:w="408" w:type="pct"/>
          </w:tcPr>
          <w:p w:rsidR="000F0BD0" w:rsidRPr="001A4D2F" w:rsidRDefault="00DF098D" w:rsidP="0022234E">
            <w:pPr>
              <w:rPr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Decembar</w:t>
            </w:r>
            <w:r w:rsidR="000F0BD0" w:rsidRPr="001A4D2F">
              <w:rPr>
                <w:lang w:val="sr-Cyrl-CS"/>
              </w:rPr>
              <w:t xml:space="preserve"> 2020. </w:t>
            </w:r>
            <w:r>
              <w:rPr>
                <w:lang w:val="sr-Cyrl-CS"/>
              </w:rPr>
              <w:t>godine</w:t>
            </w:r>
          </w:p>
        </w:tc>
        <w:tc>
          <w:tcPr>
            <w:tcW w:w="553" w:type="pct"/>
          </w:tcPr>
          <w:p w:rsidR="000F0BD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7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594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710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</w:tr>
      <w:tr w:rsidR="0022234E" w:rsidRPr="001A4D2F" w:rsidTr="00DB34B7">
        <w:trPr>
          <w:trHeight w:val="140"/>
        </w:trPr>
        <w:tc>
          <w:tcPr>
            <w:tcW w:w="844" w:type="pct"/>
            <w:tcBorders>
              <w:left w:val="double" w:sz="4" w:space="0" w:color="auto"/>
            </w:tcBorders>
          </w:tcPr>
          <w:p w:rsidR="0022234E" w:rsidRPr="001A4D2F" w:rsidRDefault="005B03E9" w:rsidP="00367AD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2.2.9</w:t>
            </w:r>
            <w:r w:rsidR="0022234E" w:rsidRPr="001A4D2F">
              <w:rPr>
                <w:lang w:val="sr-Cyrl-CS"/>
              </w:rPr>
              <w:t xml:space="preserve">. </w:t>
            </w:r>
            <w:r w:rsidR="00DF098D">
              <w:rPr>
                <w:lang w:val="sr-Cyrl-CS"/>
              </w:rPr>
              <w:t>U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skladu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utvrđenim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potrebama</w:t>
            </w:r>
            <w:r w:rsidR="0022234E"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obaveštavati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identifikovane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grupe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obveznika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primeren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način</w:t>
            </w:r>
            <w:r w:rsidR="0022234E" w:rsidRPr="001A4D2F">
              <w:rPr>
                <w:lang w:val="sr-Cyrl-CS"/>
              </w:rPr>
              <w:t xml:space="preserve">  </w:t>
            </w:r>
            <w:r w:rsidR="00DF098D">
              <w:rPr>
                <w:lang w:val="sr-Cyrl-CS"/>
              </w:rPr>
              <w:t>o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obavezama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pogledu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primene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Zakona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sprečavanju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pranja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finansiranja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lastRenderedPageBreak/>
              <w:t>terorizma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Zakona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ograničavanju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raspolaganja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imovinom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cilju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sprečavanja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širenja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oružja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masovno</w:t>
            </w:r>
            <w:r w:rsidR="0022234E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uništenje</w:t>
            </w:r>
          </w:p>
        </w:tc>
        <w:tc>
          <w:tcPr>
            <w:tcW w:w="403" w:type="pct"/>
          </w:tcPr>
          <w:p w:rsidR="0022234E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USPN</w:t>
            </w:r>
          </w:p>
        </w:tc>
        <w:tc>
          <w:tcPr>
            <w:tcW w:w="436" w:type="pct"/>
          </w:tcPr>
          <w:p w:rsidR="0022234E" w:rsidRPr="001A4D2F" w:rsidRDefault="00DF098D" w:rsidP="00A9340A">
            <w:pPr>
              <w:rPr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Udruženja</w:t>
            </w:r>
            <w:r w:rsidR="00D527DB" w:rsidRPr="00D527DB">
              <w:rPr>
                <w:sz w:val="18"/>
                <w:szCs w:val="18"/>
              </w:rPr>
              <w:t>,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PKS</w:t>
            </w:r>
            <w:r w:rsidR="00A9340A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MTTT</w:t>
            </w:r>
            <w:r w:rsidR="00A9340A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UIS</w:t>
            </w:r>
          </w:p>
        </w:tc>
        <w:tc>
          <w:tcPr>
            <w:tcW w:w="408" w:type="pct"/>
          </w:tcPr>
          <w:p w:rsidR="0022234E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Maj</w:t>
            </w:r>
            <w:r w:rsidR="0022234E" w:rsidRPr="001A4D2F">
              <w:rPr>
                <w:lang w:val="sr-Cyrl-CS"/>
              </w:rPr>
              <w:t xml:space="preserve"> 2020.</w:t>
            </w:r>
          </w:p>
        </w:tc>
        <w:tc>
          <w:tcPr>
            <w:tcW w:w="553" w:type="pct"/>
          </w:tcPr>
          <w:p w:rsidR="0022234E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  <w:r w:rsidR="0022234E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npr</w:t>
            </w:r>
            <w:r w:rsidR="0022234E" w:rsidRPr="001A4D2F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EU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podrška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sprečavanju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pranja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novca</w:t>
            </w:r>
            <w:r w:rsidR="0022234E" w:rsidRPr="001A4D2F">
              <w:rPr>
                <w:lang w:val="sr-Cyrl-CS"/>
              </w:rPr>
              <w:t>,</w:t>
            </w:r>
          </w:p>
          <w:p w:rsidR="0022234E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OEBS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misija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Srbiji</w:t>
            </w:r>
            <w:r w:rsidR="0022234E" w:rsidRPr="001A4D2F">
              <w:rPr>
                <w:lang w:val="sr-Cyrl-CS"/>
              </w:rPr>
              <w:t>)</w:t>
            </w:r>
          </w:p>
        </w:tc>
        <w:tc>
          <w:tcPr>
            <w:tcW w:w="407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594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710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</w:tr>
      <w:tr w:rsidR="000F0BD0" w:rsidRPr="001A4D2F" w:rsidTr="00DB34B7">
        <w:trPr>
          <w:trHeight w:val="767"/>
        </w:trPr>
        <w:tc>
          <w:tcPr>
            <w:tcW w:w="844" w:type="pct"/>
            <w:tcBorders>
              <w:left w:val="double" w:sz="4" w:space="0" w:color="auto"/>
            </w:tcBorders>
          </w:tcPr>
          <w:p w:rsidR="000F0BD0" w:rsidRPr="001A4D2F" w:rsidRDefault="000F0BD0" w:rsidP="005B03E9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2.2.</w:t>
            </w:r>
            <w:r w:rsidR="005B03E9" w:rsidRPr="001A4D2F">
              <w:rPr>
                <w:lang w:val="sr-Cyrl-CS"/>
              </w:rPr>
              <w:t>10</w:t>
            </w:r>
            <w:r w:rsidRPr="001A4D2F">
              <w:rPr>
                <w:lang w:val="sr-Cyrl-CS"/>
              </w:rPr>
              <w:t xml:space="preserve">. </w:t>
            </w:r>
            <w:r w:rsidR="00DF098D">
              <w:rPr>
                <w:lang w:val="sr-Cyrl-CS"/>
              </w:rPr>
              <w:t>Praćenje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međunarodnih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standarda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oblasti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tehnologija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digitalnih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identiteta</w:t>
            </w:r>
            <w:r w:rsidRPr="001A4D2F">
              <w:rPr>
                <w:lang w:val="sr-Cyrl-CS"/>
              </w:rPr>
              <w:t xml:space="preserve"> </w:t>
            </w:r>
          </w:p>
        </w:tc>
        <w:tc>
          <w:tcPr>
            <w:tcW w:w="403" w:type="pct"/>
          </w:tcPr>
          <w:p w:rsidR="000F0BD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36" w:type="pct"/>
          </w:tcPr>
          <w:p w:rsidR="000F0BD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NBS</w:t>
            </w:r>
          </w:p>
        </w:tc>
        <w:tc>
          <w:tcPr>
            <w:tcW w:w="408" w:type="pct"/>
          </w:tcPr>
          <w:p w:rsidR="000F0BD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Četvrti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kvartal</w:t>
            </w:r>
            <w:r w:rsidR="000F0BD0" w:rsidRPr="001A4D2F">
              <w:rPr>
                <w:lang w:val="sr-Cyrl-CS"/>
              </w:rPr>
              <w:t xml:space="preserve"> 2022. </w:t>
            </w:r>
            <w:r>
              <w:rPr>
                <w:lang w:val="sr-Cyrl-CS"/>
              </w:rPr>
              <w:t>godine</w:t>
            </w:r>
            <w:r w:rsidR="000F0BD0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kontinuirana</w:t>
            </w:r>
            <w:r w:rsidR="000F0BD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</w:t>
            </w:r>
            <w:r w:rsidR="000F0BD0" w:rsidRPr="001A4D2F">
              <w:rPr>
                <w:lang w:val="sr-Cyrl-CS"/>
              </w:rPr>
              <w:t>)</w:t>
            </w:r>
          </w:p>
        </w:tc>
        <w:tc>
          <w:tcPr>
            <w:tcW w:w="553" w:type="pct"/>
          </w:tcPr>
          <w:p w:rsidR="000F0BD0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6C303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6C303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6C303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6C303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6C303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6C303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7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594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645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  <w:tc>
          <w:tcPr>
            <w:tcW w:w="710" w:type="pct"/>
          </w:tcPr>
          <w:p w:rsidR="000F0BD0" w:rsidRPr="001A4D2F" w:rsidRDefault="000F0BD0" w:rsidP="00C11F8E">
            <w:pPr>
              <w:rPr>
                <w:lang w:val="sr-Cyrl-CS"/>
              </w:rPr>
            </w:pPr>
          </w:p>
        </w:tc>
      </w:tr>
    </w:tbl>
    <w:p w:rsidR="00EE56CF" w:rsidRPr="001A4D2F" w:rsidRDefault="00EE56CF" w:rsidP="00C11F8E">
      <w:pPr>
        <w:rPr>
          <w:lang w:val="sr-Cyrl-CS"/>
        </w:rPr>
      </w:pPr>
    </w:p>
    <w:p w:rsidR="00EE56CF" w:rsidRPr="001A4D2F" w:rsidRDefault="00EE56CF" w:rsidP="00C11F8E">
      <w:pPr>
        <w:rPr>
          <w:lang w:val="sr-Cyrl-CS"/>
        </w:rPr>
      </w:pPr>
    </w:p>
    <w:tbl>
      <w:tblPr>
        <w:tblStyle w:val="TableGrid"/>
        <w:tblW w:w="14142" w:type="dxa"/>
        <w:tblLayout w:type="fixed"/>
        <w:tblLook w:val="04A0"/>
      </w:tblPr>
      <w:tblGrid>
        <w:gridCol w:w="3510"/>
        <w:gridCol w:w="1560"/>
        <w:gridCol w:w="1832"/>
        <w:gridCol w:w="436"/>
        <w:gridCol w:w="1559"/>
        <w:gridCol w:w="1134"/>
        <w:gridCol w:w="1276"/>
        <w:gridCol w:w="1417"/>
        <w:gridCol w:w="1418"/>
      </w:tblGrid>
      <w:tr w:rsidR="002F2CC6" w:rsidRPr="001A4D2F" w:rsidTr="00DF0DDF">
        <w:trPr>
          <w:trHeight w:val="169"/>
        </w:trPr>
        <w:tc>
          <w:tcPr>
            <w:tcW w:w="1414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F2CC6" w:rsidRPr="001A4D2F" w:rsidRDefault="00DF098D" w:rsidP="00090975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10" w:name="_Toc32409913"/>
            <w:r>
              <w:rPr>
                <w:rFonts w:cs="Times New Roman"/>
                <w:sz w:val="24"/>
                <w:lang w:val="sr-Cyrl-CS"/>
              </w:rPr>
              <w:t>Mera</w:t>
            </w:r>
            <w:r w:rsidR="002F2CC6" w:rsidRPr="001A4D2F">
              <w:rPr>
                <w:rFonts w:cs="Times New Roman"/>
                <w:sz w:val="24"/>
                <w:lang w:val="sr-Cyrl-CS"/>
              </w:rPr>
              <w:t xml:space="preserve"> 2.3. </w:t>
            </w:r>
            <w:r>
              <w:rPr>
                <w:rFonts w:cs="Times New Roman"/>
                <w:sz w:val="24"/>
                <w:lang w:val="sr-Cyrl-CS"/>
              </w:rPr>
              <w:t>Unapređenje</w:t>
            </w:r>
            <w:r w:rsidR="00054E2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rada</w:t>
            </w:r>
            <w:r w:rsidR="002F2CC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nadzornih</w:t>
            </w:r>
            <w:r w:rsidR="002F2CC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organa</w:t>
            </w:r>
            <w:r w:rsidR="002F2CC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po</w:t>
            </w:r>
            <w:r w:rsidR="002F2CC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Zakonu</w:t>
            </w:r>
            <w:r w:rsidR="002F2CC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o</w:t>
            </w:r>
            <w:r w:rsidR="002F2CC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sprečavanju</w:t>
            </w:r>
            <w:r w:rsidR="002F2CC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pranja</w:t>
            </w:r>
            <w:r w:rsidR="002F2CC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novca</w:t>
            </w:r>
            <w:r w:rsidR="002F2CC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</w:t>
            </w:r>
            <w:r w:rsidR="002F2CC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finansiranja</w:t>
            </w:r>
            <w:r w:rsidR="002F2CC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terorizma</w:t>
            </w:r>
            <w:r w:rsidR="002F2CC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u</w:t>
            </w:r>
            <w:r w:rsidR="002F2CC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skladu</w:t>
            </w:r>
            <w:r w:rsidR="002F2CC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sa</w:t>
            </w:r>
            <w:r w:rsidR="002F2CC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rizicima</w:t>
            </w:r>
            <w:r w:rsidR="002F2CC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utvrđenim</w:t>
            </w:r>
            <w:r w:rsidR="002F2CC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u</w:t>
            </w:r>
            <w:r w:rsidR="002F2CC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nacionalnoj</w:t>
            </w:r>
            <w:r w:rsidR="0065437A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proceni</w:t>
            </w:r>
            <w:r w:rsidR="0065437A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rizika</w:t>
            </w:r>
            <w:bookmarkEnd w:id="10"/>
          </w:p>
        </w:tc>
      </w:tr>
      <w:tr w:rsidR="002F2CC6" w:rsidRPr="001A4D2F" w:rsidTr="00DF0DDF">
        <w:trPr>
          <w:trHeight w:val="300"/>
        </w:trPr>
        <w:tc>
          <w:tcPr>
            <w:tcW w:w="1414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2F2CC6" w:rsidRPr="001A4D2F" w:rsidRDefault="00DF098D" w:rsidP="00C11F8E">
            <w:pPr>
              <w:rPr>
                <w:lang w:val="sr-Cyrl-CS"/>
              </w:rPr>
            </w:pPr>
            <w:r>
              <w:rPr>
                <w:rFonts w:eastAsia="Times New Roman"/>
                <w:color w:val="222222"/>
                <w:lang w:val="sr-Cyrl-CS"/>
              </w:rPr>
              <w:t>Institucija</w:t>
            </w:r>
            <w:r w:rsidR="002F2CC6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odgovorna</w:t>
            </w:r>
            <w:r w:rsidR="002F2CC6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za</w:t>
            </w:r>
            <w:r w:rsidR="002F2CC6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praćenje</w:t>
            </w:r>
            <w:r w:rsidR="002F2CC6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i</w:t>
            </w:r>
            <w:r w:rsidR="002F2CC6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kontrolu</w:t>
            </w:r>
            <w:r w:rsidR="002F2CC6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realizacije</w:t>
            </w:r>
            <w:r w:rsidR="002F2CC6" w:rsidRPr="001A4D2F">
              <w:rPr>
                <w:rFonts w:eastAsia="Times New Roman"/>
                <w:color w:val="222222"/>
                <w:lang w:val="sr-Cyrl-CS"/>
              </w:rPr>
              <w:t xml:space="preserve">: </w:t>
            </w:r>
            <w:r>
              <w:rPr>
                <w:rFonts w:eastAsia="Times New Roman"/>
                <w:color w:val="222222"/>
                <w:lang w:val="sr-Cyrl-CS"/>
              </w:rPr>
              <w:t>Koordinaciono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telo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za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sprečavanje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pranja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novca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i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finansiranja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terorizma</w:t>
            </w:r>
          </w:p>
        </w:tc>
      </w:tr>
      <w:tr w:rsidR="002F2CC6" w:rsidRPr="001A4D2F" w:rsidTr="00DF0DDF">
        <w:trPr>
          <w:trHeight w:val="300"/>
        </w:trPr>
        <w:tc>
          <w:tcPr>
            <w:tcW w:w="69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F2CC6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Period</w:t>
            </w:r>
            <w:r w:rsidR="002F2CC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sprovođenja</w:t>
            </w:r>
            <w:r w:rsidR="002F2CC6" w:rsidRPr="001A4D2F">
              <w:rPr>
                <w:lang w:val="sr-Cyrl-CS"/>
              </w:rPr>
              <w:t>:</w:t>
            </w:r>
            <w:r w:rsidR="006F2E9B" w:rsidRPr="001A4D2F">
              <w:rPr>
                <w:lang w:val="sr-Cyrl-CS"/>
              </w:rPr>
              <w:t>2020-2022.</w:t>
            </w:r>
          </w:p>
        </w:tc>
        <w:tc>
          <w:tcPr>
            <w:tcW w:w="72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2F2CC6" w:rsidRPr="001A4D2F" w:rsidRDefault="00DF098D" w:rsidP="00077619">
            <w:pPr>
              <w:rPr>
                <w:lang w:val="sr-Cyrl-CS"/>
              </w:rPr>
            </w:pPr>
            <w:r>
              <w:rPr>
                <w:lang w:val="sr-Cyrl-CS"/>
              </w:rPr>
              <w:t>Tip</w:t>
            </w:r>
            <w:r w:rsidR="002F2CC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2F2CC6" w:rsidRPr="001A4D2F">
              <w:rPr>
                <w:lang w:val="sr-Cyrl-CS"/>
              </w:rPr>
              <w:t>:</w:t>
            </w:r>
            <w:r w:rsidR="006F2E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Institucionalno</w:t>
            </w:r>
            <w:r w:rsidR="006F2E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upravljačko</w:t>
            </w:r>
            <w:r w:rsidR="006F2E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organizaciona</w:t>
            </w:r>
          </w:p>
        </w:tc>
      </w:tr>
      <w:tr w:rsidR="00DF0DDF" w:rsidRPr="001A4D2F" w:rsidTr="00DF0DDF">
        <w:trPr>
          <w:trHeight w:val="955"/>
        </w:trPr>
        <w:tc>
          <w:tcPr>
            <w:tcW w:w="351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Pokazatelj</w:t>
            </w:r>
            <w:r w:rsidR="00DF0DDF" w:rsidRPr="001A4D2F">
              <w:rPr>
                <w:lang w:val="sr-Cyrl-CS"/>
              </w:rPr>
              <w:t>(</w:t>
            </w:r>
            <w:r>
              <w:rPr>
                <w:lang w:val="sr-Cyrl-CS"/>
              </w:rPr>
              <w:t>i</w:t>
            </w:r>
            <w:r w:rsidR="00DF0DDF" w:rsidRPr="001A4D2F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na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nivou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DF0DDF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pokazatelj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rezultata</w:t>
            </w:r>
            <w:r w:rsidR="00DF0DDF" w:rsidRPr="001A4D2F">
              <w:rPr>
                <w:lang w:val="sr-Cyrl-CS"/>
              </w:rPr>
              <w:t>)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</w:t>
            </w:r>
            <w:r w:rsidR="00DF098D">
              <w:rPr>
                <w:lang w:val="sr-Cyrl-CS"/>
              </w:rPr>
              <w:t>edinica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mere</w:t>
            </w:r>
          </w:p>
          <w:p w:rsidR="00DF0DDF" w:rsidRPr="001A4D2F" w:rsidRDefault="00DF0DDF" w:rsidP="00C11F8E">
            <w:pPr>
              <w:rPr>
                <w:lang w:val="sr-Cyrl-CS"/>
              </w:rPr>
            </w:pP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Izvor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provere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Početna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DF0DDF" w:rsidRPr="001A4D2F">
              <w:rPr>
                <w:lang w:val="sr-Cyrl-CS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Bazna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godina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DF0DDF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DF0DDF" w:rsidRPr="001A4D2F">
              <w:rPr>
                <w:lang w:val="sr-Cyrl-CS"/>
              </w:rPr>
              <w:t xml:space="preserve"> 2020.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DF0DDF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DF0DDF" w:rsidRPr="001A4D2F">
              <w:rPr>
                <w:lang w:val="sr-Cyrl-CS"/>
              </w:rPr>
              <w:t xml:space="preserve"> 2021.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DF0DDF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885F9C" w:rsidRPr="001A4D2F">
              <w:rPr>
                <w:lang w:val="sr-Cyrl-CS"/>
              </w:rPr>
              <w:t xml:space="preserve"> 2022.</w:t>
            </w:r>
          </w:p>
        </w:tc>
      </w:tr>
      <w:tr w:rsidR="002F2CC6" w:rsidRPr="001A4D2F" w:rsidTr="00DF0DDF">
        <w:trPr>
          <w:trHeight w:val="304"/>
        </w:trPr>
        <w:tc>
          <w:tcPr>
            <w:tcW w:w="35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F2CC6" w:rsidRPr="001A4D2F" w:rsidRDefault="00DF098D" w:rsidP="00434EDC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Zadržan</w:t>
            </w:r>
            <w:r w:rsidR="00434ED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kontinuitet</w:t>
            </w:r>
            <w:r w:rsidR="00434ED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434ED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unapređeno</w:t>
            </w:r>
            <w:r w:rsidR="00434ED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sprovođenje</w:t>
            </w:r>
            <w:r w:rsidR="00434ED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nadzora</w:t>
            </w:r>
            <w:r w:rsidR="006C4E6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zasnovanog</w:t>
            </w:r>
            <w:r w:rsidR="002F2CC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</w:t>
            </w:r>
            <w:r w:rsidR="002F2CC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proceni</w:t>
            </w:r>
            <w:r w:rsidR="002F2CC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rizika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F2CC6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  <w:r w:rsidR="006C4E6E" w:rsidRPr="001A4D2F">
              <w:rPr>
                <w:lang w:val="sr-Cyrl-CS"/>
              </w:rPr>
              <w:t>/</w:t>
            </w:r>
            <w:r>
              <w:rPr>
                <w:lang w:val="sr-Cyrl-CS"/>
              </w:rPr>
              <w:t>Ne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F2CC6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Izveštaji</w:t>
            </w:r>
            <w:r w:rsidR="002F2CC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nadzornih</w:t>
            </w:r>
            <w:r w:rsidR="002F2CC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organa</w:t>
            </w:r>
            <w:r w:rsidR="006C4E6E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Izveštaj</w:t>
            </w:r>
            <w:r w:rsidR="006C4E6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Manivala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F2CC6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F2CC6" w:rsidRPr="001A4D2F" w:rsidRDefault="002F2CC6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2F2CC6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F2CC6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F2CC6" w:rsidRPr="001A4D2F" w:rsidRDefault="00DF098D" w:rsidP="00C11F8E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</w:tr>
    </w:tbl>
    <w:p w:rsidR="00F43ECD" w:rsidRPr="001A4D2F" w:rsidRDefault="00F43ECD" w:rsidP="00C11F8E">
      <w:pPr>
        <w:rPr>
          <w:lang w:val="sr-Cyrl-CS"/>
        </w:rPr>
      </w:pPr>
    </w:p>
    <w:p w:rsidR="002F2CC6" w:rsidRDefault="002F2CC6" w:rsidP="00C11F8E"/>
    <w:p w:rsidR="00D527DB" w:rsidRDefault="00D527DB" w:rsidP="00C11F8E"/>
    <w:p w:rsidR="00D527DB" w:rsidRDefault="00D527DB" w:rsidP="00C11F8E"/>
    <w:p w:rsidR="00D527DB" w:rsidRDefault="00D527DB" w:rsidP="00C11F8E"/>
    <w:p w:rsidR="00D527DB" w:rsidRPr="00D527DB" w:rsidRDefault="00D527DB" w:rsidP="00C11F8E"/>
    <w:tbl>
      <w:tblPr>
        <w:tblStyle w:val="TableGrid"/>
        <w:tblW w:w="5000" w:type="pct"/>
        <w:tblLayout w:type="fixed"/>
        <w:tblLook w:val="04A0"/>
      </w:tblPr>
      <w:tblGrid>
        <w:gridCol w:w="2392"/>
        <w:gridCol w:w="1143"/>
        <w:gridCol w:w="1236"/>
        <w:gridCol w:w="1157"/>
        <w:gridCol w:w="1568"/>
        <w:gridCol w:w="1154"/>
        <w:gridCol w:w="1837"/>
        <w:gridCol w:w="1525"/>
        <w:gridCol w:w="2163"/>
      </w:tblGrid>
      <w:tr w:rsidR="00D53854" w:rsidRPr="001A4D2F" w:rsidTr="00D53854">
        <w:trPr>
          <w:trHeight w:val="140"/>
          <w:tblHeader/>
        </w:trPr>
        <w:tc>
          <w:tcPr>
            <w:tcW w:w="844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D53854" w:rsidRPr="00D527DB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Naziv</w:t>
            </w:r>
            <w:r w:rsidR="00D53854" w:rsidRPr="00D527D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aktivnosti</w:t>
            </w:r>
            <w:r w:rsidR="00D53854" w:rsidRPr="00D527DB">
              <w:rPr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40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D527DB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Organ</w:t>
            </w:r>
            <w:r w:rsidR="00D53854" w:rsidRPr="00D527D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koji</w:t>
            </w:r>
            <w:r w:rsidR="00D53854" w:rsidRPr="00D527D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sprovodi</w:t>
            </w:r>
            <w:r w:rsidR="00D53854" w:rsidRPr="00D527D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aktivnost</w:t>
            </w:r>
          </w:p>
        </w:tc>
        <w:tc>
          <w:tcPr>
            <w:tcW w:w="436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D527DB" w:rsidRDefault="00D53854" w:rsidP="00C11F8E">
            <w:pPr>
              <w:rPr>
                <w:b/>
                <w:sz w:val="18"/>
                <w:szCs w:val="18"/>
                <w:lang w:val="sr-Cyrl-CS"/>
              </w:rPr>
            </w:pPr>
            <w:r w:rsidRPr="00D527DB">
              <w:rPr>
                <w:b/>
                <w:sz w:val="18"/>
                <w:szCs w:val="18"/>
                <w:lang w:val="sr-Cyrl-CS"/>
              </w:rPr>
              <w:t>O</w:t>
            </w:r>
            <w:r w:rsidR="00DF098D">
              <w:rPr>
                <w:b/>
                <w:sz w:val="18"/>
                <w:szCs w:val="18"/>
                <w:lang w:val="sr-Cyrl-CS"/>
              </w:rPr>
              <w:t>rgani</w:t>
            </w:r>
            <w:r w:rsidRPr="00D527DB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partneri</w:t>
            </w:r>
            <w:r w:rsidRPr="00D527DB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u</w:t>
            </w:r>
            <w:r w:rsidRPr="00D527DB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sprovođenju</w:t>
            </w:r>
            <w:r w:rsidRPr="00D527DB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aktivnosti</w:t>
            </w:r>
          </w:p>
        </w:tc>
        <w:tc>
          <w:tcPr>
            <w:tcW w:w="40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D527DB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Rok</w:t>
            </w:r>
            <w:r w:rsidR="00D53854" w:rsidRPr="00D527D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za</w:t>
            </w:r>
            <w:r w:rsidR="00D53854" w:rsidRPr="00D527D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završetak</w:t>
            </w:r>
            <w:r w:rsidR="00D53854" w:rsidRPr="00D527D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aktivnosti</w:t>
            </w:r>
          </w:p>
        </w:tc>
        <w:tc>
          <w:tcPr>
            <w:tcW w:w="55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D527DB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Izvor</w:t>
            </w:r>
            <w:r w:rsidR="00D53854" w:rsidRPr="00D527D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finansiranja</w:t>
            </w:r>
          </w:p>
        </w:tc>
        <w:tc>
          <w:tcPr>
            <w:tcW w:w="407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D527DB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Veza</w:t>
            </w:r>
            <w:r w:rsidR="00D53854" w:rsidRPr="00D527D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sa</w:t>
            </w:r>
            <w:r w:rsidR="00D53854" w:rsidRPr="00D527D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4"/>
                <w:szCs w:val="14"/>
                <w:lang w:val="sr-Cyrl-CS"/>
              </w:rPr>
              <w:t>programskim</w:t>
            </w:r>
            <w:r w:rsidR="00D53854" w:rsidRPr="00D527DB">
              <w:rPr>
                <w:b/>
                <w:sz w:val="14"/>
                <w:szCs w:val="14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budžetom</w:t>
            </w:r>
          </w:p>
          <w:p w:rsidR="00D53854" w:rsidRPr="00D527DB" w:rsidRDefault="00D5385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949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D53854" w:rsidRPr="00D527DB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Ukupna</w:t>
            </w:r>
            <w:r w:rsidR="00D53854" w:rsidRPr="00D527D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procenjena</w:t>
            </w:r>
            <w:r w:rsidR="00D53854" w:rsidRPr="00D527D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finansijska</w:t>
            </w:r>
            <w:r w:rsidR="00D53854" w:rsidRPr="00D527D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sredstva</w:t>
            </w:r>
            <w:r w:rsidR="00D53854" w:rsidRPr="00D527D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po</w:t>
            </w:r>
            <w:r w:rsidR="00D53854" w:rsidRPr="00D527D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izvorima</w:t>
            </w:r>
            <w:r w:rsidR="00D53854" w:rsidRPr="00D527D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u</w:t>
            </w:r>
            <w:r w:rsidR="00D53854" w:rsidRPr="00D527DB">
              <w:rPr>
                <w:b/>
                <w:sz w:val="18"/>
                <w:szCs w:val="18"/>
                <w:lang w:val="sr-Cyrl-CS"/>
              </w:rPr>
              <w:t xml:space="preserve"> 000 </w:t>
            </w:r>
            <w:r>
              <w:rPr>
                <w:b/>
                <w:sz w:val="18"/>
                <w:szCs w:val="18"/>
                <w:lang w:val="sr-Cyrl-CS"/>
              </w:rPr>
              <w:t>din</w:t>
            </w:r>
            <w:r w:rsidR="00D53854" w:rsidRPr="00D527DB">
              <w:rPr>
                <w:b/>
                <w:sz w:val="18"/>
                <w:szCs w:val="18"/>
                <w:lang w:val="sr-Cyrl-CS"/>
              </w:rPr>
              <w:t>.</w:t>
            </w:r>
            <w:r w:rsidR="00D53854" w:rsidRPr="00D527DB">
              <w:rPr>
                <w:rStyle w:val="FootnoteReference"/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DB34B7" w:rsidRPr="001A4D2F" w:rsidTr="00DB34B7">
        <w:trPr>
          <w:trHeight w:val="386"/>
          <w:tblHeader/>
        </w:trPr>
        <w:tc>
          <w:tcPr>
            <w:tcW w:w="844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DB34B7" w:rsidRPr="00D527DB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03" w:type="pct"/>
            <w:vMerge/>
            <w:shd w:val="clear" w:color="auto" w:fill="E5DFEC" w:themeFill="accent4" w:themeFillTint="33"/>
          </w:tcPr>
          <w:p w:rsidR="00DB34B7" w:rsidRPr="00D527DB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36" w:type="pct"/>
            <w:vMerge/>
            <w:shd w:val="clear" w:color="auto" w:fill="E5DFEC" w:themeFill="accent4" w:themeFillTint="33"/>
          </w:tcPr>
          <w:p w:rsidR="00DB34B7" w:rsidRPr="00D527DB" w:rsidRDefault="00DB34B7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08" w:type="pct"/>
            <w:vMerge/>
            <w:shd w:val="clear" w:color="auto" w:fill="E5DFEC" w:themeFill="accent4" w:themeFillTint="33"/>
          </w:tcPr>
          <w:p w:rsidR="00DB34B7" w:rsidRPr="00D527DB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53" w:type="pct"/>
            <w:vMerge/>
            <w:shd w:val="clear" w:color="auto" w:fill="E5DFEC" w:themeFill="accent4" w:themeFillTint="33"/>
          </w:tcPr>
          <w:p w:rsidR="00DB34B7" w:rsidRPr="00D527DB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407" w:type="pct"/>
            <w:vMerge/>
            <w:shd w:val="clear" w:color="auto" w:fill="E5DFEC" w:themeFill="accent4" w:themeFillTint="33"/>
          </w:tcPr>
          <w:p w:rsidR="00DB34B7" w:rsidRPr="00D527DB" w:rsidRDefault="00DB34B7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648" w:type="pct"/>
            <w:shd w:val="clear" w:color="auto" w:fill="E5DFEC" w:themeFill="accent4" w:themeFillTint="33"/>
          </w:tcPr>
          <w:p w:rsidR="00DB34B7" w:rsidRPr="00D527DB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527DB">
              <w:rPr>
                <w:b/>
                <w:sz w:val="18"/>
                <w:szCs w:val="18"/>
                <w:lang w:val="sr-Cyrl-CS"/>
              </w:rPr>
              <w:t>2020.</w:t>
            </w:r>
          </w:p>
        </w:tc>
        <w:tc>
          <w:tcPr>
            <w:tcW w:w="538" w:type="pct"/>
            <w:shd w:val="clear" w:color="auto" w:fill="E5DFEC" w:themeFill="accent4" w:themeFillTint="33"/>
          </w:tcPr>
          <w:p w:rsidR="00DB34B7" w:rsidRPr="00D527DB" w:rsidRDefault="00DB34B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527DB">
              <w:rPr>
                <w:b/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763" w:type="pct"/>
            <w:shd w:val="clear" w:color="auto" w:fill="E5DFEC" w:themeFill="accent4" w:themeFillTint="33"/>
          </w:tcPr>
          <w:p w:rsidR="00DB34B7" w:rsidRPr="00D527DB" w:rsidRDefault="00DB34B7" w:rsidP="00DB34B7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527DB">
              <w:rPr>
                <w:b/>
                <w:sz w:val="18"/>
                <w:szCs w:val="18"/>
                <w:lang w:val="sr-Cyrl-CS"/>
              </w:rPr>
              <w:t>2022.</w:t>
            </w:r>
          </w:p>
        </w:tc>
      </w:tr>
      <w:tr w:rsidR="0022234E" w:rsidRPr="001A4D2F" w:rsidTr="00434EDC">
        <w:trPr>
          <w:trHeight w:val="1159"/>
        </w:trPr>
        <w:tc>
          <w:tcPr>
            <w:tcW w:w="844" w:type="pct"/>
            <w:tcBorders>
              <w:left w:val="double" w:sz="4" w:space="0" w:color="auto"/>
            </w:tcBorders>
          </w:tcPr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2.3.1. </w:t>
            </w:r>
            <w:r w:rsidR="00DF098D">
              <w:rPr>
                <w:lang w:val="sr-Cyrl-CS"/>
              </w:rPr>
              <w:t>Unaprediti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metodologiju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nadzora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skladu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nalazima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ažurirane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nacionalne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procene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</w:p>
        </w:tc>
        <w:tc>
          <w:tcPr>
            <w:tcW w:w="403" w:type="pct"/>
          </w:tcPr>
          <w:p w:rsidR="0022234E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36" w:type="pct"/>
          </w:tcPr>
          <w:p w:rsidR="0022234E" w:rsidRPr="001A4D2F" w:rsidRDefault="00DF098D" w:rsidP="00C642CC">
            <w:pPr>
              <w:rPr>
                <w:lang w:val="sr-Cyrl-CS"/>
              </w:rPr>
            </w:pPr>
            <w:r>
              <w:rPr>
                <w:lang w:val="sr-Cyrl-CS"/>
              </w:rPr>
              <w:t>Nadzorni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  <w:r w:rsidR="0022234E" w:rsidRPr="001A4D2F">
              <w:rPr>
                <w:lang w:val="sr-Cyrl-CS"/>
              </w:rPr>
              <w:t xml:space="preserve"> </w:t>
            </w:r>
          </w:p>
        </w:tc>
        <w:tc>
          <w:tcPr>
            <w:tcW w:w="408" w:type="pct"/>
          </w:tcPr>
          <w:p w:rsidR="0022234E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Četvrti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kvartal</w:t>
            </w:r>
            <w:r w:rsidR="0022234E" w:rsidRPr="001A4D2F">
              <w:rPr>
                <w:lang w:val="sr-Cyrl-CS"/>
              </w:rPr>
              <w:t xml:space="preserve"> 2022. </w:t>
            </w:r>
            <w:r>
              <w:rPr>
                <w:lang w:val="sr-Cyrl-CS"/>
              </w:rPr>
              <w:t>godine</w:t>
            </w:r>
          </w:p>
        </w:tc>
        <w:tc>
          <w:tcPr>
            <w:tcW w:w="553" w:type="pct"/>
          </w:tcPr>
          <w:p w:rsidR="0022234E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7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</w:tr>
      <w:tr w:rsidR="0022234E" w:rsidRPr="001A4D2F" w:rsidTr="00DB34B7">
        <w:trPr>
          <w:trHeight w:val="1611"/>
        </w:trPr>
        <w:tc>
          <w:tcPr>
            <w:tcW w:w="844" w:type="pct"/>
            <w:tcBorders>
              <w:left w:val="double" w:sz="4" w:space="0" w:color="auto"/>
            </w:tcBorders>
          </w:tcPr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2.3.2. </w:t>
            </w:r>
            <w:r w:rsidR="00DF098D">
              <w:rPr>
                <w:lang w:val="sr-Cyrl-CS"/>
              </w:rPr>
              <w:t>Uskladiti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akta</w:t>
            </w:r>
            <w:r w:rsidRPr="001A4D2F">
              <w:rPr>
                <w:lang w:val="sr-Cyrl-CS"/>
              </w:rPr>
              <w:t xml:space="preserve"> (</w:t>
            </w:r>
            <w:r w:rsidR="00DF098D">
              <w:rPr>
                <w:lang w:val="sr-Cyrl-CS"/>
              </w:rPr>
              <w:t>smernice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procenu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od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PN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FT</w:t>
            </w:r>
            <w:r w:rsidRPr="001A4D2F">
              <w:rPr>
                <w:lang w:val="sr-Cyrl-CS"/>
              </w:rPr>
              <w:t xml:space="preserve">) </w:t>
            </w:r>
            <w:r w:rsidR="00DF098D">
              <w:rPr>
                <w:lang w:val="sr-Cyrl-CS"/>
              </w:rPr>
              <w:t>nadzornih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organa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izmenama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dopunama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Zakona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sprečavanju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</w:p>
        </w:tc>
        <w:tc>
          <w:tcPr>
            <w:tcW w:w="403" w:type="pct"/>
          </w:tcPr>
          <w:p w:rsidR="0022234E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36" w:type="pct"/>
          </w:tcPr>
          <w:p w:rsidR="0022234E" w:rsidRPr="001A4D2F" w:rsidRDefault="00DF098D" w:rsidP="00C642CC">
            <w:pPr>
              <w:rPr>
                <w:lang w:val="sr-Cyrl-CS"/>
              </w:rPr>
            </w:pPr>
            <w:r>
              <w:rPr>
                <w:lang w:val="sr-Cyrl-CS"/>
              </w:rPr>
              <w:t>Nadzorni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  <w:r w:rsidR="0022234E" w:rsidRPr="001A4D2F">
              <w:rPr>
                <w:lang w:val="sr-Cyrl-CS"/>
              </w:rPr>
              <w:t xml:space="preserve"> </w:t>
            </w:r>
          </w:p>
        </w:tc>
        <w:tc>
          <w:tcPr>
            <w:tcW w:w="408" w:type="pct"/>
          </w:tcPr>
          <w:p w:rsidR="0022234E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April</w:t>
            </w:r>
            <w:r w:rsidR="0022234E" w:rsidRPr="001A4D2F">
              <w:rPr>
                <w:lang w:val="sr-Cyrl-CS"/>
              </w:rPr>
              <w:t xml:space="preserve"> 2020. </w:t>
            </w:r>
            <w:r>
              <w:rPr>
                <w:lang w:val="sr-Cyrl-CS"/>
              </w:rPr>
              <w:t>godine</w:t>
            </w:r>
          </w:p>
        </w:tc>
        <w:tc>
          <w:tcPr>
            <w:tcW w:w="553" w:type="pct"/>
          </w:tcPr>
          <w:p w:rsidR="0022234E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  <w:r w:rsidR="0022234E" w:rsidRPr="001A4D2F">
              <w:rPr>
                <w:lang w:val="sr-Cyrl-CS"/>
              </w:rPr>
              <w:t xml:space="preserve"> </w:t>
            </w:r>
          </w:p>
        </w:tc>
        <w:tc>
          <w:tcPr>
            <w:tcW w:w="407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</w:tr>
      <w:tr w:rsidR="0022234E" w:rsidRPr="001A4D2F" w:rsidTr="00DB34B7">
        <w:trPr>
          <w:trHeight w:val="1127"/>
        </w:trPr>
        <w:tc>
          <w:tcPr>
            <w:tcW w:w="844" w:type="pct"/>
            <w:tcBorders>
              <w:left w:val="double" w:sz="4" w:space="0" w:color="auto"/>
            </w:tcBorders>
          </w:tcPr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2.3.3. </w:t>
            </w:r>
            <w:r w:rsidR="00DF098D">
              <w:rPr>
                <w:lang w:val="sr-Cyrl-CS"/>
              </w:rPr>
              <w:t>Izraditi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metodologiju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rada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matrice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procenu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lica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bave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poštanskim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saobraćajem</w:t>
            </w:r>
          </w:p>
        </w:tc>
        <w:tc>
          <w:tcPr>
            <w:tcW w:w="403" w:type="pct"/>
          </w:tcPr>
          <w:p w:rsidR="0022234E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MTTT</w:t>
            </w:r>
            <w:r w:rsidR="0022234E" w:rsidRPr="001A4D2F">
              <w:rPr>
                <w:lang w:val="sr-Cyrl-CS"/>
              </w:rPr>
              <w:t xml:space="preserve"> – </w:t>
            </w:r>
            <w:r>
              <w:rPr>
                <w:lang w:val="sr-Cyrl-CS"/>
              </w:rPr>
              <w:t>grupa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nadzor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oblasti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poštanskog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saobraćaja</w:t>
            </w:r>
          </w:p>
        </w:tc>
        <w:tc>
          <w:tcPr>
            <w:tcW w:w="436" w:type="pct"/>
          </w:tcPr>
          <w:p w:rsidR="0022234E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USPN</w:t>
            </w:r>
          </w:p>
        </w:tc>
        <w:tc>
          <w:tcPr>
            <w:tcW w:w="408" w:type="pct"/>
          </w:tcPr>
          <w:p w:rsidR="0022234E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Jun</w:t>
            </w:r>
            <w:r w:rsidR="0022234E" w:rsidRPr="001A4D2F">
              <w:rPr>
                <w:lang w:val="sr-Cyrl-CS"/>
              </w:rPr>
              <w:t xml:space="preserve"> 2020</w:t>
            </w:r>
          </w:p>
        </w:tc>
        <w:tc>
          <w:tcPr>
            <w:tcW w:w="553" w:type="pct"/>
          </w:tcPr>
          <w:p w:rsidR="0022234E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7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</w:tr>
      <w:tr w:rsidR="0022234E" w:rsidRPr="001A4D2F" w:rsidTr="00DB34B7">
        <w:trPr>
          <w:trHeight w:val="988"/>
        </w:trPr>
        <w:tc>
          <w:tcPr>
            <w:tcW w:w="844" w:type="pct"/>
            <w:tcBorders>
              <w:left w:val="double" w:sz="4" w:space="0" w:color="auto"/>
            </w:tcBorders>
          </w:tcPr>
          <w:p w:rsidR="0022234E" w:rsidRPr="001A4D2F" w:rsidRDefault="0022234E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2.3.4. </w:t>
            </w:r>
            <w:r w:rsidR="00DF098D">
              <w:rPr>
                <w:lang w:val="sr-Cyrl-CS"/>
              </w:rPr>
              <w:t>Izraditi</w:t>
            </w:r>
            <w:r w:rsidR="00E31352"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odnosno</w:t>
            </w:r>
            <w:r w:rsidR="00E31352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unaprediti</w:t>
            </w:r>
            <w:r w:rsidR="00E31352"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za</w:t>
            </w:r>
            <w:r w:rsidR="00E31352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obveznike</w:t>
            </w:r>
            <w:r w:rsidR="00E31352"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liste</w:t>
            </w:r>
            <w:r w:rsidR="00E31352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indikatora</w:t>
            </w:r>
            <w:r w:rsidR="00E31352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="00E31352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prepoznavanje</w:t>
            </w:r>
            <w:r w:rsidR="00E31352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sumnjivih</w:t>
            </w:r>
            <w:r w:rsidR="00E31352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aktivnosti</w:t>
            </w:r>
          </w:p>
        </w:tc>
        <w:tc>
          <w:tcPr>
            <w:tcW w:w="403" w:type="pct"/>
          </w:tcPr>
          <w:p w:rsidR="0022234E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USPN</w:t>
            </w:r>
          </w:p>
        </w:tc>
        <w:tc>
          <w:tcPr>
            <w:tcW w:w="436" w:type="pct"/>
          </w:tcPr>
          <w:p w:rsidR="0022234E" w:rsidRPr="001A4D2F" w:rsidRDefault="00DF098D" w:rsidP="00C642CC">
            <w:pPr>
              <w:rPr>
                <w:lang w:val="sr-Cyrl-CS"/>
              </w:rPr>
            </w:pPr>
            <w:r>
              <w:rPr>
                <w:lang w:val="sr-Cyrl-CS"/>
              </w:rPr>
              <w:t>Nadzorni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  <w:r w:rsidR="0022234E" w:rsidRPr="001A4D2F">
              <w:rPr>
                <w:lang w:val="sr-Cyrl-CS"/>
              </w:rPr>
              <w:t xml:space="preserve"> </w:t>
            </w:r>
          </w:p>
        </w:tc>
        <w:tc>
          <w:tcPr>
            <w:tcW w:w="408" w:type="pct"/>
          </w:tcPr>
          <w:p w:rsidR="0022234E" w:rsidRPr="00D527DB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Četvrti</w:t>
            </w:r>
            <w:r w:rsidR="0022234E" w:rsidRPr="00D527DB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kvartal</w:t>
            </w:r>
            <w:r w:rsidR="0022234E" w:rsidRPr="00D527DB">
              <w:rPr>
                <w:lang w:val="sr-Cyrl-CS"/>
              </w:rPr>
              <w:t xml:space="preserve"> 2022. </w:t>
            </w:r>
            <w:r>
              <w:rPr>
                <w:lang w:val="sr-Cyrl-CS"/>
              </w:rPr>
              <w:t>godine</w:t>
            </w:r>
            <w:r w:rsidR="0022234E" w:rsidRPr="00D527DB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kontinuirana</w:t>
            </w:r>
            <w:r w:rsidR="0022234E" w:rsidRPr="00D527DB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</w:t>
            </w:r>
            <w:r w:rsidR="0022234E" w:rsidRPr="00D527DB">
              <w:rPr>
                <w:lang w:val="sr-Cyrl-CS"/>
              </w:rPr>
              <w:t>)</w:t>
            </w:r>
          </w:p>
        </w:tc>
        <w:tc>
          <w:tcPr>
            <w:tcW w:w="553" w:type="pct"/>
          </w:tcPr>
          <w:p w:rsidR="0022234E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7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</w:tr>
      <w:tr w:rsidR="0022234E" w:rsidRPr="001A4D2F" w:rsidTr="00867224">
        <w:trPr>
          <w:trHeight w:val="339"/>
        </w:trPr>
        <w:tc>
          <w:tcPr>
            <w:tcW w:w="844" w:type="pct"/>
            <w:tcBorders>
              <w:left w:val="double" w:sz="4" w:space="0" w:color="auto"/>
            </w:tcBorders>
          </w:tcPr>
          <w:p w:rsidR="0022234E" w:rsidRPr="001A4D2F" w:rsidRDefault="0022234E" w:rsidP="00074670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2.3.5. </w:t>
            </w:r>
            <w:r w:rsidR="00DF098D">
              <w:rPr>
                <w:lang w:val="sr-Cyrl-CS"/>
              </w:rPr>
              <w:t>Analiza</w:t>
            </w:r>
            <w:r w:rsidR="00074670" w:rsidRPr="001A4D2F">
              <w:rPr>
                <w:lang w:val="sr-Cyrl-CS"/>
              </w:rPr>
              <w:t xml:space="preserve"> 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kapaciteta</w:t>
            </w:r>
            <w:r w:rsidRPr="001A4D2F">
              <w:rPr>
                <w:lang w:val="sr-Cyrl-CS"/>
              </w:rPr>
              <w:t xml:space="preserve"> (</w:t>
            </w:r>
            <w:r w:rsidR="00DF098D">
              <w:rPr>
                <w:lang w:val="sr-Cyrl-CS"/>
              </w:rPr>
              <w:t>kadrovskih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tehničkih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finansijskih</w:t>
            </w:r>
            <w:r w:rsidRPr="001A4D2F">
              <w:rPr>
                <w:lang w:val="sr-Cyrl-CS"/>
              </w:rPr>
              <w:t xml:space="preserve">) </w:t>
            </w:r>
            <w:r w:rsidR="00DF098D">
              <w:rPr>
                <w:lang w:val="sr-Cyrl-CS"/>
              </w:rPr>
              <w:t>relevantnih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nadležnih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organa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profesionalni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razvoj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osoblja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različitih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organa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koji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uključeni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sistem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SPN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FT</w:t>
            </w:r>
            <w:r w:rsidRPr="001A4D2F">
              <w:rPr>
                <w:lang w:val="sr-Cyrl-CS"/>
              </w:rPr>
              <w:t xml:space="preserve"> (</w:t>
            </w:r>
            <w:r w:rsidR="00DF098D">
              <w:rPr>
                <w:lang w:val="sr-Cyrl-CS"/>
              </w:rPr>
              <w:t>Zakon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SPN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Zakon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ograničavanju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raspolaganja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imovinom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cilju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sprečavanja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širenja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oružja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masovno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uništenje</w:t>
            </w:r>
            <w:r w:rsidRPr="001A4D2F">
              <w:rPr>
                <w:lang w:val="sr-Cyrl-CS"/>
              </w:rPr>
              <w:t>)</w:t>
            </w:r>
          </w:p>
        </w:tc>
        <w:tc>
          <w:tcPr>
            <w:tcW w:w="403" w:type="pct"/>
          </w:tcPr>
          <w:p w:rsidR="0022234E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36" w:type="pct"/>
          </w:tcPr>
          <w:p w:rsidR="0022234E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Resorna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ministarstva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nadzorni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</w:p>
        </w:tc>
        <w:tc>
          <w:tcPr>
            <w:tcW w:w="408" w:type="pct"/>
          </w:tcPr>
          <w:p w:rsidR="0022234E" w:rsidRPr="001A4D2F" w:rsidRDefault="00DF098D" w:rsidP="00074670">
            <w:pPr>
              <w:rPr>
                <w:lang w:val="sr-Cyrl-CS"/>
              </w:rPr>
            </w:pPr>
            <w:r>
              <w:rPr>
                <w:lang w:val="sr-Cyrl-CS"/>
              </w:rPr>
              <w:t>Četvrti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kvartal</w:t>
            </w:r>
            <w:r w:rsidR="00074670" w:rsidRPr="001A4D2F">
              <w:rPr>
                <w:lang w:val="sr-Cyrl-CS"/>
              </w:rPr>
              <w:t xml:space="preserve"> 2021. </w:t>
            </w:r>
            <w:r>
              <w:rPr>
                <w:lang w:val="sr-Cyrl-CS"/>
              </w:rPr>
              <w:t>godine</w:t>
            </w:r>
            <w:r w:rsidR="00074670" w:rsidRPr="001A4D2F">
              <w:rPr>
                <w:lang w:val="sr-Cyrl-CS"/>
              </w:rPr>
              <w:t xml:space="preserve"> </w:t>
            </w:r>
          </w:p>
        </w:tc>
        <w:tc>
          <w:tcPr>
            <w:tcW w:w="553" w:type="pct"/>
          </w:tcPr>
          <w:p w:rsidR="0022234E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22234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7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22234E" w:rsidRPr="001A4D2F" w:rsidRDefault="0022234E" w:rsidP="00C11F8E">
            <w:pPr>
              <w:rPr>
                <w:lang w:val="sr-Cyrl-CS"/>
              </w:rPr>
            </w:pPr>
          </w:p>
        </w:tc>
      </w:tr>
      <w:tr w:rsidR="00074670" w:rsidRPr="001A4D2F" w:rsidTr="00867224">
        <w:trPr>
          <w:trHeight w:val="339"/>
        </w:trPr>
        <w:tc>
          <w:tcPr>
            <w:tcW w:w="844" w:type="pct"/>
            <w:tcBorders>
              <w:left w:val="double" w:sz="4" w:space="0" w:color="auto"/>
            </w:tcBorders>
          </w:tcPr>
          <w:p w:rsidR="00074670" w:rsidRPr="00D527DB" w:rsidRDefault="00074670" w:rsidP="00074670">
            <w:pPr>
              <w:rPr>
                <w:sz w:val="22"/>
                <w:szCs w:val="22"/>
                <w:lang w:val="sr-Cyrl-CS"/>
              </w:rPr>
            </w:pPr>
            <w:r w:rsidRPr="00D527DB">
              <w:rPr>
                <w:sz w:val="22"/>
                <w:szCs w:val="22"/>
                <w:lang w:val="sr-Cyrl-CS"/>
              </w:rPr>
              <w:t xml:space="preserve">2.3.6 </w:t>
            </w:r>
            <w:r w:rsidR="00DF098D">
              <w:rPr>
                <w:sz w:val="22"/>
                <w:szCs w:val="22"/>
                <w:lang w:val="sr-Cyrl-CS"/>
              </w:rPr>
              <w:t>Unaprediti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kapacitete</w:t>
            </w:r>
            <w:r w:rsidRPr="00D527DB">
              <w:rPr>
                <w:sz w:val="22"/>
                <w:szCs w:val="22"/>
                <w:lang w:val="sr-Cyrl-CS"/>
              </w:rPr>
              <w:t xml:space="preserve">  </w:t>
            </w:r>
            <w:r w:rsidR="00DF098D">
              <w:rPr>
                <w:sz w:val="22"/>
                <w:szCs w:val="22"/>
                <w:lang w:val="sr-Cyrl-CS"/>
              </w:rPr>
              <w:t>nadzornih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organa</w:t>
            </w:r>
            <w:r w:rsidRPr="00D527DB">
              <w:rPr>
                <w:sz w:val="22"/>
                <w:szCs w:val="22"/>
                <w:lang w:val="sr-Cyrl-CS"/>
              </w:rPr>
              <w:t xml:space="preserve">, </w:t>
            </w:r>
            <w:r w:rsidR="00DF098D">
              <w:rPr>
                <w:sz w:val="22"/>
                <w:szCs w:val="22"/>
                <w:lang w:val="sr-Cyrl-CS"/>
              </w:rPr>
              <w:t>po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potrebi</w:t>
            </w:r>
            <w:r w:rsidRPr="00D527DB">
              <w:rPr>
                <w:sz w:val="22"/>
                <w:szCs w:val="22"/>
                <w:lang w:val="sr-Cyrl-CS"/>
              </w:rPr>
              <w:t xml:space="preserve">, </w:t>
            </w:r>
            <w:r w:rsidR="00DF098D">
              <w:rPr>
                <w:sz w:val="22"/>
                <w:szCs w:val="22"/>
                <w:lang w:val="sr-Cyrl-CS"/>
              </w:rPr>
              <w:t>u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skladu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sa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analizom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iz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lastRenderedPageBreak/>
              <w:t>aktivnosti</w:t>
            </w:r>
            <w:r w:rsidRPr="00D527DB">
              <w:rPr>
                <w:sz w:val="22"/>
                <w:szCs w:val="22"/>
                <w:lang w:val="sr-Cyrl-CS"/>
              </w:rPr>
              <w:t xml:space="preserve"> 2.3.5.</w:t>
            </w:r>
          </w:p>
        </w:tc>
        <w:tc>
          <w:tcPr>
            <w:tcW w:w="403" w:type="pct"/>
          </w:tcPr>
          <w:p w:rsidR="00074670" w:rsidRPr="00D527DB" w:rsidRDefault="00DF098D" w:rsidP="0022234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lastRenderedPageBreak/>
              <w:t>VRS</w:t>
            </w:r>
          </w:p>
        </w:tc>
        <w:tc>
          <w:tcPr>
            <w:tcW w:w="436" w:type="pct"/>
          </w:tcPr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Nadzorni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</w:p>
        </w:tc>
        <w:tc>
          <w:tcPr>
            <w:tcW w:w="408" w:type="pct"/>
          </w:tcPr>
          <w:p w:rsidR="00074670" w:rsidRPr="001A4D2F" w:rsidRDefault="00DF098D" w:rsidP="00074670">
            <w:pPr>
              <w:rPr>
                <w:lang w:val="sr-Cyrl-CS"/>
              </w:rPr>
            </w:pPr>
            <w:r>
              <w:rPr>
                <w:lang w:val="sr-Cyrl-CS"/>
              </w:rPr>
              <w:t>Četvrti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kvartal</w:t>
            </w:r>
            <w:r w:rsidR="00074670" w:rsidRPr="001A4D2F">
              <w:rPr>
                <w:lang w:val="sr-Cyrl-CS"/>
              </w:rPr>
              <w:t xml:space="preserve"> 2022. </w:t>
            </w:r>
            <w:r>
              <w:rPr>
                <w:lang w:val="sr-Cyrl-CS"/>
              </w:rPr>
              <w:t>godine</w:t>
            </w:r>
            <w:r w:rsidR="00074670" w:rsidRPr="001A4D2F">
              <w:rPr>
                <w:lang w:val="sr-Cyrl-CS"/>
              </w:rPr>
              <w:t xml:space="preserve"> </w:t>
            </w:r>
          </w:p>
        </w:tc>
        <w:tc>
          <w:tcPr>
            <w:tcW w:w="553" w:type="pct"/>
          </w:tcPr>
          <w:p w:rsidR="00074670" w:rsidRPr="001A4D2F" w:rsidRDefault="00DF098D" w:rsidP="00321E8D">
            <w:pPr>
              <w:rPr>
                <w:lang w:val="sr-Cyrl-CS"/>
              </w:rPr>
            </w:pPr>
            <w:r>
              <w:rPr>
                <w:lang w:val="sr-Cyrl-CS"/>
              </w:rPr>
              <w:t>U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skladu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analizom</w:t>
            </w:r>
          </w:p>
        </w:tc>
        <w:tc>
          <w:tcPr>
            <w:tcW w:w="407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</w:tr>
      <w:tr w:rsidR="00074670" w:rsidRPr="001A4D2F" w:rsidTr="00DB34B7">
        <w:trPr>
          <w:trHeight w:val="140"/>
        </w:trPr>
        <w:tc>
          <w:tcPr>
            <w:tcW w:w="844" w:type="pct"/>
            <w:tcBorders>
              <w:left w:val="double" w:sz="4" w:space="0" w:color="auto"/>
            </w:tcBorders>
            <w:shd w:val="clear" w:color="auto" w:fill="auto"/>
          </w:tcPr>
          <w:p w:rsidR="00074670" w:rsidRPr="001A4D2F" w:rsidRDefault="00074670" w:rsidP="00074670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2.3.7. </w:t>
            </w:r>
            <w:r w:rsidR="00DF098D">
              <w:rPr>
                <w:lang w:val="sr-Cyrl-CS"/>
              </w:rPr>
              <w:t>Obezbediti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nadzoru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svim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sektorima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usvoji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pristup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zasnovan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proceni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koji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uzima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obzir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sektorski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profil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koji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utvrđen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ažuriranoj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nacionalnoj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proceni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uključujući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neposredan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posredan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nadzor</w:t>
            </w:r>
          </w:p>
        </w:tc>
        <w:tc>
          <w:tcPr>
            <w:tcW w:w="403" w:type="pct"/>
            <w:shd w:val="clear" w:color="auto" w:fill="auto"/>
          </w:tcPr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  <w:r w:rsidR="00074670" w:rsidRPr="001A4D2F">
              <w:rPr>
                <w:lang w:val="sr-Cyrl-CS"/>
              </w:rPr>
              <w:t xml:space="preserve"> </w:t>
            </w:r>
          </w:p>
        </w:tc>
        <w:tc>
          <w:tcPr>
            <w:tcW w:w="436" w:type="pct"/>
            <w:shd w:val="clear" w:color="auto" w:fill="auto"/>
          </w:tcPr>
          <w:p w:rsidR="00074670" w:rsidRPr="001A4D2F" w:rsidRDefault="00DF098D" w:rsidP="006C303F">
            <w:pPr>
              <w:rPr>
                <w:lang w:val="sr-Cyrl-CS"/>
              </w:rPr>
            </w:pPr>
            <w:r>
              <w:rPr>
                <w:lang w:val="sr-Cyrl-CS"/>
              </w:rPr>
              <w:t>Nadzorni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  <w:r w:rsidR="00074670" w:rsidRPr="001A4D2F">
              <w:rPr>
                <w:lang w:val="sr-Cyrl-CS"/>
              </w:rPr>
              <w:t xml:space="preserve"> </w:t>
            </w:r>
          </w:p>
        </w:tc>
        <w:tc>
          <w:tcPr>
            <w:tcW w:w="408" w:type="pct"/>
            <w:shd w:val="clear" w:color="auto" w:fill="auto"/>
          </w:tcPr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Četvrti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kvartal</w:t>
            </w:r>
            <w:r w:rsidR="00074670" w:rsidRPr="001A4D2F">
              <w:rPr>
                <w:lang w:val="sr-Cyrl-CS"/>
              </w:rPr>
              <w:t xml:space="preserve"> 2022. </w:t>
            </w:r>
            <w:r>
              <w:rPr>
                <w:lang w:val="sr-Cyrl-CS"/>
              </w:rPr>
              <w:t>godine</w:t>
            </w:r>
          </w:p>
        </w:tc>
        <w:tc>
          <w:tcPr>
            <w:tcW w:w="553" w:type="pct"/>
            <w:shd w:val="clear" w:color="auto" w:fill="auto"/>
          </w:tcPr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7" w:type="pct"/>
            <w:shd w:val="clear" w:color="auto" w:fill="auto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</w:tr>
      <w:tr w:rsidR="00074670" w:rsidRPr="001A4D2F" w:rsidTr="00DB34B7">
        <w:trPr>
          <w:trHeight w:val="140"/>
        </w:trPr>
        <w:tc>
          <w:tcPr>
            <w:tcW w:w="844" w:type="pct"/>
            <w:tcBorders>
              <w:left w:val="double" w:sz="4" w:space="0" w:color="auto"/>
            </w:tcBorders>
          </w:tcPr>
          <w:p w:rsidR="00074670" w:rsidRDefault="00074670" w:rsidP="00074670">
            <w:pPr>
              <w:rPr>
                <w:sz w:val="22"/>
                <w:szCs w:val="22"/>
              </w:rPr>
            </w:pPr>
            <w:r w:rsidRPr="00D527DB">
              <w:rPr>
                <w:sz w:val="22"/>
                <w:szCs w:val="22"/>
                <w:lang w:val="sr-Cyrl-CS"/>
              </w:rPr>
              <w:t xml:space="preserve">2.3.8. </w:t>
            </w:r>
            <w:r w:rsidR="00DF098D">
              <w:rPr>
                <w:sz w:val="22"/>
                <w:szCs w:val="22"/>
                <w:lang w:val="sr-Cyrl-CS"/>
              </w:rPr>
              <w:t>Stručno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usavršavanje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kadrova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u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nadzornim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organima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u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vezi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sa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odredbama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Zakona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o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sprečavanju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pranja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novca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finansiranja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terorizma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Zakona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o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ograničavanju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raspolaganja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imovinom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u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cilju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sprečavanja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terorizma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širenja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oružja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za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masovno</w:t>
            </w:r>
            <w:r w:rsidRPr="00D527DB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uništenje</w:t>
            </w:r>
            <w:r w:rsidRPr="00D527DB">
              <w:rPr>
                <w:sz w:val="22"/>
                <w:szCs w:val="22"/>
                <w:lang w:val="sr-Cyrl-CS"/>
              </w:rPr>
              <w:t>)</w:t>
            </w:r>
          </w:p>
          <w:p w:rsidR="00D527DB" w:rsidRPr="00D527DB" w:rsidRDefault="00D527DB" w:rsidP="00074670">
            <w:pPr>
              <w:rPr>
                <w:sz w:val="22"/>
                <w:szCs w:val="22"/>
              </w:rPr>
            </w:pPr>
          </w:p>
        </w:tc>
        <w:tc>
          <w:tcPr>
            <w:tcW w:w="403" w:type="pct"/>
          </w:tcPr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USPN</w:t>
            </w:r>
          </w:p>
        </w:tc>
        <w:tc>
          <w:tcPr>
            <w:tcW w:w="436" w:type="pct"/>
          </w:tcPr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PKS</w:t>
            </w:r>
            <w:r w:rsidR="00074670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PA</w:t>
            </w:r>
            <w:r w:rsidR="00074670" w:rsidRPr="001A4D2F">
              <w:rPr>
                <w:lang w:val="sr-Cyrl-CS"/>
              </w:rPr>
              <w:t>,</w:t>
            </w:r>
          </w:p>
          <w:p w:rsidR="00074670" w:rsidRPr="001A4D2F" w:rsidRDefault="00DF098D" w:rsidP="006C303F">
            <w:pPr>
              <w:rPr>
                <w:lang w:val="sr-Cyrl-CS"/>
              </w:rPr>
            </w:pPr>
            <w:r>
              <w:rPr>
                <w:lang w:val="sr-Cyrl-CS"/>
              </w:rPr>
              <w:t>Nadzorni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  <w:r w:rsidR="00074670" w:rsidRPr="001A4D2F">
              <w:rPr>
                <w:lang w:val="sr-Cyrl-CS"/>
              </w:rPr>
              <w:t xml:space="preserve"> </w:t>
            </w:r>
          </w:p>
        </w:tc>
        <w:tc>
          <w:tcPr>
            <w:tcW w:w="408" w:type="pct"/>
          </w:tcPr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Četvrti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kvartal</w:t>
            </w:r>
            <w:r w:rsidR="00074670" w:rsidRPr="001A4D2F">
              <w:rPr>
                <w:lang w:val="sr-Cyrl-CS"/>
              </w:rPr>
              <w:t xml:space="preserve"> 2022. </w:t>
            </w:r>
            <w:r>
              <w:rPr>
                <w:lang w:val="sr-Cyrl-CS"/>
              </w:rPr>
              <w:t>godine</w:t>
            </w:r>
            <w:r w:rsidR="00074670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kontinuirana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</w:t>
            </w:r>
            <w:r w:rsidR="00074670" w:rsidRPr="001A4D2F">
              <w:rPr>
                <w:lang w:val="sr-Cyrl-CS"/>
              </w:rPr>
              <w:t>)</w:t>
            </w:r>
          </w:p>
        </w:tc>
        <w:tc>
          <w:tcPr>
            <w:tcW w:w="553" w:type="pct"/>
          </w:tcPr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  <w:r w:rsidR="00074670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npr</w:t>
            </w:r>
            <w:r w:rsidR="00074670" w:rsidRPr="001A4D2F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EU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podrška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sprečavanju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pranja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novca</w:t>
            </w:r>
            <w:r w:rsidR="00074670" w:rsidRPr="001A4D2F">
              <w:rPr>
                <w:lang w:val="sr-Cyrl-CS"/>
              </w:rPr>
              <w:t>,</w:t>
            </w:r>
          </w:p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OEBS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misija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Srbiji</w:t>
            </w:r>
            <w:r w:rsidR="00074670" w:rsidRPr="001A4D2F">
              <w:rPr>
                <w:lang w:val="sr-Cyrl-CS"/>
              </w:rPr>
              <w:t>)</w:t>
            </w:r>
          </w:p>
        </w:tc>
        <w:tc>
          <w:tcPr>
            <w:tcW w:w="407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</w:tr>
      <w:tr w:rsidR="00074670" w:rsidRPr="001A4D2F" w:rsidTr="00DB34B7">
        <w:trPr>
          <w:trHeight w:val="140"/>
        </w:trPr>
        <w:tc>
          <w:tcPr>
            <w:tcW w:w="844" w:type="pct"/>
            <w:tcBorders>
              <w:left w:val="double" w:sz="4" w:space="0" w:color="auto"/>
            </w:tcBorders>
          </w:tcPr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2.3.9. </w:t>
            </w:r>
            <w:r w:rsidR="00DF098D">
              <w:rPr>
                <w:lang w:val="sr-Cyrl-CS"/>
              </w:rPr>
              <w:t>Unaprediti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kapacitete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prekršajnog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lastRenderedPageBreak/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privrednog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suda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kroz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održavanje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obuka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sudija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prekršajnih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prevrednih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sudova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vezi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primenom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Zakona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sprečavanju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</w:p>
          <w:p w:rsidR="00074670" w:rsidRPr="001A4D2F" w:rsidRDefault="00074670" w:rsidP="0022234E">
            <w:pPr>
              <w:rPr>
                <w:lang w:val="sr-Cyrl-CS"/>
              </w:rPr>
            </w:pPr>
          </w:p>
        </w:tc>
        <w:tc>
          <w:tcPr>
            <w:tcW w:w="403" w:type="pct"/>
          </w:tcPr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USPN</w:t>
            </w:r>
          </w:p>
        </w:tc>
        <w:tc>
          <w:tcPr>
            <w:tcW w:w="436" w:type="pct"/>
          </w:tcPr>
          <w:p w:rsidR="006C303F" w:rsidRPr="001A4D2F" w:rsidRDefault="00DF098D" w:rsidP="006C303F">
            <w:pPr>
              <w:rPr>
                <w:lang w:val="sr-Cyrl-CS"/>
              </w:rPr>
            </w:pPr>
            <w:r>
              <w:rPr>
                <w:lang w:val="sr-Cyrl-CS"/>
              </w:rPr>
              <w:t>VKS</w:t>
            </w:r>
            <w:r w:rsidR="00074670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VSS</w:t>
            </w:r>
            <w:r w:rsidR="00074670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lastRenderedPageBreak/>
              <w:t>PAS</w:t>
            </w:r>
            <w:r w:rsidR="005768D4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AS</w:t>
            </w:r>
            <w:r w:rsidR="00074670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strani</w:t>
            </w:r>
            <w:r w:rsidR="006C303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partneri</w:t>
            </w:r>
            <w:r w:rsidR="006C303F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Nadzorni</w:t>
            </w:r>
            <w:r w:rsidR="006C303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  <w:r w:rsidR="006C303F" w:rsidRPr="001A4D2F">
              <w:rPr>
                <w:lang w:val="sr-Cyrl-CS"/>
              </w:rPr>
              <w:t xml:space="preserve"> </w:t>
            </w:r>
          </w:p>
          <w:p w:rsidR="00074670" w:rsidRPr="001A4D2F" w:rsidRDefault="00074670" w:rsidP="0022234E">
            <w:pPr>
              <w:rPr>
                <w:lang w:val="sr-Cyrl-CS"/>
              </w:rPr>
            </w:pPr>
          </w:p>
        </w:tc>
        <w:tc>
          <w:tcPr>
            <w:tcW w:w="408" w:type="pct"/>
          </w:tcPr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Četvrti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kvartal</w:t>
            </w:r>
            <w:r w:rsidR="00074670" w:rsidRPr="001A4D2F">
              <w:rPr>
                <w:lang w:val="sr-Cyrl-CS"/>
              </w:rPr>
              <w:t xml:space="preserve"> </w:t>
            </w:r>
            <w:r w:rsidR="00074670" w:rsidRPr="001A4D2F">
              <w:rPr>
                <w:lang w:val="sr-Cyrl-CS"/>
              </w:rPr>
              <w:lastRenderedPageBreak/>
              <w:t xml:space="preserve">2022. </w:t>
            </w:r>
            <w:r>
              <w:rPr>
                <w:lang w:val="sr-Cyrl-CS"/>
              </w:rPr>
              <w:t>godine</w:t>
            </w:r>
            <w:r w:rsidR="00074670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kontinuirana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</w:t>
            </w:r>
            <w:r w:rsidR="00074670" w:rsidRPr="001A4D2F">
              <w:rPr>
                <w:lang w:val="sr-Cyrl-CS"/>
              </w:rPr>
              <w:t>)</w:t>
            </w:r>
          </w:p>
        </w:tc>
        <w:tc>
          <w:tcPr>
            <w:tcW w:w="553" w:type="pct"/>
          </w:tcPr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Sredstva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</w:t>
            </w:r>
            <w:r>
              <w:rPr>
                <w:lang w:val="sr-Cyrl-CS"/>
              </w:rPr>
              <w:lastRenderedPageBreak/>
              <w:t>h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  <w:r w:rsidR="00074670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npr</w:t>
            </w:r>
            <w:r w:rsidR="00074670" w:rsidRPr="001A4D2F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EU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podrška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sprečavanju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pranja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novca</w:t>
            </w:r>
            <w:r w:rsidR="00074670" w:rsidRPr="001A4D2F">
              <w:rPr>
                <w:lang w:val="sr-Cyrl-CS"/>
              </w:rPr>
              <w:t>,</w:t>
            </w:r>
          </w:p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OEBS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misija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Srbiji</w:t>
            </w:r>
            <w:r w:rsidR="00074670" w:rsidRPr="001A4D2F">
              <w:rPr>
                <w:lang w:val="sr-Cyrl-CS"/>
              </w:rPr>
              <w:t>)</w:t>
            </w:r>
          </w:p>
        </w:tc>
        <w:tc>
          <w:tcPr>
            <w:tcW w:w="407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</w:tr>
      <w:tr w:rsidR="00074670" w:rsidRPr="001A4D2F" w:rsidTr="00DB34B7">
        <w:trPr>
          <w:trHeight w:val="140"/>
        </w:trPr>
        <w:tc>
          <w:tcPr>
            <w:tcW w:w="844" w:type="pct"/>
            <w:tcBorders>
              <w:left w:val="double" w:sz="4" w:space="0" w:color="auto"/>
            </w:tcBorders>
          </w:tcPr>
          <w:p w:rsidR="00074670" w:rsidRDefault="00074670" w:rsidP="00074670">
            <w:r w:rsidRPr="001A4D2F">
              <w:rPr>
                <w:lang w:val="sr-Cyrl-CS"/>
              </w:rPr>
              <w:lastRenderedPageBreak/>
              <w:t xml:space="preserve">2.3.10. </w:t>
            </w:r>
            <w:r w:rsidR="00DF098D">
              <w:rPr>
                <w:lang w:val="sr-Cyrl-CS"/>
              </w:rPr>
              <w:t>Unaprediti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znanja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nadzornih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organa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kroz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obuke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finansijskim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proizvodima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koji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mogu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biti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zloupotrebljeni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svrhe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Pr="001A4D2F">
              <w:rPr>
                <w:lang w:val="sr-Cyrl-CS"/>
              </w:rPr>
              <w:t xml:space="preserve"> (</w:t>
            </w:r>
            <w:r w:rsidR="00DF098D">
              <w:rPr>
                <w:lang w:val="sr-Cyrl-CS"/>
              </w:rPr>
              <w:t>tržište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kapitala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fizički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prenosiva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sredstva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plaćanja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devizni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platni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promet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dr</w:t>
            </w:r>
            <w:r w:rsidRPr="001A4D2F">
              <w:rPr>
                <w:lang w:val="sr-Cyrl-CS"/>
              </w:rPr>
              <w:t>.)</w:t>
            </w:r>
          </w:p>
          <w:p w:rsidR="00D527DB" w:rsidRPr="00D527DB" w:rsidRDefault="00D527DB" w:rsidP="00074670"/>
        </w:tc>
        <w:tc>
          <w:tcPr>
            <w:tcW w:w="403" w:type="pct"/>
          </w:tcPr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36" w:type="pct"/>
          </w:tcPr>
          <w:p w:rsidR="00074670" w:rsidRPr="001A4D2F" w:rsidRDefault="00DF098D" w:rsidP="006C303F">
            <w:pPr>
              <w:rPr>
                <w:lang w:val="sr-Cyrl-CS"/>
              </w:rPr>
            </w:pPr>
            <w:r>
              <w:rPr>
                <w:lang w:val="sr-Cyrl-CS"/>
              </w:rPr>
              <w:t>RJT</w:t>
            </w:r>
            <w:r w:rsidR="005768D4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MUP</w:t>
            </w:r>
            <w:r w:rsidR="005768D4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PU</w:t>
            </w:r>
            <w:r w:rsidR="005768D4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UC</w:t>
            </w:r>
            <w:r w:rsidR="005768D4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Nadzorni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  <w:r w:rsidR="00074670" w:rsidRPr="001A4D2F">
              <w:rPr>
                <w:lang w:val="sr-Cyrl-CS"/>
              </w:rPr>
              <w:t xml:space="preserve"> </w:t>
            </w:r>
          </w:p>
        </w:tc>
        <w:tc>
          <w:tcPr>
            <w:tcW w:w="408" w:type="pct"/>
          </w:tcPr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Četvrti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kvartal</w:t>
            </w:r>
            <w:r w:rsidR="00074670" w:rsidRPr="001A4D2F">
              <w:rPr>
                <w:lang w:val="sr-Cyrl-CS"/>
              </w:rPr>
              <w:t xml:space="preserve"> 2022. </w:t>
            </w:r>
            <w:r>
              <w:rPr>
                <w:lang w:val="sr-Cyrl-CS"/>
              </w:rPr>
              <w:t>godine</w:t>
            </w:r>
            <w:r w:rsidR="00074670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kontinuirana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aktivnost</w:t>
            </w:r>
            <w:r w:rsidR="00074670" w:rsidRPr="00D527DB">
              <w:rPr>
                <w:sz w:val="20"/>
                <w:szCs w:val="20"/>
                <w:lang w:val="sr-Cyrl-CS"/>
              </w:rPr>
              <w:t>)</w:t>
            </w:r>
          </w:p>
        </w:tc>
        <w:tc>
          <w:tcPr>
            <w:tcW w:w="553" w:type="pct"/>
          </w:tcPr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  <w:r w:rsidR="00074670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npr</w:t>
            </w:r>
            <w:r w:rsidR="00074670" w:rsidRPr="001A4D2F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EU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podrška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sprečavanju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pranja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novca</w:t>
            </w:r>
            <w:r w:rsidR="00074670" w:rsidRPr="001A4D2F">
              <w:rPr>
                <w:lang w:val="sr-Cyrl-CS"/>
              </w:rPr>
              <w:t>,</w:t>
            </w:r>
          </w:p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OEBS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misija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Srbiji</w:t>
            </w:r>
            <w:r w:rsidR="00074670" w:rsidRPr="001A4D2F">
              <w:rPr>
                <w:lang w:val="sr-Cyrl-CS"/>
              </w:rPr>
              <w:t>)</w:t>
            </w:r>
          </w:p>
        </w:tc>
        <w:tc>
          <w:tcPr>
            <w:tcW w:w="407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</w:tr>
      <w:tr w:rsidR="00074670" w:rsidRPr="001A4D2F" w:rsidTr="00476D5F">
        <w:trPr>
          <w:trHeight w:val="294"/>
        </w:trPr>
        <w:tc>
          <w:tcPr>
            <w:tcW w:w="844" w:type="pct"/>
            <w:tcBorders>
              <w:left w:val="double" w:sz="4" w:space="0" w:color="auto"/>
            </w:tcBorders>
          </w:tcPr>
          <w:p w:rsidR="00074670" w:rsidRPr="001A4D2F" w:rsidRDefault="00074670" w:rsidP="0022234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2.3.11. </w:t>
            </w:r>
            <w:r w:rsidR="00DF098D">
              <w:rPr>
                <w:lang w:val="sr-Cyrl-CS"/>
              </w:rPr>
              <w:t>Unaprediti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kapacitete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državnih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organa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održavanjem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obuka</w:t>
            </w:r>
            <w:r w:rsidRPr="001A4D2F">
              <w:rPr>
                <w:lang w:val="sr-Cyrl-CS"/>
              </w:rPr>
              <w:t xml:space="preserve">  </w:t>
            </w:r>
            <w:r w:rsidR="00DF098D">
              <w:rPr>
                <w:lang w:val="sr-Cyrl-CS"/>
              </w:rPr>
              <w:t>radi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prepoznavanja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lastRenderedPageBreak/>
              <w:t>od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prilikom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kontrole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prekograničnog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prenosa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gotovine</w:t>
            </w:r>
          </w:p>
        </w:tc>
        <w:tc>
          <w:tcPr>
            <w:tcW w:w="403" w:type="pct"/>
          </w:tcPr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UC</w:t>
            </w: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</w:tc>
        <w:tc>
          <w:tcPr>
            <w:tcW w:w="436" w:type="pct"/>
          </w:tcPr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USPN</w:t>
            </w:r>
            <w:r w:rsidR="00074670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MUP</w:t>
            </w:r>
            <w:r w:rsidR="00074670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tužilaštvo</w:t>
            </w:r>
            <w:r w:rsidR="00074670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PRIVS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PS</w:t>
            </w: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</w:tc>
        <w:tc>
          <w:tcPr>
            <w:tcW w:w="408" w:type="pct"/>
          </w:tcPr>
          <w:p w:rsidR="00074670" w:rsidRPr="00D527DB" w:rsidRDefault="00DF098D" w:rsidP="0022234E">
            <w:pPr>
              <w:rPr>
                <w:sz w:val="20"/>
                <w:szCs w:val="20"/>
                <w:lang w:val="sr-Cyrl-CS"/>
              </w:rPr>
            </w:pPr>
            <w:r>
              <w:rPr>
                <w:lang w:val="sr-Cyrl-CS"/>
              </w:rPr>
              <w:lastRenderedPageBreak/>
              <w:t>Četvrti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kvartal</w:t>
            </w:r>
            <w:r w:rsidR="00074670" w:rsidRPr="001A4D2F">
              <w:rPr>
                <w:lang w:val="sr-Cyrl-CS"/>
              </w:rPr>
              <w:t xml:space="preserve"> 2022. </w:t>
            </w:r>
            <w:r>
              <w:rPr>
                <w:lang w:val="sr-Cyrl-CS"/>
              </w:rPr>
              <w:t>godine</w:t>
            </w:r>
            <w:r w:rsidR="00074670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kontinui</w:t>
            </w:r>
            <w:r>
              <w:rPr>
                <w:lang w:val="sr-Cyrl-CS"/>
              </w:rPr>
              <w:lastRenderedPageBreak/>
              <w:t>rana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aktivnost</w:t>
            </w:r>
            <w:r w:rsidR="00074670" w:rsidRPr="00D527DB">
              <w:rPr>
                <w:sz w:val="20"/>
                <w:szCs w:val="20"/>
                <w:lang w:val="sr-Cyrl-CS"/>
              </w:rPr>
              <w:t>)</w:t>
            </w: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</w:tc>
        <w:tc>
          <w:tcPr>
            <w:tcW w:w="553" w:type="pct"/>
          </w:tcPr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finansira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  <w:p w:rsidR="00074670" w:rsidRPr="001A4D2F" w:rsidRDefault="00074670" w:rsidP="0022234E">
            <w:pPr>
              <w:rPr>
                <w:lang w:val="sr-Cyrl-CS"/>
              </w:rPr>
            </w:pPr>
          </w:p>
        </w:tc>
        <w:tc>
          <w:tcPr>
            <w:tcW w:w="407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</w:tr>
      <w:tr w:rsidR="00074670" w:rsidRPr="001A4D2F" w:rsidTr="00DB34B7">
        <w:trPr>
          <w:trHeight w:val="140"/>
        </w:trPr>
        <w:tc>
          <w:tcPr>
            <w:tcW w:w="844" w:type="pct"/>
            <w:tcBorders>
              <w:left w:val="double" w:sz="4" w:space="0" w:color="auto"/>
            </w:tcBorders>
          </w:tcPr>
          <w:p w:rsidR="00074670" w:rsidRPr="001A4D2F" w:rsidRDefault="00074670" w:rsidP="00476D5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2.3.</w:t>
            </w:r>
            <w:r w:rsidR="00476D5F" w:rsidRPr="001A4D2F">
              <w:rPr>
                <w:lang w:val="sr-Cyrl-CS"/>
              </w:rPr>
              <w:t>12</w:t>
            </w:r>
            <w:r w:rsidRPr="001A4D2F">
              <w:rPr>
                <w:lang w:val="sr-Cyrl-CS"/>
              </w:rPr>
              <w:t xml:space="preserve">. </w:t>
            </w:r>
            <w:r w:rsidR="00DF098D">
              <w:rPr>
                <w:lang w:val="sr-Cyrl-CS"/>
              </w:rPr>
              <w:t>Unaprediti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kapacitete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Uprave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carina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cilju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stvarnog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prepoznavanja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roba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dvostruke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namene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naoružanja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vojne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opreme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održavanjem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obuka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carinskih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službenika</w:t>
            </w:r>
          </w:p>
        </w:tc>
        <w:tc>
          <w:tcPr>
            <w:tcW w:w="403" w:type="pct"/>
          </w:tcPr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UC</w:t>
            </w:r>
          </w:p>
        </w:tc>
        <w:tc>
          <w:tcPr>
            <w:tcW w:w="436" w:type="pct"/>
          </w:tcPr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USPN</w:t>
            </w:r>
          </w:p>
        </w:tc>
        <w:tc>
          <w:tcPr>
            <w:tcW w:w="408" w:type="pct"/>
          </w:tcPr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Četvrti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kvartal</w:t>
            </w:r>
            <w:r w:rsidR="00074670" w:rsidRPr="001A4D2F">
              <w:rPr>
                <w:lang w:val="sr-Cyrl-CS"/>
              </w:rPr>
              <w:t xml:space="preserve"> 2022. </w:t>
            </w:r>
            <w:r>
              <w:rPr>
                <w:lang w:val="sr-Cyrl-CS"/>
              </w:rPr>
              <w:t>godine</w:t>
            </w:r>
            <w:r w:rsidR="00074670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kontinuirana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sz w:val="18"/>
                <w:szCs w:val="18"/>
                <w:lang w:val="sr-Cyrl-CS"/>
              </w:rPr>
              <w:t>aktivnost</w:t>
            </w:r>
            <w:r w:rsidR="00074670" w:rsidRPr="00D527DB">
              <w:rPr>
                <w:sz w:val="18"/>
                <w:szCs w:val="18"/>
                <w:lang w:val="sr-Cyrl-CS"/>
              </w:rPr>
              <w:t>)</w:t>
            </w:r>
          </w:p>
        </w:tc>
        <w:tc>
          <w:tcPr>
            <w:tcW w:w="553" w:type="pct"/>
          </w:tcPr>
          <w:p w:rsidR="00074670" w:rsidRPr="001A4D2F" w:rsidRDefault="00DF098D" w:rsidP="0022234E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07467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7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64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  <w:tc>
          <w:tcPr>
            <w:tcW w:w="763" w:type="pct"/>
          </w:tcPr>
          <w:p w:rsidR="00074670" w:rsidRPr="001A4D2F" w:rsidRDefault="00074670" w:rsidP="00C11F8E">
            <w:pPr>
              <w:rPr>
                <w:lang w:val="sr-Cyrl-CS"/>
              </w:rPr>
            </w:pPr>
          </w:p>
        </w:tc>
      </w:tr>
    </w:tbl>
    <w:p w:rsidR="00F43ECD" w:rsidRPr="001A4D2F" w:rsidRDefault="00F43ECD" w:rsidP="00C11F8E">
      <w:pPr>
        <w:rPr>
          <w:lang w:val="sr-Cyrl-CS"/>
        </w:rPr>
      </w:pPr>
    </w:p>
    <w:p w:rsidR="00F43ECD" w:rsidRDefault="00F43ECD" w:rsidP="00C11F8E"/>
    <w:p w:rsidR="00D527DB" w:rsidRDefault="00D527DB" w:rsidP="00C11F8E"/>
    <w:p w:rsidR="00D527DB" w:rsidRDefault="00D527DB" w:rsidP="00C11F8E"/>
    <w:p w:rsidR="00D527DB" w:rsidRDefault="00D527DB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A0EC2" w:rsidRDefault="00DA0EC2" w:rsidP="00C11F8E"/>
    <w:p w:rsidR="00D527DB" w:rsidRDefault="00D527DB" w:rsidP="00C11F8E"/>
    <w:p w:rsidR="00D527DB" w:rsidRPr="00D527DB" w:rsidRDefault="00D527DB" w:rsidP="00C11F8E"/>
    <w:tbl>
      <w:tblPr>
        <w:tblStyle w:val="TableGrid"/>
        <w:tblW w:w="14132" w:type="dxa"/>
        <w:tblInd w:w="10" w:type="dxa"/>
        <w:tblLayout w:type="fixed"/>
        <w:tblLook w:val="04A0"/>
      </w:tblPr>
      <w:tblGrid>
        <w:gridCol w:w="3136"/>
        <w:gridCol w:w="1442"/>
        <w:gridCol w:w="1367"/>
        <w:gridCol w:w="1743"/>
        <w:gridCol w:w="1657"/>
        <w:gridCol w:w="1243"/>
        <w:gridCol w:w="1276"/>
        <w:gridCol w:w="2268"/>
      </w:tblGrid>
      <w:tr w:rsidR="00D57EC4" w:rsidRPr="001A4D2F" w:rsidTr="00DF0DDF">
        <w:trPr>
          <w:trHeight w:val="320"/>
        </w:trPr>
        <w:tc>
          <w:tcPr>
            <w:tcW w:w="14132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D57EC4" w:rsidRPr="001A4D2F" w:rsidRDefault="00DF098D" w:rsidP="0041026F">
            <w:pPr>
              <w:pStyle w:val="Heading2"/>
              <w:spacing w:before="0" w:beforeAutospacing="0" w:after="0" w:afterAutospacing="0"/>
              <w:rPr>
                <w:szCs w:val="24"/>
                <w:lang w:val="sr-Cyrl-CS"/>
              </w:rPr>
            </w:pPr>
            <w:bookmarkStart w:id="11" w:name="_Toc32409914"/>
            <w:r>
              <w:rPr>
                <w:szCs w:val="24"/>
                <w:lang w:val="sr-Cyrl-CS"/>
              </w:rPr>
              <w:t>Posebni</w:t>
            </w:r>
            <w:r w:rsidR="00D57EC4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cilj</w:t>
            </w:r>
            <w:r w:rsidR="00D57EC4" w:rsidRPr="001A4D2F">
              <w:rPr>
                <w:szCs w:val="24"/>
                <w:lang w:val="sr-Cyrl-CS"/>
              </w:rPr>
              <w:t xml:space="preserve"> 3:</w:t>
            </w:r>
            <w:r w:rsidR="00B02F59" w:rsidRPr="001A4D2F">
              <w:rPr>
                <w:szCs w:val="24"/>
                <w:lang w:val="sr-Cyrl-CS"/>
              </w:rPr>
              <w:t xml:space="preserve"> </w:t>
            </w:r>
            <w:r w:rsidR="00E8015F" w:rsidRPr="001A4D2F">
              <w:rPr>
                <w:szCs w:val="24"/>
                <w:lang w:val="sr-Cyrl-CS"/>
              </w:rPr>
              <w:t>E</w:t>
            </w:r>
            <w:r>
              <w:rPr>
                <w:szCs w:val="24"/>
                <w:lang w:val="sr-Cyrl-CS"/>
              </w:rPr>
              <w:t>fikasno</w:t>
            </w:r>
            <w:r w:rsidR="00E8015F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i</w:t>
            </w:r>
            <w:r w:rsidR="00E8015F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delotvorno</w:t>
            </w:r>
            <w:r w:rsidR="00E8015F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kažnjavati</w:t>
            </w:r>
            <w:r w:rsidR="00E8015F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učinioce</w:t>
            </w:r>
            <w:r w:rsidR="00E8015F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krivičnog</w:t>
            </w:r>
            <w:r w:rsidR="00E8015F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dela</w:t>
            </w:r>
            <w:r w:rsidR="00E8015F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pranje</w:t>
            </w:r>
            <w:r w:rsidR="00E8015F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novca</w:t>
            </w:r>
            <w:r w:rsidR="00E8015F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i</w:t>
            </w:r>
            <w:r w:rsidR="00E8015F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oduzimati</w:t>
            </w:r>
            <w:r w:rsidR="00E8015F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nezakonito</w:t>
            </w:r>
            <w:r w:rsidR="00E8015F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stečenu</w:t>
            </w:r>
            <w:r w:rsidR="00E8015F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imovinu</w:t>
            </w:r>
            <w:bookmarkEnd w:id="11"/>
          </w:p>
        </w:tc>
      </w:tr>
      <w:tr w:rsidR="00D57EC4" w:rsidRPr="001A4D2F" w:rsidTr="00DF0DDF">
        <w:trPr>
          <w:trHeight w:val="320"/>
        </w:trPr>
        <w:tc>
          <w:tcPr>
            <w:tcW w:w="14132" w:type="dxa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D57EC4" w:rsidRPr="001A4D2F" w:rsidRDefault="00DF098D" w:rsidP="00C11F8E">
            <w:pPr>
              <w:rPr>
                <w:lang w:val="sr-Cyrl-CS"/>
              </w:rPr>
            </w:pPr>
            <w:r>
              <w:rPr>
                <w:rFonts w:eastAsia="Times New Roman"/>
                <w:color w:val="222222"/>
                <w:lang w:val="sr-Cyrl-CS"/>
              </w:rPr>
              <w:lastRenderedPageBreak/>
              <w:t>Institucija</w:t>
            </w:r>
            <w:r w:rsidR="00D57EC4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odgovorna</w:t>
            </w:r>
            <w:r w:rsidR="00D57EC4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za</w:t>
            </w:r>
            <w:r w:rsidR="00D57EC4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praćenje</w:t>
            </w:r>
            <w:r w:rsidR="00D57EC4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i</w:t>
            </w:r>
            <w:r w:rsidR="00D57EC4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kontrolu</w:t>
            </w:r>
            <w:r w:rsidR="00D57EC4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realizacije</w:t>
            </w:r>
            <w:r w:rsidR="00D57EC4" w:rsidRPr="001A4D2F">
              <w:rPr>
                <w:rFonts w:eastAsia="Times New Roman"/>
                <w:color w:val="222222"/>
                <w:lang w:val="sr-Cyrl-CS"/>
              </w:rPr>
              <w:t xml:space="preserve">: </w:t>
            </w:r>
            <w:r>
              <w:rPr>
                <w:rFonts w:eastAsia="Times New Roman"/>
                <w:color w:val="222222"/>
                <w:lang w:val="sr-Cyrl-CS"/>
              </w:rPr>
              <w:t>Koordinaciono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telo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za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sprečavanje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pranja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novca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i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finansiranja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terorizma</w:t>
            </w:r>
          </w:p>
        </w:tc>
      </w:tr>
      <w:tr w:rsidR="00DF0DDF" w:rsidRPr="001A4D2F" w:rsidTr="00DF0DDF">
        <w:trPr>
          <w:trHeight w:val="575"/>
        </w:trPr>
        <w:tc>
          <w:tcPr>
            <w:tcW w:w="313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Pokazatelj</w:t>
            </w:r>
            <w:r w:rsidR="00DF0DDF" w:rsidRPr="001A4D2F">
              <w:rPr>
                <w:lang w:val="sr-Cyrl-CS"/>
              </w:rPr>
              <w:t>(</w:t>
            </w:r>
            <w:r>
              <w:rPr>
                <w:lang w:val="sr-Cyrl-CS"/>
              </w:rPr>
              <w:t>i</w:t>
            </w:r>
            <w:r w:rsidR="00DF0DDF" w:rsidRPr="001A4D2F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na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nivou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posebnog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cilja</w:t>
            </w:r>
            <w:r w:rsidR="00DF0DDF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pokazatelj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ishoda</w:t>
            </w:r>
            <w:r w:rsidR="00DF0DDF" w:rsidRPr="001A4D2F">
              <w:rPr>
                <w:lang w:val="sr-Cyrl-CS"/>
              </w:rPr>
              <w:t>)</w:t>
            </w:r>
          </w:p>
        </w:tc>
        <w:tc>
          <w:tcPr>
            <w:tcW w:w="14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DD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</w:t>
            </w:r>
            <w:r w:rsidR="00DF098D">
              <w:rPr>
                <w:lang w:val="sr-Cyrl-CS"/>
              </w:rPr>
              <w:t>edinica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mere</w:t>
            </w:r>
          </w:p>
          <w:p w:rsidR="00DF0DDF" w:rsidRPr="001A4D2F" w:rsidRDefault="00DF0DDF" w:rsidP="00C11F8E">
            <w:pPr>
              <w:rPr>
                <w:lang w:val="sr-Cyrl-CS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Izvor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provere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Početna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DF0DDF" w:rsidRPr="001A4D2F">
              <w:rPr>
                <w:lang w:val="sr-Cyrl-CS"/>
              </w:rPr>
              <w:t xml:space="preserve"> </w:t>
            </w:r>
          </w:p>
        </w:tc>
        <w:tc>
          <w:tcPr>
            <w:tcW w:w="165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Bazna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godina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DF0DDF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DF0DDF" w:rsidRPr="001A4D2F">
              <w:rPr>
                <w:lang w:val="sr-Cyrl-CS"/>
              </w:rPr>
              <w:t xml:space="preserve"> 2020.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DF0DDF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DF0DD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DF0DDF" w:rsidRPr="001A4D2F">
              <w:rPr>
                <w:lang w:val="sr-Cyrl-CS"/>
              </w:rPr>
              <w:t xml:space="preserve"> 2021.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F0DDF" w:rsidRPr="001A4D2F" w:rsidRDefault="00DF098D" w:rsidP="00DF0DDF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885F9C" w:rsidRPr="001A4D2F">
              <w:rPr>
                <w:lang w:val="sr-Cyrl-CS"/>
              </w:rPr>
              <w:t xml:space="preserve"> 2022.</w:t>
            </w:r>
          </w:p>
        </w:tc>
      </w:tr>
      <w:tr w:rsidR="00D57EC4" w:rsidRPr="001A4D2F" w:rsidTr="00DF0DDF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57EC4" w:rsidRPr="001A4D2F" w:rsidRDefault="00DF098D" w:rsidP="00D5399E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Očuvan</w:t>
            </w:r>
            <w:r w:rsidR="0055614B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napredak</w:t>
            </w:r>
            <w:r w:rsidR="007B0298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na</w:t>
            </w:r>
            <w:r w:rsidR="007B0298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neposrednom</w:t>
            </w:r>
            <w:r w:rsidR="007B0298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rezultatu</w:t>
            </w:r>
            <w:r w:rsidR="007B0298" w:rsidRPr="001A4D2F">
              <w:rPr>
                <w:color w:val="auto"/>
                <w:lang w:val="sr-Cyrl-CS"/>
              </w:rPr>
              <w:t xml:space="preserve"> 7 </w:t>
            </w:r>
            <w:r>
              <w:rPr>
                <w:color w:val="auto"/>
                <w:lang w:val="sr-Cyrl-CS"/>
              </w:rPr>
              <w:t>po</w:t>
            </w:r>
            <w:r w:rsidR="00D5399E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Metodologiji</w:t>
            </w:r>
            <w:r w:rsidR="007B0298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FATF</w:t>
            </w:r>
            <w:r w:rsidR="00F700E0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na</w:t>
            </w:r>
            <w:r w:rsidR="00F700E0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godišnjem</w:t>
            </w:r>
            <w:r w:rsidR="00F700E0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nivou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57EC4" w:rsidRPr="001A4D2F" w:rsidRDefault="00DF098D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Da</w:t>
            </w:r>
            <w:r w:rsidR="007B0298" w:rsidRPr="001A4D2F">
              <w:rPr>
                <w:color w:val="auto"/>
                <w:lang w:val="sr-Cyrl-CS"/>
              </w:rPr>
              <w:t>/</w:t>
            </w:r>
            <w:r>
              <w:rPr>
                <w:color w:val="auto"/>
                <w:lang w:val="sr-Cyrl-CS"/>
              </w:rPr>
              <w:t>Ne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57EC4" w:rsidRPr="001A4D2F" w:rsidRDefault="00DF098D" w:rsidP="007B029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Izveštaji</w:t>
            </w:r>
            <w:r w:rsidR="007B0298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nadležnih</w:t>
            </w:r>
            <w:r w:rsidR="007B0298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organa</w:t>
            </w:r>
            <w:r w:rsidR="007B0298" w:rsidRPr="001A4D2F">
              <w:rPr>
                <w:color w:val="auto"/>
                <w:lang w:val="sr-Cyrl-CS"/>
              </w:rPr>
              <w:t xml:space="preserve">; </w:t>
            </w:r>
            <w:r>
              <w:rPr>
                <w:color w:val="auto"/>
                <w:lang w:val="sr-Cyrl-CS"/>
              </w:rPr>
              <w:t>Izveštaj</w:t>
            </w:r>
            <w:r w:rsidR="007B0298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Manivala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57EC4" w:rsidRPr="001A4D2F" w:rsidRDefault="00DF098D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Da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57EC4" w:rsidRPr="001A4D2F" w:rsidRDefault="007B0298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2019.</w:t>
            </w:r>
          </w:p>
        </w:tc>
        <w:tc>
          <w:tcPr>
            <w:tcW w:w="12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57EC4" w:rsidRPr="001A4D2F" w:rsidRDefault="00DF098D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Da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D57EC4" w:rsidRPr="001A4D2F" w:rsidRDefault="00DF098D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Da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7EC4" w:rsidRPr="001A4D2F" w:rsidRDefault="00DF098D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Da</w:t>
            </w:r>
          </w:p>
        </w:tc>
      </w:tr>
      <w:tr w:rsidR="007B0298" w:rsidRPr="001A4D2F" w:rsidTr="00DF0DDF">
        <w:trPr>
          <w:trHeight w:val="254"/>
        </w:trPr>
        <w:tc>
          <w:tcPr>
            <w:tcW w:w="31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0298" w:rsidRPr="001A4D2F" w:rsidRDefault="00DF098D" w:rsidP="00DF0DDF">
            <w:pPr>
              <w:jc w:val="both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Unapređeno</w:t>
            </w:r>
            <w:r w:rsidR="00F700E0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stanje</w:t>
            </w:r>
            <w:r w:rsidR="00F700E0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u</w:t>
            </w:r>
            <w:r w:rsidR="00F700E0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odnosu</w:t>
            </w:r>
            <w:r w:rsidR="00F700E0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na</w:t>
            </w:r>
            <w:r w:rsidR="00F700E0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neposredni</w:t>
            </w:r>
            <w:r w:rsidR="00F700E0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rezultat</w:t>
            </w:r>
            <w:r w:rsidR="00F700E0" w:rsidRPr="001A4D2F">
              <w:rPr>
                <w:color w:val="auto"/>
                <w:lang w:val="sr-Cyrl-CS"/>
              </w:rPr>
              <w:t xml:space="preserve"> 8 </w:t>
            </w:r>
            <w:r>
              <w:rPr>
                <w:color w:val="auto"/>
                <w:lang w:val="sr-Cyrl-CS"/>
              </w:rPr>
              <w:t>iz</w:t>
            </w:r>
            <w:r w:rsidR="00F700E0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Metodologije</w:t>
            </w:r>
            <w:r w:rsidR="00F700E0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FATF</w:t>
            </w:r>
            <w:r w:rsidR="00DF0DDF" w:rsidRPr="001A4D2F">
              <w:rPr>
                <w:color w:val="auto"/>
                <w:lang w:val="sr-Cyrl-CS"/>
              </w:rPr>
              <w:t xml:space="preserve">, </w:t>
            </w:r>
            <w:r>
              <w:rPr>
                <w:color w:val="auto"/>
                <w:lang w:val="sr-Cyrl-CS"/>
              </w:rPr>
              <w:t>na</w:t>
            </w:r>
            <w:r w:rsidR="00F700E0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godišnjem</w:t>
            </w:r>
            <w:r w:rsidR="00F700E0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nivou</w:t>
            </w:r>
          </w:p>
        </w:tc>
        <w:tc>
          <w:tcPr>
            <w:tcW w:w="14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0298" w:rsidRPr="001A4D2F" w:rsidRDefault="00DF098D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Da</w:t>
            </w:r>
            <w:r w:rsidR="007B0298" w:rsidRPr="001A4D2F">
              <w:rPr>
                <w:color w:val="auto"/>
                <w:lang w:val="sr-Cyrl-CS"/>
              </w:rPr>
              <w:t>/</w:t>
            </w:r>
            <w:r>
              <w:rPr>
                <w:color w:val="auto"/>
                <w:lang w:val="sr-Cyrl-CS"/>
              </w:rPr>
              <w:t>Ne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0298" w:rsidRPr="001A4D2F" w:rsidRDefault="00DF098D" w:rsidP="007B029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Izveštaji</w:t>
            </w:r>
            <w:r w:rsidR="007B0298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nadležnih</w:t>
            </w:r>
            <w:r w:rsidR="007B0298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organa</w:t>
            </w:r>
            <w:r w:rsidR="007B0298" w:rsidRPr="001A4D2F">
              <w:rPr>
                <w:color w:val="auto"/>
                <w:lang w:val="sr-Cyrl-CS"/>
              </w:rPr>
              <w:t xml:space="preserve">; </w:t>
            </w:r>
            <w:r>
              <w:rPr>
                <w:color w:val="auto"/>
                <w:lang w:val="sr-Cyrl-CS"/>
              </w:rPr>
              <w:t>Izveštaj</w:t>
            </w:r>
            <w:r w:rsidR="007B0298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Manivala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0298" w:rsidRPr="001A4D2F" w:rsidRDefault="00434EDC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-</w:t>
            </w:r>
          </w:p>
        </w:tc>
        <w:tc>
          <w:tcPr>
            <w:tcW w:w="16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0298" w:rsidRPr="001A4D2F" w:rsidRDefault="007B0298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2016.</w:t>
            </w:r>
          </w:p>
        </w:tc>
        <w:tc>
          <w:tcPr>
            <w:tcW w:w="12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0298" w:rsidRPr="001A4D2F" w:rsidRDefault="00DF098D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Da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7B0298" w:rsidRPr="001A4D2F" w:rsidRDefault="00DF098D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Da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B0298" w:rsidRPr="001A4D2F" w:rsidRDefault="00DF098D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Da</w:t>
            </w:r>
          </w:p>
        </w:tc>
      </w:tr>
    </w:tbl>
    <w:p w:rsidR="00D57EC4" w:rsidRPr="001A4D2F" w:rsidRDefault="00D57EC4" w:rsidP="00C11F8E">
      <w:pPr>
        <w:tabs>
          <w:tab w:val="left" w:pos="1940"/>
        </w:tabs>
        <w:rPr>
          <w:lang w:val="sr-Cyrl-CS"/>
        </w:rPr>
      </w:pPr>
    </w:p>
    <w:p w:rsidR="00D57EC4" w:rsidRDefault="00D57EC4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Pr="00DA0EC2" w:rsidRDefault="00DA0EC2" w:rsidP="00C11F8E">
      <w:pPr>
        <w:tabs>
          <w:tab w:val="left" w:pos="1940"/>
        </w:tabs>
      </w:pPr>
    </w:p>
    <w:p w:rsidR="00D57EC4" w:rsidRPr="001A4D2F" w:rsidRDefault="00D57EC4" w:rsidP="00C11F8E">
      <w:pPr>
        <w:tabs>
          <w:tab w:val="left" w:pos="1940"/>
        </w:tabs>
        <w:rPr>
          <w:lang w:val="sr-Cyrl-CS"/>
        </w:rPr>
      </w:pPr>
    </w:p>
    <w:tbl>
      <w:tblPr>
        <w:tblStyle w:val="TableGrid"/>
        <w:tblW w:w="14132" w:type="dxa"/>
        <w:tblInd w:w="10" w:type="dxa"/>
        <w:tblLayout w:type="fixed"/>
        <w:tblLook w:val="04A0"/>
      </w:tblPr>
      <w:tblGrid>
        <w:gridCol w:w="3149"/>
        <w:gridCol w:w="1202"/>
        <w:gridCol w:w="1984"/>
        <w:gridCol w:w="567"/>
        <w:gridCol w:w="1276"/>
        <w:gridCol w:w="1559"/>
        <w:gridCol w:w="1134"/>
        <w:gridCol w:w="1560"/>
        <w:gridCol w:w="1701"/>
      </w:tblGrid>
      <w:tr w:rsidR="00D57EC4" w:rsidRPr="001A4D2F" w:rsidTr="00DF0DDF">
        <w:trPr>
          <w:trHeight w:val="169"/>
        </w:trPr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F3448F" w:rsidRPr="001A4D2F" w:rsidRDefault="00DF098D" w:rsidP="004E74BC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12" w:name="_Toc32409915"/>
            <w:r>
              <w:rPr>
                <w:rFonts w:cs="Times New Roman"/>
                <w:sz w:val="24"/>
                <w:lang w:val="sr-Cyrl-CS"/>
              </w:rPr>
              <w:t>Mera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3.</w:t>
            </w:r>
            <w:r w:rsidR="004E74BC" w:rsidRPr="001A4D2F">
              <w:rPr>
                <w:rFonts w:cs="Times New Roman"/>
                <w:sz w:val="24"/>
                <w:lang w:val="sr-Cyrl-CS"/>
              </w:rPr>
              <w:t>1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: </w:t>
            </w:r>
            <w:r>
              <w:rPr>
                <w:rFonts w:cs="Times New Roman"/>
                <w:sz w:val="24"/>
                <w:lang w:val="sr-Cyrl-CS"/>
              </w:rPr>
              <w:t>Unapređenje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delotvornosti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državnih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organa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nadležnih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za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otkrivanje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, </w:t>
            </w:r>
            <w:r>
              <w:rPr>
                <w:rFonts w:cs="Times New Roman"/>
                <w:sz w:val="24"/>
                <w:lang w:val="sr-Cyrl-CS"/>
              </w:rPr>
              <w:t>krivično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gonjenje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suđenje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za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krivično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delo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pranje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novca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u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skladu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sa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rezultatima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procene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rizika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preporukama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Manivala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u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procesu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evaluacije</w:t>
            </w:r>
            <w:r w:rsidR="00D57EC4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Srbije</w:t>
            </w:r>
            <w:bookmarkEnd w:id="12"/>
          </w:p>
        </w:tc>
      </w:tr>
      <w:tr w:rsidR="00D57EC4" w:rsidRPr="001A4D2F" w:rsidTr="00DF0DDF">
        <w:trPr>
          <w:trHeight w:val="300"/>
        </w:trPr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D57EC4" w:rsidRPr="001A4D2F" w:rsidRDefault="00DF098D" w:rsidP="00C11F8E">
            <w:pPr>
              <w:rPr>
                <w:lang w:val="sr-Cyrl-CS"/>
              </w:rPr>
            </w:pPr>
            <w:r>
              <w:rPr>
                <w:rFonts w:eastAsia="Times New Roman"/>
                <w:color w:val="222222"/>
                <w:lang w:val="sr-Cyrl-CS"/>
              </w:rPr>
              <w:t>Institucija</w:t>
            </w:r>
            <w:r w:rsidR="00D57EC4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odgovorna</w:t>
            </w:r>
            <w:r w:rsidR="00D57EC4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za</w:t>
            </w:r>
            <w:r w:rsidR="00D57EC4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praćenje</w:t>
            </w:r>
            <w:r w:rsidR="00D57EC4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i</w:t>
            </w:r>
            <w:r w:rsidR="00D57EC4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kontrolu</w:t>
            </w:r>
            <w:r w:rsidR="00D57EC4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realizacije</w:t>
            </w:r>
            <w:r w:rsidR="00D57EC4" w:rsidRPr="001A4D2F">
              <w:rPr>
                <w:rFonts w:eastAsia="Times New Roman"/>
                <w:color w:val="222222"/>
                <w:lang w:val="sr-Cyrl-CS"/>
              </w:rPr>
              <w:t xml:space="preserve">: </w:t>
            </w:r>
            <w:r>
              <w:rPr>
                <w:rFonts w:eastAsia="Times New Roman"/>
                <w:color w:val="222222"/>
                <w:lang w:val="sr-Cyrl-CS"/>
              </w:rPr>
              <w:t>Koordinaciono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telo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za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sprečavanje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pranja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novca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i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finansiranja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terorizma</w:t>
            </w:r>
          </w:p>
        </w:tc>
      </w:tr>
      <w:tr w:rsidR="00D57EC4" w:rsidRPr="001A4D2F" w:rsidTr="00DF0DDF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7EC4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Period</w:t>
            </w:r>
            <w:r w:rsidR="00D57EC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sprovođenja</w:t>
            </w:r>
            <w:r w:rsidR="00D57EC4" w:rsidRPr="001A4D2F">
              <w:rPr>
                <w:lang w:val="sr-Cyrl-CS"/>
              </w:rPr>
              <w:t>:</w:t>
            </w:r>
            <w:r w:rsidR="00363ED5" w:rsidRPr="001A4D2F">
              <w:rPr>
                <w:lang w:val="sr-Cyrl-CS"/>
              </w:rPr>
              <w:t xml:space="preserve"> 2020-2022.</w:t>
            </w:r>
          </w:p>
        </w:tc>
        <w:tc>
          <w:tcPr>
            <w:tcW w:w="72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D57EC4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Tip</w:t>
            </w:r>
            <w:r w:rsidR="00D57EC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D57EC4" w:rsidRPr="001A4D2F">
              <w:rPr>
                <w:lang w:val="sr-Cyrl-CS"/>
              </w:rPr>
              <w:t>:</w:t>
            </w:r>
            <w:r w:rsidR="00363ED5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Institucionalno</w:t>
            </w:r>
            <w:r w:rsidR="00363ED5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upravljačko</w:t>
            </w:r>
            <w:r w:rsidR="00363ED5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organizaciona</w:t>
            </w:r>
          </w:p>
        </w:tc>
      </w:tr>
      <w:tr w:rsidR="00F3347F" w:rsidRPr="001A4D2F" w:rsidTr="00DF0DDF">
        <w:trPr>
          <w:trHeight w:val="955"/>
        </w:trPr>
        <w:tc>
          <w:tcPr>
            <w:tcW w:w="31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Pokazatelj</w:t>
            </w:r>
            <w:r w:rsidR="00F3347F" w:rsidRPr="001A4D2F">
              <w:rPr>
                <w:lang w:val="sr-Cyrl-CS"/>
              </w:rPr>
              <w:t>(</w:t>
            </w:r>
            <w:r>
              <w:rPr>
                <w:lang w:val="sr-Cyrl-CS"/>
              </w:rPr>
              <w:t>i</w:t>
            </w:r>
            <w:r w:rsidR="00F3347F" w:rsidRPr="001A4D2F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nivou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F3347F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pokazatelj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rezultata</w:t>
            </w:r>
            <w:r w:rsidR="00F3347F" w:rsidRPr="001A4D2F">
              <w:rPr>
                <w:lang w:val="sr-Cyrl-CS"/>
              </w:rPr>
              <w:t>)</w:t>
            </w:r>
          </w:p>
        </w:tc>
        <w:tc>
          <w:tcPr>
            <w:tcW w:w="120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Jedinica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</w:p>
          <w:p w:rsidR="00F3347F" w:rsidRPr="001A4D2F" w:rsidRDefault="00F3347F" w:rsidP="00C11F8E">
            <w:pPr>
              <w:rPr>
                <w:lang w:val="sr-Cyrl-CS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Izvor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provere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Početna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F3347F" w:rsidRPr="001A4D2F">
              <w:rPr>
                <w:lang w:val="sr-Cyrl-CS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Bazna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godina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DF098D" w:rsidP="00CB13E8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F3347F" w:rsidRPr="001A4D2F">
              <w:rPr>
                <w:lang w:val="sr-Cyrl-CS"/>
              </w:rPr>
              <w:t xml:space="preserve"> 2020.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DF098D" w:rsidP="00CB13E8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F3347F" w:rsidRPr="001A4D2F">
              <w:rPr>
                <w:lang w:val="sr-Cyrl-CS"/>
              </w:rPr>
              <w:t xml:space="preserve"> 2021.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DF098D" w:rsidP="00CB13E8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885F9C" w:rsidRPr="001A4D2F">
              <w:rPr>
                <w:lang w:val="sr-Cyrl-CS"/>
              </w:rPr>
              <w:t xml:space="preserve"> 2022.</w:t>
            </w:r>
          </w:p>
        </w:tc>
      </w:tr>
      <w:tr w:rsidR="004C04D7" w:rsidRPr="001A4D2F" w:rsidTr="00DF0DDF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C04D7" w:rsidRPr="001A4D2F" w:rsidRDefault="00DF098D" w:rsidP="004E74BC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Napredak</w:t>
            </w:r>
            <w:r w:rsidR="004E74BC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u</w:t>
            </w:r>
            <w:r w:rsidR="004E74BC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okviru</w:t>
            </w:r>
            <w:r w:rsidR="004E74BC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neposrednog</w:t>
            </w:r>
            <w:r w:rsidR="004E74BC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rezultata</w:t>
            </w:r>
            <w:r w:rsidR="004E74BC" w:rsidRPr="001A4D2F">
              <w:rPr>
                <w:color w:val="auto"/>
                <w:lang w:val="sr-Cyrl-CS"/>
              </w:rPr>
              <w:t xml:space="preserve"> 6</w:t>
            </w:r>
            <w:r w:rsidR="00C50116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u</w:t>
            </w:r>
            <w:r w:rsidR="00C50116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skladu</w:t>
            </w:r>
            <w:r w:rsidR="00C50116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sa</w:t>
            </w:r>
            <w:r w:rsidR="00C50116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Metodologijom</w:t>
            </w:r>
            <w:r w:rsidR="00C50116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FATF</w:t>
            </w:r>
            <w:r w:rsidR="00C50116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na</w:t>
            </w:r>
            <w:r w:rsidR="00F700E0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godišnjem</w:t>
            </w:r>
            <w:r w:rsidR="00F700E0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nivou</w:t>
            </w: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C04D7" w:rsidRPr="001A4D2F" w:rsidRDefault="00DF098D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Da</w:t>
            </w:r>
            <w:r w:rsidR="004E74BC" w:rsidRPr="001A4D2F">
              <w:rPr>
                <w:color w:val="auto"/>
                <w:lang w:val="sr-Cyrl-CS"/>
              </w:rPr>
              <w:t>/</w:t>
            </w:r>
            <w:r>
              <w:rPr>
                <w:color w:val="auto"/>
                <w:lang w:val="sr-Cyrl-CS"/>
              </w:rPr>
              <w:t>Ne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C04D7" w:rsidRPr="001A4D2F" w:rsidRDefault="00DF098D" w:rsidP="004E74BC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Izveštaj</w:t>
            </w:r>
            <w:r w:rsidR="004E74BC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nadležnih</w:t>
            </w:r>
            <w:r w:rsidR="004E74BC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organa</w:t>
            </w:r>
            <w:r w:rsidR="004E74BC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o</w:t>
            </w:r>
            <w:r w:rsidR="004E74BC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napretku</w:t>
            </w:r>
            <w:r w:rsidR="004E74BC" w:rsidRPr="001A4D2F">
              <w:rPr>
                <w:color w:val="auto"/>
                <w:lang w:val="sr-Cyrl-CS"/>
              </w:rPr>
              <w:t xml:space="preserve">; </w:t>
            </w:r>
            <w:r>
              <w:rPr>
                <w:color w:val="auto"/>
                <w:lang w:val="sr-Cyrl-CS"/>
              </w:rPr>
              <w:t>Izveštaj</w:t>
            </w:r>
            <w:r w:rsidR="004E74BC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Manivala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C04D7" w:rsidRPr="001A4D2F" w:rsidRDefault="00DF098D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Da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C04D7" w:rsidRPr="001A4D2F" w:rsidRDefault="004E74BC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2019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C04D7" w:rsidRPr="001A4D2F" w:rsidRDefault="00DF098D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Da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04D7" w:rsidRPr="001A4D2F" w:rsidRDefault="00DF098D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Da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C04D7" w:rsidRPr="001A4D2F" w:rsidRDefault="00DF098D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Da</w:t>
            </w:r>
          </w:p>
        </w:tc>
      </w:tr>
      <w:tr w:rsidR="004E74BC" w:rsidRPr="001A4D2F" w:rsidTr="00DF0DDF">
        <w:trPr>
          <w:trHeight w:val="304"/>
        </w:trPr>
        <w:tc>
          <w:tcPr>
            <w:tcW w:w="31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E74BC" w:rsidRPr="001A4D2F" w:rsidRDefault="00DF098D" w:rsidP="001B2108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Napredak</w:t>
            </w:r>
            <w:r w:rsidR="004E74BC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u</w:t>
            </w:r>
            <w:r w:rsidR="004E74BC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okviru</w:t>
            </w:r>
            <w:r w:rsidR="004E74BC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neposrednog</w:t>
            </w:r>
            <w:r w:rsidR="004E74BC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rezultata</w:t>
            </w:r>
            <w:r w:rsidR="004E74BC" w:rsidRPr="001A4D2F">
              <w:rPr>
                <w:color w:val="auto"/>
                <w:lang w:val="sr-Cyrl-CS"/>
              </w:rPr>
              <w:t xml:space="preserve"> 7 </w:t>
            </w:r>
            <w:r>
              <w:rPr>
                <w:color w:val="auto"/>
                <w:lang w:val="sr-Cyrl-CS"/>
              </w:rPr>
              <w:t>u</w:t>
            </w:r>
            <w:r w:rsidR="004E74BC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skladu</w:t>
            </w:r>
            <w:r w:rsidR="004E74BC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sa</w:t>
            </w:r>
            <w:r w:rsidR="004E74BC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Metodologijom</w:t>
            </w:r>
            <w:r w:rsidR="004E74BC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FATF</w:t>
            </w:r>
            <w:r w:rsidR="00F700E0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na</w:t>
            </w:r>
            <w:r w:rsidR="00F700E0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godišnjem</w:t>
            </w:r>
            <w:r w:rsidR="00F700E0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nivou</w:t>
            </w:r>
          </w:p>
        </w:tc>
        <w:tc>
          <w:tcPr>
            <w:tcW w:w="12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E74BC" w:rsidRPr="001A4D2F" w:rsidRDefault="00DF098D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Da</w:t>
            </w:r>
            <w:r w:rsidR="004E74BC" w:rsidRPr="001A4D2F">
              <w:rPr>
                <w:color w:val="auto"/>
                <w:lang w:val="sr-Cyrl-CS"/>
              </w:rPr>
              <w:t>/</w:t>
            </w:r>
            <w:r>
              <w:rPr>
                <w:color w:val="auto"/>
                <w:lang w:val="sr-Cyrl-CS"/>
              </w:rPr>
              <w:t>Ne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E74BC" w:rsidRPr="001A4D2F" w:rsidRDefault="00DF098D" w:rsidP="004E74BC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Izveštaj</w:t>
            </w:r>
            <w:r w:rsidR="004E74BC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nadležnih</w:t>
            </w:r>
            <w:r w:rsidR="004E74BC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organa</w:t>
            </w:r>
            <w:r w:rsidR="004E74BC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o</w:t>
            </w:r>
            <w:r w:rsidR="004E74BC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napretku</w:t>
            </w:r>
            <w:r w:rsidR="004E74BC" w:rsidRPr="001A4D2F">
              <w:rPr>
                <w:color w:val="auto"/>
                <w:lang w:val="sr-Cyrl-CS"/>
              </w:rPr>
              <w:t xml:space="preserve">; </w:t>
            </w:r>
            <w:r>
              <w:rPr>
                <w:color w:val="auto"/>
                <w:lang w:val="sr-Cyrl-CS"/>
              </w:rPr>
              <w:t>Izveštaj</w:t>
            </w:r>
            <w:r w:rsidR="004E74BC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Manivala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E74BC" w:rsidRPr="001A4D2F" w:rsidRDefault="00DF098D" w:rsidP="00C11F8E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Da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E74BC" w:rsidRPr="001A4D2F" w:rsidRDefault="004E74BC" w:rsidP="00C11F8E">
            <w:pPr>
              <w:shd w:val="clear" w:color="auto" w:fill="FFFFFF" w:themeFill="background1"/>
              <w:rPr>
                <w:lang w:val="sr-Cyrl-CS"/>
              </w:rPr>
            </w:pPr>
            <w:r w:rsidRPr="001A4D2F">
              <w:rPr>
                <w:lang w:val="sr-Cyrl-CS"/>
              </w:rPr>
              <w:t>2019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4E74BC" w:rsidRPr="001A4D2F" w:rsidRDefault="00DF098D" w:rsidP="004E74BC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74BC" w:rsidRPr="001A4D2F" w:rsidRDefault="00DF098D" w:rsidP="004E74BC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E74BC" w:rsidRPr="001A4D2F" w:rsidRDefault="00DF098D" w:rsidP="004E74BC">
            <w:pPr>
              <w:shd w:val="clear" w:color="auto" w:fill="FFFFFF" w:themeFill="background1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</w:tr>
    </w:tbl>
    <w:p w:rsidR="00D57EC4" w:rsidRPr="001A4D2F" w:rsidRDefault="00D57EC4" w:rsidP="00C11F8E">
      <w:pPr>
        <w:tabs>
          <w:tab w:val="left" w:pos="1940"/>
        </w:tabs>
        <w:rPr>
          <w:lang w:val="sr-Cyrl-CS"/>
        </w:rPr>
      </w:pPr>
    </w:p>
    <w:p w:rsidR="00D57EC4" w:rsidRDefault="00D57EC4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Pr="00DA0EC2" w:rsidRDefault="00DA0EC2" w:rsidP="00C11F8E">
      <w:pPr>
        <w:tabs>
          <w:tab w:val="left" w:pos="1940"/>
        </w:tabs>
      </w:pPr>
    </w:p>
    <w:tbl>
      <w:tblPr>
        <w:tblStyle w:val="TableGrid"/>
        <w:tblW w:w="5000" w:type="pct"/>
        <w:tblLayout w:type="fixed"/>
        <w:tblLook w:val="04A0"/>
      </w:tblPr>
      <w:tblGrid>
        <w:gridCol w:w="2558"/>
        <w:gridCol w:w="1074"/>
        <w:gridCol w:w="1372"/>
        <w:gridCol w:w="1066"/>
        <w:gridCol w:w="1525"/>
        <w:gridCol w:w="1066"/>
        <w:gridCol w:w="2007"/>
        <w:gridCol w:w="1525"/>
        <w:gridCol w:w="1982"/>
      </w:tblGrid>
      <w:tr w:rsidR="00C50116" w:rsidRPr="001A4D2F" w:rsidTr="008C09AC">
        <w:trPr>
          <w:trHeight w:val="140"/>
        </w:trPr>
        <w:tc>
          <w:tcPr>
            <w:tcW w:w="902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F86F91" w:rsidRPr="00BF25A7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Naziv</w:t>
            </w:r>
            <w:r w:rsidR="00F86F91" w:rsidRPr="00BF25A7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aktivnosti</w:t>
            </w:r>
            <w:r w:rsidR="00F86F91" w:rsidRPr="00BF25A7">
              <w:rPr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379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F86F91" w:rsidRPr="00BF25A7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Organ</w:t>
            </w:r>
            <w:r w:rsidR="00F86F91" w:rsidRPr="00BF25A7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koji</w:t>
            </w:r>
            <w:r w:rsidR="00F86F91" w:rsidRPr="00BF25A7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sprovodi</w:t>
            </w:r>
            <w:r w:rsidR="00F86F91" w:rsidRPr="00BF25A7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aktivnost</w:t>
            </w:r>
          </w:p>
        </w:tc>
        <w:tc>
          <w:tcPr>
            <w:tcW w:w="48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F86F91" w:rsidRPr="00BF25A7" w:rsidRDefault="00F86F91" w:rsidP="00C11F8E">
            <w:pPr>
              <w:rPr>
                <w:b/>
                <w:sz w:val="18"/>
                <w:szCs w:val="18"/>
                <w:lang w:val="sr-Cyrl-CS"/>
              </w:rPr>
            </w:pPr>
            <w:r w:rsidRPr="00BF25A7">
              <w:rPr>
                <w:b/>
                <w:sz w:val="18"/>
                <w:szCs w:val="18"/>
                <w:lang w:val="sr-Cyrl-CS"/>
              </w:rPr>
              <w:t>O</w:t>
            </w:r>
            <w:r w:rsidR="00DF098D">
              <w:rPr>
                <w:b/>
                <w:sz w:val="18"/>
                <w:szCs w:val="18"/>
                <w:lang w:val="sr-Cyrl-CS"/>
              </w:rPr>
              <w:t>rgani</w:t>
            </w:r>
            <w:r w:rsidRPr="00BF25A7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partneri</w:t>
            </w:r>
            <w:r w:rsidRPr="00BF25A7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u</w:t>
            </w:r>
            <w:r w:rsidRPr="00BF25A7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sprovođenju</w:t>
            </w:r>
            <w:r w:rsidRPr="00BF25A7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aktivnosti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F86F91" w:rsidRPr="00BF25A7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Rok</w:t>
            </w:r>
            <w:r w:rsidR="00F86F91" w:rsidRPr="00BF25A7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za</w:t>
            </w:r>
            <w:r w:rsidR="00F86F91" w:rsidRPr="00BF25A7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završetak</w:t>
            </w:r>
            <w:r w:rsidR="00F86F91" w:rsidRPr="00BF25A7">
              <w:rPr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aktivnosti</w:t>
            </w:r>
          </w:p>
        </w:tc>
        <w:tc>
          <w:tcPr>
            <w:tcW w:w="53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F86F91" w:rsidRPr="00BF25A7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Izvor</w:t>
            </w:r>
            <w:r w:rsidR="00F86F91" w:rsidRPr="00BF25A7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finansiranja</w:t>
            </w:r>
          </w:p>
        </w:tc>
        <w:tc>
          <w:tcPr>
            <w:tcW w:w="376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F86F91" w:rsidRPr="00BF25A7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Veza</w:t>
            </w:r>
            <w:r w:rsidR="00F86F91" w:rsidRPr="00BF25A7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sa</w:t>
            </w:r>
            <w:r w:rsidR="00F86F91" w:rsidRPr="00BF25A7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2"/>
                <w:szCs w:val="12"/>
                <w:lang w:val="sr-Cyrl-CS"/>
              </w:rPr>
              <w:t>programskim</w:t>
            </w:r>
            <w:r w:rsidR="00F86F91" w:rsidRPr="00BF25A7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budžetom</w:t>
            </w:r>
          </w:p>
          <w:p w:rsidR="00F86F91" w:rsidRPr="00BF25A7" w:rsidRDefault="00F86F91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945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F86F91" w:rsidRPr="00BF25A7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Ukupna</w:t>
            </w:r>
            <w:r w:rsidR="00F86F91" w:rsidRPr="00BF25A7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procenjena</w:t>
            </w:r>
            <w:r w:rsidR="00F86F91" w:rsidRPr="00BF25A7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finansijska</w:t>
            </w:r>
            <w:r w:rsidR="00F86F91" w:rsidRPr="00BF25A7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sredstva</w:t>
            </w:r>
            <w:r w:rsidR="00F86F91" w:rsidRPr="00BF25A7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po</w:t>
            </w:r>
            <w:r w:rsidR="00F86F91" w:rsidRPr="00BF25A7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izvorima</w:t>
            </w:r>
            <w:r w:rsidR="00F86F91" w:rsidRPr="00BF25A7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u</w:t>
            </w:r>
            <w:r w:rsidR="00F86F91" w:rsidRPr="00BF25A7">
              <w:rPr>
                <w:b/>
                <w:sz w:val="18"/>
                <w:szCs w:val="18"/>
                <w:lang w:val="sr-Cyrl-CS"/>
              </w:rPr>
              <w:t xml:space="preserve"> 000 </w:t>
            </w:r>
            <w:r>
              <w:rPr>
                <w:b/>
                <w:sz w:val="18"/>
                <w:szCs w:val="18"/>
                <w:lang w:val="sr-Cyrl-CS"/>
              </w:rPr>
              <w:t>din</w:t>
            </w:r>
            <w:r w:rsidR="00F86F91" w:rsidRPr="00BF25A7">
              <w:rPr>
                <w:b/>
                <w:sz w:val="18"/>
                <w:szCs w:val="18"/>
                <w:lang w:val="sr-Cyrl-CS"/>
              </w:rPr>
              <w:t>.</w:t>
            </w:r>
            <w:r w:rsidR="00F86F91" w:rsidRPr="00BF25A7">
              <w:rPr>
                <w:rStyle w:val="FootnoteReference"/>
                <w:b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C50116" w:rsidRPr="001A4D2F" w:rsidTr="008C09AC">
        <w:trPr>
          <w:trHeight w:val="662"/>
        </w:trPr>
        <w:tc>
          <w:tcPr>
            <w:tcW w:w="902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1B4CBD" w:rsidRPr="00BF25A7" w:rsidRDefault="001B4CBD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79" w:type="pct"/>
            <w:vMerge/>
            <w:shd w:val="clear" w:color="auto" w:fill="E5DFEC" w:themeFill="accent4" w:themeFillTint="33"/>
          </w:tcPr>
          <w:p w:rsidR="001B4CBD" w:rsidRPr="00BF25A7" w:rsidRDefault="001B4CBD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84" w:type="pct"/>
            <w:vMerge/>
            <w:shd w:val="clear" w:color="auto" w:fill="E5DFEC" w:themeFill="accent4" w:themeFillTint="33"/>
          </w:tcPr>
          <w:p w:rsidR="001B4CBD" w:rsidRPr="00BF25A7" w:rsidRDefault="001B4CBD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376" w:type="pct"/>
            <w:vMerge/>
            <w:shd w:val="clear" w:color="auto" w:fill="E5DFEC" w:themeFill="accent4" w:themeFillTint="33"/>
          </w:tcPr>
          <w:p w:rsidR="001B4CBD" w:rsidRPr="00BF25A7" w:rsidRDefault="001B4CBD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8" w:type="pct"/>
            <w:vMerge/>
            <w:shd w:val="clear" w:color="auto" w:fill="E5DFEC" w:themeFill="accent4" w:themeFillTint="33"/>
          </w:tcPr>
          <w:p w:rsidR="001B4CBD" w:rsidRPr="00BF25A7" w:rsidRDefault="001B4CBD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376" w:type="pct"/>
            <w:vMerge/>
            <w:shd w:val="clear" w:color="auto" w:fill="E5DFEC" w:themeFill="accent4" w:themeFillTint="33"/>
          </w:tcPr>
          <w:p w:rsidR="001B4CBD" w:rsidRPr="00BF25A7" w:rsidRDefault="001B4CBD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708" w:type="pct"/>
            <w:shd w:val="clear" w:color="auto" w:fill="E5DFEC" w:themeFill="accent4" w:themeFillTint="33"/>
          </w:tcPr>
          <w:p w:rsidR="001B4CBD" w:rsidRPr="00BF25A7" w:rsidRDefault="001B4CB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BF25A7">
              <w:rPr>
                <w:b/>
                <w:sz w:val="18"/>
                <w:szCs w:val="18"/>
                <w:lang w:val="sr-Cyrl-CS"/>
              </w:rPr>
              <w:t>2020.</w:t>
            </w:r>
          </w:p>
        </w:tc>
        <w:tc>
          <w:tcPr>
            <w:tcW w:w="538" w:type="pct"/>
            <w:shd w:val="clear" w:color="auto" w:fill="E5DFEC" w:themeFill="accent4" w:themeFillTint="33"/>
          </w:tcPr>
          <w:p w:rsidR="001B4CBD" w:rsidRPr="00BF25A7" w:rsidRDefault="001B4CB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BF25A7">
              <w:rPr>
                <w:b/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699" w:type="pct"/>
            <w:shd w:val="clear" w:color="auto" w:fill="E5DFEC" w:themeFill="accent4" w:themeFillTint="33"/>
          </w:tcPr>
          <w:p w:rsidR="001B4CBD" w:rsidRPr="00BF25A7" w:rsidRDefault="001B4CBD" w:rsidP="001B4CB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BF25A7">
              <w:rPr>
                <w:b/>
                <w:sz w:val="18"/>
                <w:szCs w:val="18"/>
                <w:lang w:val="sr-Cyrl-CS"/>
              </w:rPr>
              <w:t>2022.</w:t>
            </w:r>
          </w:p>
        </w:tc>
      </w:tr>
      <w:tr w:rsidR="00C50116" w:rsidRPr="001A4D2F" w:rsidTr="00FB1798">
        <w:trPr>
          <w:trHeight w:val="2542"/>
        </w:trPr>
        <w:tc>
          <w:tcPr>
            <w:tcW w:w="902" w:type="pct"/>
            <w:tcBorders>
              <w:left w:val="double" w:sz="4" w:space="0" w:color="auto"/>
            </w:tcBorders>
          </w:tcPr>
          <w:p w:rsidR="00C50116" w:rsidRPr="00BF25A7" w:rsidRDefault="00C50116" w:rsidP="009255B6">
            <w:pPr>
              <w:rPr>
                <w:sz w:val="22"/>
                <w:szCs w:val="22"/>
                <w:lang w:val="sr-Cyrl-CS"/>
              </w:rPr>
            </w:pPr>
            <w:r w:rsidRPr="00BF25A7">
              <w:rPr>
                <w:sz w:val="22"/>
                <w:szCs w:val="22"/>
                <w:lang w:val="sr-Cyrl-CS"/>
              </w:rPr>
              <w:lastRenderedPageBreak/>
              <w:t xml:space="preserve">3.1.1 </w:t>
            </w:r>
            <w:r w:rsidR="00DF098D">
              <w:rPr>
                <w:sz w:val="22"/>
                <w:szCs w:val="22"/>
                <w:lang w:val="sr-Cyrl-CS"/>
              </w:rPr>
              <w:t>Izvršiti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analizu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postojećih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sporazuma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o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saradnji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zaključenih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između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Republičkog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javnog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tužilaštva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drugih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državnih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organa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u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cilju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razmene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podataka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informacija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u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vezi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slučajeva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pranja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novca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radi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efikasnog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otkrivanja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procesuiranja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krivičnog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dela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pranja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novca</w:t>
            </w:r>
            <w:r w:rsidRPr="00BF25A7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79" w:type="pct"/>
          </w:tcPr>
          <w:p w:rsidR="00C50116" w:rsidRPr="001A4D2F" w:rsidRDefault="00DF098D" w:rsidP="00FB1798">
            <w:pPr>
              <w:rPr>
                <w:lang w:val="sr-Cyrl-CS"/>
              </w:rPr>
            </w:pPr>
            <w:r>
              <w:rPr>
                <w:lang w:val="sr-Cyrl-CS"/>
              </w:rPr>
              <w:t>RJT</w:t>
            </w:r>
          </w:p>
        </w:tc>
        <w:tc>
          <w:tcPr>
            <w:tcW w:w="484" w:type="pct"/>
          </w:tcPr>
          <w:p w:rsidR="00C50116" w:rsidRPr="001A4D2F" w:rsidRDefault="00DF098D" w:rsidP="005768D4">
            <w:pPr>
              <w:rPr>
                <w:lang w:val="sr-Cyrl-CS"/>
              </w:rPr>
            </w:pPr>
            <w:r>
              <w:rPr>
                <w:lang w:val="sr-Cyrl-CS"/>
              </w:rPr>
              <w:t>PP</w:t>
            </w:r>
            <w:r w:rsidR="00C5011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UC</w:t>
            </w:r>
            <w:r w:rsidR="00C5011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NBS</w:t>
            </w:r>
            <w:r w:rsidR="00C5011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USPN</w:t>
            </w:r>
            <w:r w:rsidR="00C5011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APR</w:t>
            </w:r>
            <w:r w:rsidR="00C5011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CRHOV</w:t>
            </w:r>
            <w:r w:rsidR="00C5011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DRI</w:t>
            </w:r>
            <w:r w:rsidR="00C5011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RGZ</w:t>
            </w:r>
            <w:r w:rsidR="00C5011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ABPK</w:t>
            </w:r>
            <w:r w:rsidR="00C5011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RFPIO</w:t>
            </w:r>
            <w:r w:rsidR="00C5011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RFZO</w:t>
            </w:r>
            <w:r w:rsidR="005768D4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RDI</w:t>
            </w:r>
            <w:r w:rsidR="005768D4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UJN</w:t>
            </w:r>
          </w:p>
        </w:tc>
        <w:tc>
          <w:tcPr>
            <w:tcW w:w="376" w:type="pct"/>
          </w:tcPr>
          <w:p w:rsidR="00C50116" w:rsidRPr="001A4D2F" w:rsidRDefault="008C09AC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2020.</w:t>
            </w:r>
          </w:p>
        </w:tc>
        <w:tc>
          <w:tcPr>
            <w:tcW w:w="538" w:type="pct"/>
          </w:tcPr>
          <w:p w:rsidR="00DD68A6" w:rsidRPr="001A4D2F" w:rsidRDefault="00DF098D" w:rsidP="00FB1798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C50116" w:rsidRPr="001A4D2F" w:rsidRDefault="00C50116" w:rsidP="00FB1798">
            <w:pPr>
              <w:rPr>
                <w:lang w:val="sr-Cyrl-CS"/>
              </w:rPr>
            </w:pPr>
          </w:p>
        </w:tc>
        <w:tc>
          <w:tcPr>
            <w:tcW w:w="376" w:type="pct"/>
          </w:tcPr>
          <w:p w:rsidR="00C50116" w:rsidRPr="001A4D2F" w:rsidRDefault="00C50116" w:rsidP="00FB1798">
            <w:pPr>
              <w:rPr>
                <w:lang w:val="sr-Cyrl-CS"/>
              </w:rPr>
            </w:pPr>
          </w:p>
        </w:tc>
        <w:tc>
          <w:tcPr>
            <w:tcW w:w="708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</w:tr>
      <w:tr w:rsidR="009255B6" w:rsidRPr="001A4D2F" w:rsidTr="009255B6">
        <w:trPr>
          <w:trHeight w:val="1408"/>
        </w:trPr>
        <w:tc>
          <w:tcPr>
            <w:tcW w:w="902" w:type="pct"/>
            <w:tcBorders>
              <w:left w:val="double" w:sz="4" w:space="0" w:color="auto"/>
            </w:tcBorders>
          </w:tcPr>
          <w:p w:rsidR="009255B6" w:rsidRPr="001A4D2F" w:rsidRDefault="009255B6" w:rsidP="009255B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3.1.2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skladu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nalazima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analize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aktivnosti</w:t>
            </w:r>
            <w:r w:rsidRPr="001A4D2F">
              <w:rPr>
                <w:lang w:val="sr-Cyrl-CS"/>
              </w:rPr>
              <w:t xml:space="preserve"> 3.1.1, </w:t>
            </w:r>
            <w:r w:rsidR="00DF098D">
              <w:rPr>
                <w:lang w:val="sr-Cyrl-CS"/>
              </w:rPr>
              <w:t>po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potrebi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zaključiti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sporazume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ili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izmeniti</w:t>
            </w:r>
            <w:r w:rsidRPr="001A4D2F">
              <w:rPr>
                <w:lang w:val="sr-Cyrl-CS"/>
              </w:rPr>
              <w:t>/</w:t>
            </w:r>
            <w:r w:rsidR="00DF098D">
              <w:rPr>
                <w:lang w:val="sr-Cyrl-CS"/>
              </w:rPr>
              <w:t>dopuniti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postojeće</w:t>
            </w:r>
          </w:p>
        </w:tc>
        <w:tc>
          <w:tcPr>
            <w:tcW w:w="379" w:type="pct"/>
          </w:tcPr>
          <w:p w:rsidR="009255B6" w:rsidRPr="001A4D2F" w:rsidRDefault="00DF098D" w:rsidP="005B03E9">
            <w:pPr>
              <w:rPr>
                <w:lang w:val="sr-Cyrl-CS"/>
              </w:rPr>
            </w:pPr>
            <w:r>
              <w:rPr>
                <w:lang w:val="sr-Cyrl-CS"/>
              </w:rPr>
              <w:t>RJT</w:t>
            </w:r>
          </w:p>
        </w:tc>
        <w:tc>
          <w:tcPr>
            <w:tcW w:w="484" w:type="pct"/>
          </w:tcPr>
          <w:p w:rsidR="009255B6" w:rsidRPr="001A4D2F" w:rsidRDefault="00DF098D" w:rsidP="005B03E9">
            <w:pPr>
              <w:rPr>
                <w:lang w:val="sr-Cyrl-CS"/>
              </w:rPr>
            </w:pPr>
            <w:r>
              <w:rPr>
                <w:lang w:val="sr-Cyrl-CS"/>
              </w:rPr>
              <w:t>PP</w:t>
            </w:r>
            <w:r w:rsidR="009255B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UC</w:t>
            </w:r>
            <w:r w:rsidR="009255B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NBS</w:t>
            </w:r>
            <w:r w:rsidR="009255B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USPN</w:t>
            </w:r>
            <w:r w:rsidR="009255B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APR</w:t>
            </w:r>
            <w:r w:rsidR="009255B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CRHOV</w:t>
            </w:r>
            <w:r w:rsidR="009255B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DRI</w:t>
            </w:r>
            <w:r w:rsidR="009255B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RGZ</w:t>
            </w:r>
            <w:r w:rsidR="009255B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ABPK</w:t>
            </w:r>
            <w:r w:rsidR="009255B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RFPIO</w:t>
            </w:r>
            <w:r w:rsidR="009255B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RFZO</w:t>
            </w:r>
            <w:r w:rsidR="009255B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RDI</w:t>
            </w:r>
            <w:r w:rsidR="009255B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UJN</w:t>
            </w:r>
          </w:p>
        </w:tc>
        <w:tc>
          <w:tcPr>
            <w:tcW w:w="376" w:type="pct"/>
          </w:tcPr>
          <w:p w:rsidR="009255B6" w:rsidRPr="001A4D2F" w:rsidRDefault="009255B6" w:rsidP="009255B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38" w:type="pct"/>
          </w:tcPr>
          <w:p w:rsidR="009255B6" w:rsidRPr="001A4D2F" w:rsidRDefault="00DF098D" w:rsidP="005B03E9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9255B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9255B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9255B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9255B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9255B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9255B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9255B6" w:rsidRPr="001A4D2F" w:rsidRDefault="009255B6" w:rsidP="005B03E9">
            <w:pPr>
              <w:rPr>
                <w:lang w:val="sr-Cyrl-CS"/>
              </w:rPr>
            </w:pPr>
          </w:p>
        </w:tc>
        <w:tc>
          <w:tcPr>
            <w:tcW w:w="376" w:type="pct"/>
          </w:tcPr>
          <w:p w:rsidR="009255B6" w:rsidRPr="001A4D2F" w:rsidRDefault="009255B6" w:rsidP="00FB1798">
            <w:pPr>
              <w:rPr>
                <w:lang w:val="sr-Cyrl-CS"/>
              </w:rPr>
            </w:pPr>
          </w:p>
        </w:tc>
        <w:tc>
          <w:tcPr>
            <w:tcW w:w="708" w:type="pct"/>
          </w:tcPr>
          <w:p w:rsidR="009255B6" w:rsidRPr="001A4D2F" w:rsidRDefault="009255B6" w:rsidP="00C50116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9255B6" w:rsidRPr="001A4D2F" w:rsidRDefault="009255B6" w:rsidP="00C50116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9255B6" w:rsidRPr="001A4D2F" w:rsidRDefault="009255B6" w:rsidP="00C50116">
            <w:pPr>
              <w:rPr>
                <w:lang w:val="sr-Cyrl-CS"/>
              </w:rPr>
            </w:pPr>
          </w:p>
        </w:tc>
      </w:tr>
      <w:tr w:rsidR="00C50116" w:rsidRPr="001A4D2F" w:rsidTr="00FB1798">
        <w:trPr>
          <w:trHeight w:val="140"/>
        </w:trPr>
        <w:tc>
          <w:tcPr>
            <w:tcW w:w="902" w:type="pct"/>
            <w:tcBorders>
              <w:left w:val="double" w:sz="4" w:space="0" w:color="auto"/>
            </w:tcBorders>
          </w:tcPr>
          <w:p w:rsidR="00C50116" w:rsidRDefault="009255B6" w:rsidP="00FB1798">
            <w:pPr>
              <w:rPr>
                <w:color w:val="auto"/>
                <w:sz w:val="22"/>
                <w:szCs w:val="22"/>
              </w:rPr>
            </w:pPr>
            <w:r w:rsidRPr="00BF25A7">
              <w:rPr>
                <w:sz w:val="22"/>
                <w:szCs w:val="22"/>
                <w:lang w:val="sr-Cyrl-CS"/>
              </w:rPr>
              <w:t>3.1.3</w:t>
            </w:r>
            <w:r w:rsidR="00C50116" w:rsidRPr="00BF25A7">
              <w:rPr>
                <w:sz w:val="22"/>
                <w:szCs w:val="22"/>
                <w:lang w:val="sr-Cyrl-CS"/>
              </w:rPr>
              <w:t xml:space="preserve">.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Davanje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prioriteta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u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postupanju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u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predmetima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pranja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novca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u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godišnjim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planovima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i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programima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rada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tužilaštva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za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organizovani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kriminal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i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viših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javnih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tužilaštava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u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Beogradu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Kraljevu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Nišu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i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Novom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Sadu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kao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i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Viših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sudova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u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Beogradu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Kraljevu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Nišu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i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Novom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Sadu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i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Vrhovnog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lastRenderedPageBreak/>
              <w:t>kasacionog</w:t>
            </w:r>
            <w:r w:rsidR="00BD0541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suda</w:t>
            </w:r>
            <w:r w:rsidR="00BD0541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i</w:t>
            </w:r>
            <w:r w:rsidR="00BD0541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Apelacionih</w:t>
            </w:r>
            <w:r w:rsidR="00BD0541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sudova</w:t>
            </w:r>
            <w:r w:rsidR="00BD0541" w:rsidRPr="00BF25A7">
              <w:rPr>
                <w:color w:val="auto"/>
                <w:sz w:val="22"/>
                <w:szCs w:val="22"/>
                <w:lang w:val="sr-Cyrl-CS"/>
              </w:rPr>
              <w:t xml:space="preserve">,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a</w:t>
            </w:r>
            <w:r w:rsidR="00BD0541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posebno</w:t>
            </w:r>
            <w:r w:rsidR="00BD0541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u</w:t>
            </w:r>
            <w:r w:rsidR="00BD0541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predmetima</w:t>
            </w:r>
            <w:r w:rsidR="00BD0541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sa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predikatnim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krivičnim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delima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visokog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stepena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rizika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i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velike</w:t>
            </w:r>
            <w:r w:rsidR="00C50116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vrednosti</w:t>
            </w:r>
          </w:p>
          <w:p w:rsidR="00BF25A7" w:rsidRPr="00BF25A7" w:rsidRDefault="00BF25A7" w:rsidP="00FB1798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379" w:type="pct"/>
          </w:tcPr>
          <w:p w:rsidR="00C50116" w:rsidRPr="001A4D2F" w:rsidRDefault="00DF098D" w:rsidP="00FB1798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RJT</w:t>
            </w:r>
          </w:p>
        </w:tc>
        <w:tc>
          <w:tcPr>
            <w:tcW w:w="484" w:type="pct"/>
          </w:tcPr>
          <w:p w:rsidR="00C50116" w:rsidRPr="001A4D2F" w:rsidRDefault="00DF098D" w:rsidP="00D5399E">
            <w:pPr>
              <w:rPr>
                <w:lang w:val="sr-Cyrl-CS"/>
              </w:rPr>
            </w:pPr>
            <w:r>
              <w:rPr>
                <w:lang w:val="sr-Cyrl-CS"/>
              </w:rPr>
              <w:t>TOK</w:t>
            </w:r>
            <w:r w:rsidR="0055614B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VJT</w:t>
            </w:r>
            <w:r w:rsidR="008C09A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Kraljevo</w:t>
            </w:r>
            <w:r w:rsidR="008C09AC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Beograd</w:t>
            </w:r>
            <w:r w:rsidR="008C09AC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Niš</w:t>
            </w:r>
            <w:r w:rsidR="008C09AC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Novi</w:t>
            </w:r>
            <w:r w:rsidR="008C09A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Sad</w:t>
            </w:r>
            <w:r w:rsidR="008C09AC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VKS</w:t>
            </w:r>
            <w:r w:rsidR="008C09AC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AS</w:t>
            </w:r>
            <w:r w:rsidR="0055614B" w:rsidRPr="001A4D2F">
              <w:rPr>
                <w:color w:val="FF0000"/>
                <w:lang w:val="sr-Cyrl-CS"/>
              </w:rPr>
              <w:t xml:space="preserve"> </w:t>
            </w:r>
          </w:p>
        </w:tc>
        <w:tc>
          <w:tcPr>
            <w:tcW w:w="376" w:type="pct"/>
          </w:tcPr>
          <w:p w:rsidR="00C50116" w:rsidRPr="001A4D2F" w:rsidRDefault="008C09AC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38" w:type="pct"/>
          </w:tcPr>
          <w:p w:rsidR="00DD68A6" w:rsidRPr="001A4D2F" w:rsidRDefault="00DF098D" w:rsidP="00FB1798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C50116" w:rsidRPr="001A4D2F" w:rsidRDefault="00C50116" w:rsidP="00FB1798">
            <w:pPr>
              <w:rPr>
                <w:lang w:val="sr-Cyrl-CS"/>
              </w:rPr>
            </w:pPr>
          </w:p>
        </w:tc>
        <w:tc>
          <w:tcPr>
            <w:tcW w:w="376" w:type="pct"/>
          </w:tcPr>
          <w:p w:rsidR="00C50116" w:rsidRPr="001A4D2F" w:rsidRDefault="00C50116" w:rsidP="00FB1798">
            <w:pPr>
              <w:rPr>
                <w:lang w:val="sr-Cyrl-CS"/>
              </w:rPr>
            </w:pPr>
          </w:p>
        </w:tc>
        <w:tc>
          <w:tcPr>
            <w:tcW w:w="708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</w:tr>
      <w:tr w:rsidR="00C50116" w:rsidRPr="001A4D2F" w:rsidTr="00FB1798">
        <w:trPr>
          <w:trHeight w:val="140"/>
        </w:trPr>
        <w:tc>
          <w:tcPr>
            <w:tcW w:w="902" w:type="pct"/>
            <w:tcBorders>
              <w:left w:val="double" w:sz="4" w:space="0" w:color="auto"/>
            </w:tcBorders>
          </w:tcPr>
          <w:p w:rsidR="00C50116" w:rsidRPr="001A4D2F" w:rsidRDefault="00C50116" w:rsidP="009255B6">
            <w:pPr>
              <w:rPr>
                <w:color w:val="FF0000"/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3.1.</w:t>
            </w:r>
            <w:r w:rsidR="009255B6" w:rsidRPr="001A4D2F">
              <w:rPr>
                <w:lang w:val="sr-Cyrl-CS"/>
              </w:rPr>
              <w:t>4</w:t>
            </w:r>
            <w:r w:rsidRPr="001A4D2F">
              <w:rPr>
                <w:lang w:val="sr-Cyrl-CS"/>
              </w:rPr>
              <w:t xml:space="preserve">. </w:t>
            </w:r>
            <w:r w:rsidR="00DF098D">
              <w:rPr>
                <w:color w:val="auto"/>
                <w:lang w:val="sr-Cyrl-CS"/>
              </w:rPr>
              <w:t>Formiranje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stalnih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udarnih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grupa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za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procesuiranje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krivičnog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dela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pranja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novca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bez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predikatnog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krivičnog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dela</w:t>
            </w:r>
            <w:r w:rsidR="001B2108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i</w:t>
            </w:r>
            <w:r w:rsidR="001B2108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od</w:t>
            </w:r>
            <w:r w:rsidR="001B2108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strane</w:t>
            </w:r>
            <w:r w:rsidR="001B2108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trećih</w:t>
            </w:r>
            <w:r w:rsidR="001B2108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lica</w:t>
            </w:r>
            <w:r w:rsidR="001B2108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u</w:t>
            </w:r>
            <w:r w:rsidR="001B2108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četiri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posebna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odeljenja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u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višim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javnim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tužilaštvima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u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Beogradu</w:t>
            </w:r>
            <w:r w:rsidRPr="001A4D2F">
              <w:rPr>
                <w:color w:val="auto"/>
                <w:lang w:val="sr-Cyrl-CS"/>
              </w:rPr>
              <w:t xml:space="preserve">, </w:t>
            </w:r>
            <w:r w:rsidR="00DF098D">
              <w:rPr>
                <w:color w:val="auto"/>
                <w:lang w:val="sr-Cyrl-CS"/>
              </w:rPr>
              <w:t>Kraljevu</w:t>
            </w:r>
            <w:r w:rsidRPr="001A4D2F">
              <w:rPr>
                <w:color w:val="auto"/>
                <w:lang w:val="sr-Cyrl-CS"/>
              </w:rPr>
              <w:t xml:space="preserve">, </w:t>
            </w:r>
            <w:r w:rsidR="00DF098D">
              <w:rPr>
                <w:color w:val="auto"/>
                <w:lang w:val="sr-Cyrl-CS"/>
              </w:rPr>
              <w:t>Nišu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i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Novom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Sadu</w:t>
            </w:r>
            <w:r w:rsidRPr="001A4D2F">
              <w:rPr>
                <w:color w:val="auto"/>
                <w:lang w:val="sr-Cyrl-CS"/>
              </w:rPr>
              <w:t xml:space="preserve">, </w:t>
            </w:r>
            <w:r w:rsidR="00DF098D">
              <w:rPr>
                <w:color w:val="auto"/>
                <w:lang w:val="sr-Cyrl-CS"/>
              </w:rPr>
              <w:t>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Tužilaštvu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za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organizovani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kriminal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za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procesuiranje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profesionalnog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pranja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novca</w:t>
            </w:r>
            <w:r w:rsidRPr="001A4D2F">
              <w:rPr>
                <w:color w:val="auto"/>
                <w:lang w:val="sr-Cyrl-CS"/>
              </w:rPr>
              <w:t>.</w:t>
            </w:r>
          </w:p>
        </w:tc>
        <w:tc>
          <w:tcPr>
            <w:tcW w:w="379" w:type="pct"/>
          </w:tcPr>
          <w:p w:rsidR="00C50116" w:rsidRPr="001A4D2F" w:rsidRDefault="00DF098D" w:rsidP="00FB1798">
            <w:pPr>
              <w:rPr>
                <w:lang w:val="sr-Cyrl-CS"/>
              </w:rPr>
            </w:pPr>
            <w:r>
              <w:rPr>
                <w:lang w:val="sr-Cyrl-CS"/>
              </w:rPr>
              <w:t>TOK</w:t>
            </w:r>
          </w:p>
        </w:tc>
        <w:tc>
          <w:tcPr>
            <w:tcW w:w="484" w:type="pct"/>
          </w:tcPr>
          <w:p w:rsidR="00C50116" w:rsidRPr="001A4D2F" w:rsidRDefault="00DF098D" w:rsidP="005768D4">
            <w:pPr>
              <w:rPr>
                <w:lang w:val="sr-Cyrl-CS"/>
              </w:rPr>
            </w:pPr>
            <w:r>
              <w:rPr>
                <w:lang w:val="sr-Cyrl-CS"/>
              </w:rPr>
              <w:t>VJT</w:t>
            </w:r>
            <w:r w:rsidR="00BE642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Kraljevo</w:t>
            </w:r>
            <w:r w:rsidR="00BE642B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Beograd</w:t>
            </w:r>
            <w:r w:rsidR="00BE642B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Niš</w:t>
            </w:r>
            <w:r w:rsidR="00BE642B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Novi</w:t>
            </w:r>
            <w:r w:rsidR="00BE642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Sad</w:t>
            </w:r>
            <w:r w:rsidR="00BE642B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PP</w:t>
            </w:r>
            <w:r w:rsidR="00C5011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UC</w:t>
            </w:r>
            <w:r w:rsidR="00C5011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NBS</w:t>
            </w:r>
            <w:r w:rsidR="00C5011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USPN</w:t>
            </w:r>
            <w:r w:rsidR="00C5011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APR</w:t>
            </w:r>
            <w:r w:rsidR="00C5011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CRHOV</w:t>
            </w:r>
            <w:r w:rsidR="00C5011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DRI</w:t>
            </w:r>
            <w:r w:rsidR="00C5011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RGZ</w:t>
            </w:r>
            <w:r w:rsidR="00C5011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ABK</w:t>
            </w:r>
            <w:r w:rsidR="00C5011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RFPIO</w:t>
            </w:r>
            <w:r w:rsidR="00C5011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RFZO</w:t>
            </w:r>
            <w:r w:rsidR="00C50116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RDI</w:t>
            </w:r>
            <w:r w:rsidR="005768D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C5011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UJN</w:t>
            </w:r>
          </w:p>
        </w:tc>
        <w:tc>
          <w:tcPr>
            <w:tcW w:w="376" w:type="pct"/>
          </w:tcPr>
          <w:p w:rsidR="00C50116" w:rsidRPr="001A4D2F" w:rsidRDefault="00BE642B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2020.</w:t>
            </w:r>
          </w:p>
        </w:tc>
        <w:tc>
          <w:tcPr>
            <w:tcW w:w="538" w:type="pct"/>
          </w:tcPr>
          <w:p w:rsidR="00DD68A6" w:rsidRPr="001A4D2F" w:rsidRDefault="00DF098D" w:rsidP="00FB1798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C50116" w:rsidRPr="001A4D2F" w:rsidRDefault="00C50116" w:rsidP="00FB1798">
            <w:pPr>
              <w:rPr>
                <w:lang w:val="sr-Cyrl-CS"/>
              </w:rPr>
            </w:pPr>
          </w:p>
        </w:tc>
        <w:tc>
          <w:tcPr>
            <w:tcW w:w="376" w:type="pct"/>
          </w:tcPr>
          <w:p w:rsidR="00C50116" w:rsidRPr="001A4D2F" w:rsidRDefault="00C50116" w:rsidP="00FB1798">
            <w:pPr>
              <w:rPr>
                <w:lang w:val="sr-Cyrl-CS"/>
              </w:rPr>
            </w:pPr>
          </w:p>
        </w:tc>
        <w:tc>
          <w:tcPr>
            <w:tcW w:w="708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</w:tr>
      <w:tr w:rsidR="00C50116" w:rsidRPr="001A4D2F" w:rsidTr="00FB1798">
        <w:trPr>
          <w:trHeight w:val="140"/>
        </w:trPr>
        <w:tc>
          <w:tcPr>
            <w:tcW w:w="902" w:type="pct"/>
            <w:tcBorders>
              <w:left w:val="double" w:sz="4" w:space="0" w:color="auto"/>
            </w:tcBorders>
          </w:tcPr>
          <w:p w:rsidR="00C50116" w:rsidRPr="001A4D2F" w:rsidRDefault="00C50116" w:rsidP="009255B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3.1.</w:t>
            </w:r>
            <w:r w:rsidR="009255B6" w:rsidRPr="001A4D2F">
              <w:rPr>
                <w:lang w:val="sr-Cyrl-CS"/>
              </w:rPr>
              <w:t>5</w:t>
            </w:r>
            <w:r w:rsidRPr="001A4D2F">
              <w:rPr>
                <w:lang w:val="sr-Cyrl-CS"/>
              </w:rPr>
              <w:t xml:space="preserve">. </w:t>
            </w:r>
            <w:r w:rsidR="00DF098D">
              <w:rPr>
                <w:lang w:val="sr-Cyrl-CS"/>
              </w:rPr>
              <w:t>Održavanje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periodičnih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sastanaka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koordinaciju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prioritizaciju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aktivnosti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nadzornih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nadležnih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policijskih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jedinica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javnih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tužilaštava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zaduženih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procesuiranje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krivičnih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dela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</w:p>
        </w:tc>
        <w:tc>
          <w:tcPr>
            <w:tcW w:w="379" w:type="pct"/>
          </w:tcPr>
          <w:p w:rsidR="00C50116" w:rsidRPr="001A4D2F" w:rsidRDefault="00DF098D" w:rsidP="00FB1798">
            <w:pPr>
              <w:rPr>
                <w:lang w:val="sr-Cyrl-CS"/>
              </w:rPr>
            </w:pPr>
            <w:r>
              <w:rPr>
                <w:lang w:val="sr-Cyrl-CS"/>
              </w:rPr>
              <w:t>RJT</w:t>
            </w:r>
          </w:p>
        </w:tc>
        <w:tc>
          <w:tcPr>
            <w:tcW w:w="484" w:type="pct"/>
          </w:tcPr>
          <w:p w:rsidR="00C50116" w:rsidRPr="001A4D2F" w:rsidRDefault="00DF098D" w:rsidP="00FB1798">
            <w:pPr>
              <w:rPr>
                <w:lang w:val="sr-Cyrl-CS"/>
              </w:rPr>
            </w:pPr>
            <w:r>
              <w:rPr>
                <w:lang w:val="sr-Cyrl-CS"/>
              </w:rPr>
              <w:t>TOK</w:t>
            </w:r>
            <w:r w:rsidR="00BE642B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VJT</w:t>
            </w:r>
            <w:r w:rsidR="00BE642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Kraljevo</w:t>
            </w:r>
            <w:r w:rsidR="00BE642B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Beograd</w:t>
            </w:r>
            <w:r w:rsidR="00BE642B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Niš</w:t>
            </w:r>
            <w:r w:rsidR="00BE642B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Novi</w:t>
            </w:r>
            <w:r w:rsidR="00BE642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Sad</w:t>
            </w:r>
            <w:r w:rsidR="00BE642B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MUP</w:t>
            </w:r>
            <w:r w:rsidR="005768D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5768D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Nadzorni</w:t>
            </w:r>
            <w:r w:rsidR="00C5011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</w:p>
        </w:tc>
        <w:tc>
          <w:tcPr>
            <w:tcW w:w="376" w:type="pct"/>
          </w:tcPr>
          <w:p w:rsidR="00C50116" w:rsidRPr="001A4D2F" w:rsidRDefault="00BE642B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</w:t>
            </w:r>
            <w:r w:rsidR="00C50116" w:rsidRPr="001A4D2F">
              <w:rPr>
                <w:lang w:val="sr-Cyrl-CS"/>
              </w:rPr>
              <w:t>2021.</w:t>
            </w:r>
          </w:p>
        </w:tc>
        <w:tc>
          <w:tcPr>
            <w:tcW w:w="538" w:type="pct"/>
          </w:tcPr>
          <w:p w:rsidR="00DD68A6" w:rsidRPr="001A4D2F" w:rsidRDefault="00DF098D" w:rsidP="00FB1798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C50116" w:rsidRPr="001A4D2F" w:rsidRDefault="00C50116" w:rsidP="00FB1798">
            <w:pPr>
              <w:rPr>
                <w:lang w:val="sr-Cyrl-CS"/>
              </w:rPr>
            </w:pPr>
          </w:p>
        </w:tc>
        <w:tc>
          <w:tcPr>
            <w:tcW w:w="376" w:type="pct"/>
          </w:tcPr>
          <w:p w:rsidR="00C50116" w:rsidRPr="001A4D2F" w:rsidRDefault="00C50116" w:rsidP="00FB1798">
            <w:pPr>
              <w:rPr>
                <w:lang w:val="sr-Cyrl-CS"/>
              </w:rPr>
            </w:pPr>
          </w:p>
        </w:tc>
        <w:tc>
          <w:tcPr>
            <w:tcW w:w="708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  <w:tc>
          <w:tcPr>
            <w:tcW w:w="538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  <w:tc>
          <w:tcPr>
            <w:tcW w:w="699" w:type="pct"/>
          </w:tcPr>
          <w:p w:rsidR="00C50116" w:rsidRPr="001A4D2F" w:rsidRDefault="00C50116" w:rsidP="00C50116">
            <w:pPr>
              <w:rPr>
                <w:lang w:val="sr-Cyrl-CS"/>
              </w:rPr>
            </w:pPr>
          </w:p>
        </w:tc>
      </w:tr>
      <w:tr w:rsidR="00C50116" w:rsidRPr="001A4D2F" w:rsidTr="005768D4">
        <w:trPr>
          <w:trHeight w:val="386"/>
        </w:trPr>
        <w:tc>
          <w:tcPr>
            <w:tcW w:w="9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B4CBD" w:rsidRDefault="00BE642B" w:rsidP="009255B6">
            <w:pPr>
              <w:rPr>
                <w:sz w:val="22"/>
                <w:szCs w:val="22"/>
              </w:rPr>
            </w:pPr>
            <w:r w:rsidRPr="00DA0EC2">
              <w:rPr>
                <w:sz w:val="22"/>
                <w:szCs w:val="22"/>
                <w:lang w:val="sr-Cyrl-CS"/>
              </w:rPr>
              <w:lastRenderedPageBreak/>
              <w:t>3.1.</w:t>
            </w:r>
            <w:r w:rsidR="009255B6" w:rsidRPr="00DA0EC2">
              <w:rPr>
                <w:sz w:val="22"/>
                <w:szCs w:val="22"/>
                <w:lang w:val="sr-Cyrl-CS"/>
              </w:rPr>
              <w:t>6</w:t>
            </w:r>
            <w:r w:rsidR="001B4CBD" w:rsidRPr="00DA0EC2">
              <w:rPr>
                <w:sz w:val="22"/>
                <w:szCs w:val="22"/>
                <w:lang w:val="sr-Cyrl-CS"/>
              </w:rPr>
              <w:t>.</w:t>
            </w:r>
            <w:r w:rsidR="001B4CBD" w:rsidRPr="00DA0EC2" w:rsidDel="003511A9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Kontinuirano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održavanje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radionica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za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unapređenje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veština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javnih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tužilaca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za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proaktivno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postupanje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u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pokretanju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paralelnih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finansijskih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istraga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krivičnih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istraga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u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postupcima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za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pranje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novca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(</w:t>
            </w:r>
            <w:r w:rsidR="00DF098D">
              <w:rPr>
                <w:sz w:val="22"/>
                <w:szCs w:val="22"/>
                <w:lang w:val="sr-Cyrl-CS"/>
              </w:rPr>
              <w:t>naročito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pranja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novca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bez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predikatnog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krivičnog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dela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i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pranja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novca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od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strane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trećih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sz w:val="22"/>
                <w:szCs w:val="22"/>
                <w:lang w:val="sr-Cyrl-CS"/>
              </w:rPr>
              <w:t>lica</w:t>
            </w:r>
            <w:r w:rsidR="001B4CBD" w:rsidRPr="00DA0EC2">
              <w:rPr>
                <w:sz w:val="22"/>
                <w:szCs w:val="22"/>
                <w:lang w:val="sr-Cyrl-CS"/>
              </w:rPr>
              <w:t xml:space="preserve">). </w:t>
            </w:r>
          </w:p>
          <w:p w:rsidR="00DA0EC2" w:rsidRDefault="00DA0EC2" w:rsidP="009255B6">
            <w:pPr>
              <w:rPr>
                <w:sz w:val="22"/>
                <w:szCs w:val="22"/>
              </w:rPr>
            </w:pPr>
          </w:p>
          <w:p w:rsidR="00DA0EC2" w:rsidRPr="00DA0EC2" w:rsidRDefault="00DA0EC2" w:rsidP="009255B6">
            <w:pPr>
              <w:rPr>
                <w:sz w:val="22"/>
                <w:szCs w:val="22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68D4" w:rsidRPr="001A4D2F" w:rsidRDefault="005768D4" w:rsidP="005768D4">
            <w:pPr>
              <w:rPr>
                <w:lang w:val="sr-Cyrl-CS"/>
              </w:rPr>
            </w:pPr>
          </w:p>
          <w:p w:rsidR="001B4CBD" w:rsidRPr="001A4D2F" w:rsidRDefault="00DF098D" w:rsidP="005768D4">
            <w:pPr>
              <w:rPr>
                <w:lang w:val="sr-Cyrl-CS"/>
              </w:rPr>
            </w:pPr>
            <w:r>
              <w:rPr>
                <w:lang w:val="sr-Cyrl-CS"/>
              </w:rPr>
              <w:t>PA</w:t>
            </w:r>
          </w:p>
        </w:tc>
        <w:tc>
          <w:tcPr>
            <w:tcW w:w="4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4CBD" w:rsidRPr="001A4D2F" w:rsidRDefault="00DF098D" w:rsidP="005768D4">
            <w:pPr>
              <w:rPr>
                <w:lang w:val="sr-Cyrl-CS"/>
              </w:rPr>
            </w:pPr>
            <w:r>
              <w:rPr>
                <w:lang w:val="sr-Cyrl-CS"/>
              </w:rPr>
              <w:t>RJT</w:t>
            </w:r>
            <w:r w:rsidR="00BE642B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VKS</w:t>
            </w:r>
            <w:r w:rsidR="001B4CBD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MUP</w:t>
            </w: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4CBD" w:rsidRPr="001A4D2F" w:rsidRDefault="00BE642B" w:rsidP="005768D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II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2020 - 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2021</w:t>
            </w:r>
            <w:r w:rsidR="00FB1798" w:rsidRPr="001A4D2F">
              <w:rPr>
                <w:lang w:val="sr-Cyrl-CS"/>
              </w:rPr>
              <w:t>.</w:t>
            </w:r>
          </w:p>
        </w:tc>
        <w:tc>
          <w:tcPr>
            <w:tcW w:w="5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8A6" w:rsidRPr="001A4D2F" w:rsidRDefault="00DF098D" w:rsidP="005768D4">
            <w:pPr>
              <w:pStyle w:val="basic-paragraph"/>
              <w:rPr>
                <w:rFonts w:eastAsiaTheme="minorHAnsi"/>
                <w:color w:val="000000"/>
                <w:kern w:val="28"/>
                <w:lang w:val="sr-Cyrl-CS"/>
              </w:rPr>
            </w:pPr>
            <w:r>
              <w:rPr>
                <w:rFonts w:eastAsiaTheme="minorHAnsi"/>
                <w:color w:val="000000"/>
                <w:kern w:val="28"/>
                <w:lang w:val="sr-Cyrl-CS"/>
              </w:rPr>
              <w:t>Sredstva</w:t>
            </w:r>
            <w:r w:rsidR="00A927A4" w:rsidRPr="001A4D2F">
              <w:rPr>
                <w:rFonts w:eastAsiaTheme="minorHAnsi"/>
                <w:color w:val="000000"/>
                <w:kern w:val="28"/>
                <w:lang w:val="sr-Cyrl-CS"/>
              </w:rPr>
              <w:t xml:space="preserve"> </w:t>
            </w:r>
            <w:r>
              <w:rPr>
                <w:rFonts w:eastAsiaTheme="minorHAnsi"/>
                <w:color w:val="000000"/>
                <w:kern w:val="28"/>
                <w:lang w:val="sr-Cyrl-CS"/>
              </w:rPr>
              <w:t>međunarodnih</w:t>
            </w:r>
            <w:r w:rsidR="00A927A4" w:rsidRPr="001A4D2F">
              <w:rPr>
                <w:rFonts w:eastAsiaTheme="minorHAnsi"/>
                <w:color w:val="000000"/>
                <w:kern w:val="28"/>
                <w:lang w:val="sr-Cyrl-CS"/>
              </w:rPr>
              <w:t xml:space="preserve"> </w:t>
            </w:r>
            <w:r>
              <w:rPr>
                <w:rFonts w:eastAsiaTheme="minorHAnsi"/>
                <w:color w:val="000000"/>
                <w:kern w:val="28"/>
                <w:lang w:val="sr-Cyrl-CS"/>
              </w:rPr>
              <w:t>donatora</w:t>
            </w:r>
          </w:p>
          <w:p w:rsidR="001B4CBD" w:rsidRPr="001A4D2F" w:rsidRDefault="001B4CBD" w:rsidP="005768D4">
            <w:pPr>
              <w:rPr>
                <w:lang w:val="sr-Cyrl-CS"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1B4CBD" w:rsidRPr="001A4D2F" w:rsidRDefault="001B4CBD" w:rsidP="00FB1798">
            <w:pPr>
              <w:rPr>
                <w:lang w:val="sr-Cyrl-C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BD" w:rsidRPr="001A4D2F" w:rsidRDefault="001B4CBD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BD" w:rsidRPr="001A4D2F" w:rsidRDefault="001B4CBD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BD" w:rsidRPr="001A4D2F" w:rsidRDefault="001B4CBD" w:rsidP="00C11F8E">
            <w:pPr>
              <w:jc w:val="center"/>
              <w:rPr>
                <w:lang w:val="sr-Cyrl-CS"/>
              </w:rPr>
            </w:pPr>
          </w:p>
        </w:tc>
      </w:tr>
      <w:tr w:rsidR="00DD68A6" w:rsidRPr="001A4D2F" w:rsidTr="005768D4">
        <w:trPr>
          <w:trHeight w:val="386"/>
        </w:trPr>
        <w:tc>
          <w:tcPr>
            <w:tcW w:w="9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D68A6" w:rsidRPr="001A4D2F" w:rsidRDefault="00DD68A6" w:rsidP="009255B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3.1.</w:t>
            </w:r>
            <w:r w:rsidR="009255B6" w:rsidRPr="001A4D2F">
              <w:rPr>
                <w:lang w:val="sr-Cyrl-CS"/>
              </w:rPr>
              <w:t>7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Kontinuirane</w:t>
            </w:r>
            <w:r w:rsidR="001B21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napredne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obuke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radionice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vođenje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finansijskih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istraga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korišćenje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finansijsko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obaveštajnih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podataka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analizu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finansijskih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tokova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modeliranje</w:t>
            </w:r>
            <w:r w:rsidRPr="001A4D2F">
              <w:rPr>
                <w:lang w:val="sr-Cyrl-CS"/>
              </w:rPr>
              <w:t xml:space="preserve">  </w:t>
            </w:r>
            <w:r w:rsidR="00DF098D">
              <w:rPr>
                <w:lang w:val="sr-Cyrl-CS"/>
              </w:rPr>
              <w:t>finansijskih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tokova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kriminalne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organizacije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analizu</w:t>
            </w:r>
            <w:r w:rsidRPr="001A4D2F">
              <w:rPr>
                <w:lang w:val="sr-Cyrl-CS"/>
              </w:rPr>
              <w:t xml:space="preserve">  </w:t>
            </w:r>
            <w:r w:rsidR="00DF098D">
              <w:rPr>
                <w:lang w:val="sr-Cyrl-CS"/>
              </w:rPr>
              <w:t>neto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vrednosti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imovine</w:t>
            </w:r>
            <w:r w:rsidRPr="001A4D2F">
              <w:rPr>
                <w:lang w:val="sr-Cyrl-CS"/>
              </w:rPr>
              <w:t xml:space="preserve">,  </w:t>
            </w:r>
            <w:r w:rsidR="00DF098D">
              <w:rPr>
                <w:lang w:val="sr-Cyrl-CS"/>
              </w:rPr>
              <w:t>dokazivanje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namere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autonomne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istrage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68D4" w:rsidRPr="001A4D2F" w:rsidRDefault="005768D4" w:rsidP="005768D4">
            <w:pPr>
              <w:rPr>
                <w:lang w:val="sr-Cyrl-CS"/>
              </w:rPr>
            </w:pPr>
          </w:p>
          <w:p w:rsidR="00DD68A6" w:rsidRPr="001A4D2F" w:rsidRDefault="00DF098D" w:rsidP="005768D4">
            <w:pPr>
              <w:rPr>
                <w:lang w:val="sr-Cyrl-CS"/>
              </w:rPr>
            </w:pPr>
            <w:r>
              <w:rPr>
                <w:lang w:val="sr-Cyrl-CS"/>
              </w:rPr>
              <w:t>PA</w:t>
            </w:r>
          </w:p>
          <w:p w:rsidR="005768D4" w:rsidRPr="001A4D2F" w:rsidRDefault="005768D4" w:rsidP="005768D4">
            <w:pPr>
              <w:rPr>
                <w:lang w:val="sr-Cyrl-CS"/>
              </w:rPr>
            </w:pPr>
          </w:p>
          <w:p w:rsidR="005768D4" w:rsidRPr="001A4D2F" w:rsidRDefault="005768D4" w:rsidP="005768D4">
            <w:pPr>
              <w:rPr>
                <w:lang w:val="sr-Cyrl-CS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768D4" w:rsidRPr="001A4D2F" w:rsidRDefault="005768D4" w:rsidP="005768D4">
            <w:pPr>
              <w:rPr>
                <w:lang w:val="sr-Cyrl-CS"/>
              </w:rPr>
            </w:pPr>
          </w:p>
          <w:p w:rsidR="00DD68A6" w:rsidRPr="001A4D2F" w:rsidRDefault="00DF098D" w:rsidP="005768D4">
            <w:pPr>
              <w:rPr>
                <w:lang w:val="sr-Cyrl-CS"/>
              </w:rPr>
            </w:pPr>
            <w:r>
              <w:rPr>
                <w:lang w:val="sr-Cyrl-CS"/>
              </w:rPr>
              <w:t>RJT</w:t>
            </w:r>
            <w:r w:rsidR="00DD68A6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VKS</w:t>
            </w:r>
            <w:r w:rsidR="00DD68A6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MUP</w:t>
            </w: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8A6" w:rsidRPr="001A4D2F" w:rsidRDefault="00DD68A6" w:rsidP="005768D4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</w:t>
            </w:r>
            <w:r w:rsidR="001B2108" w:rsidRPr="001A4D2F">
              <w:rPr>
                <w:lang w:val="sr-Cyrl-CS"/>
              </w:rPr>
              <w:t>2022.</w:t>
            </w:r>
          </w:p>
        </w:tc>
        <w:tc>
          <w:tcPr>
            <w:tcW w:w="5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7A4" w:rsidRPr="001A4D2F" w:rsidRDefault="00DF098D" w:rsidP="005768D4">
            <w:pPr>
              <w:pStyle w:val="basic-paragraph"/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A927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A927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</w:p>
          <w:p w:rsidR="00DD68A6" w:rsidRPr="001A4D2F" w:rsidRDefault="00DD68A6" w:rsidP="005768D4">
            <w:pPr>
              <w:rPr>
                <w:lang w:val="sr-Cyrl-CS"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FB1798">
            <w:pPr>
              <w:rPr>
                <w:lang w:val="sr-Cyrl-C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C11F8E">
            <w:pPr>
              <w:jc w:val="center"/>
              <w:rPr>
                <w:lang w:val="sr-Cyrl-CS"/>
              </w:rPr>
            </w:pPr>
          </w:p>
        </w:tc>
      </w:tr>
      <w:tr w:rsidR="00DD68A6" w:rsidRPr="001A4D2F" w:rsidTr="00FB1798">
        <w:trPr>
          <w:trHeight w:val="386"/>
        </w:trPr>
        <w:tc>
          <w:tcPr>
            <w:tcW w:w="9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D68A6" w:rsidRPr="001A4D2F" w:rsidRDefault="00DD68A6" w:rsidP="009255B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3.1.</w:t>
            </w:r>
            <w:r w:rsidR="009255B6" w:rsidRPr="001A4D2F">
              <w:rPr>
                <w:lang w:val="sr-Cyrl-CS"/>
              </w:rPr>
              <w:t>8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Kontinuirane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obuke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tužilaca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sudija</w:t>
            </w:r>
            <w:r w:rsidRPr="001A4D2F">
              <w:rPr>
                <w:lang w:val="sr-Cyrl-CS"/>
              </w:rPr>
              <w:t xml:space="preserve">  </w:t>
            </w:r>
            <w:r w:rsidR="00DF098D">
              <w:rPr>
                <w:lang w:val="sr-Cyrl-CS"/>
              </w:rPr>
              <w:lastRenderedPageBreak/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značaju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posrednih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dokaza</w:t>
            </w:r>
            <w:r w:rsidRPr="001A4D2F">
              <w:rPr>
                <w:lang w:val="sr-Cyrl-CS"/>
              </w:rPr>
              <w:t xml:space="preserve"> – </w:t>
            </w:r>
            <w:r w:rsidR="00DF098D">
              <w:rPr>
                <w:lang w:val="sr-Cyrl-CS"/>
              </w:rPr>
              <w:t>analizi</w:t>
            </w:r>
            <w:r w:rsidRPr="001A4D2F">
              <w:rPr>
                <w:lang w:val="sr-Cyrl-CS"/>
              </w:rPr>
              <w:t xml:space="preserve"> 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zaključivanju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osnovu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posrednih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dokaza</w:t>
            </w:r>
            <w:r w:rsidRPr="001A4D2F">
              <w:rPr>
                <w:lang w:val="sr-Cyrl-CS"/>
              </w:rPr>
              <w:t xml:space="preserve">; </w:t>
            </w:r>
            <w:r w:rsidR="00DF098D">
              <w:rPr>
                <w:lang w:val="sr-Cyrl-CS"/>
              </w:rPr>
              <w:t>donošenje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odluke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prihvatljivosti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dokaza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pripremnom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ročištu</w:t>
            </w:r>
            <w:r w:rsidRPr="001A4D2F">
              <w:rPr>
                <w:lang w:val="sr-Cyrl-CS"/>
              </w:rPr>
              <w:t xml:space="preserve">; </w:t>
            </w:r>
            <w:r w:rsidR="00DF098D">
              <w:rPr>
                <w:lang w:val="sr-Cyrl-CS"/>
              </w:rPr>
              <w:t>ocena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forenzičkih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dokaza</w:t>
            </w:r>
            <w:r w:rsidRPr="001A4D2F">
              <w:rPr>
                <w:lang w:val="sr-Cyrl-CS"/>
              </w:rPr>
              <w:t xml:space="preserve"> </w:t>
            </w: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8A6" w:rsidRPr="001A4D2F" w:rsidRDefault="00DF098D" w:rsidP="00FB1798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PA</w:t>
            </w:r>
            <w:r w:rsidR="00DD68A6" w:rsidRPr="001A4D2F">
              <w:rPr>
                <w:lang w:val="sr-Cyrl-CS"/>
              </w:rPr>
              <w:t xml:space="preserve"> </w:t>
            </w:r>
          </w:p>
        </w:tc>
        <w:tc>
          <w:tcPr>
            <w:tcW w:w="4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8A6" w:rsidRPr="001A4D2F" w:rsidRDefault="00DF098D" w:rsidP="00FB1798">
            <w:pPr>
              <w:rPr>
                <w:lang w:val="sr-Cyrl-CS"/>
              </w:rPr>
            </w:pPr>
            <w:r>
              <w:rPr>
                <w:lang w:val="sr-Cyrl-CS"/>
              </w:rPr>
              <w:t>RJT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VKS</w:t>
            </w:r>
            <w:r w:rsidR="00DD68A6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MUP</w:t>
            </w: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8A6" w:rsidRPr="001A4D2F" w:rsidRDefault="001B2108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</w:t>
            </w:r>
            <w:r w:rsidRPr="001A4D2F">
              <w:rPr>
                <w:lang w:val="sr-Cyrl-CS"/>
              </w:rPr>
              <w:lastRenderedPageBreak/>
              <w:t>2022</w:t>
            </w:r>
            <w:r w:rsidR="00DD68A6" w:rsidRPr="001A4D2F">
              <w:rPr>
                <w:lang w:val="sr-Cyrl-CS"/>
              </w:rPr>
              <w:t>.</w:t>
            </w:r>
          </w:p>
        </w:tc>
        <w:tc>
          <w:tcPr>
            <w:tcW w:w="5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927A4" w:rsidRPr="001A4D2F" w:rsidRDefault="00DF098D" w:rsidP="00A927A4">
            <w:pPr>
              <w:pStyle w:val="basic-paragraph"/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Sredstva</w:t>
            </w:r>
            <w:r w:rsidR="00A927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</w:t>
            </w:r>
            <w:r>
              <w:rPr>
                <w:lang w:val="sr-Cyrl-CS"/>
              </w:rPr>
              <w:lastRenderedPageBreak/>
              <w:t>h</w:t>
            </w:r>
            <w:r w:rsidR="00A927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</w:p>
          <w:p w:rsidR="00DD68A6" w:rsidRPr="001A4D2F" w:rsidRDefault="00DD68A6" w:rsidP="00FB1798">
            <w:pPr>
              <w:rPr>
                <w:lang w:val="sr-Cyrl-CS"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FB1798">
            <w:pPr>
              <w:rPr>
                <w:lang w:val="sr-Cyrl-C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C11F8E">
            <w:pPr>
              <w:jc w:val="center"/>
              <w:rPr>
                <w:lang w:val="sr-Cyrl-CS"/>
              </w:rPr>
            </w:pPr>
          </w:p>
        </w:tc>
      </w:tr>
      <w:tr w:rsidR="00DD68A6" w:rsidRPr="001A4D2F" w:rsidTr="00A86266">
        <w:trPr>
          <w:trHeight w:val="1955"/>
        </w:trPr>
        <w:tc>
          <w:tcPr>
            <w:tcW w:w="9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D68A6" w:rsidRPr="001A4D2F" w:rsidRDefault="009255B6" w:rsidP="00F3347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3.1.9</w:t>
            </w:r>
            <w:r w:rsidR="001B21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Kontinuirano</w:t>
            </w:r>
            <w:r w:rsidR="001B21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sprovođenje</w:t>
            </w:r>
            <w:r w:rsidR="00DD68A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obuka</w:t>
            </w:r>
            <w:r w:rsidR="00DD68A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="00DD68A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vođenje</w:t>
            </w:r>
            <w:r w:rsidR="00DD68A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krivičnog</w:t>
            </w:r>
            <w:r w:rsidR="00DD68A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postupka</w:t>
            </w:r>
            <w:r w:rsidR="00DD68A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prema</w:t>
            </w:r>
            <w:r w:rsidR="00DD68A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pravnim</w:t>
            </w:r>
            <w:r w:rsidR="00DD68A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licima</w:t>
            </w:r>
            <w:r w:rsidR="00DD68A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kao</w:t>
            </w:r>
            <w:r w:rsidR="00DD68A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učiniocima</w:t>
            </w:r>
            <w:r w:rsidR="00DD68A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krivičnog</w:t>
            </w:r>
            <w:r w:rsidR="00DD68A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dela</w:t>
            </w:r>
            <w:r w:rsidR="00DD68A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pranje</w:t>
            </w:r>
            <w:r w:rsidR="00DD68A6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8A6" w:rsidRPr="001A4D2F" w:rsidRDefault="00DF098D" w:rsidP="00FB1798">
            <w:pPr>
              <w:rPr>
                <w:lang w:val="sr-Cyrl-CS"/>
              </w:rPr>
            </w:pPr>
            <w:r>
              <w:rPr>
                <w:lang w:val="sr-Cyrl-CS"/>
              </w:rPr>
              <w:t>PA</w:t>
            </w:r>
            <w:r w:rsidR="00DD68A6" w:rsidRPr="001A4D2F">
              <w:rPr>
                <w:lang w:val="sr-Cyrl-CS"/>
              </w:rPr>
              <w:t xml:space="preserve"> </w:t>
            </w:r>
          </w:p>
        </w:tc>
        <w:tc>
          <w:tcPr>
            <w:tcW w:w="4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8A6" w:rsidRPr="001A4D2F" w:rsidRDefault="00DF098D" w:rsidP="00FB1798">
            <w:pPr>
              <w:rPr>
                <w:lang w:val="sr-Cyrl-CS"/>
              </w:rPr>
            </w:pPr>
            <w:r>
              <w:rPr>
                <w:lang w:val="sr-Cyrl-CS"/>
              </w:rPr>
              <w:t>RJT</w:t>
            </w:r>
            <w:r w:rsidR="00DD68A6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VKS</w:t>
            </w:r>
            <w:r w:rsidR="00DD68A6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MUP</w:t>
            </w: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68A6" w:rsidRPr="001A4D2F" w:rsidRDefault="00DD68A6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</w:t>
            </w:r>
            <w:r w:rsidR="001B2108" w:rsidRPr="001A4D2F">
              <w:rPr>
                <w:lang w:val="sr-Cyrl-CS"/>
              </w:rPr>
              <w:t>2</w:t>
            </w:r>
            <w:r w:rsidRPr="001A4D2F">
              <w:rPr>
                <w:lang w:val="sr-Cyrl-CS"/>
              </w:rPr>
              <w:t>.</w:t>
            </w:r>
          </w:p>
        </w:tc>
        <w:tc>
          <w:tcPr>
            <w:tcW w:w="5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2108" w:rsidRPr="001A4D2F" w:rsidRDefault="00DF098D" w:rsidP="00FB1798">
            <w:pPr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1B210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delimično</w:t>
            </w:r>
            <w:r w:rsidR="001B210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obezbeđena</w:t>
            </w:r>
            <w:r w:rsidR="001B210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iz</w:t>
            </w:r>
            <w:r w:rsidR="001B210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projekta</w:t>
            </w:r>
            <w:r w:rsidR="001B210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podrške</w:t>
            </w:r>
            <w:r w:rsidR="001B210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EU</w:t>
            </w:r>
            <w:r w:rsidR="001B210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sprečavanju</w:t>
            </w:r>
            <w:r w:rsidR="001B210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pranja</w:t>
            </w:r>
            <w:r w:rsidR="001B210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novca</w:t>
            </w:r>
            <w:r w:rsidR="001B210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1B210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finansiranja</w:t>
            </w:r>
            <w:r w:rsidR="001B210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terorizma</w:t>
            </w:r>
            <w:r w:rsidR="001B210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1B2108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Srbiji</w:t>
            </w:r>
          </w:p>
          <w:p w:rsidR="00DD68A6" w:rsidRPr="001A4D2F" w:rsidRDefault="00DF098D" w:rsidP="00A86266">
            <w:pPr>
              <w:pStyle w:val="basic-paragraph"/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A927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A927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FB1798">
            <w:pPr>
              <w:rPr>
                <w:lang w:val="sr-Cyrl-C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8A6" w:rsidRPr="001A4D2F" w:rsidRDefault="00DD68A6" w:rsidP="00C11F8E">
            <w:pPr>
              <w:jc w:val="center"/>
              <w:rPr>
                <w:lang w:val="sr-Cyrl-CS"/>
              </w:rPr>
            </w:pPr>
          </w:p>
        </w:tc>
      </w:tr>
      <w:tr w:rsidR="00F00DFC" w:rsidRPr="001A4D2F" w:rsidTr="00FB1798">
        <w:trPr>
          <w:trHeight w:val="386"/>
        </w:trPr>
        <w:tc>
          <w:tcPr>
            <w:tcW w:w="90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00DFC" w:rsidRPr="001A4D2F" w:rsidRDefault="00F00DFC" w:rsidP="009255B6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3.1.</w:t>
            </w:r>
            <w:r w:rsidR="009255B6" w:rsidRPr="001A4D2F">
              <w:rPr>
                <w:lang w:val="sr-Cyrl-CS"/>
              </w:rPr>
              <w:t>10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Sprovođenje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procene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kadrovskih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kapaciteta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TOK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posebnih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odeljenja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suzbijanje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korupcije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VJT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VS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usvajanje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novog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Pravilnika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sistematizaciji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radnih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mesta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skladu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lastRenderedPageBreak/>
              <w:t>procenom</w:t>
            </w: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0DFC" w:rsidRPr="001A4D2F" w:rsidRDefault="00DF098D" w:rsidP="00FB1798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MP</w:t>
            </w:r>
          </w:p>
        </w:tc>
        <w:tc>
          <w:tcPr>
            <w:tcW w:w="48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0DFC" w:rsidRPr="001A4D2F" w:rsidRDefault="00DF098D" w:rsidP="00FB1798">
            <w:pPr>
              <w:rPr>
                <w:lang w:val="sr-Cyrl-CS"/>
              </w:rPr>
            </w:pPr>
            <w:r>
              <w:rPr>
                <w:lang w:val="sr-Cyrl-CS"/>
              </w:rPr>
              <w:t>TOK</w:t>
            </w:r>
            <w:r w:rsidR="009D68E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9D68E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posebnih</w:t>
            </w:r>
            <w:r w:rsidR="009D68E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odeljenja</w:t>
            </w:r>
            <w:r w:rsidR="009D68E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9D68E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suzbijanje</w:t>
            </w:r>
            <w:r w:rsidR="009D68E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korupcije</w:t>
            </w:r>
            <w:r w:rsidR="009D68EE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VJT</w:t>
            </w:r>
            <w:r w:rsidR="009D68E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9D68E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VS</w:t>
            </w: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00DFC" w:rsidRPr="001A4D2F" w:rsidRDefault="009D68EE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2020.</w:t>
            </w:r>
          </w:p>
        </w:tc>
        <w:tc>
          <w:tcPr>
            <w:tcW w:w="53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D68EE" w:rsidRPr="001A4D2F" w:rsidRDefault="00DF098D" w:rsidP="00FB1798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9D68E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9D68E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9D68E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9D68E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9D68E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9D68E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F00DFC" w:rsidRPr="001A4D2F" w:rsidRDefault="00F00DFC" w:rsidP="00FB1798">
            <w:pPr>
              <w:rPr>
                <w:highlight w:val="yellow"/>
                <w:lang w:val="sr-Cyrl-CS"/>
              </w:rPr>
            </w:pP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00DFC" w:rsidRPr="001A4D2F" w:rsidRDefault="00F00DFC" w:rsidP="00FB1798">
            <w:pPr>
              <w:rPr>
                <w:lang w:val="sr-Cyrl-C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FC" w:rsidRPr="001A4D2F" w:rsidRDefault="00F00DFC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FC" w:rsidRPr="001A4D2F" w:rsidRDefault="00F00DFC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FC" w:rsidRPr="001A4D2F" w:rsidRDefault="00F00DFC" w:rsidP="00C11F8E">
            <w:pPr>
              <w:jc w:val="center"/>
              <w:rPr>
                <w:lang w:val="sr-Cyrl-CS"/>
              </w:rPr>
            </w:pPr>
          </w:p>
        </w:tc>
      </w:tr>
      <w:tr w:rsidR="00F00DFC" w:rsidRPr="001A4D2F" w:rsidTr="00FB1798">
        <w:trPr>
          <w:trHeight w:val="386"/>
        </w:trPr>
        <w:tc>
          <w:tcPr>
            <w:tcW w:w="90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00DFC" w:rsidRPr="00DA0EC2" w:rsidRDefault="00F00DFC" w:rsidP="009255B6">
            <w:pPr>
              <w:rPr>
                <w:sz w:val="20"/>
                <w:szCs w:val="20"/>
                <w:lang w:val="sr-Cyrl-CS"/>
              </w:rPr>
            </w:pPr>
            <w:r w:rsidRPr="00DA0EC2">
              <w:rPr>
                <w:sz w:val="20"/>
                <w:szCs w:val="20"/>
                <w:lang w:val="sr-Cyrl-CS"/>
              </w:rPr>
              <w:lastRenderedPageBreak/>
              <w:t>3.1.1</w:t>
            </w:r>
            <w:r w:rsidR="009255B6" w:rsidRPr="00DA0EC2">
              <w:rPr>
                <w:sz w:val="20"/>
                <w:szCs w:val="20"/>
                <w:lang w:val="sr-Cyrl-CS"/>
              </w:rPr>
              <w:t>1</w:t>
            </w:r>
            <w:r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Popunjavanje</w:t>
            </w:r>
            <w:r w:rsidR="009D68EE"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upražnjenih</w:t>
            </w:r>
            <w:r w:rsidR="00AF2C67"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radna</w:t>
            </w:r>
            <w:r w:rsidR="00AF2C67"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mesta</w:t>
            </w:r>
            <w:r w:rsidR="00AF2C67"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u</w:t>
            </w:r>
            <w:r w:rsidR="00AF2C67"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skladu</w:t>
            </w:r>
            <w:r w:rsidR="00AF2C67"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sa</w:t>
            </w:r>
            <w:r w:rsidR="00AF2C67"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Pravilnikom</w:t>
            </w:r>
            <w:r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o</w:t>
            </w:r>
            <w:r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sistematizaciji</w:t>
            </w:r>
            <w:r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radnih</w:t>
            </w:r>
            <w:r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mesta</w:t>
            </w:r>
            <w:r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u</w:t>
            </w:r>
            <w:r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TOK</w:t>
            </w:r>
            <w:r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i</w:t>
            </w:r>
            <w:r w:rsidR="009D68EE"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posebnih</w:t>
            </w:r>
            <w:r w:rsidR="009D68EE"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odeljenja</w:t>
            </w:r>
            <w:r w:rsidR="009D68EE"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za</w:t>
            </w:r>
            <w:r w:rsidR="009D68EE"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suzbijanje</w:t>
            </w:r>
            <w:r w:rsidR="009D68EE"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korupcije</w:t>
            </w:r>
            <w:r w:rsidR="009D68EE" w:rsidRPr="00DA0EC2">
              <w:rPr>
                <w:sz w:val="20"/>
                <w:szCs w:val="20"/>
                <w:lang w:val="sr-Cyrl-CS"/>
              </w:rPr>
              <w:t xml:space="preserve">, </w:t>
            </w:r>
            <w:r w:rsidR="00DF098D">
              <w:rPr>
                <w:sz w:val="20"/>
                <w:szCs w:val="20"/>
                <w:lang w:val="sr-Cyrl-CS"/>
              </w:rPr>
              <w:t>VJT</w:t>
            </w:r>
            <w:r w:rsidR="009D68EE"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i</w:t>
            </w:r>
            <w:r w:rsidR="009D68EE" w:rsidRPr="00DA0EC2">
              <w:rPr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sz w:val="20"/>
                <w:szCs w:val="20"/>
                <w:lang w:val="sr-Cyrl-CS"/>
              </w:rPr>
              <w:t>VS</w:t>
            </w: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C" w:rsidRPr="001A4D2F" w:rsidRDefault="00DF098D" w:rsidP="00FB1798">
            <w:pPr>
              <w:rPr>
                <w:lang w:val="sr-Cyrl-CS"/>
              </w:rPr>
            </w:pPr>
            <w:r>
              <w:rPr>
                <w:lang w:val="sr-Cyrl-CS"/>
              </w:rPr>
              <w:t>MP</w:t>
            </w:r>
          </w:p>
        </w:tc>
        <w:tc>
          <w:tcPr>
            <w:tcW w:w="48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C" w:rsidRPr="001A4D2F" w:rsidRDefault="00DF098D" w:rsidP="00FB1798">
            <w:pPr>
              <w:rPr>
                <w:lang w:val="sr-Cyrl-CS"/>
              </w:rPr>
            </w:pPr>
            <w:r>
              <w:rPr>
                <w:lang w:val="sr-Cyrl-CS"/>
              </w:rPr>
              <w:t>TOK</w:t>
            </w:r>
            <w:r w:rsidR="009D68E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9D68E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posebnih</w:t>
            </w:r>
            <w:r w:rsidR="009D68E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odeljenja</w:t>
            </w:r>
            <w:r w:rsidR="009D68E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9D68E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suzbijanje</w:t>
            </w:r>
            <w:r w:rsidR="009D68E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korupcije</w:t>
            </w:r>
            <w:r w:rsidR="009D68EE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VJT</w:t>
            </w:r>
            <w:r w:rsidR="009D68E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9D68E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VS</w:t>
            </w: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C" w:rsidRPr="001A4D2F" w:rsidRDefault="009D68EE" w:rsidP="00FB1798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3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FC" w:rsidRPr="001A4D2F" w:rsidRDefault="00DF098D" w:rsidP="00FB1798">
            <w:pPr>
              <w:rPr>
                <w:highlight w:val="yellow"/>
                <w:lang w:val="sr-Cyrl-CS"/>
              </w:rPr>
            </w:pPr>
            <w:r>
              <w:rPr>
                <w:lang w:val="sr-Cyrl-CS"/>
              </w:rPr>
              <w:t>Budžet</w:t>
            </w:r>
            <w:r w:rsidR="009D68E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RS</w:t>
            </w:r>
          </w:p>
        </w:tc>
        <w:tc>
          <w:tcPr>
            <w:tcW w:w="3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FC" w:rsidRPr="001A4D2F" w:rsidRDefault="00F00DFC" w:rsidP="00FB1798">
            <w:pPr>
              <w:rPr>
                <w:lang w:val="sr-Cyrl-C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FC" w:rsidRPr="001A4D2F" w:rsidRDefault="00F00DFC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FC" w:rsidRPr="001A4D2F" w:rsidRDefault="00F00DFC" w:rsidP="00C11F8E">
            <w:pPr>
              <w:jc w:val="center"/>
              <w:rPr>
                <w:lang w:val="sr-Cyrl-C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DFC" w:rsidRPr="001A4D2F" w:rsidRDefault="00F00DFC" w:rsidP="00C11F8E">
            <w:pPr>
              <w:jc w:val="center"/>
              <w:rPr>
                <w:lang w:val="sr-Cyrl-CS"/>
              </w:rPr>
            </w:pPr>
          </w:p>
        </w:tc>
      </w:tr>
    </w:tbl>
    <w:p w:rsidR="00863A32" w:rsidRPr="001A4D2F" w:rsidRDefault="00863A32" w:rsidP="00C11F8E">
      <w:pPr>
        <w:tabs>
          <w:tab w:val="left" w:pos="1940"/>
        </w:tabs>
        <w:rPr>
          <w:lang w:val="sr-Cyrl-CS"/>
        </w:rPr>
      </w:pPr>
    </w:p>
    <w:p w:rsidR="00863A32" w:rsidRPr="001A4D2F" w:rsidRDefault="00863A32" w:rsidP="00C11F8E">
      <w:pPr>
        <w:tabs>
          <w:tab w:val="left" w:pos="1940"/>
        </w:tabs>
        <w:rPr>
          <w:lang w:val="sr-Cyrl-CS"/>
        </w:rPr>
      </w:pPr>
    </w:p>
    <w:tbl>
      <w:tblPr>
        <w:tblStyle w:val="TableGrid"/>
        <w:tblW w:w="14132" w:type="dxa"/>
        <w:tblInd w:w="10" w:type="dxa"/>
        <w:tblLayout w:type="fixed"/>
        <w:tblLook w:val="04A0"/>
      </w:tblPr>
      <w:tblGrid>
        <w:gridCol w:w="3642"/>
        <w:gridCol w:w="1276"/>
        <w:gridCol w:w="1984"/>
        <w:gridCol w:w="142"/>
        <w:gridCol w:w="1418"/>
        <w:gridCol w:w="1275"/>
        <w:gridCol w:w="1560"/>
        <w:gridCol w:w="1275"/>
        <w:gridCol w:w="1560"/>
      </w:tblGrid>
      <w:tr w:rsidR="00863A32" w:rsidRPr="001A4D2F" w:rsidTr="00A86266">
        <w:trPr>
          <w:trHeight w:val="169"/>
        </w:trPr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63A32" w:rsidRPr="001A4D2F" w:rsidRDefault="00DF098D" w:rsidP="00E0054E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13" w:name="_Toc32409916"/>
            <w:r>
              <w:rPr>
                <w:rFonts w:cs="Times New Roman"/>
                <w:sz w:val="24"/>
                <w:lang w:val="sr-Cyrl-CS"/>
              </w:rPr>
              <w:t>Mera</w:t>
            </w:r>
            <w:r w:rsidR="00863A32" w:rsidRPr="001A4D2F">
              <w:rPr>
                <w:rFonts w:cs="Times New Roman"/>
                <w:sz w:val="24"/>
                <w:lang w:val="sr-Cyrl-CS"/>
              </w:rPr>
              <w:t xml:space="preserve"> 3.</w:t>
            </w:r>
            <w:r w:rsidR="00BE642B" w:rsidRPr="001A4D2F">
              <w:rPr>
                <w:rFonts w:cs="Times New Roman"/>
                <w:sz w:val="24"/>
                <w:lang w:val="sr-Cyrl-CS"/>
              </w:rPr>
              <w:t>2</w:t>
            </w:r>
            <w:r w:rsidR="00863A32" w:rsidRPr="001A4D2F">
              <w:rPr>
                <w:rFonts w:cs="Times New Roman"/>
                <w:sz w:val="24"/>
                <w:lang w:val="sr-Cyrl-CS"/>
              </w:rPr>
              <w:t xml:space="preserve">: </w:t>
            </w:r>
            <w:r>
              <w:rPr>
                <w:rFonts w:cs="Times New Roman"/>
                <w:sz w:val="24"/>
                <w:lang w:val="sr-Cyrl-CS"/>
              </w:rPr>
              <w:t>Izricanje</w:t>
            </w:r>
            <w:r w:rsidR="00863A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delotvornih</w:t>
            </w:r>
            <w:r w:rsidR="00F86F91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</w:t>
            </w:r>
            <w:r w:rsidR="00F86F91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odvraćajućih</w:t>
            </w:r>
            <w:r w:rsidR="00F86F91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krivičnih</w:t>
            </w:r>
            <w:r w:rsidR="00E0054E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sankcija</w:t>
            </w:r>
            <w:bookmarkEnd w:id="13"/>
            <w:r w:rsidR="001A0C43" w:rsidRPr="001A4D2F">
              <w:rPr>
                <w:rFonts w:cs="Times New Roman"/>
                <w:sz w:val="24"/>
                <w:lang w:val="sr-Cyrl-CS"/>
              </w:rPr>
              <w:t xml:space="preserve"> </w:t>
            </w:r>
          </w:p>
        </w:tc>
      </w:tr>
      <w:tr w:rsidR="00863A32" w:rsidRPr="001A4D2F" w:rsidTr="00A86266">
        <w:trPr>
          <w:trHeight w:val="300"/>
        </w:trPr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63A32" w:rsidRPr="001A4D2F" w:rsidRDefault="00DF098D" w:rsidP="00363ED5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lang w:val="sr-Cyrl-CS"/>
              </w:rPr>
              <w:t>Institucija</w:t>
            </w:r>
            <w:r w:rsidR="00863A3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odgovorna</w:t>
            </w:r>
            <w:r w:rsidR="00863A3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863A3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praćenje</w:t>
            </w:r>
            <w:r w:rsidR="00863A3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863A3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kontrolu</w:t>
            </w:r>
            <w:r w:rsidR="00863A3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realizacije</w:t>
            </w:r>
            <w:r w:rsidR="00863A32" w:rsidRPr="001A4D2F">
              <w:rPr>
                <w:lang w:val="sr-Cyrl-CS"/>
              </w:rPr>
              <w:t xml:space="preserve">: </w:t>
            </w:r>
            <w:r>
              <w:rPr>
                <w:rFonts w:eastAsia="Times New Roman"/>
                <w:color w:val="222222"/>
                <w:lang w:val="sr-Cyrl-CS"/>
              </w:rPr>
              <w:t>Vrhovni</w:t>
            </w:r>
            <w:r w:rsidR="00363ED5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kasacioni</w:t>
            </w:r>
            <w:r w:rsidR="00363ED5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sud</w:t>
            </w:r>
          </w:p>
        </w:tc>
      </w:tr>
      <w:tr w:rsidR="00863A32" w:rsidRPr="001A4D2F" w:rsidTr="00A86266">
        <w:trPr>
          <w:trHeight w:val="300"/>
        </w:trPr>
        <w:tc>
          <w:tcPr>
            <w:tcW w:w="69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63A32" w:rsidRPr="001A4D2F" w:rsidRDefault="00DF098D" w:rsidP="00C11F8E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lang w:val="sr-Cyrl-CS"/>
              </w:rPr>
              <w:t>Period</w:t>
            </w:r>
            <w:r w:rsidR="00863A3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sprovođenja</w:t>
            </w:r>
            <w:r w:rsidR="00863A32" w:rsidRPr="001A4D2F">
              <w:rPr>
                <w:lang w:val="sr-Cyrl-CS"/>
              </w:rPr>
              <w:t>:</w:t>
            </w:r>
            <w:r w:rsidR="00363ED5" w:rsidRPr="001A4D2F">
              <w:rPr>
                <w:lang w:val="sr-Cyrl-CS"/>
              </w:rPr>
              <w:t xml:space="preserve"> 2020-2022.</w:t>
            </w:r>
          </w:p>
        </w:tc>
        <w:tc>
          <w:tcPr>
            <w:tcW w:w="723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63A32" w:rsidRPr="001A4D2F" w:rsidRDefault="00DF098D" w:rsidP="00A63977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lang w:val="sr-Cyrl-CS"/>
              </w:rPr>
              <w:t>Tip</w:t>
            </w:r>
            <w:r w:rsidR="00863A3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863A32" w:rsidRPr="001A4D2F">
              <w:rPr>
                <w:lang w:val="sr-Cyrl-CS"/>
              </w:rPr>
              <w:t>:</w:t>
            </w:r>
            <w:r w:rsidR="00363ED5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Informativno</w:t>
            </w:r>
            <w:r w:rsidR="00363ED5" w:rsidRPr="001A4D2F">
              <w:rPr>
                <w:lang w:val="sr-Cyrl-CS"/>
              </w:rPr>
              <w:t>-</w:t>
            </w:r>
            <w:r>
              <w:rPr>
                <w:lang w:val="sr-Cyrl-CS"/>
              </w:rPr>
              <w:t>edukativna</w:t>
            </w:r>
          </w:p>
        </w:tc>
      </w:tr>
      <w:tr w:rsidR="00A86266" w:rsidRPr="001A4D2F" w:rsidTr="00A86266">
        <w:trPr>
          <w:trHeight w:val="955"/>
        </w:trPr>
        <w:tc>
          <w:tcPr>
            <w:tcW w:w="364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86266" w:rsidRPr="001A4D2F" w:rsidRDefault="00DF098D" w:rsidP="00C11F8E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lang w:val="sr-Cyrl-CS"/>
              </w:rPr>
              <w:t>Pokazatelj</w:t>
            </w:r>
            <w:r w:rsidR="00A86266" w:rsidRPr="001A4D2F">
              <w:rPr>
                <w:lang w:val="sr-Cyrl-CS"/>
              </w:rPr>
              <w:t>(</w:t>
            </w:r>
            <w:r>
              <w:rPr>
                <w:lang w:val="sr-Cyrl-CS"/>
              </w:rPr>
              <w:t>i</w:t>
            </w:r>
            <w:r w:rsidR="00A86266" w:rsidRPr="001A4D2F">
              <w:rPr>
                <w:lang w:val="sr-Cyrl-CS"/>
              </w:rPr>
              <w:t xml:space="preserve">)  </w:t>
            </w:r>
            <w:r>
              <w:rPr>
                <w:lang w:val="sr-Cyrl-CS"/>
              </w:rPr>
              <w:t>na</w:t>
            </w:r>
            <w:r w:rsidR="00A8626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nivou</w:t>
            </w:r>
            <w:r w:rsidR="00A8626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A86266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pokazatelj</w:t>
            </w:r>
            <w:r w:rsidR="00A8626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rezultata</w:t>
            </w:r>
            <w:r w:rsidR="00A86266" w:rsidRPr="001A4D2F">
              <w:rPr>
                <w:lang w:val="sr-Cyrl-CS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86266" w:rsidRPr="001A4D2F" w:rsidRDefault="00DF098D" w:rsidP="00C11F8E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lang w:val="sr-Cyrl-CS"/>
              </w:rPr>
              <w:t>Jedinica</w:t>
            </w:r>
            <w:r w:rsidR="00A8626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</w:p>
          <w:p w:rsidR="00A86266" w:rsidRPr="001A4D2F" w:rsidRDefault="00A86266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86266" w:rsidRPr="001A4D2F" w:rsidRDefault="00DF098D" w:rsidP="00C11F8E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lang w:val="sr-Cyrl-CS"/>
              </w:rPr>
              <w:t>Izvor</w:t>
            </w:r>
            <w:r w:rsidR="00A8626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provere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86266" w:rsidRPr="001A4D2F" w:rsidRDefault="00DF098D" w:rsidP="00C11F8E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lang w:val="sr-Cyrl-CS"/>
              </w:rPr>
              <w:t>Početna</w:t>
            </w:r>
            <w:r w:rsidR="00A8626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A86266" w:rsidRPr="001A4D2F">
              <w:rPr>
                <w:lang w:val="sr-Cyrl-CS"/>
              </w:rPr>
              <w:t xml:space="preserve"> 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86266" w:rsidRPr="001A4D2F" w:rsidRDefault="00DF098D" w:rsidP="00C11F8E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lang w:val="sr-Cyrl-CS"/>
              </w:rPr>
              <w:t>Bazna</w:t>
            </w:r>
            <w:r w:rsidR="00A8626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godina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A86266" w:rsidRPr="001A4D2F" w:rsidRDefault="00DF098D" w:rsidP="00CB13E8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A8626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A8626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A8626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A86266" w:rsidRPr="001A4D2F">
              <w:rPr>
                <w:lang w:val="sr-Cyrl-CS"/>
              </w:rPr>
              <w:t xml:space="preserve"> 2020.</w:t>
            </w:r>
          </w:p>
        </w:tc>
        <w:tc>
          <w:tcPr>
            <w:tcW w:w="127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86266" w:rsidRPr="001A4D2F" w:rsidRDefault="00DF098D" w:rsidP="00CB13E8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A8626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A8626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A8626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A86266" w:rsidRPr="001A4D2F">
              <w:rPr>
                <w:lang w:val="sr-Cyrl-CS"/>
              </w:rPr>
              <w:t xml:space="preserve"> 2021.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86266" w:rsidRPr="001A4D2F" w:rsidRDefault="00DF098D" w:rsidP="00CB13E8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885F9C" w:rsidRPr="001A4D2F">
              <w:rPr>
                <w:lang w:val="sr-Cyrl-CS"/>
              </w:rPr>
              <w:t xml:space="preserve"> 2022.</w:t>
            </w:r>
          </w:p>
        </w:tc>
      </w:tr>
      <w:tr w:rsidR="00863A32" w:rsidRPr="001A4D2F" w:rsidTr="00A86266">
        <w:trPr>
          <w:trHeight w:val="304"/>
        </w:trPr>
        <w:tc>
          <w:tcPr>
            <w:tcW w:w="36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63A32" w:rsidRPr="001A4D2F" w:rsidRDefault="00DF098D" w:rsidP="00E0054E">
            <w:pPr>
              <w:tabs>
                <w:tab w:val="left" w:pos="1940"/>
              </w:tabs>
              <w:rPr>
                <w:color w:val="FF0000"/>
                <w:highlight w:val="yellow"/>
                <w:lang w:val="sr-Cyrl-CS"/>
              </w:rPr>
            </w:pPr>
            <w:r>
              <w:rPr>
                <w:color w:val="auto"/>
                <w:lang w:val="sr-Cyrl-CS"/>
              </w:rPr>
              <w:t>Napredak</w:t>
            </w:r>
            <w:r w:rsidR="00BE642B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u</w:t>
            </w:r>
            <w:r w:rsidR="00BE642B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pogledu</w:t>
            </w:r>
            <w:r w:rsidR="00E0054E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ispunjenosti</w:t>
            </w:r>
            <w:r w:rsidR="00BE642B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zahteva</w:t>
            </w:r>
            <w:r w:rsidR="00BE642B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međunarodnih</w:t>
            </w:r>
            <w:r w:rsidR="00BE642B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standarda</w:t>
            </w:r>
            <w:r w:rsidR="00BE642B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koji</w:t>
            </w:r>
            <w:r w:rsidR="00BE642B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se</w:t>
            </w:r>
            <w:r w:rsidR="00BE642B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odnose</w:t>
            </w:r>
            <w:r w:rsidR="00BE642B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na</w:t>
            </w:r>
            <w:r w:rsidR="00BE642B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izricanje</w:t>
            </w:r>
            <w:r w:rsidR="00BE642B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delotvornih</w:t>
            </w:r>
            <w:r w:rsidR="00BE642B" w:rsidRPr="001A4D2F">
              <w:rPr>
                <w:color w:val="auto"/>
                <w:lang w:val="sr-Cyrl-CS"/>
              </w:rPr>
              <w:t xml:space="preserve">, </w:t>
            </w:r>
            <w:r>
              <w:rPr>
                <w:color w:val="auto"/>
                <w:lang w:val="sr-Cyrl-CS"/>
              </w:rPr>
              <w:t>srazmernih</w:t>
            </w:r>
            <w:r w:rsidR="00BE642B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i</w:t>
            </w:r>
            <w:r w:rsidR="00BE642B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odvraćajućih</w:t>
            </w:r>
            <w:r w:rsidR="00BE642B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sankcija</w:t>
            </w:r>
            <w:r w:rsidR="00BE642B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za</w:t>
            </w:r>
            <w:r w:rsidR="00BE642B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pranje</w:t>
            </w:r>
            <w:r w:rsidR="00BE642B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novca</w:t>
            </w:r>
            <w:r w:rsidR="00F700E0" w:rsidRPr="001A4D2F">
              <w:rPr>
                <w:color w:val="auto"/>
                <w:lang w:val="sr-Cyrl-CS"/>
              </w:rPr>
              <w:t xml:space="preserve">, </w:t>
            </w:r>
            <w:r>
              <w:rPr>
                <w:color w:val="auto"/>
                <w:lang w:val="sr-Cyrl-CS"/>
              </w:rPr>
              <w:t>na</w:t>
            </w:r>
            <w:r w:rsidR="00F700E0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godišnjem</w:t>
            </w:r>
            <w:r w:rsidR="00F700E0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nivou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63A32" w:rsidRPr="001A4D2F" w:rsidRDefault="00DF098D" w:rsidP="00520B00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lang w:val="sr-Cyrl-CS"/>
              </w:rPr>
              <w:t>Da</w:t>
            </w:r>
            <w:r w:rsidR="00BE642B" w:rsidRPr="001A4D2F">
              <w:rPr>
                <w:lang w:val="sr-Cyrl-CS"/>
              </w:rPr>
              <w:t>/</w:t>
            </w:r>
            <w:r>
              <w:rPr>
                <w:lang w:val="sr-Cyrl-CS"/>
              </w:rPr>
              <w:t>Ne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63A32" w:rsidRPr="001A4D2F" w:rsidRDefault="00DF098D" w:rsidP="00BE642B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520B0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nadležnih</w:t>
            </w:r>
            <w:r w:rsidR="00BE642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organa</w:t>
            </w:r>
            <w:r w:rsidR="00BE642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BE642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napretku</w:t>
            </w:r>
            <w:r w:rsidR="00BE642B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Izveštaj</w:t>
            </w:r>
            <w:r w:rsidR="00BE642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Manivala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63A32" w:rsidRPr="001A4D2F" w:rsidRDefault="00DF098D" w:rsidP="00C11F8E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63A32" w:rsidRPr="001A4D2F" w:rsidRDefault="00497A27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2019</w:t>
            </w:r>
            <w:r w:rsidR="00A12AA6" w:rsidRPr="001A4D2F">
              <w:rPr>
                <w:lang w:val="sr-Cyrl-CS"/>
              </w:rPr>
              <w:t>.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863A32" w:rsidRPr="001A4D2F" w:rsidRDefault="00DF098D" w:rsidP="00C11F8E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3A32" w:rsidRPr="001A4D2F" w:rsidRDefault="00DF098D" w:rsidP="00C11F8E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63A32" w:rsidRPr="001A4D2F" w:rsidRDefault="00DF098D" w:rsidP="00C11F8E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</w:tr>
    </w:tbl>
    <w:p w:rsidR="00863A32" w:rsidRDefault="00863A3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Pr="00DA0EC2" w:rsidRDefault="00DA0EC2" w:rsidP="00C11F8E">
      <w:pPr>
        <w:tabs>
          <w:tab w:val="left" w:pos="1940"/>
        </w:tabs>
      </w:pPr>
    </w:p>
    <w:p w:rsidR="00D57EC4" w:rsidRDefault="00D57EC4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Pr="00DA0EC2" w:rsidRDefault="00DA0EC2" w:rsidP="00C11F8E">
      <w:pPr>
        <w:tabs>
          <w:tab w:val="left" w:pos="1940"/>
        </w:tabs>
      </w:pPr>
    </w:p>
    <w:tbl>
      <w:tblPr>
        <w:tblStyle w:val="TableGrid"/>
        <w:tblW w:w="4990" w:type="pct"/>
        <w:tblLayout w:type="fixed"/>
        <w:tblLook w:val="04A0"/>
      </w:tblPr>
      <w:tblGrid>
        <w:gridCol w:w="2653"/>
        <w:gridCol w:w="1268"/>
        <w:gridCol w:w="1372"/>
        <w:gridCol w:w="1285"/>
        <w:gridCol w:w="1740"/>
        <w:gridCol w:w="1282"/>
        <w:gridCol w:w="1556"/>
        <w:gridCol w:w="1466"/>
        <w:gridCol w:w="1525"/>
      </w:tblGrid>
      <w:tr w:rsidR="00863A32" w:rsidRPr="001A4D2F" w:rsidTr="00C11F8E">
        <w:trPr>
          <w:trHeight w:val="140"/>
          <w:tblHeader/>
        </w:trPr>
        <w:tc>
          <w:tcPr>
            <w:tcW w:w="93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863A32" w:rsidRPr="00DA0EC2" w:rsidRDefault="00DF098D" w:rsidP="00C11F8E">
            <w:pPr>
              <w:tabs>
                <w:tab w:val="left" w:pos="1940"/>
              </w:tabs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Naziv</w:t>
            </w:r>
            <w:r w:rsidR="00863A32" w:rsidRPr="00DA0EC2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aktivnosti</w:t>
            </w:r>
            <w:r w:rsidR="00863A32" w:rsidRPr="00DA0EC2">
              <w:rPr>
                <w:b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44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63A32" w:rsidRPr="00DA0EC2" w:rsidRDefault="00DF098D" w:rsidP="00C11F8E">
            <w:pPr>
              <w:tabs>
                <w:tab w:val="left" w:pos="1940"/>
              </w:tabs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Organ</w:t>
            </w:r>
            <w:r w:rsidR="00863A32" w:rsidRPr="00DA0EC2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koji</w:t>
            </w:r>
            <w:r w:rsidR="00863A32" w:rsidRPr="00DA0EC2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sprovodi</w:t>
            </w:r>
            <w:r w:rsidR="00863A32" w:rsidRPr="00DA0EC2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aktivnost</w:t>
            </w:r>
          </w:p>
        </w:tc>
        <w:tc>
          <w:tcPr>
            <w:tcW w:w="485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b/>
                <w:sz w:val="20"/>
                <w:szCs w:val="20"/>
                <w:lang w:val="sr-Cyrl-CS"/>
              </w:rPr>
            </w:pPr>
            <w:r w:rsidRPr="00DA0EC2">
              <w:rPr>
                <w:b/>
                <w:sz w:val="20"/>
                <w:szCs w:val="20"/>
                <w:lang w:val="sr-Cyrl-CS"/>
              </w:rPr>
              <w:t>O</w:t>
            </w:r>
            <w:r w:rsidR="00DF098D">
              <w:rPr>
                <w:b/>
                <w:sz w:val="20"/>
                <w:szCs w:val="20"/>
                <w:lang w:val="sr-Cyrl-CS"/>
              </w:rPr>
              <w:t>rgani</w:t>
            </w:r>
            <w:r w:rsidRPr="00DA0EC2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b/>
                <w:sz w:val="20"/>
                <w:szCs w:val="20"/>
                <w:lang w:val="sr-Cyrl-CS"/>
              </w:rPr>
              <w:t>partneri</w:t>
            </w:r>
            <w:r w:rsidRPr="00DA0EC2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b/>
                <w:sz w:val="20"/>
                <w:szCs w:val="20"/>
                <w:lang w:val="sr-Cyrl-CS"/>
              </w:rPr>
              <w:t>u</w:t>
            </w:r>
            <w:r w:rsidRPr="00DA0EC2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b/>
                <w:sz w:val="20"/>
                <w:szCs w:val="20"/>
                <w:lang w:val="sr-Cyrl-CS"/>
              </w:rPr>
              <w:t>sprovođenju</w:t>
            </w:r>
            <w:r w:rsidRPr="00DA0EC2">
              <w:rPr>
                <w:b/>
                <w:sz w:val="20"/>
                <w:szCs w:val="20"/>
                <w:lang w:val="sr-Cyrl-CS"/>
              </w:rPr>
              <w:t xml:space="preserve"> </w:t>
            </w:r>
            <w:r w:rsidR="00DF098D">
              <w:rPr>
                <w:b/>
                <w:sz w:val="20"/>
                <w:szCs w:val="20"/>
                <w:lang w:val="sr-Cyrl-CS"/>
              </w:rPr>
              <w:t>aktivnosti</w:t>
            </w:r>
          </w:p>
        </w:tc>
        <w:tc>
          <w:tcPr>
            <w:tcW w:w="45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63A32" w:rsidRPr="00DA0EC2" w:rsidRDefault="00DF098D" w:rsidP="00C11F8E">
            <w:pPr>
              <w:tabs>
                <w:tab w:val="left" w:pos="1940"/>
              </w:tabs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Rok</w:t>
            </w:r>
            <w:r w:rsidR="00863A32" w:rsidRPr="00DA0EC2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za</w:t>
            </w:r>
            <w:r w:rsidR="00863A32" w:rsidRPr="00DA0EC2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završetak</w:t>
            </w:r>
            <w:r w:rsidR="00863A32" w:rsidRPr="00DA0EC2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aktivnosti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63A32" w:rsidRPr="00DA0EC2" w:rsidRDefault="00DF098D" w:rsidP="00C11F8E">
            <w:pPr>
              <w:tabs>
                <w:tab w:val="left" w:pos="1940"/>
              </w:tabs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Izvor</w:t>
            </w:r>
            <w:r w:rsidR="00863A32" w:rsidRPr="00DA0EC2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finansiranja</w:t>
            </w:r>
          </w:p>
        </w:tc>
        <w:tc>
          <w:tcPr>
            <w:tcW w:w="45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63A32" w:rsidRPr="00DA0EC2" w:rsidRDefault="00DF098D" w:rsidP="00C11F8E">
            <w:pPr>
              <w:tabs>
                <w:tab w:val="left" w:pos="1940"/>
              </w:tabs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Veza</w:t>
            </w:r>
            <w:r w:rsidR="00863A32" w:rsidRPr="00DA0EC2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sa</w:t>
            </w:r>
            <w:r w:rsidR="00863A32" w:rsidRPr="00DA0EC2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programskim</w:t>
            </w:r>
            <w:r w:rsidR="00863A32" w:rsidRPr="00DA0EC2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budžetom</w:t>
            </w:r>
          </w:p>
          <w:p w:rsidR="00863A32" w:rsidRPr="00DA0EC2" w:rsidRDefault="00863A32" w:rsidP="00C11F8E">
            <w:pPr>
              <w:tabs>
                <w:tab w:val="left" w:pos="1940"/>
              </w:tabs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607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863A32" w:rsidRPr="00DA0EC2" w:rsidRDefault="00DF098D" w:rsidP="00C11F8E">
            <w:pPr>
              <w:tabs>
                <w:tab w:val="left" w:pos="1940"/>
              </w:tabs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Ukupna</w:t>
            </w:r>
            <w:r w:rsidR="00863A32" w:rsidRPr="00DA0EC2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procenjena</w:t>
            </w:r>
            <w:r w:rsidR="00863A32" w:rsidRPr="00DA0EC2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finansijska</w:t>
            </w:r>
            <w:r w:rsidR="00863A32" w:rsidRPr="00DA0EC2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sredstva</w:t>
            </w:r>
            <w:r w:rsidR="00863A32" w:rsidRPr="00DA0EC2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po</w:t>
            </w:r>
            <w:r w:rsidR="00863A32" w:rsidRPr="00DA0EC2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izvorima</w:t>
            </w:r>
            <w:r w:rsidR="00863A32" w:rsidRPr="00DA0EC2">
              <w:rPr>
                <w:b/>
                <w:sz w:val="20"/>
                <w:szCs w:val="20"/>
                <w:lang w:val="sr-Cyrl-CS"/>
              </w:rPr>
              <w:t xml:space="preserve"> </w:t>
            </w:r>
            <w:r>
              <w:rPr>
                <w:b/>
                <w:sz w:val="20"/>
                <w:szCs w:val="20"/>
                <w:lang w:val="sr-Cyrl-CS"/>
              </w:rPr>
              <w:t>u</w:t>
            </w:r>
            <w:r w:rsidR="00863A32" w:rsidRPr="00DA0EC2">
              <w:rPr>
                <w:b/>
                <w:sz w:val="20"/>
                <w:szCs w:val="20"/>
                <w:lang w:val="sr-Cyrl-CS"/>
              </w:rPr>
              <w:t xml:space="preserve"> 000 </w:t>
            </w:r>
            <w:r>
              <w:rPr>
                <w:b/>
                <w:sz w:val="20"/>
                <w:szCs w:val="20"/>
                <w:lang w:val="sr-Cyrl-CS"/>
              </w:rPr>
              <w:t>din</w:t>
            </w:r>
          </w:p>
        </w:tc>
      </w:tr>
      <w:tr w:rsidR="00863A32" w:rsidRPr="001A4D2F" w:rsidTr="00C11F8E">
        <w:trPr>
          <w:trHeight w:val="386"/>
          <w:tblHeader/>
        </w:trPr>
        <w:tc>
          <w:tcPr>
            <w:tcW w:w="938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sz w:val="20"/>
                <w:szCs w:val="20"/>
                <w:lang w:val="sr-Cyrl-CS"/>
              </w:rPr>
            </w:pPr>
          </w:p>
        </w:tc>
        <w:tc>
          <w:tcPr>
            <w:tcW w:w="448" w:type="pct"/>
            <w:vMerge/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sz w:val="20"/>
                <w:szCs w:val="20"/>
                <w:lang w:val="sr-Cyrl-CS"/>
              </w:rPr>
            </w:pPr>
          </w:p>
        </w:tc>
        <w:tc>
          <w:tcPr>
            <w:tcW w:w="485" w:type="pct"/>
            <w:vMerge/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sz w:val="20"/>
                <w:szCs w:val="20"/>
                <w:lang w:val="sr-Cyrl-CS"/>
              </w:rPr>
            </w:pPr>
          </w:p>
        </w:tc>
        <w:tc>
          <w:tcPr>
            <w:tcW w:w="454" w:type="pct"/>
            <w:vMerge/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sz w:val="20"/>
                <w:szCs w:val="20"/>
                <w:lang w:val="sr-Cyrl-CS"/>
              </w:rPr>
            </w:pPr>
          </w:p>
        </w:tc>
        <w:tc>
          <w:tcPr>
            <w:tcW w:w="615" w:type="pct"/>
            <w:vMerge/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sz w:val="20"/>
                <w:szCs w:val="20"/>
                <w:lang w:val="sr-Cyrl-CS"/>
              </w:rPr>
            </w:pPr>
          </w:p>
        </w:tc>
        <w:tc>
          <w:tcPr>
            <w:tcW w:w="453" w:type="pct"/>
            <w:vMerge/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sz w:val="20"/>
                <w:szCs w:val="20"/>
                <w:lang w:val="sr-Cyrl-CS"/>
              </w:rPr>
            </w:pPr>
          </w:p>
        </w:tc>
        <w:tc>
          <w:tcPr>
            <w:tcW w:w="550" w:type="pct"/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b/>
                <w:sz w:val="20"/>
                <w:szCs w:val="20"/>
                <w:lang w:val="sr-Cyrl-CS"/>
              </w:rPr>
            </w:pPr>
            <w:r w:rsidRPr="00DA0EC2">
              <w:rPr>
                <w:b/>
                <w:sz w:val="20"/>
                <w:szCs w:val="20"/>
                <w:lang w:val="sr-Cyrl-CS"/>
              </w:rPr>
              <w:t>2019</w:t>
            </w:r>
          </w:p>
        </w:tc>
        <w:tc>
          <w:tcPr>
            <w:tcW w:w="518" w:type="pct"/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b/>
                <w:sz w:val="20"/>
                <w:szCs w:val="20"/>
                <w:lang w:val="sr-Cyrl-CS"/>
              </w:rPr>
            </w:pPr>
            <w:r w:rsidRPr="00DA0EC2">
              <w:rPr>
                <w:b/>
                <w:sz w:val="20"/>
                <w:szCs w:val="20"/>
                <w:lang w:val="sr-Cyrl-CS"/>
              </w:rPr>
              <w:t>2020</w:t>
            </w:r>
          </w:p>
        </w:tc>
        <w:tc>
          <w:tcPr>
            <w:tcW w:w="539" w:type="pct"/>
            <w:shd w:val="clear" w:color="auto" w:fill="E5DFEC" w:themeFill="accent4" w:themeFillTint="33"/>
          </w:tcPr>
          <w:p w:rsidR="00863A32" w:rsidRPr="00DA0EC2" w:rsidRDefault="00863A32" w:rsidP="00C11F8E">
            <w:pPr>
              <w:tabs>
                <w:tab w:val="left" w:pos="1940"/>
              </w:tabs>
              <w:rPr>
                <w:b/>
                <w:sz w:val="20"/>
                <w:szCs w:val="20"/>
                <w:lang w:val="sr-Cyrl-CS"/>
              </w:rPr>
            </w:pPr>
            <w:r w:rsidRPr="00DA0EC2">
              <w:rPr>
                <w:b/>
                <w:sz w:val="20"/>
                <w:szCs w:val="20"/>
                <w:lang w:val="sr-Cyrl-CS"/>
              </w:rPr>
              <w:t>2021</w:t>
            </w:r>
          </w:p>
        </w:tc>
      </w:tr>
      <w:tr w:rsidR="00557B42" w:rsidRPr="001A4D2F" w:rsidTr="00465BE6">
        <w:trPr>
          <w:trHeight w:val="2300"/>
          <w:tblHeader/>
        </w:trPr>
        <w:tc>
          <w:tcPr>
            <w:tcW w:w="938" w:type="pct"/>
            <w:tcBorders>
              <w:left w:val="double" w:sz="4" w:space="0" w:color="auto"/>
            </w:tcBorders>
          </w:tcPr>
          <w:p w:rsidR="00557B42" w:rsidRPr="001A4D2F" w:rsidRDefault="00557B42" w:rsidP="00F3347F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3.</w:t>
            </w:r>
            <w:r w:rsidR="00A12AA6" w:rsidRPr="001A4D2F">
              <w:rPr>
                <w:lang w:val="sr-Cyrl-CS"/>
              </w:rPr>
              <w:t>2</w:t>
            </w:r>
            <w:r w:rsidR="00497A27" w:rsidRPr="001A4D2F">
              <w:rPr>
                <w:lang w:val="sr-Cyrl-CS"/>
              </w:rPr>
              <w:t xml:space="preserve">.1. </w:t>
            </w:r>
            <w:r w:rsidR="00DF098D">
              <w:rPr>
                <w:lang w:val="sr-Cyrl-CS"/>
              </w:rPr>
              <w:t>Kontinuirane</w:t>
            </w:r>
            <w:r w:rsidR="00497A27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osnovne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unapređene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obuke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sudija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efikasno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vođenje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glavnog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pretresa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izricanje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delotvornih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krivičnih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sankcija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postupcima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krivično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delo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  <w:r w:rsidRPr="001A4D2F">
              <w:rPr>
                <w:lang w:val="sr-Cyrl-CS"/>
              </w:rPr>
              <w:t xml:space="preserve"> </w:t>
            </w:r>
          </w:p>
        </w:tc>
        <w:tc>
          <w:tcPr>
            <w:tcW w:w="448" w:type="pct"/>
          </w:tcPr>
          <w:p w:rsidR="00557B42" w:rsidRPr="001A4D2F" w:rsidRDefault="00DF098D" w:rsidP="00F3347F">
            <w:pPr>
              <w:tabs>
                <w:tab w:val="left" w:pos="1940"/>
              </w:tabs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PA</w:t>
            </w:r>
          </w:p>
        </w:tc>
        <w:tc>
          <w:tcPr>
            <w:tcW w:w="485" w:type="pct"/>
          </w:tcPr>
          <w:p w:rsidR="00557B42" w:rsidRPr="001A4D2F" w:rsidRDefault="00DF098D" w:rsidP="00C11F8E">
            <w:pPr>
              <w:tabs>
                <w:tab w:val="left" w:pos="1940"/>
              </w:tabs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VKS</w:t>
            </w:r>
          </w:p>
        </w:tc>
        <w:tc>
          <w:tcPr>
            <w:tcW w:w="454" w:type="pct"/>
          </w:tcPr>
          <w:p w:rsidR="00557B42" w:rsidRPr="001A4D2F" w:rsidRDefault="00497A27" w:rsidP="00C11F8E">
            <w:pPr>
              <w:tabs>
                <w:tab w:val="left" w:pos="1940"/>
              </w:tabs>
              <w:rPr>
                <w:iCs/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</w:t>
            </w:r>
            <w:r w:rsidR="00A12AA6" w:rsidRPr="001A4D2F">
              <w:rPr>
                <w:lang w:val="sr-Cyrl-CS"/>
              </w:rPr>
              <w:t>.</w:t>
            </w:r>
          </w:p>
        </w:tc>
        <w:tc>
          <w:tcPr>
            <w:tcW w:w="615" w:type="pct"/>
          </w:tcPr>
          <w:p w:rsidR="00A927A4" w:rsidRPr="001A4D2F" w:rsidRDefault="00DF098D" w:rsidP="00A927A4">
            <w:pPr>
              <w:pStyle w:val="basic-paragraph"/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A927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A927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</w:p>
          <w:p w:rsidR="00557B42" w:rsidRPr="001A4D2F" w:rsidRDefault="00557B42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453" w:type="pct"/>
          </w:tcPr>
          <w:p w:rsidR="00557B42" w:rsidRPr="001A4D2F" w:rsidRDefault="00557B42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50" w:type="pct"/>
          </w:tcPr>
          <w:p w:rsidR="00557B42" w:rsidRPr="001A4D2F" w:rsidRDefault="00557B42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18" w:type="pct"/>
          </w:tcPr>
          <w:p w:rsidR="00557B42" w:rsidRPr="001A4D2F" w:rsidRDefault="00557B42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39" w:type="pct"/>
          </w:tcPr>
          <w:p w:rsidR="00557B42" w:rsidRPr="001A4D2F" w:rsidRDefault="00557B42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</w:tr>
      <w:tr w:rsidR="00A927A4" w:rsidRPr="001A4D2F" w:rsidTr="00C11F8E">
        <w:trPr>
          <w:trHeight w:val="140"/>
          <w:tblHeader/>
        </w:trPr>
        <w:tc>
          <w:tcPr>
            <w:tcW w:w="938" w:type="pct"/>
            <w:tcBorders>
              <w:left w:val="double" w:sz="4" w:space="0" w:color="auto"/>
            </w:tcBorders>
          </w:tcPr>
          <w:p w:rsidR="00A927A4" w:rsidRPr="001A4D2F" w:rsidRDefault="00A927A4" w:rsidP="00A12AA6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3.2.2 </w:t>
            </w:r>
            <w:r w:rsidR="00DF098D">
              <w:rPr>
                <w:lang w:val="sr-Cyrl-CS"/>
              </w:rPr>
              <w:t>Analiza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uporedne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sudske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prakse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sankcionisanja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krivičnog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dela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</w:p>
        </w:tc>
        <w:tc>
          <w:tcPr>
            <w:tcW w:w="448" w:type="pct"/>
          </w:tcPr>
          <w:p w:rsidR="00A927A4" w:rsidRPr="001A4D2F" w:rsidRDefault="00DF098D" w:rsidP="00A12AA6">
            <w:pPr>
              <w:tabs>
                <w:tab w:val="left" w:pos="1940"/>
              </w:tabs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VKS</w:t>
            </w:r>
            <w:r w:rsidR="00A927A4" w:rsidRPr="001A4D2F">
              <w:rPr>
                <w:iCs/>
                <w:lang w:val="sr-Cyrl-CS"/>
              </w:rPr>
              <w:t xml:space="preserve"> </w:t>
            </w:r>
          </w:p>
        </w:tc>
        <w:tc>
          <w:tcPr>
            <w:tcW w:w="485" w:type="pct"/>
          </w:tcPr>
          <w:p w:rsidR="00A927A4" w:rsidRPr="001A4D2F" w:rsidRDefault="00DF098D" w:rsidP="00C11F8E">
            <w:pPr>
              <w:tabs>
                <w:tab w:val="left" w:pos="1940"/>
              </w:tabs>
              <w:rPr>
                <w:iCs/>
                <w:lang w:val="sr-Cyrl-CS"/>
              </w:rPr>
            </w:pPr>
            <w:r>
              <w:rPr>
                <w:lang w:val="sr-Cyrl-CS"/>
              </w:rPr>
              <w:t>AS</w:t>
            </w:r>
            <w:r w:rsidR="00A927A4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IUP</w:t>
            </w:r>
          </w:p>
        </w:tc>
        <w:tc>
          <w:tcPr>
            <w:tcW w:w="454" w:type="pct"/>
          </w:tcPr>
          <w:p w:rsidR="00A927A4" w:rsidRPr="001A4D2F" w:rsidRDefault="00A927A4" w:rsidP="00C11F8E">
            <w:pPr>
              <w:tabs>
                <w:tab w:val="left" w:pos="1940"/>
              </w:tabs>
              <w:rPr>
                <w:iCs/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2020.</w:t>
            </w:r>
          </w:p>
        </w:tc>
        <w:tc>
          <w:tcPr>
            <w:tcW w:w="615" w:type="pct"/>
          </w:tcPr>
          <w:p w:rsidR="00A927A4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A927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A927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</w:p>
        </w:tc>
        <w:tc>
          <w:tcPr>
            <w:tcW w:w="453" w:type="pct"/>
          </w:tcPr>
          <w:p w:rsidR="00A927A4" w:rsidRPr="001A4D2F" w:rsidRDefault="00A927A4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50" w:type="pct"/>
          </w:tcPr>
          <w:p w:rsidR="00A927A4" w:rsidRPr="001A4D2F" w:rsidRDefault="00A927A4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18" w:type="pct"/>
          </w:tcPr>
          <w:p w:rsidR="00A927A4" w:rsidRPr="001A4D2F" w:rsidRDefault="00A927A4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39" w:type="pct"/>
          </w:tcPr>
          <w:p w:rsidR="00A927A4" w:rsidRPr="001A4D2F" w:rsidRDefault="00A927A4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</w:tr>
      <w:tr w:rsidR="00A927A4" w:rsidRPr="001A4D2F" w:rsidTr="00C11F8E">
        <w:trPr>
          <w:trHeight w:val="140"/>
          <w:tblHeader/>
        </w:trPr>
        <w:tc>
          <w:tcPr>
            <w:tcW w:w="938" w:type="pct"/>
            <w:tcBorders>
              <w:left w:val="double" w:sz="4" w:space="0" w:color="auto"/>
            </w:tcBorders>
          </w:tcPr>
          <w:p w:rsidR="00A927A4" w:rsidRPr="001A4D2F" w:rsidRDefault="00A927A4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3.2.3. </w:t>
            </w:r>
            <w:r w:rsidR="00DF098D">
              <w:rPr>
                <w:lang w:val="sr-Cyrl-CS"/>
              </w:rPr>
              <w:t>Razmena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međunarodnih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iskustava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između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ostalog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kroz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studijske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posete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zemljama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koji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imaju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dobru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praksu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procesuiranja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krivičnih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dela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</w:p>
          <w:p w:rsidR="00A927A4" w:rsidRPr="001A4D2F" w:rsidRDefault="00A927A4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448" w:type="pct"/>
          </w:tcPr>
          <w:p w:rsidR="00A927A4" w:rsidRPr="001A4D2F" w:rsidRDefault="00DF098D" w:rsidP="00363ED5">
            <w:pPr>
              <w:tabs>
                <w:tab w:val="left" w:pos="1940"/>
              </w:tabs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VKS</w:t>
            </w:r>
            <w:r w:rsidR="00A927A4" w:rsidRPr="001A4D2F">
              <w:rPr>
                <w:iCs/>
                <w:lang w:val="sr-Cyrl-CS"/>
              </w:rPr>
              <w:t xml:space="preserve"> </w:t>
            </w:r>
          </w:p>
        </w:tc>
        <w:tc>
          <w:tcPr>
            <w:tcW w:w="485" w:type="pct"/>
          </w:tcPr>
          <w:p w:rsidR="00A927A4" w:rsidRPr="001A4D2F" w:rsidRDefault="00DF098D" w:rsidP="005768D4">
            <w:pPr>
              <w:tabs>
                <w:tab w:val="left" w:pos="1940"/>
              </w:tabs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RJT</w:t>
            </w:r>
            <w:r w:rsidR="00A927A4" w:rsidRPr="001A4D2F">
              <w:rPr>
                <w:iCs/>
                <w:lang w:val="sr-Cyrl-CS"/>
              </w:rPr>
              <w:t xml:space="preserve">, </w:t>
            </w:r>
            <w:r>
              <w:rPr>
                <w:iCs/>
                <w:lang w:val="sr-Cyrl-CS"/>
              </w:rPr>
              <w:t>TOK</w:t>
            </w:r>
            <w:r w:rsidR="00A927A4" w:rsidRPr="001A4D2F">
              <w:rPr>
                <w:iCs/>
                <w:lang w:val="sr-Cyrl-CS"/>
              </w:rPr>
              <w:t xml:space="preserve">; </w:t>
            </w:r>
            <w:r>
              <w:rPr>
                <w:iCs/>
                <w:lang w:val="sr-Cyrl-CS"/>
              </w:rPr>
              <w:t>VJT</w:t>
            </w:r>
            <w:r w:rsidR="00A927A4" w:rsidRPr="001A4D2F">
              <w:rPr>
                <w:iCs/>
                <w:lang w:val="sr-Cyrl-CS"/>
              </w:rPr>
              <w:t xml:space="preserve"> </w:t>
            </w:r>
            <w:r>
              <w:rPr>
                <w:iCs/>
                <w:lang w:val="sr-Cyrl-CS"/>
              </w:rPr>
              <w:t>Kraljevo</w:t>
            </w:r>
            <w:r w:rsidR="00A927A4" w:rsidRPr="001A4D2F">
              <w:rPr>
                <w:iCs/>
                <w:lang w:val="sr-Cyrl-CS"/>
              </w:rPr>
              <w:t xml:space="preserve">, </w:t>
            </w:r>
            <w:r>
              <w:rPr>
                <w:iCs/>
                <w:lang w:val="sr-Cyrl-CS"/>
              </w:rPr>
              <w:t>Beograd</w:t>
            </w:r>
            <w:r w:rsidR="00A927A4" w:rsidRPr="001A4D2F">
              <w:rPr>
                <w:iCs/>
                <w:lang w:val="sr-Cyrl-CS"/>
              </w:rPr>
              <w:t xml:space="preserve">, </w:t>
            </w:r>
            <w:r>
              <w:rPr>
                <w:iCs/>
                <w:lang w:val="sr-Cyrl-CS"/>
              </w:rPr>
              <w:t>Niš</w:t>
            </w:r>
            <w:r w:rsidR="00A927A4" w:rsidRPr="001A4D2F">
              <w:rPr>
                <w:iCs/>
                <w:lang w:val="sr-Cyrl-CS"/>
              </w:rPr>
              <w:t xml:space="preserve">, </w:t>
            </w:r>
            <w:r>
              <w:rPr>
                <w:iCs/>
                <w:lang w:val="sr-Cyrl-CS"/>
              </w:rPr>
              <w:t>Novi</w:t>
            </w:r>
            <w:r w:rsidR="00A927A4" w:rsidRPr="001A4D2F">
              <w:rPr>
                <w:iCs/>
                <w:lang w:val="sr-Cyrl-CS"/>
              </w:rPr>
              <w:t xml:space="preserve"> </w:t>
            </w:r>
            <w:r>
              <w:rPr>
                <w:iCs/>
                <w:lang w:val="sr-Cyrl-CS"/>
              </w:rPr>
              <w:t>Sad</w:t>
            </w:r>
            <w:r w:rsidR="00A927A4" w:rsidRPr="001A4D2F">
              <w:rPr>
                <w:iCs/>
                <w:lang w:val="sr-Cyrl-CS"/>
              </w:rPr>
              <w:t xml:space="preserve">; </w:t>
            </w:r>
            <w:r>
              <w:rPr>
                <w:iCs/>
                <w:lang w:val="sr-Cyrl-CS"/>
              </w:rPr>
              <w:t>Uprava</w:t>
            </w:r>
            <w:r w:rsidR="00A927A4" w:rsidRPr="001A4D2F">
              <w:rPr>
                <w:iCs/>
                <w:lang w:val="sr-Cyrl-CS"/>
              </w:rPr>
              <w:t xml:space="preserve"> </w:t>
            </w:r>
            <w:r>
              <w:rPr>
                <w:iCs/>
                <w:lang w:val="sr-Cyrl-CS"/>
              </w:rPr>
              <w:t>carina</w:t>
            </w:r>
            <w:r w:rsidR="00A927A4" w:rsidRPr="001A4D2F">
              <w:rPr>
                <w:iCs/>
                <w:lang w:val="sr-Cyrl-CS"/>
              </w:rPr>
              <w:t xml:space="preserve">; </w:t>
            </w:r>
            <w:r>
              <w:rPr>
                <w:iCs/>
                <w:lang w:val="sr-Cyrl-CS"/>
              </w:rPr>
              <w:t>MUP</w:t>
            </w:r>
            <w:r w:rsidR="00A927A4" w:rsidRPr="001A4D2F">
              <w:rPr>
                <w:iCs/>
                <w:lang w:val="sr-Cyrl-CS"/>
              </w:rPr>
              <w:t xml:space="preserve">; </w:t>
            </w:r>
            <w:r>
              <w:rPr>
                <w:iCs/>
                <w:lang w:val="sr-Cyrl-CS"/>
              </w:rPr>
              <w:t>ABPK</w:t>
            </w:r>
            <w:r w:rsidR="00A927A4" w:rsidRPr="001A4D2F">
              <w:rPr>
                <w:iCs/>
                <w:lang w:val="sr-Cyrl-CS"/>
              </w:rPr>
              <w:t xml:space="preserve">; </w:t>
            </w:r>
            <w:r>
              <w:rPr>
                <w:iCs/>
                <w:lang w:val="sr-Cyrl-CS"/>
              </w:rPr>
              <w:t>PU</w:t>
            </w:r>
            <w:r w:rsidR="00A927A4" w:rsidRPr="001A4D2F">
              <w:rPr>
                <w:iCs/>
                <w:lang w:val="sr-Cyrl-CS"/>
              </w:rPr>
              <w:t xml:space="preserve">; </w:t>
            </w:r>
            <w:r>
              <w:rPr>
                <w:iCs/>
                <w:lang w:val="sr-Cyrl-CS"/>
              </w:rPr>
              <w:t>USPN</w:t>
            </w:r>
          </w:p>
        </w:tc>
        <w:tc>
          <w:tcPr>
            <w:tcW w:w="454" w:type="pct"/>
          </w:tcPr>
          <w:p w:rsidR="00A927A4" w:rsidRPr="001A4D2F" w:rsidRDefault="00A927A4" w:rsidP="007450DA">
            <w:pPr>
              <w:tabs>
                <w:tab w:val="left" w:pos="1940"/>
              </w:tabs>
              <w:rPr>
                <w:iCs/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</w:t>
            </w:r>
            <w:r w:rsidRPr="001A4D2F">
              <w:rPr>
                <w:iCs/>
                <w:lang w:val="sr-Cyrl-CS"/>
              </w:rPr>
              <w:t xml:space="preserve">2022. </w:t>
            </w:r>
          </w:p>
        </w:tc>
        <w:tc>
          <w:tcPr>
            <w:tcW w:w="615" w:type="pct"/>
          </w:tcPr>
          <w:p w:rsidR="00A927A4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A927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A927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</w:p>
        </w:tc>
        <w:tc>
          <w:tcPr>
            <w:tcW w:w="453" w:type="pct"/>
          </w:tcPr>
          <w:p w:rsidR="00A927A4" w:rsidRPr="001A4D2F" w:rsidRDefault="00A927A4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50" w:type="pct"/>
          </w:tcPr>
          <w:p w:rsidR="00A927A4" w:rsidRPr="001A4D2F" w:rsidRDefault="00A927A4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18" w:type="pct"/>
          </w:tcPr>
          <w:p w:rsidR="00A927A4" w:rsidRPr="001A4D2F" w:rsidRDefault="00A927A4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39" w:type="pct"/>
          </w:tcPr>
          <w:p w:rsidR="00A927A4" w:rsidRPr="001A4D2F" w:rsidRDefault="00A927A4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</w:tr>
      <w:tr w:rsidR="00863A32" w:rsidRPr="001A4D2F" w:rsidTr="00C11F8E">
        <w:trPr>
          <w:trHeight w:val="140"/>
          <w:tblHeader/>
        </w:trPr>
        <w:tc>
          <w:tcPr>
            <w:tcW w:w="938" w:type="pct"/>
            <w:tcBorders>
              <w:left w:val="double" w:sz="4" w:space="0" w:color="auto"/>
            </w:tcBorders>
          </w:tcPr>
          <w:p w:rsidR="00863A32" w:rsidRPr="001A4D2F" w:rsidRDefault="00863A32" w:rsidP="00F3347F">
            <w:pPr>
              <w:tabs>
                <w:tab w:val="left" w:pos="1940"/>
              </w:tabs>
              <w:rPr>
                <w:iCs/>
                <w:lang w:val="sr-Cyrl-CS"/>
              </w:rPr>
            </w:pPr>
            <w:r w:rsidRPr="001A4D2F">
              <w:rPr>
                <w:iCs/>
                <w:lang w:val="sr-Cyrl-CS"/>
              </w:rPr>
              <w:t>3.</w:t>
            </w:r>
            <w:r w:rsidR="00A12AA6" w:rsidRPr="001A4D2F">
              <w:rPr>
                <w:iCs/>
                <w:lang w:val="sr-Cyrl-CS"/>
              </w:rPr>
              <w:t>2</w:t>
            </w:r>
            <w:r w:rsidRPr="001A4D2F">
              <w:rPr>
                <w:iCs/>
                <w:lang w:val="sr-Cyrl-CS"/>
              </w:rPr>
              <w:t xml:space="preserve">.4. </w:t>
            </w:r>
            <w:r w:rsidR="00DF098D">
              <w:rPr>
                <w:iCs/>
                <w:lang w:val="sr-Cyrl-CS"/>
              </w:rPr>
              <w:t>Kvartalne</w:t>
            </w:r>
            <w:r w:rsidR="00A12AA6"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analize</w:t>
            </w:r>
            <w:r w:rsidR="00A12AA6"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sudske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prakse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domaćih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sudova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za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krivično</w:t>
            </w:r>
            <w:r w:rsidR="00D77FC2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delo</w:t>
            </w:r>
            <w:r w:rsidR="00D77FC2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pranje</w:t>
            </w:r>
            <w:r w:rsidR="00D77FC2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novca</w:t>
            </w:r>
            <w:r w:rsidR="00D77FC2">
              <w:rPr>
                <w:iCs/>
                <w:lang w:val="sr-Cyrl-CS"/>
              </w:rPr>
              <w:t xml:space="preserve"> – </w:t>
            </w:r>
            <w:r w:rsidR="00DF098D">
              <w:rPr>
                <w:iCs/>
                <w:lang w:val="sr-Cyrl-CS"/>
              </w:rPr>
              <w:t>objavljivanje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biltena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i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stručnih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publikacija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o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postupcima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i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presudama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za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pranje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novca</w:t>
            </w:r>
            <w:r w:rsidRPr="001A4D2F">
              <w:rPr>
                <w:iCs/>
                <w:lang w:val="sr-Cyrl-CS"/>
              </w:rPr>
              <w:t xml:space="preserve">, </w:t>
            </w:r>
            <w:r w:rsidR="00DF098D">
              <w:rPr>
                <w:iCs/>
                <w:lang w:val="sr-Cyrl-CS"/>
              </w:rPr>
              <w:t>naročito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u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sudskim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odlukama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koje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su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mogu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smatrati</w:t>
            </w:r>
            <w:r w:rsidRPr="001A4D2F">
              <w:rPr>
                <w:iCs/>
                <w:lang w:val="sr-Cyrl-CS"/>
              </w:rPr>
              <w:t xml:space="preserve"> </w:t>
            </w:r>
            <w:r w:rsidR="00DF098D">
              <w:rPr>
                <w:iCs/>
                <w:lang w:val="sr-Cyrl-CS"/>
              </w:rPr>
              <w:t>presedanima</w:t>
            </w:r>
            <w:r w:rsidRPr="001A4D2F">
              <w:rPr>
                <w:iCs/>
                <w:lang w:val="sr-Cyrl-CS"/>
              </w:rPr>
              <w:t xml:space="preserve"> </w:t>
            </w:r>
          </w:p>
        </w:tc>
        <w:tc>
          <w:tcPr>
            <w:tcW w:w="448" w:type="pct"/>
          </w:tcPr>
          <w:p w:rsidR="00863A32" w:rsidRPr="001A4D2F" w:rsidRDefault="00DF098D" w:rsidP="00C11F8E">
            <w:pPr>
              <w:tabs>
                <w:tab w:val="left" w:pos="1940"/>
              </w:tabs>
              <w:rPr>
                <w:iCs/>
                <w:lang w:val="sr-Cyrl-CS"/>
              </w:rPr>
            </w:pPr>
            <w:r>
              <w:rPr>
                <w:iCs/>
                <w:lang w:val="sr-Cyrl-CS"/>
              </w:rPr>
              <w:t>VKS</w:t>
            </w:r>
          </w:p>
        </w:tc>
        <w:tc>
          <w:tcPr>
            <w:tcW w:w="485" w:type="pct"/>
          </w:tcPr>
          <w:p w:rsidR="00863A32" w:rsidRPr="001A4D2F" w:rsidRDefault="00DF098D" w:rsidP="005768D4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iCs/>
                <w:lang w:val="sr-Cyrl-CS"/>
              </w:rPr>
              <w:t>VS</w:t>
            </w:r>
            <w:r w:rsidR="005768D4" w:rsidRPr="001A4D2F">
              <w:rPr>
                <w:iCs/>
                <w:lang w:val="sr-Cyrl-CS"/>
              </w:rPr>
              <w:t xml:space="preserve">, </w:t>
            </w:r>
            <w:r>
              <w:rPr>
                <w:iCs/>
                <w:lang w:val="sr-Cyrl-CS"/>
              </w:rPr>
              <w:t>AS</w:t>
            </w:r>
            <w:r w:rsidR="00863A32" w:rsidRPr="001A4D2F">
              <w:rPr>
                <w:iCs/>
                <w:lang w:val="sr-Cyrl-CS"/>
              </w:rPr>
              <w:t xml:space="preserve"> </w:t>
            </w:r>
            <w:r>
              <w:rPr>
                <w:iCs/>
                <w:lang w:val="sr-Cyrl-CS"/>
              </w:rPr>
              <w:t>Kraljevo</w:t>
            </w:r>
            <w:r w:rsidR="00863A32" w:rsidRPr="001A4D2F">
              <w:rPr>
                <w:iCs/>
                <w:lang w:val="sr-Cyrl-CS"/>
              </w:rPr>
              <w:t xml:space="preserve">, </w:t>
            </w:r>
            <w:r>
              <w:rPr>
                <w:iCs/>
                <w:lang w:val="sr-Cyrl-CS"/>
              </w:rPr>
              <w:t>Beograd</w:t>
            </w:r>
            <w:r w:rsidR="00863A32" w:rsidRPr="001A4D2F">
              <w:rPr>
                <w:iCs/>
                <w:lang w:val="sr-Cyrl-CS"/>
              </w:rPr>
              <w:t xml:space="preserve">, </w:t>
            </w:r>
            <w:r>
              <w:rPr>
                <w:iCs/>
                <w:lang w:val="sr-Cyrl-CS"/>
              </w:rPr>
              <w:t>Niš</w:t>
            </w:r>
            <w:r w:rsidR="00863A32" w:rsidRPr="001A4D2F">
              <w:rPr>
                <w:iCs/>
                <w:lang w:val="sr-Cyrl-CS"/>
              </w:rPr>
              <w:t xml:space="preserve">, </w:t>
            </w:r>
            <w:r>
              <w:rPr>
                <w:iCs/>
                <w:lang w:val="sr-Cyrl-CS"/>
              </w:rPr>
              <w:t>Novi</w:t>
            </w:r>
            <w:r w:rsidR="00863A32" w:rsidRPr="001A4D2F">
              <w:rPr>
                <w:iCs/>
                <w:lang w:val="sr-Cyrl-CS"/>
              </w:rPr>
              <w:t xml:space="preserve"> </w:t>
            </w:r>
            <w:r>
              <w:rPr>
                <w:iCs/>
                <w:lang w:val="sr-Cyrl-CS"/>
              </w:rPr>
              <w:t>Sad</w:t>
            </w:r>
          </w:p>
        </w:tc>
        <w:tc>
          <w:tcPr>
            <w:tcW w:w="454" w:type="pct"/>
          </w:tcPr>
          <w:p w:rsidR="00863A32" w:rsidRPr="001A4D2F" w:rsidRDefault="00A12AA6" w:rsidP="00A12AA6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</w:t>
            </w:r>
            <w:r w:rsidR="007450DA" w:rsidRPr="001A4D2F">
              <w:rPr>
                <w:iCs/>
                <w:lang w:val="sr-Cyrl-CS"/>
              </w:rPr>
              <w:t>2022</w:t>
            </w:r>
            <w:r w:rsidRPr="001A4D2F">
              <w:rPr>
                <w:iCs/>
                <w:lang w:val="sr-Cyrl-CS"/>
              </w:rPr>
              <w:t>.</w:t>
            </w:r>
          </w:p>
        </w:tc>
        <w:tc>
          <w:tcPr>
            <w:tcW w:w="615" w:type="pct"/>
          </w:tcPr>
          <w:p w:rsidR="00DD68A6" w:rsidRPr="001A4D2F" w:rsidRDefault="00DF098D" w:rsidP="00DD68A6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DD68A6" w:rsidRPr="001A4D2F" w:rsidRDefault="00DD68A6" w:rsidP="00DD68A6">
            <w:pPr>
              <w:rPr>
                <w:lang w:val="sr-Cyrl-CS"/>
              </w:rPr>
            </w:pPr>
          </w:p>
          <w:p w:rsidR="00863A32" w:rsidRPr="001A4D2F" w:rsidRDefault="00863A32" w:rsidP="00DD68A6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453" w:type="pct"/>
          </w:tcPr>
          <w:p w:rsidR="00863A32" w:rsidRPr="001A4D2F" w:rsidRDefault="00863A32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50" w:type="pct"/>
          </w:tcPr>
          <w:p w:rsidR="00863A32" w:rsidRPr="001A4D2F" w:rsidRDefault="00863A32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18" w:type="pct"/>
          </w:tcPr>
          <w:p w:rsidR="00863A32" w:rsidRPr="001A4D2F" w:rsidRDefault="00863A32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539" w:type="pct"/>
          </w:tcPr>
          <w:p w:rsidR="00863A32" w:rsidRPr="001A4D2F" w:rsidRDefault="00863A32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</w:tr>
    </w:tbl>
    <w:p w:rsidR="00D57EC4" w:rsidRDefault="00D57EC4" w:rsidP="00C11F8E">
      <w:pPr>
        <w:tabs>
          <w:tab w:val="left" w:pos="1940"/>
        </w:tabs>
      </w:pPr>
    </w:p>
    <w:p w:rsidR="00BF25A7" w:rsidRDefault="00BF25A7" w:rsidP="00C11F8E">
      <w:pPr>
        <w:tabs>
          <w:tab w:val="left" w:pos="1940"/>
        </w:tabs>
      </w:pPr>
    </w:p>
    <w:p w:rsidR="00BF25A7" w:rsidRDefault="00BF25A7" w:rsidP="00C11F8E">
      <w:pPr>
        <w:tabs>
          <w:tab w:val="left" w:pos="1940"/>
        </w:tabs>
      </w:pPr>
    </w:p>
    <w:p w:rsidR="00BF25A7" w:rsidRDefault="00BF25A7" w:rsidP="00C11F8E">
      <w:pPr>
        <w:tabs>
          <w:tab w:val="left" w:pos="1940"/>
        </w:tabs>
      </w:pPr>
    </w:p>
    <w:p w:rsidR="00BF25A7" w:rsidRDefault="00BF25A7" w:rsidP="00C11F8E">
      <w:pPr>
        <w:tabs>
          <w:tab w:val="left" w:pos="1940"/>
        </w:tabs>
      </w:pPr>
    </w:p>
    <w:p w:rsidR="00BF25A7" w:rsidRDefault="00BF25A7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DA0EC2" w:rsidRDefault="00DA0EC2" w:rsidP="00C11F8E">
      <w:pPr>
        <w:tabs>
          <w:tab w:val="left" w:pos="1940"/>
        </w:tabs>
      </w:pPr>
    </w:p>
    <w:p w:rsidR="00BF25A7" w:rsidRPr="00BF25A7" w:rsidRDefault="00BF25A7" w:rsidP="00C11F8E">
      <w:pPr>
        <w:tabs>
          <w:tab w:val="left" w:pos="1940"/>
        </w:tabs>
      </w:pPr>
    </w:p>
    <w:p w:rsidR="00863A32" w:rsidRPr="001A4D2F" w:rsidRDefault="00863A32" w:rsidP="00C11F8E">
      <w:pPr>
        <w:tabs>
          <w:tab w:val="left" w:pos="1940"/>
        </w:tabs>
        <w:rPr>
          <w:lang w:val="sr-Cyrl-CS"/>
        </w:rPr>
      </w:pPr>
    </w:p>
    <w:tbl>
      <w:tblPr>
        <w:tblStyle w:val="TableGrid"/>
        <w:tblW w:w="14132" w:type="dxa"/>
        <w:tblInd w:w="10" w:type="dxa"/>
        <w:tblLayout w:type="fixed"/>
        <w:tblLook w:val="04A0"/>
      </w:tblPr>
      <w:tblGrid>
        <w:gridCol w:w="2792"/>
        <w:gridCol w:w="1417"/>
        <w:gridCol w:w="2410"/>
        <w:gridCol w:w="283"/>
        <w:gridCol w:w="1418"/>
        <w:gridCol w:w="1276"/>
        <w:gridCol w:w="1417"/>
        <w:gridCol w:w="1559"/>
        <w:gridCol w:w="1560"/>
      </w:tblGrid>
      <w:tr w:rsidR="00863A32" w:rsidRPr="001A4D2F" w:rsidTr="00F3347F">
        <w:trPr>
          <w:trHeight w:val="169"/>
        </w:trPr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63A32" w:rsidRPr="001A4D2F" w:rsidRDefault="00DF098D" w:rsidP="00363ED5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14" w:name="_Toc32409917"/>
            <w:r>
              <w:rPr>
                <w:rFonts w:cs="Times New Roman"/>
                <w:sz w:val="24"/>
                <w:lang w:val="sr-Cyrl-CS"/>
              </w:rPr>
              <w:t>Mera</w:t>
            </w:r>
            <w:r w:rsidR="00863A32" w:rsidRPr="001A4D2F">
              <w:rPr>
                <w:rFonts w:cs="Times New Roman"/>
                <w:sz w:val="24"/>
                <w:lang w:val="sr-Cyrl-CS"/>
              </w:rPr>
              <w:t xml:space="preserve"> 3.</w:t>
            </w:r>
            <w:r w:rsidR="00363ED5" w:rsidRPr="001A4D2F">
              <w:rPr>
                <w:rFonts w:cs="Times New Roman"/>
                <w:sz w:val="24"/>
                <w:lang w:val="sr-Cyrl-CS"/>
              </w:rPr>
              <w:t>3</w:t>
            </w:r>
            <w:r w:rsidR="00863A32" w:rsidRPr="001A4D2F">
              <w:rPr>
                <w:rFonts w:cs="Times New Roman"/>
                <w:sz w:val="24"/>
                <w:lang w:val="sr-Cyrl-CS"/>
              </w:rPr>
              <w:t xml:space="preserve">: </w:t>
            </w:r>
            <w:r>
              <w:rPr>
                <w:rFonts w:cs="Times New Roman"/>
                <w:sz w:val="24"/>
                <w:lang w:val="sr-Cyrl-CS"/>
              </w:rPr>
              <w:t>Efektivno</w:t>
            </w:r>
            <w:r w:rsidR="00863A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oduzimanje</w:t>
            </w:r>
            <w:r w:rsidR="00863A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nezakonito</w:t>
            </w:r>
            <w:r w:rsidR="00863A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stečene</w:t>
            </w:r>
            <w:r w:rsidR="00863A32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imovine</w:t>
            </w:r>
            <w:bookmarkEnd w:id="14"/>
          </w:p>
        </w:tc>
      </w:tr>
      <w:tr w:rsidR="00863A32" w:rsidRPr="001A4D2F" w:rsidTr="00F3347F">
        <w:trPr>
          <w:trHeight w:val="300"/>
        </w:trPr>
        <w:tc>
          <w:tcPr>
            <w:tcW w:w="14132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863A32" w:rsidRPr="001A4D2F" w:rsidRDefault="00DF098D" w:rsidP="00C11F8E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lang w:val="sr-Cyrl-CS"/>
              </w:rPr>
              <w:t>Institucija</w:t>
            </w:r>
            <w:r w:rsidR="00863A3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odgovorna</w:t>
            </w:r>
            <w:r w:rsidR="00863A3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863A3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praćenje</w:t>
            </w:r>
            <w:r w:rsidR="00863A3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863A3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kontrolu</w:t>
            </w:r>
            <w:r w:rsidR="00863A3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realizacije</w:t>
            </w:r>
            <w:r w:rsidR="00863A32" w:rsidRPr="001A4D2F">
              <w:rPr>
                <w:lang w:val="sr-Cyrl-CS"/>
              </w:rPr>
              <w:t xml:space="preserve">: </w:t>
            </w:r>
            <w:r>
              <w:rPr>
                <w:rFonts w:eastAsia="Times New Roman"/>
                <w:color w:val="222222"/>
                <w:lang w:val="sr-Cyrl-CS"/>
              </w:rPr>
              <w:t>Koordinaciono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telo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za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sprečavanje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pranja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novca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i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finansiranja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terorizma</w:t>
            </w:r>
          </w:p>
        </w:tc>
      </w:tr>
      <w:tr w:rsidR="00863A32" w:rsidRPr="001A4D2F" w:rsidTr="00F3347F">
        <w:trPr>
          <w:trHeight w:val="300"/>
        </w:trPr>
        <w:tc>
          <w:tcPr>
            <w:tcW w:w="69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63A32" w:rsidRPr="001A4D2F" w:rsidRDefault="00DF098D" w:rsidP="00C11F8E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lang w:val="sr-Cyrl-CS"/>
              </w:rPr>
              <w:t>Period</w:t>
            </w:r>
            <w:r w:rsidR="00863A3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sprovođenja</w:t>
            </w:r>
            <w:r w:rsidR="00863A32" w:rsidRPr="001A4D2F">
              <w:rPr>
                <w:lang w:val="sr-Cyrl-CS"/>
              </w:rPr>
              <w:t>:</w:t>
            </w:r>
            <w:r w:rsidR="00363ED5" w:rsidRPr="001A4D2F">
              <w:rPr>
                <w:lang w:val="sr-Cyrl-CS"/>
              </w:rPr>
              <w:t xml:space="preserve"> 2020-2022</w:t>
            </w:r>
          </w:p>
        </w:tc>
        <w:tc>
          <w:tcPr>
            <w:tcW w:w="723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</w:tcPr>
          <w:p w:rsidR="00863A32" w:rsidRPr="001A4D2F" w:rsidRDefault="00DF098D" w:rsidP="00F3347F">
            <w:pPr>
              <w:rPr>
                <w:lang w:val="sr-Cyrl-CS"/>
              </w:rPr>
            </w:pPr>
            <w:r>
              <w:rPr>
                <w:lang w:val="sr-Cyrl-CS"/>
              </w:rPr>
              <w:t>Tip</w:t>
            </w:r>
            <w:r w:rsidR="00863A32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863A32" w:rsidRPr="001A4D2F">
              <w:rPr>
                <w:lang w:val="sr-Cyrl-CS"/>
              </w:rPr>
              <w:t>:</w:t>
            </w:r>
            <w:r w:rsidR="00A6397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Informativno</w:t>
            </w:r>
            <w:r w:rsidR="00A63977" w:rsidRPr="001A4D2F">
              <w:rPr>
                <w:lang w:val="sr-Cyrl-CS"/>
              </w:rPr>
              <w:t>-</w:t>
            </w:r>
            <w:r>
              <w:rPr>
                <w:lang w:val="sr-Cyrl-CS"/>
              </w:rPr>
              <w:t>edukativna</w:t>
            </w:r>
          </w:p>
        </w:tc>
      </w:tr>
      <w:tr w:rsidR="00F3347F" w:rsidRPr="001A4D2F" w:rsidTr="00F3347F">
        <w:trPr>
          <w:trHeight w:val="955"/>
        </w:trPr>
        <w:tc>
          <w:tcPr>
            <w:tcW w:w="27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DF098D" w:rsidP="00C11F8E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lang w:val="sr-Cyrl-CS"/>
              </w:rPr>
              <w:t>Pokazatelj</w:t>
            </w:r>
            <w:r w:rsidR="00F3347F" w:rsidRPr="001A4D2F">
              <w:rPr>
                <w:lang w:val="sr-Cyrl-CS"/>
              </w:rPr>
              <w:t>(</w:t>
            </w:r>
            <w:r>
              <w:rPr>
                <w:lang w:val="sr-Cyrl-CS"/>
              </w:rPr>
              <w:t>i</w:t>
            </w:r>
            <w:r w:rsidR="00F3347F" w:rsidRPr="001A4D2F">
              <w:rPr>
                <w:lang w:val="sr-Cyrl-CS"/>
              </w:rPr>
              <w:t xml:space="preserve">)  </w:t>
            </w:r>
            <w:r>
              <w:rPr>
                <w:lang w:val="sr-Cyrl-CS"/>
              </w:rPr>
              <w:t>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nivou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F3347F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pokazatelj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rezultata</w:t>
            </w:r>
            <w:r w:rsidR="00F3347F" w:rsidRPr="001A4D2F">
              <w:rPr>
                <w:lang w:val="sr-Cyrl-CS"/>
              </w:rPr>
              <w:t>)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F3347F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J</w:t>
            </w:r>
            <w:r w:rsidR="00DF098D">
              <w:rPr>
                <w:lang w:val="sr-Cyrl-CS"/>
              </w:rPr>
              <w:t>edinica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mere</w:t>
            </w:r>
          </w:p>
          <w:p w:rsidR="00F3347F" w:rsidRPr="001A4D2F" w:rsidRDefault="00F3347F" w:rsidP="00C11F8E">
            <w:pPr>
              <w:tabs>
                <w:tab w:val="left" w:pos="1940"/>
              </w:tabs>
              <w:rPr>
                <w:lang w:val="sr-Cyrl-CS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DF098D" w:rsidP="00C11F8E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lang w:val="sr-Cyrl-CS"/>
              </w:rPr>
              <w:t>Izvor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provere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DF098D" w:rsidP="00C11F8E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lang w:val="sr-Cyrl-CS"/>
              </w:rPr>
              <w:t>Početna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F3347F" w:rsidRPr="001A4D2F">
              <w:rPr>
                <w:lang w:val="sr-Cyrl-CS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DF098D" w:rsidP="00C11F8E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lang w:val="sr-Cyrl-CS"/>
              </w:rPr>
              <w:t>Bazna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godina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DF098D" w:rsidP="00CB13E8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F3347F" w:rsidRPr="001A4D2F">
              <w:rPr>
                <w:lang w:val="sr-Cyrl-CS"/>
              </w:rPr>
              <w:t xml:space="preserve"> 2020.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DF098D" w:rsidP="00CB13E8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F3347F" w:rsidRPr="001A4D2F">
              <w:rPr>
                <w:lang w:val="sr-Cyrl-CS"/>
              </w:rPr>
              <w:t xml:space="preserve"> 2021.</w:t>
            </w:r>
          </w:p>
        </w:tc>
        <w:tc>
          <w:tcPr>
            <w:tcW w:w="1560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3347F" w:rsidRPr="001A4D2F" w:rsidRDefault="00DF098D" w:rsidP="00CB13E8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885F9C" w:rsidRPr="001A4D2F">
              <w:rPr>
                <w:lang w:val="sr-Cyrl-CS"/>
              </w:rPr>
              <w:t xml:space="preserve"> 2022.</w:t>
            </w:r>
          </w:p>
        </w:tc>
      </w:tr>
      <w:tr w:rsidR="00A63977" w:rsidRPr="001A4D2F" w:rsidTr="00F3347F">
        <w:trPr>
          <w:trHeight w:val="304"/>
        </w:trPr>
        <w:tc>
          <w:tcPr>
            <w:tcW w:w="279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63977" w:rsidRPr="001A4D2F" w:rsidRDefault="00DF098D" w:rsidP="00F700E0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color w:val="auto"/>
                <w:lang w:val="sr-Cyrl-CS"/>
              </w:rPr>
              <w:t>Sprovedene</w:t>
            </w:r>
            <w:r w:rsidR="00F700E0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sve</w:t>
            </w:r>
            <w:r w:rsidR="00F700E0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planirane</w:t>
            </w:r>
            <w:r w:rsidR="00F700E0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obuke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63977" w:rsidRPr="001A4D2F" w:rsidRDefault="00DF098D" w:rsidP="00C11F8E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lang w:val="sr-Cyrl-CS"/>
              </w:rPr>
              <w:t>Da</w:t>
            </w:r>
            <w:r w:rsidR="00A63977" w:rsidRPr="001A4D2F">
              <w:rPr>
                <w:lang w:val="sr-Cyrl-CS"/>
              </w:rPr>
              <w:t>/</w:t>
            </w:r>
            <w:r>
              <w:rPr>
                <w:lang w:val="sr-Cyrl-CS"/>
              </w:rPr>
              <w:t>Ne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63977" w:rsidRPr="001A4D2F" w:rsidRDefault="00DF098D" w:rsidP="00A63977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A6397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nadležnih</w:t>
            </w:r>
            <w:r w:rsidR="00A6397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organa</w:t>
            </w:r>
            <w:r w:rsidR="00A6397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A6397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napretku</w:t>
            </w:r>
            <w:r w:rsidR="00A6397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</w:t>
            </w:r>
            <w:r w:rsidR="00A6397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ispunjavanju</w:t>
            </w:r>
            <w:r w:rsidR="00A6397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preporuka</w:t>
            </w:r>
            <w:r w:rsidR="00A6397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Manivala</w:t>
            </w:r>
            <w:r w:rsidR="00A63977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Izveštaj</w:t>
            </w:r>
            <w:r w:rsidR="00A6397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Manivalu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63977" w:rsidRPr="001A4D2F" w:rsidRDefault="00DF098D" w:rsidP="00C11F8E">
            <w:pPr>
              <w:tabs>
                <w:tab w:val="left" w:pos="1940"/>
              </w:tabs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63977" w:rsidRPr="001A4D2F" w:rsidRDefault="00D17BB2" w:rsidP="00C11F8E">
            <w:pPr>
              <w:tabs>
                <w:tab w:val="left" w:pos="1940"/>
              </w:tabs>
              <w:rPr>
                <w:lang w:val="sr-Cyrl-CS"/>
              </w:rPr>
            </w:pPr>
            <w:r w:rsidRPr="001A4D2F">
              <w:rPr>
                <w:lang w:val="sr-Cyrl-CS"/>
              </w:rPr>
              <w:t>2016</w:t>
            </w:r>
            <w:r w:rsidR="00A63977" w:rsidRPr="001A4D2F">
              <w:rPr>
                <w:lang w:val="sr-Cyrl-CS"/>
              </w:rPr>
              <w:t>.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A63977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3977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63977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</w:tr>
    </w:tbl>
    <w:p w:rsidR="00D57EC4" w:rsidRPr="001A4D2F" w:rsidRDefault="00D57EC4" w:rsidP="00C11F8E">
      <w:pPr>
        <w:tabs>
          <w:tab w:val="left" w:pos="1940"/>
        </w:tabs>
        <w:rPr>
          <w:lang w:val="sr-Cyrl-CS"/>
        </w:rPr>
      </w:pPr>
    </w:p>
    <w:p w:rsidR="00864498" w:rsidRPr="001A4D2F" w:rsidRDefault="00864498" w:rsidP="00C11F8E">
      <w:pPr>
        <w:tabs>
          <w:tab w:val="left" w:pos="1940"/>
        </w:tabs>
        <w:rPr>
          <w:lang w:val="sr-Cyrl-CS"/>
        </w:rPr>
      </w:pPr>
    </w:p>
    <w:tbl>
      <w:tblPr>
        <w:tblStyle w:val="TableGrid"/>
        <w:tblW w:w="5000" w:type="pct"/>
        <w:tblLayout w:type="fixed"/>
        <w:tblLook w:val="04A0"/>
      </w:tblPr>
      <w:tblGrid>
        <w:gridCol w:w="2401"/>
        <w:gridCol w:w="1145"/>
        <w:gridCol w:w="1242"/>
        <w:gridCol w:w="1162"/>
        <w:gridCol w:w="1573"/>
        <w:gridCol w:w="1160"/>
        <w:gridCol w:w="1650"/>
        <w:gridCol w:w="2288"/>
        <w:gridCol w:w="1554"/>
      </w:tblGrid>
      <w:tr w:rsidR="003C0D99" w:rsidRPr="001A4D2F" w:rsidTr="003C0D99">
        <w:trPr>
          <w:trHeight w:val="140"/>
          <w:tblHeader/>
        </w:trPr>
        <w:tc>
          <w:tcPr>
            <w:tcW w:w="847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3C0D99" w:rsidRPr="00BF25A7" w:rsidRDefault="00DF098D" w:rsidP="00C11F8E">
            <w:pPr>
              <w:rPr>
                <w:b/>
                <w:color w:val="auto"/>
                <w:sz w:val="18"/>
                <w:szCs w:val="18"/>
                <w:lang w:val="sr-Cyrl-CS"/>
              </w:rPr>
            </w:pPr>
            <w:r>
              <w:rPr>
                <w:b/>
                <w:color w:val="auto"/>
                <w:sz w:val="18"/>
                <w:szCs w:val="18"/>
                <w:lang w:val="sr-Cyrl-CS"/>
              </w:rPr>
              <w:t>Naziv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  <w:lang w:val="sr-Cyrl-CS"/>
              </w:rPr>
              <w:t>aktivnosti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40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BF25A7" w:rsidRDefault="00DF098D" w:rsidP="00C11F8E">
            <w:pPr>
              <w:rPr>
                <w:b/>
                <w:color w:val="auto"/>
                <w:sz w:val="18"/>
                <w:szCs w:val="18"/>
                <w:lang w:val="sr-Cyrl-CS"/>
              </w:rPr>
            </w:pPr>
            <w:r>
              <w:rPr>
                <w:b/>
                <w:color w:val="auto"/>
                <w:sz w:val="18"/>
                <w:szCs w:val="18"/>
                <w:lang w:val="sr-Cyrl-CS"/>
              </w:rPr>
              <w:t>Organ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  <w:lang w:val="sr-Cyrl-CS"/>
              </w:rPr>
              <w:t>koji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  <w:lang w:val="sr-Cyrl-CS"/>
              </w:rPr>
              <w:t>sprovodi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  <w:lang w:val="sr-Cyrl-CS"/>
              </w:rPr>
              <w:t>aktivnost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BF25A7" w:rsidRDefault="00DF098D" w:rsidP="00C11F8E">
            <w:pPr>
              <w:rPr>
                <w:b/>
                <w:color w:val="auto"/>
                <w:sz w:val="18"/>
                <w:szCs w:val="18"/>
                <w:lang w:val="sr-Cyrl-CS"/>
              </w:rPr>
            </w:pPr>
            <w:r>
              <w:rPr>
                <w:b/>
                <w:color w:val="auto"/>
                <w:sz w:val="18"/>
                <w:szCs w:val="18"/>
                <w:lang w:val="sr-Cyrl-CS"/>
              </w:rPr>
              <w:t>Organi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  <w:lang w:val="sr-Cyrl-CS"/>
              </w:rPr>
              <w:t>partneri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  <w:lang w:val="sr-Cyrl-CS"/>
              </w:rPr>
              <w:t>u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  <w:lang w:val="sr-Cyrl-CS"/>
              </w:rPr>
              <w:t>sprovođenju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  <w:lang w:val="sr-Cyrl-CS"/>
              </w:rPr>
              <w:t>aktivnosti</w:t>
            </w:r>
          </w:p>
        </w:tc>
        <w:tc>
          <w:tcPr>
            <w:tcW w:w="410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BF25A7" w:rsidRDefault="00DF098D" w:rsidP="00C11F8E">
            <w:pPr>
              <w:jc w:val="center"/>
              <w:rPr>
                <w:b/>
                <w:color w:val="auto"/>
                <w:sz w:val="18"/>
                <w:szCs w:val="18"/>
                <w:lang w:val="sr-Cyrl-CS"/>
              </w:rPr>
            </w:pPr>
            <w:r>
              <w:rPr>
                <w:b/>
                <w:color w:val="auto"/>
                <w:sz w:val="18"/>
                <w:szCs w:val="18"/>
                <w:lang w:val="sr-Cyrl-CS"/>
              </w:rPr>
              <w:t>Rok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  <w:lang w:val="sr-Cyrl-CS"/>
              </w:rPr>
              <w:t>za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  <w:lang w:val="sr-Cyrl-CS"/>
              </w:rPr>
              <w:t>završetak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auto"/>
                <w:sz w:val="16"/>
                <w:szCs w:val="16"/>
                <w:lang w:val="sr-Cyrl-CS"/>
              </w:rPr>
              <w:t>aktivnosti</w:t>
            </w:r>
          </w:p>
        </w:tc>
        <w:tc>
          <w:tcPr>
            <w:tcW w:w="555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BF25A7" w:rsidRDefault="00DF098D" w:rsidP="00C11F8E">
            <w:pPr>
              <w:jc w:val="center"/>
              <w:rPr>
                <w:b/>
                <w:color w:val="auto"/>
                <w:sz w:val="18"/>
                <w:szCs w:val="18"/>
                <w:lang w:val="sr-Cyrl-CS"/>
              </w:rPr>
            </w:pPr>
            <w:r>
              <w:rPr>
                <w:b/>
                <w:color w:val="auto"/>
                <w:sz w:val="18"/>
                <w:szCs w:val="18"/>
                <w:lang w:val="sr-Cyrl-CS"/>
              </w:rPr>
              <w:t>Izvor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  <w:lang w:val="sr-Cyrl-CS"/>
              </w:rPr>
              <w:t>finansiranja</w:t>
            </w:r>
          </w:p>
        </w:tc>
        <w:tc>
          <w:tcPr>
            <w:tcW w:w="409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BF25A7" w:rsidRDefault="00DF098D" w:rsidP="00C11F8E">
            <w:pPr>
              <w:rPr>
                <w:b/>
                <w:color w:val="auto"/>
                <w:sz w:val="18"/>
                <w:szCs w:val="18"/>
                <w:lang w:val="sr-Cyrl-CS"/>
              </w:rPr>
            </w:pPr>
            <w:r>
              <w:rPr>
                <w:b/>
                <w:color w:val="auto"/>
                <w:sz w:val="18"/>
                <w:szCs w:val="18"/>
                <w:lang w:val="sr-Cyrl-CS"/>
              </w:rPr>
              <w:t>Veza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  <w:lang w:val="sr-Cyrl-CS"/>
              </w:rPr>
              <w:t>sa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auto"/>
                <w:sz w:val="14"/>
                <w:szCs w:val="14"/>
                <w:lang w:val="sr-Cyrl-CS"/>
              </w:rPr>
              <w:t>programskim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  <w:lang w:val="sr-Cyrl-CS"/>
              </w:rPr>
              <w:t>budžetom</w:t>
            </w:r>
          </w:p>
          <w:p w:rsidR="003C0D99" w:rsidRPr="00BF25A7" w:rsidRDefault="003C0D99" w:rsidP="00C11F8E">
            <w:pPr>
              <w:jc w:val="center"/>
              <w:rPr>
                <w:b/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1937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BF25A7" w:rsidRDefault="00DF098D" w:rsidP="00C11F8E">
            <w:pPr>
              <w:jc w:val="center"/>
              <w:rPr>
                <w:b/>
                <w:color w:val="auto"/>
                <w:sz w:val="18"/>
                <w:szCs w:val="18"/>
                <w:lang w:val="sr-Cyrl-CS"/>
              </w:rPr>
            </w:pPr>
            <w:r>
              <w:rPr>
                <w:b/>
                <w:color w:val="auto"/>
                <w:sz w:val="18"/>
                <w:szCs w:val="18"/>
                <w:lang w:val="sr-Cyrl-CS"/>
              </w:rPr>
              <w:t>Ukupna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  <w:lang w:val="sr-Cyrl-CS"/>
              </w:rPr>
              <w:t>procenjena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  <w:lang w:val="sr-Cyrl-CS"/>
              </w:rPr>
              <w:t>finansijska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  <w:lang w:val="sr-Cyrl-CS"/>
              </w:rPr>
              <w:t>sredstva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  <w:lang w:val="sr-Cyrl-CS"/>
              </w:rPr>
              <w:t>po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  <w:lang w:val="sr-Cyrl-CS"/>
              </w:rPr>
              <w:t>izvorima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color w:val="auto"/>
                <w:sz w:val="18"/>
                <w:szCs w:val="18"/>
                <w:lang w:val="sr-Cyrl-CS"/>
              </w:rPr>
              <w:t>u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 xml:space="preserve"> 000 </w:t>
            </w:r>
            <w:r>
              <w:rPr>
                <w:b/>
                <w:color w:val="auto"/>
                <w:sz w:val="18"/>
                <w:szCs w:val="18"/>
                <w:lang w:val="sr-Cyrl-CS"/>
              </w:rPr>
              <w:t>din</w:t>
            </w:r>
            <w:r w:rsidR="003C0D99" w:rsidRPr="00BF25A7">
              <w:rPr>
                <w:b/>
                <w:color w:val="auto"/>
                <w:sz w:val="18"/>
                <w:szCs w:val="18"/>
                <w:lang w:val="sr-Cyrl-CS"/>
              </w:rPr>
              <w:t>.</w:t>
            </w:r>
          </w:p>
        </w:tc>
      </w:tr>
      <w:tr w:rsidR="001B4CBD" w:rsidRPr="001A4D2F" w:rsidTr="00C322A1">
        <w:trPr>
          <w:trHeight w:val="386"/>
          <w:tblHeader/>
        </w:trPr>
        <w:tc>
          <w:tcPr>
            <w:tcW w:w="847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1B4CBD" w:rsidRPr="00BF25A7" w:rsidRDefault="001B4CBD" w:rsidP="00C11F8E">
            <w:pPr>
              <w:rPr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404" w:type="pct"/>
            <w:vMerge/>
            <w:shd w:val="clear" w:color="auto" w:fill="E5DFEC" w:themeFill="accent4" w:themeFillTint="33"/>
          </w:tcPr>
          <w:p w:rsidR="001B4CBD" w:rsidRPr="00BF25A7" w:rsidRDefault="001B4CBD" w:rsidP="00C11F8E">
            <w:pPr>
              <w:rPr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438" w:type="pct"/>
            <w:vMerge/>
            <w:shd w:val="clear" w:color="auto" w:fill="E5DFEC" w:themeFill="accent4" w:themeFillTint="33"/>
          </w:tcPr>
          <w:p w:rsidR="001B4CBD" w:rsidRPr="00BF25A7" w:rsidRDefault="001B4CBD" w:rsidP="00C11F8E">
            <w:pPr>
              <w:rPr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410" w:type="pct"/>
            <w:vMerge/>
            <w:shd w:val="clear" w:color="auto" w:fill="E5DFEC" w:themeFill="accent4" w:themeFillTint="33"/>
          </w:tcPr>
          <w:p w:rsidR="001B4CBD" w:rsidRPr="00BF25A7" w:rsidRDefault="001B4CBD" w:rsidP="00C11F8E">
            <w:pPr>
              <w:jc w:val="center"/>
              <w:rPr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555" w:type="pct"/>
            <w:vMerge/>
            <w:shd w:val="clear" w:color="auto" w:fill="E5DFEC" w:themeFill="accent4" w:themeFillTint="33"/>
          </w:tcPr>
          <w:p w:rsidR="001B4CBD" w:rsidRPr="00BF25A7" w:rsidRDefault="001B4CBD" w:rsidP="00C11F8E">
            <w:pPr>
              <w:jc w:val="center"/>
              <w:rPr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409" w:type="pct"/>
            <w:vMerge/>
            <w:shd w:val="clear" w:color="auto" w:fill="E5DFEC" w:themeFill="accent4" w:themeFillTint="33"/>
          </w:tcPr>
          <w:p w:rsidR="001B4CBD" w:rsidRPr="00BF25A7" w:rsidRDefault="001B4CBD" w:rsidP="00C11F8E">
            <w:pPr>
              <w:jc w:val="center"/>
              <w:rPr>
                <w:color w:val="auto"/>
                <w:sz w:val="18"/>
                <w:szCs w:val="18"/>
                <w:lang w:val="sr-Cyrl-CS"/>
              </w:rPr>
            </w:pPr>
          </w:p>
        </w:tc>
        <w:tc>
          <w:tcPr>
            <w:tcW w:w="582" w:type="pct"/>
            <w:shd w:val="clear" w:color="auto" w:fill="E5DFEC" w:themeFill="accent4" w:themeFillTint="33"/>
          </w:tcPr>
          <w:p w:rsidR="001B4CBD" w:rsidRPr="00BF25A7" w:rsidRDefault="001B4CBD" w:rsidP="006E272C">
            <w:pPr>
              <w:jc w:val="center"/>
              <w:rPr>
                <w:b/>
                <w:color w:val="auto"/>
                <w:sz w:val="18"/>
                <w:szCs w:val="18"/>
                <w:lang w:val="sr-Cyrl-CS"/>
              </w:rPr>
            </w:pPr>
            <w:r w:rsidRPr="00BF25A7">
              <w:rPr>
                <w:b/>
                <w:color w:val="auto"/>
                <w:sz w:val="18"/>
                <w:szCs w:val="18"/>
                <w:lang w:val="sr-Cyrl-CS"/>
              </w:rPr>
              <w:t>2020.</w:t>
            </w:r>
          </w:p>
        </w:tc>
        <w:tc>
          <w:tcPr>
            <w:tcW w:w="807" w:type="pct"/>
            <w:shd w:val="clear" w:color="auto" w:fill="E5DFEC" w:themeFill="accent4" w:themeFillTint="33"/>
          </w:tcPr>
          <w:p w:rsidR="001B4CBD" w:rsidRPr="00BF25A7" w:rsidRDefault="001B4CBD" w:rsidP="006E272C">
            <w:pPr>
              <w:jc w:val="center"/>
              <w:rPr>
                <w:b/>
                <w:color w:val="auto"/>
                <w:sz w:val="18"/>
                <w:szCs w:val="18"/>
                <w:lang w:val="sr-Cyrl-CS"/>
              </w:rPr>
            </w:pPr>
            <w:r w:rsidRPr="00BF25A7">
              <w:rPr>
                <w:b/>
                <w:color w:val="auto"/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548" w:type="pct"/>
            <w:shd w:val="clear" w:color="auto" w:fill="E5DFEC" w:themeFill="accent4" w:themeFillTint="33"/>
          </w:tcPr>
          <w:p w:rsidR="001B4CBD" w:rsidRPr="00BF25A7" w:rsidRDefault="001B4CBD" w:rsidP="001B4CBD">
            <w:pPr>
              <w:jc w:val="center"/>
              <w:rPr>
                <w:b/>
                <w:color w:val="auto"/>
                <w:sz w:val="18"/>
                <w:szCs w:val="18"/>
                <w:lang w:val="sr-Cyrl-CS"/>
              </w:rPr>
            </w:pPr>
            <w:r w:rsidRPr="00BF25A7">
              <w:rPr>
                <w:b/>
                <w:color w:val="auto"/>
                <w:sz w:val="18"/>
                <w:szCs w:val="18"/>
                <w:lang w:val="sr-Cyrl-CS"/>
              </w:rPr>
              <w:t>2022.</w:t>
            </w:r>
          </w:p>
        </w:tc>
      </w:tr>
      <w:tr w:rsidR="001B4CBD" w:rsidRPr="001A4D2F" w:rsidTr="00F3347F">
        <w:trPr>
          <w:trHeight w:val="2348"/>
        </w:trPr>
        <w:tc>
          <w:tcPr>
            <w:tcW w:w="847" w:type="pct"/>
            <w:tcBorders>
              <w:left w:val="double" w:sz="4" w:space="0" w:color="auto"/>
            </w:tcBorders>
          </w:tcPr>
          <w:p w:rsidR="001B4CBD" w:rsidRDefault="001B4CBD" w:rsidP="00C11F8E">
            <w:pPr>
              <w:rPr>
                <w:color w:val="auto"/>
                <w:sz w:val="22"/>
                <w:szCs w:val="22"/>
              </w:rPr>
            </w:pPr>
            <w:r w:rsidRPr="00BF25A7">
              <w:rPr>
                <w:color w:val="auto"/>
                <w:sz w:val="22"/>
                <w:szCs w:val="22"/>
                <w:lang w:val="sr-Cyrl-CS"/>
              </w:rPr>
              <w:lastRenderedPageBreak/>
              <w:t xml:space="preserve">3.3.1.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Kontinuirane</w:t>
            </w:r>
            <w:r w:rsidR="007450DA"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zajedničke</w:t>
            </w:r>
            <w:r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obuke</w:t>
            </w:r>
            <w:r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policijskih</w:t>
            </w:r>
            <w:r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službenika</w:t>
            </w:r>
            <w:r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i</w:t>
            </w:r>
            <w:r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javnih</w:t>
            </w:r>
            <w:r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tužilaca</w:t>
            </w:r>
            <w:r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za</w:t>
            </w:r>
            <w:r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efikasnije</w:t>
            </w:r>
            <w:r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otkrivanje</w:t>
            </w:r>
            <w:r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imovine</w:t>
            </w:r>
            <w:r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stečene</w:t>
            </w:r>
            <w:r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izvršenjem</w:t>
            </w:r>
            <w:r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predikatnog</w:t>
            </w:r>
            <w:r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krivičnog</w:t>
            </w:r>
            <w:r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dela</w:t>
            </w:r>
            <w:r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i</w:t>
            </w:r>
            <w:r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imovine</w:t>
            </w:r>
            <w:r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neutvrđenog</w:t>
            </w:r>
            <w:r w:rsidRPr="00BF25A7">
              <w:rPr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color w:val="auto"/>
                <w:sz w:val="22"/>
                <w:szCs w:val="22"/>
                <w:lang w:val="sr-Cyrl-CS"/>
              </w:rPr>
              <w:t>porekla</w:t>
            </w:r>
            <w:r w:rsidRPr="00BF25A7">
              <w:rPr>
                <w:color w:val="auto"/>
                <w:sz w:val="22"/>
                <w:szCs w:val="22"/>
                <w:lang w:val="sr-Cyrl-CS"/>
              </w:rPr>
              <w:t>.</w:t>
            </w:r>
          </w:p>
          <w:p w:rsidR="00BF25A7" w:rsidRPr="00BF25A7" w:rsidRDefault="00BF25A7" w:rsidP="00C11F8E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404" w:type="pct"/>
          </w:tcPr>
          <w:p w:rsidR="001B4CBD" w:rsidRPr="001A4D2F" w:rsidRDefault="00DF098D" w:rsidP="005768D4">
            <w:pPr>
              <w:rPr>
                <w:color w:val="auto"/>
                <w:lang w:val="sr-Cyrl-CS"/>
              </w:rPr>
            </w:pPr>
            <w:r>
              <w:rPr>
                <w:iCs/>
                <w:color w:val="auto"/>
                <w:lang w:val="sr-Cyrl-CS"/>
              </w:rPr>
              <w:t>POLA</w:t>
            </w:r>
            <w:r w:rsidR="007450DA" w:rsidRPr="001A4D2F">
              <w:rPr>
                <w:iCs/>
                <w:color w:val="auto"/>
                <w:lang w:val="sr-Cyrl-CS"/>
              </w:rPr>
              <w:t xml:space="preserve"> </w:t>
            </w:r>
          </w:p>
        </w:tc>
        <w:tc>
          <w:tcPr>
            <w:tcW w:w="438" w:type="pct"/>
          </w:tcPr>
          <w:p w:rsidR="001B4CBD" w:rsidRPr="001A4D2F" w:rsidRDefault="00DF098D" w:rsidP="00C11F8E">
            <w:pPr>
              <w:rPr>
                <w:iCs/>
                <w:color w:val="auto"/>
                <w:lang w:val="sr-Cyrl-CS"/>
              </w:rPr>
            </w:pPr>
            <w:r>
              <w:rPr>
                <w:iCs/>
                <w:color w:val="auto"/>
                <w:lang w:val="sr-Cyrl-CS"/>
              </w:rPr>
              <w:t>PA</w:t>
            </w:r>
            <w:r w:rsidR="00842C31" w:rsidRPr="001A4D2F">
              <w:rPr>
                <w:iCs/>
                <w:color w:val="auto"/>
                <w:lang w:val="sr-Cyrl-CS"/>
              </w:rPr>
              <w:t xml:space="preserve">; </w:t>
            </w:r>
            <w:r>
              <w:rPr>
                <w:color w:val="auto"/>
                <w:lang w:val="sr-Cyrl-CS"/>
              </w:rPr>
              <w:t>RJT</w:t>
            </w:r>
            <w:r w:rsidR="00842C31" w:rsidRPr="001A4D2F">
              <w:rPr>
                <w:color w:val="auto"/>
                <w:lang w:val="sr-Cyrl-CS"/>
              </w:rPr>
              <w:t xml:space="preserve">; </w:t>
            </w:r>
            <w:r>
              <w:rPr>
                <w:color w:val="auto"/>
                <w:lang w:val="sr-Cyrl-CS"/>
              </w:rPr>
              <w:t>MUP</w:t>
            </w:r>
          </w:p>
        </w:tc>
        <w:tc>
          <w:tcPr>
            <w:tcW w:w="410" w:type="pct"/>
          </w:tcPr>
          <w:p w:rsidR="001B4CBD" w:rsidRPr="001A4D2F" w:rsidRDefault="00842C31" w:rsidP="007450DA">
            <w:pPr>
              <w:rPr>
                <w:iCs/>
                <w:color w:val="auto"/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</w:t>
            </w:r>
            <w:r w:rsidR="001B4CBD" w:rsidRPr="001A4D2F">
              <w:rPr>
                <w:iCs/>
                <w:color w:val="auto"/>
                <w:lang w:val="sr-Cyrl-CS"/>
              </w:rPr>
              <w:t>202</w:t>
            </w:r>
            <w:r w:rsidR="007450DA" w:rsidRPr="001A4D2F">
              <w:rPr>
                <w:iCs/>
                <w:color w:val="auto"/>
                <w:lang w:val="sr-Cyrl-CS"/>
              </w:rPr>
              <w:t>2</w:t>
            </w:r>
            <w:r w:rsidR="001B4CBD" w:rsidRPr="001A4D2F">
              <w:rPr>
                <w:iCs/>
                <w:color w:val="auto"/>
                <w:lang w:val="sr-Cyrl-CS"/>
              </w:rPr>
              <w:t>.</w:t>
            </w:r>
          </w:p>
        </w:tc>
        <w:tc>
          <w:tcPr>
            <w:tcW w:w="555" w:type="pct"/>
          </w:tcPr>
          <w:p w:rsidR="00DD68A6" w:rsidRPr="001A4D2F" w:rsidRDefault="00DF098D" w:rsidP="00DD68A6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1B4CBD" w:rsidRPr="001A4D2F" w:rsidRDefault="00DF098D" w:rsidP="00F700E0">
            <w:pPr>
              <w:pStyle w:val="basic-paragraph"/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A927A4" w:rsidRPr="001A4D2F">
              <w:rPr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međunarodnih</w:t>
            </w:r>
            <w:r w:rsidR="00A927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</w:p>
        </w:tc>
        <w:tc>
          <w:tcPr>
            <w:tcW w:w="409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582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807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548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</w:tr>
      <w:tr w:rsidR="001B4CBD" w:rsidRPr="001A4D2F" w:rsidTr="00C322A1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</w:tcPr>
          <w:p w:rsidR="001B4CBD" w:rsidRPr="001A4D2F" w:rsidRDefault="001B4CBD" w:rsidP="004E570C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 xml:space="preserve">3.3.2. </w:t>
            </w:r>
            <w:r w:rsidR="00DF098D">
              <w:rPr>
                <w:color w:val="auto"/>
                <w:lang w:val="sr-Cyrl-CS"/>
              </w:rPr>
              <w:t>Izrada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priručnika</w:t>
            </w:r>
            <w:r w:rsidR="004E570C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za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pronalaženje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lang w:val="sr-Cyrl-CS"/>
              </w:rPr>
              <w:t>i</w:t>
            </w:r>
            <w:r w:rsidR="004E570C" w:rsidRPr="001A4D2F">
              <w:rPr>
                <w:iCs/>
                <w:color w:val="auto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lang w:val="sr-Cyrl-CS"/>
              </w:rPr>
              <w:t>efikasno</w:t>
            </w:r>
            <w:r w:rsidRPr="001A4D2F">
              <w:rPr>
                <w:iCs/>
                <w:color w:val="auto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lang w:val="sr-Cyrl-CS"/>
              </w:rPr>
              <w:t>oduzimanje</w:t>
            </w:r>
            <w:r w:rsidR="009D68EE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imovine</w:t>
            </w:r>
            <w:r w:rsidR="009D68EE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nelegalnog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porekla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i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vođenje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4E570C" w:rsidRPr="001A4D2F">
              <w:rPr>
                <w:color w:val="auto"/>
                <w:lang w:val="sr-Cyrl-CS"/>
              </w:rPr>
              <w:t>(</w:t>
            </w:r>
            <w:r w:rsidR="00DF098D">
              <w:rPr>
                <w:color w:val="auto"/>
                <w:lang w:val="sr-Cyrl-CS"/>
              </w:rPr>
              <w:t>paralelnih</w:t>
            </w:r>
            <w:r w:rsidR="004E570C" w:rsidRPr="001A4D2F">
              <w:rPr>
                <w:color w:val="auto"/>
                <w:lang w:val="sr-Cyrl-CS"/>
              </w:rPr>
              <w:t xml:space="preserve">) </w:t>
            </w:r>
            <w:r w:rsidR="00DF098D">
              <w:rPr>
                <w:color w:val="auto"/>
                <w:lang w:val="sr-Cyrl-CS"/>
              </w:rPr>
              <w:t>finansijskih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istraga</w:t>
            </w:r>
            <w:r w:rsidRPr="001A4D2F">
              <w:rPr>
                <w:color w:val="auto"/>
                <w:lang w:val="sr-Cyrl-CS"/>
              </w:rPr>
              <w:t>.</w:t>
            </w:r>
          </w:p>
        </w:tc>
        <w:tc>
          <w:tcPr>
            <w:tcW w:w="404" w:type="pct"/>
          </w:tcPr>
          <w:p w:rsidR="001B4CBD" w:rsidRPr="001A4D2F" w:rsidRDefault="00DF098D" w:rsidP="00842C31">
            <w:pPr>
              <w:rPr>
                <w:iCs/>
                <w:color w:val="auto"/>
                <w:lang w:val="sr-Cyrl-CS"/>
              </w:rPr>
            </w:pPr>
            <w:r>
              <w:rPr>
                <w:iCs/>
                <w:color w:val="auto"/>
                <w:lang w:val="sr-Cyrl-CS"/>
              </w:rPr>
              <w:t>RJT</w:t>
            </w:r>
          </w:p>
        </w:tc>
        <w:tc>
          <w:tcPr>
            <w:tcW w:w="438" w:type="pct"/>
          </w:tcPr>
          <w:p w:rsidR="001B4CBD" w:rsidRPr="001A4D2F" w:rsidRDefault="00DF098D" w:rsidP="00842C31">
            <w:pPr>
              <w:rPr>
                <w:iCs/>
                <w:color w:val="auto"/>
                <w:lang w:val="sr-Cyrl-CS"/>
              </w:rPr>
            </w:pPr>
            <w:r>
              <w:rPr>
                <w:iCs/>
                <w:color w:val="auto"/>
                <w:lang w:val="sr-Cyrl-CS"/>
              </w:rPr>
              <w:t>VKS</w:t>
            </w:r>
          </w:p>
        </w:tc>
        <w:tc>
          <w:tcPr>
            <w:tcW w:w="410" w:type="pct"/>
          </w:tcPr>
          <w:p w:rsidR="001B4CBD" w:rsidRPr="001A4D2F" w:rsidRDefault="00842C31" w:rsidP="00842C31">
            <w:pPr>
              <w:rPr>
                <w:iCs/>
                <w:color w:val="auto"/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</w:t>
            </w:r>
            <w:r w:rsidR="001B4CBD" w:rsidRPr="001A4D2F">
              <w:rPr>
                <w:iCs/>
                <w:color w:val="auto"/>
                <w:lang w:val="sr-Cyrl-CS"/>
              </w:rPr>
              <w:t>2020.</w:t>
            </w:r>
          </w:p>
        </w:tc>
        <w:tc>
          <w:tcPr>
            <w:tcW w:w="555" w:type="pct"/>
          </w:tcPr>
          <w:p w:rsidR="00A927A4" w:rsidRPr="001A4D2F" w:rsidRDefault="00DF098D" w:rsidP="00A927A4">
            <w:pPr>
              <w:pStyle w:val="basic-paragraph"/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A927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A927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</w:p>
          <w:p w:rsidR="001B4CBD" w:rsidRPr="001A4D2F" w:rsidRDefault="001B4CBD" w:rsidP="007450DA">
            <w:pPr>
              <w:rPr>
                <w:color w:val="auto"/>
                <w:lang w:val="sr-Cyrl-CS"/>
              </w:rPr>
            </w:pPr>
          </w:p>
        </w:tc>
        <w:tc>
          <w:tcPr>
            <w:tcW w:w="409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582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807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548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</w:tr>
      <w:tr w:rsidR="001B4CBD" w:rsidRPr="001A4D2F" w:rsidTr="00C322A1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</w:tcPr>
          <w:p w:rsidR="001B4CBD" w:rsidRPr="001A4D2F" w:rsidRDefault="007450DA" w:rsidP="00F3347F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 xml:space="preserve">3.3.3. </w:t>
            </w:r>
            <w:r w:rsidR="00DF098D">
              <w:rPr>
                <w:color w:val="auto"/>
                <w:lang w:val="sr-Cyrl-CS"/>
              </w:rPr>
              <w:t>Kontinuirana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zajednička</w:t>
            </w:r>
            <w:r w:rsidR="001B4CBD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obuka</w:t>
            </w:r>
            <w:r w:rsidR="001B4CBD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USPN</w:t>
            </w:r>
            <w:r w:rsidR="001B4CBD" w:rsidRPr="001A4D2F">
              <w:rPr>
                <w:color w:val="auto"/>
                <w:lang w:val="sr-Cyrl-CS"/>
              </w:rPr>
              <w:t xml:space="preserve">, </w:t>
            </w:r>
            <w:r w:rsidR="00DF098D">
              <w:rPr>
                <w:color w:val="auto"/>
                <w:lang w:val="sr-Cyrl-CS"/>
              </w:rPr>
              <w:t>policije</w:t>
            </w:r>
            <w:r w:rsidR="001B4CBD" w:rsidRPr="001A4D2F">
              <w:rPr>
                <w:color w:val="auto"/>
                <w:lang w:val="sr-Cyrl-CS"/>
              </w:rPr>
              <w:t xml:space="preserve">, </w:t>
            </w:r>
            <w:r w:rsidR="00DF098D">
              <w:rPr>
                <w:color w:val="auto"/>
                <w:lang w:val="sr-Cyrl-CS"/>
              </w:rPr>
              <w:t>i</w:t>
            </w:r>
            <w:r w:rsidR="001B4CBD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tužilaštva</w:t>
            </w:r>
            <w:r w:rsidR="001B4CBD" w:rsidRPr="001A4D2F">
              <w:rPr>
                <w:color w:val="auto"/>
                <w:lang w:val="sr-Cyrl-CS"/>
              </w:rPr>
              <w:t xml:space="preserve">    </w:t>
            </w:r>
            <w:r w:rsidR="00DF098D">
              <w:rPr>
                <w:color w:val="auto"/>
                <w:lang w:val="sr-Cyrl-CS"/>
              </w:rPr>
              <w:t>za</w:t>
            </w:r>
            <w:r w:rsidR="001B4CBD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pronalaženje</w:t>
            </w:r>
            <w:r w:rsidR="001B4CBD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i</w:t>
            </w:r>
            <w:r w:rsidR="001B4CBD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oduzimanje</w:t>
            </w:r>
            <w:r w:rsidR="001B4CBD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nezakonito</w:t>
            </w:r>
            <w:r w:rsidR="001B4CBD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stečene</w:t>
            </w:r>
            <w:r w:rsidR="001B4CBD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imovine</w:t>
            </w:r>
            <w:r w:rsidR="001B4CBD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locirane</w:t>
            </w:r>
            <w:r w:rsidR="001B4CBD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u</w:t>
            </w:r>
            <w:r w:rsidR="001B4CBD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inostranstvu</w:t>
            </w:r>
            <w:r w:rsidR="001B4CBD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korišćenjem</w:t>
            </w:r>
            <w:r w:rsidR="001B4CBD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instrumenata</w:t>
            </w:r>
            <w:r w:rsidR="001B4CBD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međunarodne</w:t>
            </w:r>
            <w:r w:rsidR="001B4CBD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saradnje</w:t>
            </w:r>
            <w:r w:rsidR="001B4CBD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lastRenderedPageBreak/>
              <w:t>posebno</w:t>
            </w:r>
            <w:r w:rsidR="001B4CBD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ARO</w:t>
            </w:r>
            <w:r w:rsidR="001B4CBD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kancelarije</w:t>
            </w:r>
            <w:r w:rsidR="001B4CBD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i</w:t>
            </w:r>
            <w:r w:rsidR="001B4CBD" w:rsidRPr="001A4D2F">
              <w:rPr>
                <w:color w:val="auto"/>
                <w:lang w:val="sr-Cyrl-CS"/>
              </w:rPr>
              <w:t xml:space="preserve"> CAMDEN </w:t>
            </w:r>
            <w:r w:rsidR="00DF098D">
              <w:rPr>
                <w:color w:val="auto"/>
                <w:lang w:val="sr-Cyrl-CS"/>
              </w:rPr>
              <w:t>mreže</w:t>
            </w:r>
            <w:r w:rsidR="001B4CBD" w:rsidRPr="001A4D2F">
              <w:rPr>
                <w:color w:val="auto"/>
                <w:lang w:val="sr-Cyrl-CS"/>
              </w:rPr>
              <w:t xml:space="preserve">, EGMONT </w:t>
            </w:r>
            <w:r w:rsidR="00DF098D">
              <w:rPr>
                <w:color w:val="auto"/>
                <w:lang w:val="sr-Cyrl-CS"/>
              </w:rPr>
              <w:t>grupe</w:t>
            </w:r>
            <w:r w:rsidR="001B4CBD" w:rsidRPr="001A4D2F">
              <w:rPr>
                <w:color w:val="auto"/>
                <w:lang w:val="sr-Cyrl-CS"/>
              </w:rPr>
              <w:t xml:space="preserve">. </w:t>
            </w:r>
          </w:p>
        </w:tc>
        <w:tc>
          <w:tcPr>
            <w:tcW w:w="404" w:type="pct"/>
          </w:tcPr>
          <w:p w:rsidR="001B4CBD" w:rsidRPr="001A4D2F" w:rsidRDefault="00DF098D" w:rsidP="00C322A1">
            <w:pPr>
              <w:rPr>
                <w:iCs/>
                <w:color w:val="auto"/>
                <w:lang w:val="sr-Cyrl-CS"/>
              </w:rPr>
            </w:pPr>
            <w:r>
              <w:rPr>
                <w:iCs/>
                <w:color w:val="auto"/>
                <w:lang w:val="sr-Cyrl-CS"/>
              </w:rPr>
              <w:lastRenderedPageBreak/>
              <w:t>PA</w:t>
            </w:r>
          </w:p>
        </w:tc>
        <w:tc>
          <w:tcPr>
            <w:tcW w:w="438" w:type="pct"/>
          </w:tcPr>
          <w:p w:rsidR="001B4CBD" w:rsidRPr="001A4D2F" w:rsidRDefault="00DF098D" w:rsidP="00C11F8E">
            <w:pPr>
              <w:rPr>
                <w:iCs/>
                <w:color w:val="auto"/>
                <w:lang w:val="sr-Cyrl-CS"/>
              </w:rPr>
            </w:pPr>
            <w:r>
              <w:rPr>
                <w:iCs/>
                <w:color w:val="auto"/>
                <w:lang w:val="sr-Cyrl-CS"/>
              </w:rPr>
              <w:t>RJT</w:t>
            </w:r>
            <w:r w:rsidR="007450DA" w:rsidRPr="001A4D2F">
              <w:rPr>
                <w:iCs/>
                <w:color w:val="auto"/>
                <w:lang w:val="sr-Cyrl-CS"/>
              </w:rPr>
              <w:t xml:space="preserve">, </w:t>
            </w:r>
            <w:r>
              <w:rPr>
                <w:iCs/>
                <w:color w:val="auto"/>
                <w:lang w:val="sr-Cyrl-CS"/>
              </w:rPr>
              <w:t>MUP</w:t>
            </w:r>
            <w:r w:rsidR="00C322A1" w:rsidRPr="001A4D2F">
              <w:rPr>
                <w:iCs/>
                <w:color w:val="auto"/>
                <w:lang w:val="sr-Cyrl-CS"/>
              </w:rPr>
              <w:t xml:space="preserve">, </w:t>
            </w:r>
            <w:r>
              <w:rPr>
                <w:iCs/>
                <w:color w:val="auto"/>
                <w:lang w:val="sr-Cyrl-CS"/>
              </w:rPr>
              <w:t>USPN</w:t>
            </w:r>
            <w:r w:rsidR="00C322A1" w:rsidRPr="001A4D2F">
              <w:rPr>
                <w:iCs/>
                <w:color w:val="auto"/>
                <w:lang w:val="sr-Cyrl-CS"/>
              </w:rPr>
              <w:t xml:space="preserve">; </w:t>
            </w:r>
            <w:r>
              <w:rPr>
                <w:iCs/>
                <w:color w:val="auto"/>
                <w:lang w:val="sr-Cyrl-CS"/>
              </w:rPr>
              <w:t>TOK</w:t>
            </w:r>
            <w:r w:rsidR="001B4CBD" w:rsidRPr="001A4D2F">
              <w:rPr>
                <w:iCs/>
                <w:color w:val="auto"/>
                <w:lang w:val="sr-Cyrl-CS"/>
              </w:rPr>
              <w:t xml:space="preserve">; </w:t>
            </w:r>
            <w:r>
              <w:rPr>
                <w:iCs/>
                <w:color w:val="auto"/>
                <w:lang w:val="sr-Cyrl-CS"/>
              </w:rPr>
              <w:t>VJT</w:t>
            </w:r>
            <w:r w:rsidR="001B4CBD" w:rsidRPr="001A4D2F">
              <w:rPr>
                <w:iCs/>
                <w:color w:val="auto"/>
                <w:lang w:val="sr-Cyrl-CS"/>
              </w:rPr>
              <w:t xml:space="preserve"> </w:t>
            </w:r>
            <w:r>
              <w:rPr>
                <w:iCs/>
                <w:color w:val="auto"/>
                <w:lang w:val="sr-Cyrl-CS"/>
              </w:rPr>
              <w:t>Kraljevo</w:t>
            </w:r>
            <w:r w:rsidR="001B4CBD" w:rsidRPr="001A4D2F">
              <w:rPr>
                <w:iCs/>
                <w:color w:val="auto"/>
                <w:lang w:val="sr-Cyrl-CS"/>
              </w:rPr>
              <w:t xml:space="preserve">, </w:t>
            </w:r>
            <w:r>
              <w:rPr>
                <w:iCs/>
                <w:color w:val="auto"/>
                <w:lang w:val="sr-Cyrl-CS"/>
              </w:rPr>
              <w:t>Beograd</w:t>
            </w:r>
            <w:r w:rsidR="001B4CBD" w:rsidRPr="001A4D2F">
              <w:rPr>
                <w:iCs/>
                <w:color w:val="auto"/>
                <w:lang w:val="sr-Cyrl-CS"/>
              </w:rPr>
              <w:t xml:space="preserve">, </w:t>
            </w:r>
            <w:r>
              <w:rPr>
                <w:iCs/>
                <w:color w:val="auto"/>
                <w:lang w:val="sr-Cyrl-CS"/>
              </w:rPr>
              <w:t>Niš</w:t>
            </w:r>
            <w:r w:rsidR="001B4CBD" w:rsidRPr="001A4D2F">
              <w:rPr>
                <w:iCs/>
                <w:color w:val="auto"/>
                <w:lang w:val="sr-Cyrl-CS"/>
              </w:rPr>
              <w:t xml:space="preserve">, </w:t>
            </w:r>
            <w:r>
              <w:rPr>
                <w:iCs/>
                <w:color w:val="auto"/>
                <w:lang w:val="sr-Cyrl-CS"/>
              </w:rPr>
              <w:t>Novi</w:t>
            </w:r>
            <w:r w:rsidR="001B4CBD" w:rsidRPr="001A4D2F">
              <w:rPr>
                <w:iCs/>
                <w:color w:val="auto"/>
                <w:lang w:val="sr-Cyrl-CS"/>
              </w:rPr>
              <w:t xml:space="preserve"> </w:t>
            </w:r>
            <w:r>
              <w:rPr>
                <w:iCs/>
                <w:color w:val="auto"/>
                <w:lang w:val="sr-Cyrl-CS"/>
              </w:rPr>
              <w:t>Sad</w:t>
            </w:r>
          </w:p>
        </w:tc>
        <w:tc>
          <w:tcPr>
            <w:tcW w:w="410" w:type="pct"/>
          </w:tcPr>
          <w:p w:rsidR="001B4CBD" w:rsidRPr="001A4D2F" w:rsidRDefault="00842C31" w:rsidP="00842C31">
            <w:pPr>
              <w:rPr>
                <w:iCs/>
                <w:color w:val="auto"/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</w:t>
            </w:r>
            <w:r w:rsidR="007450DA" w:rsidRPr="001A4D2F">
              <w:rPr>
                <w:iCs/>
                <w:color w:val="auto"/>
                <w:lang w:val="sr-Cyrl-CS"/>
              </w:rPr>
              <w:t>2022.</w:t>
            </w:r>
          </w:p>
        </w:tc>
        <w:tc>
          <w:tcPr>
            <w:tcW w:w="555" w:type="pct"/>
          </w:tcPr>
          <w:p w:rsidR="00DD68A6" w:rsidRPr="001A4D2F" w:rsidRDefault="00DF098D" w:rsidP="00DD68A6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DD68A6" w:rsidRPr="001A4D2F" w:rsidRDefault="00DD68A6" w:rsidP="00DD68A6">
            <w:pPr>
              <w:rPr>
                <w:lang w:val="sr-Cyrl-CS"/>
              </w:rPr>
            </w:pPr>
          </w:p>
          <w:p w:rsidR="00A927A4" w:rsidRPr="001A4D2F" w:rsidRDefault="00DF098D" w:rsidP="00A927A4">
            <w:pPr>
              <w:pStyle w:val="basic-paragraph"/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A927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A927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</w:p>
          <w:p w:rsidR="001B4CBD" w:rsidRPr="001A4D2F" w:rsidRDefault="001B4CBD" w:rsidP="00DD68A6">
            <w:pPr>
              <w:rPr>
                <w:color w:val="auto"/>
                <w:lang w:val="sr-Cyrl-CS"/>
              </w:rPr>
            </w:pPr>
          </w:p>
        </w:tc>
        <w:tc>
          <w:tcPr>
            <w:tcW w:w="409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582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807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548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</w:tr>
      <w:tr w:rsidR="001B4CBD" w:rsidRPr="001A4D2F" w:rsidTr="00C322A1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</w:tcPr>
          <w:p w:rsidR="001B4CBD" w:rsidRPr="001A4D2F" w:rsidRDefault="001B4CBD" w:rsidP="009D68EE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lastRenderedPageBreak/>
              <w:t xml:space="preserve">3.3.4 </w:t>
            </w:r>
            <w:r w:rsidR="00DF098D">
              <w:rPr>
                <w:color w:val="auto"/>
                <w:lang w:val="sr-Cyrl-CS"/>
              </w:rPr>
              <w:t>Jačanje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kapaciteta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Direkcije</w:t>
            </w:r>
            <w:r w:rsidR="007450DA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za</w:t>
            </w:r>
            <w:r w:rsidR="007450DA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upravljanje</w:t>
            </w:r>
            <w:r w:rsidR="007450DA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oduzetom</w:t>
            </w:r>
            <w:r w:rsidR="007450DA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imovinom</w:t>
            </w:r>
            <w:r w:rsidR="007450DA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zapošljavanjem</w:t>
            </w:r>
            <w:r w:rsidR="009D68EE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procenitelja</w:t>
            </w:r>
          </w:p>
        </w:tc>
        <w:tc>
          <w:tcPr>
            <w:tcW w:w="404" w:type="pct"/>
          </w:tcPr>
          <w:p w:rsidR="001B4CBD" w:rsidRPr="001A4D2F" w:rsidRDefault="00DF098D" w:rsidP="00C11F8E">
            <w:pPr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MP</w:t>
            </w:r>
            <w:r w:rsidR="005768D4" w:rsidRPr="001A4D2F">
              <w:rPr>
                <w:color w:val="auto"/>
                <w:lang w:val="sr-Cyrl-CS"/>
              </w:rPr>
              <w:t>-</w:t>
            </w:r>
            <w:r>
              <w:rPr>
                <w:color w:val="auto"/>
                <w:lang w:val="sr-Cyrl-CS"/>
              </w:rPr>
              <w:t>DUOI</w:t>
            </w:r>
          </w:p>
        </w:tc>
        <w:tc>
          <w:tcPr>
            <w:tcW w:w="438" w:type="pct"/>
          </w:tcPr>
          <w:p w:rsidR="001B4CBD" w:rsidRPr="001A4D2F" w:rsidRDefault="00DF098D" w:rsidP="00C11F8E">
            <w:pPr>
              <w:rPr>
                <w:iCs/>
                <w:color w:val="auto"/>
                <w:lang w:val="sr-Cyrl-CS"/>
              </w:rPr>
            </w:pPr>
            <w:r>
              <w:rPr>
                <w:iCs/>
                <w:color w:val="auto"/>
                <w:lang w:val="sr-Cyrl-CS"/>
              </w:rPr>
              <w:t>VRS</w:t>
            </w:r>
          </w:p>
        </w:tc>
        <w:tc>
          <w:tcPr>
            <w:tcW w:w="410" w:type="pct"/>
          </w:tcPr>
          <w:p w:rsidR="001B4CBD" w:rsidRPr="001A4D2F" w:rsidRDefault="00C322A1" w:rsidP="00C322A1">
            <w:pPr>
              <w:rPr>
                <w:iCs/>
                <w:color w:val="auto"/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</w:t>
            </w:r>
            <w:r w:rsidR="001B4CBD" w:rsidRPr="001A4D2F">
              <w:rPr>
                <w:iCs/>
                <w:color w:val="auto"/>
                <w:lang w:val="sr-Cyrl-CS"/>
              </w:rPr>
              <w:t>2020.</w:t>
            </w:r>
          </w:p>
        </w:tc>
        <w:tc>
          <w:tcPr>
            <w:tcW w:w="555" w:type="pct"/>
          </w:tcPr>
          <w:p w:rsidR="001B4CBD" w:rsidRPr="001A4D2F" w:rsidRDefault="00DF098D" w:rsidP="00DD68A6">
            <w:pPr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Budžet</w:t>
            </w:r>
            <w:r w:rsidR="00DD68A6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Republike</w:t>
            </w:r>
            <w:r w:rsidR="00DD68A6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Srbije</w:t>
            </w:r>
          </w:p>
        </w:tc>
        <w:tc>
          <w:tcPr>
            <w:tcW w:w="409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582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807" w:type="pct"/>
          </w:tcPr>
          <w:p w:rsidR="001B4CBD" w:rsidRPr="001A4D2F" w:rsidRDefault="00DF098D" w:rsidP="00C11F8E">
            <w:pPr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Budžet</w:t>
            </w:r>
            <w:r w:rsidR="00C322A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Direkcije</w:t>
            </w:r>
            <w:r w:rsidR="00C322A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za</w:t>
            </w:r>
            <w:r w:rsidR="00C322A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upravljanje</w:t>
            </w:r>
            <w:r w:rsidR="00C322A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oduzetom</w:t>
            </w:r>
            <w:r w:rsidR="00C322A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imovinom</w:t>
            </w:r>
            <w:r w:rsidR="00C322A1" w:rsidRPr="001A4D2F">
              <w:rPr>
                <w:color w:val="auto"/>
                <w:lang w:val="sr-Cyrl-CS"/>
              </w:rPr>
              <w:t xml:space="preserve"> - </w:t>
            </w:r>
            <w:r w:rsidR="00C322A1" w:rsidRPr="00BF25A7">
              <w:rPr>
                <w:color w:val="auto"/>
                <w:lang w:val="sr-Cyrl-CS"/>
              </w:rPr>
              <w:t>960.000</w:t>
            </w:r>
            <w:r w:rsidR="00C322A1" w:rsidRPr="001A4D2F">
              <w:rPr>
                <w:color w:val="FF0000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dinara</w:t>
            </w:r>
            <w:r w:rsidR="00C322A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godišnje</w:t>
            </w:r>
            <w:r w:rsidR="00C322A1" w:rsidRPr="001A4D2F">
              <w:rPr>
                <w:color w:val="auto"/>
                <w:lang w:val="sr-Cyrl-CS"/>
              </w:rPr>
              <w:t xml:space="preserve">, </w:t>
            </w:r>
            <w:r>
              <w:rPr>
                <w:color w:val="auto"/>
                <w:lang w:val="sr-Cyrl-CS"/>
              </w:rPr>
              <w:t>počev</w:t>
            </w:r>
            <w:r w:rsidR="00C322A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od</w:t>
            </w:r>
            <w:r w:rsidR="00C322A1" w:rsidRPr="001A4D2F">
              <w:rPr>
                <w:color w:val="auto"/>
                <w:lang w:val="sr-Cyrl-CS"/>
              </w:rPr>
              <w:t xml:space="preserve"> 2021. </w:t>
            </w:r>
            <w:r>
              <w:rPr>
                <w:color w:val="auto"/>
                <w:lang w:val="sr-Cyrl-CS"/>
              </w:rPr>
              <w:t>godine</w:t>
            </w:r>
            <w:r w:rsidR="00C322A1" w:rsidRPr="001A4D2F">
              <w:rPr>
                <w:color w:val="auto"/>
                <w:lang w:val="sr-Cyrl-CS"/>
              </w:rPr>
              <w:t xml:space="preserve"> - </w:t>
            </w:r>
            <w:r>
              <w:rPr>
                <w:color w:val="auto"/>
                <w:lang w:val="sr-Cyrl-CS"/>
              </w:rPr>
              <w:t>bruto</w:t>
            </w:r>
            <w:r w:rsidR="00C322A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plata</w:t>
            </w:r>
            <w:r w:rsidR="00C322A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NAPOMENA</w:t>
            </w:r>
            <w:r w:rsidR="00C322A1" w:rsidRPr="001A4D2F">
              <w:rPr>
                <w:color w:val="auto"/>
                <w:lang w:val="sr-Cyrl-CS"/>
              </w:rPr>
              <w:t xml:space="preserve">: </w:t>
            </w:r>
            <w:r>
              <w:rPr>
                <w:color w:val="auto"/>
                <w:lang w:val="sr-Cyrl-CS"/>
              </w:rPr>
              <w:t>Procena</w:t>
            </w:r>
            <w:r w:rsidR="00C322A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rađena</w:t>
            </w:r>
            <w:r w:rsidR="00C322A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na</w:t>
            </w:r>
            <w:r w:rsidR="00C322A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osnovu</w:t>
            </w:r>
            <w:r w:rsidR="00C322A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vrednosti</w:t>
            </w:r>
            <w:r w:rsidR="00C322A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prosečne</w:t>
            </w:r>
            <w:r w:rsidR="00C322A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plate</w:t>
            </w:r>
            <w:r w:rsidR="00C322A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u</w:t>
            </w:r>
            <w:r w:rsidR="00C322A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Republici</w:t>
            </w:r>
            <w:r w:rsidR="00C322A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Srbiji</w:t>
            </w:r>
          </w:p>
        </w:tc>
        <w:tc>
          <w:tcPr>
            <w:tcW w:w="548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</w:tr>
      <w:tr w:rsidR="001B4CBD" w:rsidRPr="001A4D2F" w:rsidTr="00C322A1">
        <w:trPr>
          <w:trHeight w:val="731"/>
        </w:trPr>
        <w:tc>
          <w:tcPr>
            <w:tcW w:w="847" w:type="pct"/>
            <w:tcBorders>
              <w:left w:val="double" w:sz="4" w:space="0" w:color="auto"/>
            </w:tcBorders>
          </w:tcPr>
          <w:p w:rsidR="001B4CBD" w:rsidRPr="001A4D2F" w:rsidRDefault="001B4CBD" w:rsidP="00F3347F">
            <w:pPr>
              <w:rPr>
                <w:color w:val="auto"/>
                <w:lang w:val="sr-Cyrl-CS"/>
              </w:rPr>
            </w:pPr>
            <w:r w:rsidRPr="001A4D2F">
              <w:rPr>
                <w:iCs/>
                <w:color w:val="auto"/>
                <w:lang w:val="sr-Cyrl-CS"/>
              </w:rPr>
              <w:t xml:space="preserve">3.3.5 </w:t>
            </w:r>
            <w:r w:rsidR="00DF098D">
              <w:rPr>
                <w:iCs/>
                <w:color w:val="auto"/>
                <w:lang w:val="sr-Cyrl-CS"/>
              </w:rPr>
              <w:t>Redovno</w:t>
            </w:r>
            <w:r w:rsidR="009D68EE" w:rsidRPr="001A4D2F">
              <w:rPr>
                <w:iCs/>
                <w:color w:val="auto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lang w:val="sr-Cyrl-CS"/>
              </w:rPr>
              <w:t>sprovođenje</w:t>
            </w:r>
            <w:r w:rsidRPr="001A4D2F">
              <w:rPr>
                <w:iCs/>
                <w:color w:val="auto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lang w:val="sr-Cyrl-CS"/>
              </w:rPr>
              <w:t>obuka</w:t>
            </w:r>
            <w:r w:rsidRPr="001A4D2F">
              <w:rPr>
                <w:iCs/>
                <w:color w:val="auto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lang w:val="sr-Cyrl-CS"/>
              </w:rPr>
              <w:t>za</w:t>
            </w:r>
            <w:r w:rsidRPr="001A4D2F">
              <w:rPr>
                <w:iCs/>
                <w:color w:val="auto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lang w:val="sr-Cyrl-CS"/>
              </w:rPr>
              <w:t>procenu</w:t>
            </w:r>
            <w:r w:rsidRPr="001A4D2F">
              <w:rPr>
                <w:iCs/>
                <w:color w:val="auto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lang w:val="sr-Cyrl-CS"/>
              </w:rPr>
              <w:t>i</w:t>
            </w:r>
            <w:r w:rsidRPr="001A4D2F">
              <w:rPr>
                <w:iCs/>
                <w:color w:val="auto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lang w:val="sr-Cyrl-CS"/>
              </w:rPr>
              <w:t>obezbeđenje</w:t>
            </w:r>
            <w:r w:rsidRPr="001A4D2F">
              <w:rPr>
                <w:iCs/>
                <w:color w:val="auto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lang w:val="sr-Cyrl-CS"/>
              </w:rPr>
              <w:t>vrednosti</w:t>
            </w:r>
            <w:r w:rsidRPr="001A4D2F">
              <w:rPr>
                <w:iCs/>
                <w:color w:val="auto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lang w:val="sr-Cyrl-CS"/>
              </w:rPr>
              <w:t>oduzete</w:t>
            </w:r>
            <w:r w:rsidRPr="001A4D2F">
              <w:rPr>
                <w:iCs/>
                <w:color w:val="auto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lang w:val="sr-Cyrl-CS"/>
              </w:rPr>
              <w:t>imovine</w:t>
            </w:r>
            <w:r w:rsidRPr="001A4D2F">
              <w:rPr>
                <w:iCs/>
                <w:color w:val="auto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lang w:val="sr-Cyrl-CS"/>
              </w:rPr>
              <w:t>proistekle</w:t>
            </w:r>
            <w:r w:rsidRPr="001A4D2F">
              <w:rPr>
                <w:iCs/>
                <w:color w:val="auto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lang w:val="sr-Cyrl-CS"/>
              </w:rPr>
              <w:t>iz</w:t>
            </w:r>
            <w:r w:rsidRPr="001A4D2F">
              <w:rPr>
                <w:iCs/>
                <w:color w:val="auto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lang w:val="sr-Cyrl-CS"/>
              </w:rPr>
              <w:t>krivičnog</w:t>
            </w:r>
            <w:r w:rsidRPr="001A4D2F">
              <w:rPr>
                <w:iCs/>
                <w:color w:val="auto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lang w:val="sr-Cyrl-CS"/>
              </w:rPr>
              <w:t>dela</w:t>
            </w:r>
            <w:r w:rsidRPr="001A4D2F">
              <w:rPr>
                <w:iCs/>
                <w:color w:val="auto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lang w:val="sr-Cyrl-CS"/>
              </w:rPr>
              <w:t>do</w:t>
            </w:r>
            <w:r w:rsidRPr="001A4D2F">
              <w:rPr>
                <w:iCs/>
                <w:color w:val="auto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lang w:val="sr-Cyrl-CS"/>
              </w:rPr>
              <w:t>konačne</w:t>
            </w:r>
            <w:r w:rsidRPr="001A4D2F">
              <w:rPr>
                <w:iCs/>
                <w:color w:val="auto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lang w:val="sr-Cyrl-CS"/>
              </w:rPr>
              <w:t>odluke</w:t>
            </w:r>
            <w:r w:rsidRPr="001A4D2F">
              <w:rPr>
                <w:iCs/>
                <w:color w:val="auto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lang w:val="sr-Cyrl-CS"/>
              </w:rPr>
              <w:t>suda</w:t>
            </w:r>
            <w:r w:rsidRPr="001A4D2F">
              <w:rPr>
                <w:iCs/>
                <w:color w:val="auto"/>
                <w:lang w:val="sr-Cyrl-CS"/>
              </w:rPr>
              <w:t xml:space="preserve"> </w:t>
            </w:r>
          </w:p>
        </w:tc>
        <w:tc>
          <w:tcPr>
            <w:tcW w:w="404" w:type="pct"/>
          </w:tcPr>
          <w:p w:rsidR="001B4CBD" w:rsidRPr="001A4D2F" w:rsidRDefault="00DF098D" w:rsidP="00C11F8E">
            <w:pPr>
              <w:rPr>
                <w:iCs/>
                <w:color w:val="auto"/>
                <w:lang w:val="sr-Cyrl-CS"/>
              </w:rPr>
            </w:pPr>
            <w:r>
              <w:rPr>
                <w:iCs/>
                <w:color w:val="auto"/>
                <w:lang w:val="sr-Cyrl-CS"/>
              </w:rPr>
              <w:t>PA</w:t>
            </w:r>
          </w:p>
        </w:tc>
        <w:tc>
          <w:tcPr>
            <w:tcW w:w="438" w:type="pct"/>
          </w:tcPr>
          <w:p w:rsidR="001B4CBD" w:rsidRPr="001A4D2F" w:rsidRDefault="00DF098D" w:rsidP="005768D4">
            <w:pPr>
              <w:rPr>
                <w:iCs/>
                <w:color w:val="auto"/>
                <w:lang w:val="sr-Cyrl-CS"/>
              </w:rPr>
            </w:pPr>
            <w:r>
              <w:rPr>
                <w:iCs/>
                <w:color w:val="auto"/>
                <w:lang w:val="sr-Cyrl-CS"/>
              </w:rPr>
              <w:t>RJT</w:t>
            </w:r>
            <w:r w:rsidR="00C322A1" w:rsidRPr="001A4D2F">
              <w:rPr>
                <w:iCs/>
                <w:color w:val="auto"/>
                <w:lang w:val="sr-Cyrl-CS"/>
              </w:rPr>
              <w:t xml:space="preserve">; </w:t>
            </w:r>
            <w:r>
              <w:rPr>
                <w:iCs/>
                <w:color w:val="auto"/>
                <w:lang w:val="sr-Cyrl-CS"/>
              </w:rPr>
              <w:t>TOK</w:t>
            </w:r>
            <w:r w:rsidR="00C322A1" w:rsidRPr="001A4D2F">
              <w:rPr>
                <w:iCs/>
                <w:color w:val="auto"/>
                <w:lang w:val="sr-Cyrl-CS"/>
              </w:rPr>
              <w:t xml:space="preserve">; </w:t>
            </w:r>
            <w:r>
              <w:rPr>
                <w:color w:val="auto"/>
                <w:lang w:val="sr-Cyrl-CS"/>
              </w:rPr>
              <w:t>MP</w:t>
            </w:r>
            <w:r w:rsidR="005768D4" w:rsidRPr="001A4D2F">
              <w:rPr>
                <w:color w:val="auto"/>
                <w:lang w:val="sr-Cyrl-CS"/>
              </w:rPr>
              <w:t>-</w:t>
            </w:r>
            <w:r>
              <w:rPr>
                <w:color w:val="auto"/>
                <w:lang w:val="sr-Cyrl-CS"/>
              </w:rPr>
              <w:t>DUOI</w:t>
            </w:r>
            <w:r w:rsidR="00C322A1" w:rsidRPr="001A4D2F">
              <w:rPr>
                <w:iCs/>
                <w:color w:val="auto"/>
                <w:lang w:val="sr-Cyrl-CS"/>
              </w:rPr>
              <w:t xml:space="preserve">; </w:t>
            </w:r>
            <w:r>
              <w:rPr>
                <w:iCs/>
                <w:color w:val="auto"/>
                <w:lang w:val="sr-Cyrl-CS"/>
              </w:rPr>
              <w:t>MP</w:t>
            </w:r>
            <w:r w:rsidR="001B4CBD" w:rsidRPr="001A4D2F">
              <w:rPr>
                <w:iCs/>
                <w:color w:val="auto"/>
                <w:lang w:val="sr-Cyrl-CS"/>
              </w:rPr>
              <w:t xml:space="preserve">; </w:t>
            </w:r>
          </w:p>
        </w:tc>
        <w:tc>
          <w:tcPr>
            <w:tcW w:w="410" w:type="pct"/>
          </w:tcPr>
          <w:p w:rsidR="001B4CBD" w:rsidRPr="001A4D2F" w:rsidRDefault="00C322A1" w:rsidP="00C322A1">
            <w:pPr>
              <w:rPr>
                <w:iCs/>
                <w:color w:val="auto"/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</w:t>
            </w:r>
            <w:r w:rsidR="009D68EE" w:rsidRPr="001A4D2F">
              <w:rPr>
                <w:iCs/>
                <w:color w:val="auto"/>
                <w:lang w:val="sr-Cyrl-CS"/>
              </w:rPr>
              <w:t>2022</w:t>
            </w:r>
            <w:r w:rsidR="001B4CBD" w:rsidRPr="001A4D2F">
              <w:rPr>
                <w:iCs/>
                <w:color w:val="auto"/>
                <w:lang w:val="sr-Cyrl-CS"/>
              </w:rPr>
              <w:t>.</w:t>
            </w:r>
          </w:p>
        </w:tc>
        <w:tc>
          <w:tcPr>
            <w:tcW w:w="555" w:type="pct"/>
          </w:tcPr>
          <w:p w:rsidR="00DD68A6" w:rsidRPr="001A4D2F" w:rsidRDefault="00DF098D" w:rsidP="00DD68A6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1B4CBD" w:rsidRPr="001A4D2F" w:rsidRDefault="00DF098D" w:rsidP="00A927A4">
            <w:pPr>
              <w:pStyle w:val="basic-paragraph"/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A927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A927A4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</w:p>
        </w:tc>
        <w:tc>
          <w:tcPr>
            <w:tcW w:w="409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582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807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548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</w:tr>
      <w:tr w:rsidR="001B4CBD" w:rsidRPr="001A4D2F" w:rsidTr="00C322A1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</w:tcPr>
          <w:p w:rsidR="001B4CBD" w:rsidRPr="00733095" w:rsidRDefault="001B4CBD" w:rsidP="00083ED0">
            <w:pPr>
              <w:rPr>
                <w:iCs/>
                <w:color w:val="auto"/>
                <w:sz w:val="22"/>
                <w:szCs w:val="22"/>
                <w:lang w:val="sr-Cyrl-CS"/>
              </w:rPr>
            </w:pPr>
            <w:r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3.3.6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Analiziranje</w:t>
            </w:r>
            <w:r w:rsidR="009D68EE"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normativnog</w:t>
            </w:r>
            <w:r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okvira</w:t>
            </w:r>
            <w:r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za</w:t>
            </w:r>
            <w:r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privremeno</w:t>
            </w:r>
            <w:r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i</w:t>
            </w:r>
            <w:r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trajno</w:t>
            </w:r>
            <w:r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oduzimanje</w:t>
            </w:r>
            <w:r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imovine</w:t>
            </w:r>
            <w:r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u</w:t>
            </w:r>
            <w:r w:rsidR="009D68EE"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krivičnom</w:t>
            </w:r>
            <w:r w:rsidR="009D68EE"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postupku</w:t>
            </w:r>
            <w:r w:rsidR="00083ED0"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i</w:t>
            </w:r>
            <w:r w:rsidR="00083ED0"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lastRenderedPageBreak/>
              <w:t>postupku</w:t>
            </w:r>
            <w:r w:rsidR="00083ED0"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za</w:t>
            </w:r>
            <w:r w:rsidR="00083ED0"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oduzimanje</w:t>
            </w:r>
            <w:r w:rsidR="00083ED0"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imovine</w:t>
            </w:r>
            <w:r w:rsidR="00083ED0"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proistekle</w:t>
            </w:r>
            <w:r w:rsidR="00083ED0"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iz</w:t>
            </w:r>
            <w:r w:rsidR="00083ED0"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krivičnog</w:t>
            </w:r>
            <w:r w:rsidR="00083ED0"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dela</w:t>
            </w:r>
            <w:r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,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a</w:t>
            </w:r>
            <w:r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naročito</w:t>
            </w:r>
            <w:r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njihove</w:t>
            </w:r>
            <w:r w:rsidR="00083ED0"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usklađenosti</w:t>
            </w:r>
            <w:r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sa</w:t>
            </w:r>
            <w:r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FATF</w:t>
            </w:r>
            <w:r w:rsidRPr="00733095">
              <w:rPr>
                <w:iCs/>
                <w:color w:val="auto"/>
                <w:sz w:val="22"/>
                <w:szCs w:val="22"/>
                <w:lang w:val="sr-Cyrl-CS"/>
              </w:rPr>
              <w:t xml:space="preserve"> </w:t>
            </w:r>
            <w:r w:rsidR="00DF098D">
              <w:rPr>
                <w:iCs/>
                <w:color w:val="auto"/>
                <w:sz w:val="22"/>
                <w:szCs w:val="22"/>
                <w:lang w:val="sr-Cyrl-CS"/>
              </w:rPr>
              <w:t>preporukama</w:t>
            </w:r>
          </w:p>
        </w:tc>
        <w:tc>
          <w:tcPr>
            <w:tcW w:w="404" w:type="pct"/>
          </w:tcPr>
          <w:p w:rsidR="001B4CBD" w:rsidRPr="001A4D2F" w:rsidRDefault="00DF098D" w:rsidP="00C11F8E">
            <w:pPr>
              <w:rPr>
                <w:iCs/>
                <w:color w:val="auto"/>
                <w:lang w:val="sr-Cyrl-CS"/>
              </w:rPr>
            </w:pPr>
            <w:r>
              <w:rPr>
                <w:iCs/>
                <w:color w:val="auto"/>
                <w:lang w:val="sr-Cyrl-CS"/>
              </w:rPr>
              <w:lastRenderedPageBreak/>
              <w:t>MP</w:t>
            </w:r>
          </w:p>
        </w:tc>
        <w:tc>
          <w:tcPr>
            <w:tcW w:w="438" w:type="pct"/>
          </w:tcPr>
          <w:p w:rsidR="001B4CBD" w:rsidRPr="001A4D2F" w:rsidRDefault="00DF098D" w:rsidP="00C11F8E">
            <w:pPr>
              <w:rPr>
                <w:iCs/>
                <w:color w:val="auto"/>
                <w:lang w:val="sr-Cyrl-CS"/>
              </w:rPr>
            </w:pPr>
            <w:r>
              <w:rPr>
                <w:iCs/>
                <w:color w:val="auto"/>
                <w:lang w:val="sr-Cyrl-CS"/>
              </w:rPr>
              <w:t>RJT</w:t>
            </w:r>
            <w:r w:rsidR="001B4CBD" w:rsidRPr="001A4D2F">
              <w:rPr>
                <w:iCs/>
                <w:color w:val="auto"/>
                <w:lang w:val="sr-Cyrl-CS"/>
              </w:rPr>
              <w:t xml:space="preserve">, </w:t>
            </w:r>
            <w:r>
              <w:rPr>
                <w:iCs/>
                <w:color w:val="auto"/>
                <w:lang w:val="sr-Cyrl-CS"/>
              </w:rPr>
              <w:t>VKS</w:t>
            </w:r>
            <w:r w:rsidR="001B4CBD" w:rsidRPr="001A4D2F">
              <w:rPr>
                <w:iCs/>
                <w:color w:val="auto"/>
                <w:lang w:val="sr-Cyrl-CS"/>
              </w:rPr>
              <w:t xml:space="preserve">, </w:t>
            </w:r>
            <w:r>
              <w:rPr>
                <w:iCs/>
                <w:color w:val="auto"/>
                <w:lang w:val="sr-Cyrl-CS"/>
              </w:rPr>
              <w:t>TOK</w:t>
            </w:r>
          </w:p>
        </w:tc>
        <w:tc>
          <w:tcPr>
            <w:tcW w:w="410" w:type="pct"/>
          </w:tcPr>
          <w:p w:rsidR="001B4CBD" w:rsidRPr="001A4D2F" w:rsidRDefault="000553F1" w:rsidP="00680B5F">
            <w:pPr>
              <w:rPr>
                <w:iCs/>
                <w:color w:val="auto"/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</w:t>
            </w:r>
            <w:r w:rsidR="001B4CBD" w:rsidRPr="001A4D2F">
              <w:rPr>
                <w:iCs/>
                <w:color w:val="auto"/>
                <w:lang w:val="sr-Cyrl-CS"/>
              </w:rPr>
              <w:t>202</w:t>
            </w:r>
            <w:r w:rsidR="00680B5F" w:rsidRPr="001A4D2F">
              <w:rPr>
                <w:iCs/>
                <w:color w:val="auto"/>
                <w:lang w:val="sr-Cyrl-CS"/>
              </w:rPr>
              <w:t>2</w:t>
            </w:r>
            <w:r w:rsidR="001B4CBD" w:rsidRPr="001A4D2F">
              <w:rPr>
                <w:iCs/>
                <w:color w:val="auto"/>
                <w:lang w:val="sr-Cyrl-CS"/>
              </w:rPr>
              <w:t xml:space="preserve">. </w:t>
            </w:r>
          </w:p>
        </w:tc>
        <w:tc>
          <w:tcPr>
            <w:tcW w:w="555" w:type="pct"/>
          </w:tcPr>
          <w:p w:rsidR="00DD68A6" w:rsidRPr="001A4D2F" w:rsidRDefault="00DF098D" w:rsidP="00DD68A6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409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582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807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548" w:type="pct"/>
          </w:tcPr>
          <w:p w:rsidR="001B4CBD" w:rsidRPr="001A4D2F" w:rsidRDefault="001B4CBD" w:rsidP="00C11F8E">
            <w:pPr>
              <w:rPr>
                <w:color w:val="auto"/>
                <w:lang w:val="sr-Cyrl-CS"/>
              </w:rPr>
            </w:pPr>
          </w:p>
        </w:tc>
      </w:tr>
    </w:tbl>
    <w:p w:rsidR="00864498" w:rsidRPr="001A4D2F" w:rsidRDefault="00864498" w:rsidP="00C11F8E">
      <w:pPr>
        <w:tabs>
          <w:tab w:val="left" w:pos="1940"/>
        </w:tabs>
        <w:rPr>
          <w:lang w:val="sr-Cyrl-CS"/>
        </w:rPr>
      </w:pPr>
    </w:p>
    <w:p w:rsidR="00D57EC4" w:rsidRPr="001A4D2F" w:rsidRDefault="00D57EC4" w:rsidP="00C11F8E">
      <w:pPr>
        <w:tabs>
          <w:tab w:val="left" w:pos="1940"/>
        </w:tabs>
        <w:rPr>
          <w:lang w:val="sr-Cyrl-C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8"/>
        <w:gridCol w:w="1477"/>
        <w:gridCol w:w="1401"/>
        <w:gridCol w:w="1785"/>
        <w:gridCol w:w="1698"/>
        <w:gridCol w:w="1375"/>
        <w:gridCol w:w="1638"/>
        <w:gridCol w:w="1565"/>
      </w:tblGrid>
      <w:tr w:rsidR="00FC4AE1" w:rsidRPr="001A4D2F" w:rsidTr="00C11F8E">
        <w:trPr>
          <w:trHeight w:val="320"/>
        </w:trPr>
        <w:tc>
          <w:tcPr>
            <w:tcW w:w="5000" w:type="pct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FC4AE1" w:rsidRPr="001A4D2F" w:rsidRDefault="00DF098D" w:rsidP="00C11F8E">
            <w:pPr>
              <w:pStyle w:val="Heading2"/>
              <w:spacing w:before="0" w:beforeAutospacing="0" w:after="0" w:afterAutospacing="0"/>
              <w:rPr>
                <w:szCs w:val="24"/>
                <w:lang w:val="sr-Cyrl-CS"/>
              </w:rPr>
            </w:pPr>
            <w:bookmarkStart w:id="15" w:name="_Toc32409918"/>
            <w:r>
              <w:rPr>
                <w:szCs w:val="24"/>
                <w:lang w:val="sr-Cyrl-CS"/>
              </w:rPr>
              <w:t>Posebni</w:t>
            </w:r>
            <w:r w:rsidR="00FC4AE1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cilj</w:t>
            </w:r>
            <w:r w:rsidR="00FC4AE1" w:rsidRPr="001A4D2F">
              <w:rPr>
                <w:szCs w:val="24"/>
                <w:lang w:val="sr-Cyrl-CS"/>
              </w:rPr>
              <w:t xml:space="preserve"> 4: </w:t>
            </w:r>
            <w:r>
              <w:rPr>
                <w:szCs w:val="24"/>
                <w:lang w:val="sr-Cyrl-CS"/>
              </w:rPr>
              <w:t>Uočavati</w:t>
            </w:r>
            <w:r w:rsidR="00FC4AE1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i</w:t>
            </w:r>
            <w:r w:rsidR="00FC4AE1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otklanjati</w:t>
            </w:r>
            <w:r w:rsidR="00FC4AE1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pretnje</w:t>
            </w:r>
            <w:r w:rsidR="00FC4AE1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od</w:t>
            </w:r>
            <w:r w:rsidR="00FC4AE1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finansiranja</w:t>
            </w:r>
            <w:r w:rsidR="00FC4AE1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terorizma</w:t>
            </w:r>
            <w:r w:rsidR="00FC4AE1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i</w:t>
            </w:r>
            <w:r w:rsidR="00FC4AE1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kažnjavati</w:t>
            </w:r>
            <w:r w:rsidR="00FC4AE1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izvršioce</w:t>
            </w:r>
            <w:r w:rsidR="00FC4AE1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krivičnog</w:t>
            </w:r>
            <w:r w:rsidR="00FC4AE1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dela</w:t>
            </w:r>
            <w:r w:rsidR="00FC4AE1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finansiranja</w:t>
            </w:r>
            <w:r w:rsidR="00FC4AE1" w:rsidRPr="001A4D2F">
              <w:rPr>
                <w:szCs w:val="24"/>
                <w:lang w:val="sr-Cyrl-CS"/>
              </w:rPr>
              <w:t xml:space="preserve"> </w:t>
            </w:r>
            <w:r>
              <w:rPr>
                <w:szCs w:val="24"/>
                <w:lang w:val="sr-Cyrl-CS"/>
              </w:rPr>
              <w:t>terorizma</w:t>
            </w:r>
            <w:bookmarkEnd w:id="15"/>
          </w:p>
        </w:tc>
      </w:tr>
      <w:tr w:rsidR="00FC4AE1" w:rsidRPr="001A4D2F" w:rsidTr="00C11F8E">
        <w:trPr>
          <w:trHeight w:val="320"/>
        </w:trPr>
        <w:tc>
          <w:tcPr>
            <w:tcW w:w="5000" w:type="pct"/>
            <w:gridSpan w:val="8"/>
            <w:tcBorders>
              <w:top w:val="double" w:sz="4" w:space="0" w:color="auto"/>
              <w:right w:val="double" w:sz="4" w:space="0" w:color="auto"/>
            </w:tcBorders>
            <w:shd w:val="clear" w:color="auto" w:fill="FBD4B4" w:themeFill="accent6" w:themeFillTint="66"/>
            <w:vAlign w:val="center"/>
          </w:tcPr>
          <w:p w:rsidR="00FC4AE1" w:rsidRPr="001A4D2F" w:rsidRDefault="00DF098D" w:rsidP="00C11F8E">
            <w:pPr>
              <w:rPr>
                <w:lang w:val="sr-Cyrl-CS"/>
              </w:rPr>
            </w:pPr>
            <w:r>
              <w:rPr>
                <w:rFonts w:eastAsia="Times New Roman"/>
                <w:lang w:val="sr-Cyrl-CS"/>
              </w:rPr>
              <w:t>Institucija</w:t>
            </w:r>
            <w:r w:rsidR="00FC4AE1" w:rsidRPr="001A4D2F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odgovorna</w:t>
            </w:r>
            <w:r w:rsidR="00FC4AE1" w:rsidRPr="001A4D2F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za</w:t>
            </w:r>
            <w:r w:rsidR="00FC4AE1" w:rsidRPr="001A4D2F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praćenje</w:t>
            </w:r>
            <w:r w:rsidR="00FC4AE1" w:rsidRPr="001A4D2F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i</w:t>
            </w:r>
            <w:r w:rsidR="00FC4AE1" w:rsidRPr="001A4D2F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kontrolu</w:t>
            </w:r>
            <w:r w:rsidR="00FC4AE1" w:rsidRPr="001A4D2F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realizacije</w:t>
            </w:r>
            <w:r w:rsidR="00FC4AE1" w:rsidRPr="001A4D2F">
              <w:rPr>
                <w:rFonts w:eastAsia="Times New Roman"/>
                <w:lang w:val="sr-Cyrl-CS"/>
              </w:rPr>
              <w:t xml:space="preserve">: </w:t>
            </w:r>
            <w:r>
              <w:rPr>
                <w:rFonts w:eastAsia="Times New Roman"/>
                <w:lang w:val="sr-Cyrl-CS"/>
              </w:rPr>
              <w:t>Koordinaciono</w:t>
            </w:r>
            <w:r w:rsidR="00FC4AE1" w:rsidRPr="001A4D2F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telo</w:t>
            </w:r>
            <w:r w:rsidR="00FC4AE1" w:rsidRPr="001A4D2F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za</w:t>
            </w:r>
            <w:r w:rsidR="00FC4AE1" w:rsidRPr="001A4D2F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sprečavanje</w:t>
            </w:r>
            <w:r w:rsidR="00FC4AE1" w:rsidRPr="001A4D2F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i</w:t>
            </w:r>
            <w:r w:rsidR="00FC4AE1" w:rsidRPr="001A4D2F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finansiranje</w:t>
            </w:r>
            <w:r w:rsidR="00FC4AE1" w:rsidRPr="001A4D2F">
              <w:rPr>
                <w:rFonts w:eastAsia="Times New Roman"/>
                <w:lang w:val="sr-Cyrl-CS"/>
              </w:rPr>
              <w:t xml:space="preserve"> </w:t>
            </w:r>
            <w:r>
              <w:rPr>
                <w:rFonts w:eastAsia="Times New Roman"/>
                <w:lang w:val="sr-Cyrl-CS"/>
              </w:rPr>
              <w:t>terorizma</w:t>
            </w:r>
          </w:p>
        </w:tc>
      </w:tr>
      <w:tr w:rsidR="00F3347F" w:rsidRPr="001A4D2F" w:rsidTr="00F3347F">
        <w:trPr>
          <w:trHeight w:val="575"/>
        </w:trPr>
        <w:tc>
          <w:tcPr>
            <w:tcW w:w="1134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Pokazatelj</w:t>
            </w:r>
            <w:r w:rsidR="00F3347F" w:rsidRPr="001A4D2F">
              <w:rPr>
                <w:lang w:val="sr-Cyrl-CS"/>
              </w:rPr>
              <w:t>(</w:t>
            </w:r>
            <w:r>
              <w:rPr>
                <w:lang w:val="sr-Cyrl-CS"/>
              </w:rPr>
              <w:t>i</w:t>
            </w:r>
            <w:r w:rsidR="00F3347F" w:rsidRPr="001A4D2F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nivou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posebnog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cilja</w:t>
            </w:r>
            <w:r w:rsidR="00F3347F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pokazatelj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ishoda</w:t>
            </w:r>
            <w:r w:rsidR="00F3347F" w:rsidRPr="001A4D2F">
              <w:rPr>
                <w:lang w:val="sr-Cyrl-CS"/>
              </w:rPr>
              <w:t>)</w:t>
            </w:r>
          </w:p>
        </w:tc>
        <w:tc>
          <w:tcPr>
            <w:tcW w:w="522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</w:t>
            </w:r>
            <w:r w:rsidR="00DF098D">
              <w:rPr>
                <w:lang w:val="sr-Cyrl-CS"/>
              </w:rPr>
              <w:t>edinica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mere</w:t>
            </w:r>
          </w:p>
          <w:p w:rsidR="00F3347F" w:rsidRPr="001A4D2F" w:rsidRDefault="00F3347F" w:rsidP="00C11F8E">
            <w:pPr>
              <w:rPr>
                <w:lang w:val="sr-Cyrl-CS"/>
              </w:rPr>
            </w:pPr>
          </w:p>
        </w:tc>
        <w:tc>
          <w:tcPr>
            <w:tcW w:w="495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Izvor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provere</w:t>
            </w:r>
          </w:p>
        </w:tc>
        <w:tc>
          <w:tcPr>
            <w:tcW w:w="631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Početna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F3347F" w:rsidRPr="001A4D2F">
              <w:rPr>
                <w:lang w:val="sr-Cyrl-CS"/>
              </w:rPr>
              <w:t xml:space="preserve"> </w:t>
            </w:r>
          </w:p>
        </w:tc>
        <w:tc>
          <w:tcPr>
            <w:tcW w:w="600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Bazna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godina</w:t>
            </w:r>
          </w:p>
        </w:tc>
        <w:tc>
          <w:tcPr>
            <w:tcW w:w="486" w:type="pct"/>
            <w:tcBorders>
              <w:top w:val="double" w:sz="4" w:space="0" w:color="auto"/>
            </w:tcBorders>
            <w:shd w:val="clear" w:color="auto" w:fill="D9D9D9"/>
          </w:tcPr>
          <w:p w:rsidR="00F3347F" w:rsidRPr="001A4D2F" w:rsidRDefault="00DF098D" w:rsidP="00CB13E8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F3347F" w:rsidRPr="001A4D2F">
              <w:rPr>
                <w:lang w:val="sr-Cyrl-CS"/>
              </w:rPr>
              <w:t xml:space="preserve"> 2020.</w:t>
            </w:r>
          </w:p>
        </w:tc>
        <w:tc>
          <w:tcPr>
            <w:tcW w:w="579" w:type="pct"/>
            <w:tcBorders>
              <w:top w:val="double" w:sz="4" w:space="0" w:color="auto"/>
            </w:tcBorders>
            <w:shd w:val="clear" w:color="auto" w:fill="D9D9D9"/>
          </w:tcPr>
          <w:p w:rsidR="00F3347F" w:rsidRPr="001A4D2F" w:rsidRDefault="00DF098D" w:rsidP="00CB13E8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F3347F" w:rsidRPr="001A4D2F">
              <w:rPr>
                <w:lang w:val="sr-Cyrl-CS"/>
              </w:rPr>
              <w:t xml:space="preserve"> 2021.</w:t>
            </w:r>
          </w:p>
        </w:tc>
        <w:tc>
          <w:tcPr>
            <w:tcW w:w="553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F3347F" w:rsidRPr="001A4D2F" w:rsidRDefault="00DF098D" w:rsidP="00CB13E8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885F9C" w:rsidRPr="001A4D2F">
              <w:rPr>
                <w:lang w:val="sr-Cyrl-CS"/>
              </w:rPr>
              <w:t xml:space="preserve"> 2022.</w:t>
            </w:r>
          </w:p>
        </w:tc>
      </w:tr>
      <w:tr w:rsidR="00FC4AE1" w:rsidRPr="001A4D2F" w:rsidTr="00F3347F">
        <w:trPr>
          <w:trHeight w:val="254"/>
        </w:trPr>
        <w:tc>
          <w:tcPr>
            <w:tcW w:w="1134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C4AE1" w:rsidRPr="001A4D2F" w:rsidRDefault="00DF098D" w:rsidP="009A6D0D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Napredak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ostvarivanju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neposrednih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rezultata</w:t>
            </w:r>
            <w:r w:rsidR="009A6D0D" w:rsidRPr="001A4D2F">
              <w:rPr>
                <w:lang w:val="sr-Cyrl-CS"/>
              </w:rPr>
              <w:t xml:space="preserve"> 9-11 </w:t>
            </w:r>
            <w:r>
              <w:rPr>
                <w:lang w:val="sr-Cyrl-CS"/>
              </w:rPr>
              <w:t>po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Metodologiji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FATF</w:t>
            </w:r>
          </w:p>
        </w:tc>
        <w:tc>
          <w:tcPr>
            <w:tcW w:w="522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C4AE1" w:rsidRPr="001A4D2F" w:rsidRDefault="00DF098D" w:rsidP="00C11F8E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  <w:r w:rsidR="009A6D0D" w:rsidRPr="001A4D2F">
              <w:rPr>
                <w:lang w:val="sr-Cyrl-CS"/>
              </w:rPr>
              <w:t>/</w:t>
            </w:r>
            <w:r>
              <w:rPr>
                <w:lang w:val="sr-Cyrl-CS"/>
              </w:rPr>
              <w:t>Ne</w:t>
            </w:r>
          </w:p>
        </w:tc>
        <w:tc>
          <w:tcPr>
            <w:tcW w:w="495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C4AE1" w:rsidRPr="001A4D2F" w:rsidRDefault="00DF098D" w:rsidP="00C11F8E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Izveštaji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nadležnih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organa</w:t>
            </w:r>
            <w:r w:rsidR="009A6D0D" w:rsidRPr="001A4D2F">
              <w:rPr>
                <w:lang w:val="sr-Cyrl-CS"/>
              </w:rPr>
              <w:t>;</w:t>
            </w:r>
          </w:p>
          <w:p w:rsidR="009A6D0D" w:rsidRPr="001A4D2F" w:rsidRDefault="00DF098D" w:rsidP="00C11F8E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Manivala</w:t>
            </w:r>
          </w:p>
        </w:tc>
        <w:tc>
          <w:tcPr>
            <w:tcW w:w="631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C4AE1" w:rsidRPr="001A4D2F" w:rsidRDefault="00DF098D" w:rsidP="00C11F8E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600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C4AE1" w:rsidRPr="001A4D2F" w:rsidRDefault="009A6D0D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2019.</w:t>
            </w:r>
          </w:p>
        </w:tc>
        <w:tc>
          <w:tcPr>
            <w:tcW w:w="486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C4AE1" w:rsidRPr="001A4D2F" w:rsidRDefault="00DF098D" w:rsidP="00C11F8E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579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C4AE1" w:rsidRPr="001A4D2F" w:rsidRDefault="00DF098D" w:rsidP="00C11F8E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553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4AE1" w:rsidRPr="001A4D2F" w:rsidRDefault="00DF098D" w:rsidP="00C11F8E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</w:tr>
    </w:tbl>
    <w:p w:rsidR="00FC4AE1" w:rsidRPr="001A4D2F" w:rsidRDefault="00FC4AE1" w:rsidP="00C11F8E">
      <w:pPr>
        <w:rPr>
          <w:lang w:val="sr-Cyrl-C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0"/>
        <w:gridCol w:w="1466"/>
        <w:gridCol w:w="1369"/>
        <w:gridCol w:w="973"/>
        <w:gridCol w:w="784"/>
        <w:gridCol w:w="1695"/>
        <w:gridCol w:w="1528"/>
        <w:gridCol w:w="1562"/>
        <w:gridCol w:w="1570"/>
      </w:tblGrid>
      <w:tr w:rsidR="00FC4AE1" w:rsidRPr="001A4D2F" w:rsidTr="00C11F8E">
        <w:trPr>
          <w:trHeight w:val="351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FC4AE1" w:rsidRPr="001A4D2F" w:rsidRDefault="00DF098D" w:rsidP="00C11F8E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16" w:name="_Toc32409919"/>
            <w:r>
              <w:rPr>
                <w:rFonts w:cs="Times New Roman"/>
                <w:sz w:val="24"/>
                <w:lang w:val="sr-Cyrl-CS"/>
              </w:rPr>
              <w:t>Mera</w:t>
            </w:r>
            <w:r w:rsidR="00FC4AE1" w:rsidRPr="001A4D2F">
              <w:rPr>
                <w:rFonts w:cs="Times New Roman"/>
                <w:sz w:val="24"/>
                <w:lang w:val="sr-Cyrl-CS"/>
              </w:rPr>
              <w:t xml:space="preserve"> 4.1:</w:t>
            </w:r>
            <w:r w:rsidR="00B02F59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Obezbeđenje</w:t>
            </w:r>
            <w:r w:rsidR="00FC4AE1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održivosti</w:t>
            </w:r>
            <w:r w:rsidR="00FC4AE1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sistema</w:t>
            </w:r>
            <w:r w:rsidR="00B02F59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istraživanja</w:t>
            </w:r>
            <w:r w:rsidR="00FC4AE1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</w:t>
            </w:r>
            <w:r w:rsidR="00FC4AE1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krivičnog</w:t>
            </w:r>
            <w:r w:rsidR="00FC4AE1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gonjenja</w:t>
            </w:r>
            <w:r w:rsidR="00FC4AE1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u</w:t>
            </w:r>
            <w:r w:rsidR="00FC4AE1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slučajevima</w:t>
            </w:r>
            <w:r w:rsidR="00FC4AE1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finansiranja</w:t>
            </w:r>
            <w:r w:rsidR="00FC4AE1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terorizma</w:t>
            </w:r>
            <w:bookmarkEnd w:id="16"/>
          </w:p>
        </w:tc>
      </w:tr>
      <w:tr w:rsidR="00FC4AE1" w:rsidRPr="001A4D2F" w:rsidTr="00C11F8E">
        <w:trPr>
          <w:trHeight w:val="303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FC4AE1" w:rsidRPr="001A4D2F" w:rsidRDefault="00DF098D" w:rsidP="00C11F8E">
            <w:pPr>
              <w:rPr>
                <w:lang w:val="sr-Cyrl-CS"/>
              </w:rPr>
            </w:pPr>
            <w:r>
              <w:rPr>
                <w:rFonts w:eastAsia="Times New Roman"/>
                <w:color w:val="222222"/>
                <w:lang w:val="sr-Cyrl-CS"/>
              </w:rPr>
              <w:t>Institucija</w:t>
            </w:r>
            <w:r w:rsidR="00FC4AE1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odgovorna</w:t>
            </w:r>
            <w:r w:rsidR="00FC4AE1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za</w:t>
            </w:r>
            <w:r w:rsidR="00FC4AE1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praćenje</w:t>
            </w:r>
            <w:r w:rsidR="00FC4AE1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i</w:t>
            </w:r>
            <w:r w:rsidR="00FC4AE1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kontrolu</w:t>
            </w:r>
            <w:r w:rsidR="00FC4AE1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realizacije</w:t>
            </w:r>
            <w:r w:rsidR="00FC4AE1" w:rsidRPr="001A4D2F">
              <w:rPr>
                <w:rFonts w:eastAsia="Times New Roman"/>
                <w:color w:val="222222"/>
                <w:lang w:val="sr-Cyrl-CS"/>
              </w:rPr>
              <w:t xml:space="preserve">: </w:t>
            </w:r>
            <w:r>
              <w:rPr>
                <w:rFonts w:eastAsia="Times New Roman"/>
                <w:color w:val="222222"/>
                <w:lang w:val="sr-Cyrl-CS"/>
              </w:rPr>
              <w:t>Koordinaciono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telo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za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sprečavanje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pranja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novca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i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finansiranja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terorizma</w:t>
            </w:r>
          </w:p>
        </w:tc>
      </w:tr>
      <w:tr w:rsidR="00FC4AE1" w:rsidRPr="001A4D2F" w:rsidTr="00C11F8E">
        <w:trPr>
          <w:trHeight w:val="303"/>
        </w:trPr>
        <w:tc>
          <w:tcPr>
            <w:tcW w:w="2477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FC4AE1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Period</w:t>
            </w:r>
            <w:r w:rsidR="00FC4AE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sprovođenja</w:t>
            </w:r>
            <w:r w:rsidR="00FC4AE1" w:rsidRPr="001A4D2F">
              <w:rPr>
                <w:lang w:val="sr-Cyrl-CS"/>
              </w:rPr>
              <w:t>:</w:t>
            </w:r>
            <w:r w:rsidR="0026686C" w:rsidRPr="001A4D2F">
              <w:rPr>
                <w:lang w:val="sr-Cyrl-CS"/>
              </w:rPr>
              <w:t xml:space="preserve"> 2020-2022.</w:t>
            </w:r>
          </w:p>
        </w:tc>
        <w:tc>
          <w:tcPr>
            <w:tcW w:w="2523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:rsidR="00FC4AE1" w:rsidRPr="001A4D2F" w:rsidRDefault="00DF098D" w:rsidP="00F3347F">
            <w:pPr>
              <w:rPr>
                <w:lang w:val="sr-Cyrl-CS"/>
              </w:rPr>
            </w:pPr>
            <w:r>
              <w:rPr>
                <w:lang w:val="sr-Cyrl-CS"/>
              </w:rPr>
              <w:t>Tip</w:t>
            </w:r>
            <w:r w:rsidR="00FC4AE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FC4AE1" w:rsidRPr="001A4D2F">
              <w:rPr>
                <w:lang w:val="sr-Cyrl-CS"/>
              </w:rPr>
              <w:t>: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Institucionalno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upravljačko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organizaciona</w:t>
            </w:r>
          </w:p>
        </w:tc>
      </w:tr>
      <w:tr w:rsidR="00FC4AE1" w:rsidRPr="001A4D2F" w:rsidTr="00C11F8E">
        <w:trPr>
          <w:trHeight w:val="778"/>
        </w:trPr>
        <w:tc>
          <w:tcPr>
            <w:tcW w:w="1131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4AE1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Pokazatelj</w:t>
            </w:r>
            <w:r w:rsidR="00FC4AE1" w:rsidRPr="001A4D2F">
              <w:rPr>
                <w:lang w:val="sr-Cyrl-CS"/>
              </w:rPr>
              <w:t>(</w:t>
            </w:r>
            <w:r>
              <w:rPr>
                <w:lang w:val="sr-Cyrl-CS"/>
              </w:rPr>
              <w:t>i</w:t>
            </w:r>
            <w:r w:rsidR="00FC4AE1" w:rsidRPr="001A4D2F">
              <w:rPr>
                <w:lang w:val="sr-Cyrl-CS"/>
              </w:rPr>
              <w:t>)</w:t>
            </w:r>
            <w:r w:rsidR="00B02F59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</w:t>
            </w:r>
            <w:r w:rsidR="00FC4AE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nivou</w:t>
            </w:r>
            <w:r w:rsidR="00FC4AE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FC4AE1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pokazatelj</w:t>
            </w:r>
            <w:r w:rsidR="00FC4AE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rezultata</w:t>
            </w:r>
            <w:r w:rsidR="00FC4AE1" w:rsidRPr="001A4D2F">
              <w:rPr>
                <w:lang w:val="sr-Cyrl-CS"/>
              </w:rPr>
              <w:t>)</w:t>
            </w:r>
          </w:p>
        </w:tc>
        <w:tc>
          <w:tcPr>
            <w:tcW w:w="518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4AE1" w:rsidRPr="001A4D2F" w:rsidRDefault="00FC4AE1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</w:t>
            </w:r>
            <w:r w:rsidR="00DF098D">
              <w:rPr>
                <w:lang w:val="sr-Cyrl-CS"/>
              </w:rPr>
              <w:t>edinica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mere</w:t>
            </w:r>
          </w:p>
          <w:p w:rsidR="00FC4AE1" w:rsidRPr="001A4D2F" w:rsidRDefault="00FC4AE1" w:rsidP="00C11F8E">
            <w:pPr>
              <w:rPr>
                <w:lang w:val="sr-Cyrl-CS"/>
              </w:rPr>
            </w:pPr>
          </w:p>
        </w:tc>
        <w:tc>
          <w:tcPr>
            <w:tcW w:w="484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4AE1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Izvor</w:t>
            </w:r>
            <w:r w:rsidR="00FC4AE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provere</w:t>
            </w:r>
          </w:p>
        </w:tc>
        <w:tc>
          <w:tcPr>
            <w:tcW w:w="621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4AE1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Početna</w:t>
            </w:r>
            <w:r w:rsidR="00FC4AE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FC4AE1" w:rsidRPr="001A4D2F">
              <w:rPr>
                <w:lang w:val="sr-Cyrl-CS"/>
              </w:rPr>
              <w:t xml:space="preserve"> </w:t>
            </w:r>
          </w:p>
        </w:tc>
        <w:tc>
          <w:tcPr>
            <w:tcW w:w="599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4AE1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Bazna</w:t>
            </w:r>
            <w:r w:rsidR="00FC4AE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godina</w:t>
            </w:r>
          </w:p>
        </w:tc>
        <w:tc>
          <w:tcPr>
            <w:tcW w:w="540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4AE1" w:rsidRPr="001A4D2F" w:rsidRDefault="00DF098D" w:rsidP="00885F9C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FC4AE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FC4AE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C4AE1" w:rsidRPr="001A4D2F">
              <w:rPr>
                <w:lang w:val="sr-Cyrl-CS"/>
              </w:rPr>
              <w:t xml:space="preserve"> </w:t>
            </w:r>
            <w:r w:rsidR="00885F9C" w:rsidRPr="001A4D2F">
              <w:rPr>
                <w:lang w:val="sr-Cyrl-CS"/>
              </w:rPr>
              <w:t>2020.</w:t>
            </w:r>
          </w:p>
        </w:tc>
        <w:tc>
          <w:tcPr>
            <w:tcW w:w="552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C4AE1" w:rsidRPr="001A4D2F" w:rsidRDefault="00DF098D" w:rsidP="00885F9C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FC4AE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FC4AE1" w:rsidRPr="001A4D2F">
              <w:rPr>
                <w:lang w:val="sr-Cyrl-CS"/>
              </w:rPr>
              <w:t xml:space="preserve"> </w:t>
            </w:r>
            <w:r w:rsidR="00885F9C" w:rsidRPr="001A4D2F">
              <w:rPr>
                <w:lang w:val="sr-Cyrl-CS"/>
              </w:rPr>
              <w:t>2021.</w:t>
            </w:r>
          </w:p>
        </w:tc>
        <w:tc>
          <w:tcPr>
            <w:tcW w:w="555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C4AE1" w:rsidRPr="001A4D2F" w:rsidRDefault="00DF098D" w:rsidP="00885F9C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885F9C" w:rsidRPr="001A4D2F">
              <w:rPr>
                <w:lang w:val="sr-Cyrl-CS"/>
              </w:rPr>
              <w:t xml:space="preserve"> 2022.</w:t>
            </w:r>
          </w:p>
        </w:tc>
      </w:tr>
      <w:tr w:rsidR="00FC4AE1" w:rsidRPr="001A4D2F" w:rsidTr="00C11F8E">
        <w:trPr>
          <w:trHeight w:val="307"/>
        </w:trPr>
        <w:tc>
          <w:tcPr>
            <w:tcW w:w="1131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4AE1" w:rsidRPr="001A4D2F" w:rsidRDefault="00DF098D" w:rsidP="0026686C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Provereni</w:t>
            </w:r>
            <w:r w:rsidR="0026686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sumnjivi</w:t>
            </w:r>
            <w:r w:rsidR="00FC4AE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entiteti</w:t>
            </w:r>
            <w:r w:rsidR="00FC4AE1" w:rsidRPr="001A4D2F">
              <w:rPr>
                <w:lang w:val="sr-Cyrl-CS"/>
              </w:rPr>
              <w:t xml:space="preserve"> </w:t>
            </w:r>
          </w:p>
        </w:tc>
        <w:tc>
          <w:tcPr>
            <w:tcW w:w="518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4AE1" w:rsidRPr="001A4D2F" w:rsidRDefault="00DF098D" w:rsidP="00C11F8E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Procenat</w:t>
            </w:r>
          </w:p>
        </w:tc>
        <w:tc>
          <w:tcPr>
            <w:tcW w:w="484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4AE1" w:rsidRPr="001A4D2F" w:rsidRDefault="00DF098D" w:rsidP="00C11F8E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Godišnji</w:t>
            </w:r>
            <w:r w:rsidR="00FC4AE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izveštaj</w:t>
            </w:r>
            <w:r w:rsidR="00FC4AE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lastRenderedPageBreak/>
              <w:t>nadležnih</w:t>
            </w:r>
            <w:r w:rsidR="00FC4AE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državnih</w:t>
            </w:r>
            <w:r w:rsidR="00FC4AE1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organa</w:t>
            </w:r>
          </w:p>
        </w:tc>
        <w:tc>
          <w:tcPr>
            <w:tcW w:w="621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4AE1" w:rsidRPr="001A4D2F" w:rsidRDefault="0026686C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100%</w:t>
            </w:r>
          </w:p>
        </w:tc>
        <w:tc>
          <w:tcPr>
            <w:tcW w:w="599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4AE1" w:rsidRPr="001A4D2F" w:rsidRDefault="0026686C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2019.</w:t>
            </w:r>
          </w:p>
        </w:tc>
        <w:tc>
          <w:tcPr>
            <w:tcW w:w="540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FC4AE1" w:rsidRPr="001A4D2F" w:rsidRDefault="0026686C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100%</w:t>
            </w:r>
          </w:p>
        </w:tc>
        <w:tc>
          <w:tcPr>
            <w:tcW w:w="5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4AE1" w:rsidRPr="001A4D2F" w:rsidRDefault="0026686C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100%</w:t>
            </w:r>
          </w:p>
        </w:tc>
        <w:tc>
          <w:tcPr>
            <w:tcW w:w="55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C4AE1" w:rsidRPr="001A4D2F" w:rsidRDefault="0026686C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100%</w:t>
            </w:r>
          </w:p>
        </w:tc>
      </w:tr>
    </w:tbl>
    <w:p w:rsidR="00FC4AE1" w:rsidRDefault="00FC4AE1" w:rsidP="00C11F8E"/>
    <w:p w:rsidR="00733095" w:rsidRDefault="00733095" w:rsidP="00C11F8E"/>
    <w:p w:rsidR="00733095" w:rsidRDefault="00733095" w:rsidP="00C11F8E"/>
    <w:p w:rsidR="00733095" w:rsidRDefault="00733095" w:rsidP="00C11F8E"/>
    <w:p w:rsidR="00733095" w:rsidRDefault="00733095" w:rsidP="00C11F8E"/>
    <w:p w:rsidR="00733095" w:rsidRDefault="00733095" w:rsidP="00C11F8E"/>
    <w:p w:rsidR="00733095" w:rsidRPr="00733095" w:rsidRDefault="00733095" w:rsidP="00C11F8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2"/>
        <w:gridCol w:w="1145"/>
        <w:gridCol w:w="1242"/>
        <w:gridCol w:w="1162"/>
        <w:gridCol w:w="1573"/>
        <w:gridCol w:w="1160"/>
        <w:gridCol w:w="1803"/>
        <w:gridCol w:w="1525"/>
        <w:gridCol w:w="2163"/>
      </w:tblGrid>
      <w:tr w:rsidR="003C0D99" w:rsidRPr="001A4D2F" w:rsidTr="003C0D99">
        <w:trPr>
          <w:trHeight w:val="140"/>
        </w:trPr>
        <w:tc>
          <w:tcPr>
            <w:tcW w:w="847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3C0D99" w:rsidRPr="00733095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Naziv</w:t>
            </w:r>
            <w:r w:rsidR="003C0D99" w:rsidRPr="00733095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aktivnosti</w:t>
            </w:r>
            <w:r w:rsidR="003C0D99" w:rsidRPr="00733095">
              <w:rPr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40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733095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Organ</w:t>
            </w:r>
            <w:r w:rsidR="003C0D99" w:rsidRPr="00733095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koji</w:t>
            </w:r>
            <w:r w:rsidR="003C0D99" w:rsidRPr="00733095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sprovodi</w:t>
            </w:r>
            <w:r w:rsidR="003C0D99" w:rsidRPr="00733095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aktivnost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733095" w:rsidRDefault="003C0D99" w:rsidP="00C11F8E">
            <w:pPr>
              <w:rPr>
                <w:b/>
                <w:sz w:val="18"/>
                <w:szCs w:val="18"/>
                <w:lang w:val="sr-Cyrl-CS"/>
              </w:rPr>
            </w:pPr>
            <w:r w:rsidRPr="00733095">
              <w:rPr>
                <w:b/>
                <w:sz w:val="18"/>
                <w:szCs w:val="18"/>
                <w:lang w:val="sr-Cyrl-CS"/>
              </w:rPr>
              <w:t>O</w:t>
            </w:r>
            <w:r w:rsidR="00DF098D">
              <w:rPr>
                <w:b/>
                <w:sz w:val="18"/>
                <w:szCs w:val="18"/>
                <w:lang w:val="sr-Cyrl-CS"/>
              </w:rPr>
              <w:t>rgani</w:t>
            </w:r>
            <w:r w:rsidRPr="00733095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partneri</w:t>
            </w:r>
            <w:r w:rsidRPr="00733095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u</w:t>
            </w:r>
            <w:r w:rsidRPr="00733095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sprovođenju</w:t>
            </w:r>
            <w:r w:rsidRPr="00733095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aktivnosti</w:t>
            </w:r>
          </w:p>
        </w:tc>
        <w:tc>
          <w:tcPr>
            <w:tcW w:w="410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733095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Rok</w:t>
            </w:r>
            <w:r w:rsidR="003C0D99" w:rsidRPr="00733095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za</w:t>
            </w:r>
            <w:r w:rsidR="003C0D99" w:rsidRPr="00733095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završetak</w:t>
            </w:r>
            <w:r w:rsidR="003C0D99" w:rsidRPr="00733095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aktivnosti</w:t>
            </w:r>
          </w:p>
        </w:tc>
        <w:tc>
          <w:tcPr>
            <w:tcW w:w="555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733095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Izvor</w:t>
            </w:r>
            <w:r w:rsidR="003C0D99" w:rsidRPr="00733095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finansiranja</w:t>
            </w:r>
          </w:p>
        </w:tc>
        <w:tc>
          <w:tcPr>
            <w:tcW w:w="409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733095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Veza</w:t>
            </w:r>
            <w:r w:rsidR="003C0D99" w:rsidRPr="00733095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sa</w:t>
            </w:r>
            <w:r w:rsidR="003C0D99" w:rsidRPr="00733095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4"/>
                <w:szCs w:val="14"/>
                <w:lang w:val="sr-Cyrl-CS"/>
              </w:rPr>
              <w:t>programskim</w:t>
            </w:r>
            <w:r w:rsidR="003C0D99" w:rsidRPr="00733095">
              <w:rPr>
                <w:b/>
                <w:sz w:val="12"/>
                <w:szCs w:val="12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budžetom</w:t>
            </w:r>
          </w:p>
          <w:p w:rsidR="003C0D99" w:rsidRPr="00733095" w:rsidRDefault="003C0D99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937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3C0D99" w:rsidRPr="00733095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Ukupna</w:t>
            </w:r>
            <w:r w:rsidR="003C0D99" w:rsidRPr="00733095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procenjena</w:t>
            </w:r>
            <w:r w:rsidR="003C0D99" w:rsidRPr="00733095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finansijska</w:t>
            </w:r>
            <w:r w:rsidR="003C0D99" w:rsidRPr="00733095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sredstva</w:t>
            </w:r>
            <w:r w:rsidR="003C0D99" w:rsidRPr="00733095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po</w:t>
            </w:r>
            <w:r w:rsidR="003C0D99" w:rsidRPr="00733095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izvorima</w:t>
            </w:r>
            <w:r w:rsidR="003C0D99" w:rsidRPr="00733095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u</w:t>
            </w:r>
            <w:r w:rsidR="003C0D99" w:rsidRPr="00733095">
              <w:rPr>
                <w:b/>
                <w:sz w:val="18"/>
                <w:szCs w:val="18"/>
                <w:lang w:val="sr-Cyrl-CS"/>
              </w:rPr>
              <w:t xml:space="preserve"> 000 </w:t>
            </w:r>
            <w:r>
              <w:rPr>
                <w:b/>
                <w:sz w:val="18"/>
                <w:szCs w:val="18"/>
                <w:lang w:val="sr-Cyrl-CS"/>
              </w:rPr>
              <w:t>din</w:t>
            </w:r>
            <w:r w:rsidR="003C0D99" w:rsidRPr="00733095">
              <w:rPr>
                <w:b/>
                <w:sz w:val="18"/>
                <w:szCs w:val="18"/>
                <w:lang w:val="sr-Cyrl-CS"/>
              </w:rPr>
              <w:t>.</w:t>
            </w:r>
          </w:p>
        </w:tc>
      </w:tr>
      <w:tr w:rsidR="001B4CBD" w:rsidRPr="001A4D2F" w:rsidTr="000553F1">
        <w:trPr>
          <w:trHeight w:val="386"/>
        </w:trPr>
        <w:tc>
          <w:tcPr>
            <w:tcW w:w="847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1B4CBD" w:rsidRPr="00733095" w:rsidRDefault="001B4CBD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04" w:type="pct"/>
            <w:vMerge/>
            <w:shd w:val="clear" w:color="auto" w:fill="E5DFEC" w:themeFill="accent4" w:themeFillTint="33"/>
          </w:tcPr>
          <w:p w:rsidR="001B4CBD" w:rsidRPr="00733095" w:rsidRDefault="001B4CBD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38" w:type="pct"/>
            <w:vMerge/>
            <w:shd w:val="clear" w:color="auto" w:fill="E5DFEC" w:themeFill="accent4" w:themeFillTint="33"/>
          </w:tcPr>
          <w:p w:rsidR="001B4CBD" w:rsidRPr="00733095" w:rsidRDefault="001B4CBD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10" w:type="pct"/>
            <w:vMerge/>
            <w:shd w:val="clear" w:color="auto" w:fill="E5DFEC" w:themeFill="accent4" w:themeFillTint="33"/>
          </w:tcPr>
          <w:p w:rsidR="001B4CBD" w:rsidRPr="00733095" w:rsidRDefault="001B4CBD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555" w:type="pct"/>
            <w:vMerge/>
            <w:shd w:val="clear" w:color="auto" w:fill="E5DFEC" w:themeFill="accent4" w:themeFillTint="33"/>
          </w:tcPr>
          <w:p w:rsidR="001B4CBD" w:rsidRPr="00733095" w:rsidRDefault="001B4CBD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409" w:type="pct"/>
            <w:vMerge/>
            <w:shd w:val="clear" w:color="auto" w:fill="E5DFEC" w:themeFill="accent4" w:themeFillTint="33"/>
          </w:tcPr>
          <w:p w:rsidR="001B4CBD" w:rsidRPr="00733095" w:rsidRDefault="001B4CBD" w:rsidP="00C11F8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636" w:type="pct"/>
            <w:shd w:val="clear" w:color="auto" w:fill="E5DFEC" w:themeFill="accent4" w:themeFillTint="33"/>
          </w:tcPr>
          <w:p w:rsidR="001B4CBD" w:rsidRPr="00733095" w:rsidRDefault="001B4CB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733095">
              <w:rPr>
                <w:b/>
                <w:sz w:val="18"/>
                <w:szCs w:val="18"/>
                <w:lang w:val="sr-Cyrl-CS"/>
              </w:rPr>
              <w:t>2020.</w:t>
            </w:r>
          </w:p>
        </w:tc>
        <w:tc>
          <w:tcPr>
            <w:tcW w:w="538" w:type="pct"/>
            <w:shd w:val="clear" w:color="auto" w:fill="E5DFEC" w:themeFill="accent4" w:themeFillTint="33"/>
          </w:tcPr>
          <w:p w:rsidR="001B4CBD" w:rsidRPr="00733095" w:rsidRDefault="001B4CB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733095">
              <w:rPr>
                <w:b/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763" w:type="pct"/>
            <w:shd w:val="clear" w:color="auto" w:fill="E5DFEC" w:themeFill="accent4" w:themeFillTint="33"/>
          </w:tcPr>
          <w:p w:rsidR="001B4CBD" w:rsidRPr="00733095" w:rsidRDefault="001B4CB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733095">
              <w:rPr>
                <w:b/>
                <w:sz w:val="18"/>
                <w:szCs w:val="18"/>
                <w:lang w:val="sr-Cyrl-CS"/>
              </w:rPr>
              <w:t>2022.</w:t>
            </w:r>
          </w:p>
          <w:p w:rsidR="001B4CBD" w:rsidRPr="00733095" w:rsidRDefault="001B4CB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9A6D0D" w:rsidRPr="001A4D2F" w:rsidTr="000553F1">
        <w:trPr>
          <w:trHeight w:val="1610"/>
        </w:trPr>
        <w:tc>
          <w:tcPr>
            <w:tcW w:w="847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4.1.1. </w:t>
            </w:r>
            <w:r w:rsidR="00DF098D">
              <w:rPr>
                <w:lang w:val="sr-Cyrl-CS"/>
              </w:rPr>
              <w:t>Nastaviti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razmenjivanjem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podataka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informacija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okviru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postojećih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struktura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međusobne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koordinacije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saradnje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operativnih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organa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nadležnih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borbu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protiv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drugih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krivičnih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dela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vezi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njim</w:t>
            </w:r>
            <w:r w:rsidRPr="001A4D2F">
              <w:rPr>
                <w:lang w:val="sr-Cyrl-CS"/>
              </w:rPr>
              <w:t xml:space="preserve">; </w:t>
            </w:r>
          </w:p>
        </w:tc>
        <w:tc>
          <w:tcPr>
            <w:tcW w:w="404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NKT</w:t>
            </w:r>
          </w:p>
        </w:tc>
        <w:tc>
          <w:tcPr>
            <w:tcW w:w="438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RJT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TOK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BIA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MUP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USPN</w:t>
            </w:r>
            <w:r w:rsidR="009A6D0D" w:rsidRPr="001A4D2F">
              <w:rPr>
                <w:lang w:val="sr-Cyrl-CS"/>
              </w:rPr>
              <w:t xml:space="preserve">, </w:t>
            </w:r>
          </w:p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KSNBiZTP</w:t>
            </w:r>
          </w:p>
        </w:tc>
        <w:tc>
          <w:tcPr>
            <w:tcW w:w="410" w:type="pct"/>
            <w:shd w:val="clear" w:color="auto" w:fill="auto"/>
          </w:tcPr>
          <w:p w:rsidR="009A6D0D" w:rsidRPr="001A4D2F" w:rsidRDefault="009A6D0D" w:rsidP="0026686C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 </w:t>
            </w:r>
          </w:p>
        </w:tc>
        <w:tc>
          <w:tcPr>
            <w:tcW w:w="555" w:type="pct"/>
            <w:shd w:val="clear" w:color="auto" w:fill="auto"/>
          </w:tcPr>
          <w:p w:rsidR="009A6D0D" w:rsidRPr="001A4D2F" w:rsidRDefault="00DF098D" w:rsidP="000553F1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  <w:r w:rsidR="009A6D0D" w:rsidRPr="001A4D2F">
              <w:rPr>
                <w:lang w:val="sr-Cyrl-CS"/>
              </w:rPr>
              <w:t xml:space="preserve"> </w:t>
            </w:r>
          </w:p>
        </w:tc>
        <w:tc>
          <w:tcPr>
            <w:tcW w:w="409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63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3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763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0553F1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B15A10" w:rsidP="00A9340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4.1.2. </w:t>
            </w:r>
            <w:r w:rsidR="00DF098D">
              <w:rPr>
                <w:lang w:val="sr-Cyrl-CS"/>
              </w:rPr>
              <w:t>Analizirati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postojeće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kadrovske</w:t>
            </w:r>
            <w:r w:rsidR="009A6D0D"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tehnološke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finansijske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kapacitete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sprečavanje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finansiranja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lastRenderedPageBreak/>
              <w:t>organa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nadležnih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borbu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protiv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drugih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krivičnih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dela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vezi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njim</w:t>
            </w:r>
            <w:r w:rsidR="009A6D0D" w:rsidRPr="001A4D2F">
              <w:rPr>
                <w:lang w:val="sr-Cyrl-CS"/>
              </w:rPr>
              <w:t xml:space="preserve">; </w:t>
            </w:r>
          </w:p>
        </w:tc>
        <w:tc>
          <w:tcPr>
            <w:tcW w:w="404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NKT</w:t>
            </w:r>
          </w:p>
        </w:tc>
        <w:tc>
          <w:tcPr>
            <w:tcW w:w="438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RJT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TOK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BIA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MUP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USPN</w:t>
            </w:r>
            <w:r w:rsidR="009A6D0D" w:rsidRPr="001A4D2F">
              <w:rPr>
                <w:lang w:val="sr-Cyrl-CS"/>
              </w:rPr>
              <w:t>,</w:t>
            </w:r>
          </w:p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KSNBiZT</w:t>
            </w:r>
            <w:r>
              <w:rPr>
                <w:lang w:val="sr-Cyrl-CS"/>
              </w:rPr>
              <w:lastRenderedPageBreak/>
              <w:t>P</w:t>
            </w:r>
          </w:p>
        </w:tc>
        <w:tc>
          <w:tcPr>
            <w:tcW w:w="410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II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2021. </w:t>
            </w:r>
          </w:p>
        </w:tc>
        <w:tc>
          <w:tcPr>
            <w:tcW w:w="555" w:type="pct"/>
            <w:shd w:val="clear" w:color="auto" w:fill="auto"/>
          </w:tcPr>
          <w:p w:rsidR="009A6D0D" w:rsidRPr="001A4D2F" w:rsidRDefault="00DF098D" w:rsidP="002922B5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9" w:type="pct"/>
            <w:shd w:val="clear" w:color="auto" w:fill="auto"/>
          </w:tcPr>
          <w:p w:rsidR="009A6D0D" w:rsidRPr="001A4D2F" w:rsidRDefault="009A6D0D" w:rsidP="002922B5">
            <w:pPr>
              <w:rPr>
                <w:lang w:val="sr-Cyrl-CS"/>
              </w:rPr>
            </w:pPr>
          </w:p>
        </w:tc>
        <w:tc>
          <w:tcPr>
            <w:tcW w:w="636" w:type="pct"/>
            <w:shd w:val="clear" w:color="auto" w:fill="auto"/>
          </w:tcPr>
          <w:p w:rsidR="009A6D0D" w:rsidRPr="001A4D2F" w:rsidRDefault="009A6D0D" w:rsidP="002922B5">
            <w:pPr>
              <w:rPr>
                <w:lang w:val="sr-Cyrl-CS"/>
              </w:rPr>
            </w:pPr>
          </w:p>
        </w:tc>
        <w:tc>
          <w:tcPr>
            <w:tcW w:w="538" w:type="pct"/>
            <w:shd w:val="clear" w:color="auto" w:fill="auto"/>
          </w:tcPr>
          <w:p w:rsidR="009A6D0D" w:rsidRPr="001A4D2F" w:rsidRDefault="009A6D0D" w:rsidP="002922B5">
            <w:pPr>
              <w:rPr>
                <w:lang w:val="sr-Cyrl-CS"/>
              </w:rPr>
            </w:pPr>
          </w:p>
        </w:tc>
        <w:tc>
          <w:tcPr>
            <w:tcW w:w="763" w:type="pct"/>
            <w:shd w:val="clear" w:color="auto" w:fill="auto"/>
          </w:tcPr>
          <w:p w:rsidR="009A6D0D" w:rsidRPr="001A4D2F" w:rsidRDefault="009A6D0D" w:rsidP="002922B5">
            <w:pPr>
              <w:rPr>
                <w:lang w:val="sr-Cyrl-CS"/>
              </w:rPr>
            </w:pPr>
          </w:p>
        </w:tc>
      </w:tr>
      <w:tr w:rsidR="009A6D0D" w:rsidRPr="001A4D2F" w:rsidTr="000553F1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4.1.3. </w:t>
            </w:r>
            <w:r w:rsidR="00DF098D">
              <w:rPr>
                <w:lang w:val="sr-Cyrl-CS"/>
              </w:rPr>
              <w:t>Prilagoditi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kadrovske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tehnološke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finansijske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kapacitete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rezultatima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analize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</w:t>
            </w:r>
            <w:r w:rsidRPr="001A4D2F">
              <w:rPr>
                <w:lang w:val="sr-Cyrl-CS"/>
              </w:rPr>
              <w:t xml:space="preserve"> 4.1.2;</w:t>
            </w:r>
          </w:p>
        </w:tc>
        <w:tc>
          <w:tcPr>
            <w:tcW w:w="404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VRS</w:t>
            </w:r>
          </w:p>
        </w:tc>
        <w:tc>
          <w:tcPr>
            <w:tcW w:w="438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10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III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 </w:t>
            </w:r>
          </w:p>
        </w:tc>
        <w:tc>
          <w:tcPr>
            <w:tcW w:w="555" w:type="pct"/>
            <w:shd w:val="clear" w:color="auto" w:fill="auto"/>
          </w:tcPr>
          <w:p w:rsidR="009A6D0D" w:rsidRPr="001A4D2F" w:rsidRDefault="00DF098D" w:rsidP="000553F1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  <w:r w:rsidR="009A6D0D" w:rsidRPr="001A4D2F">
              <w:rPr>
                <w:lang w:val="sr-Cyrl-CS"/>
              </w:rPr>
              <w:t>/</w:t>
            </w:r>
            <w:r>
              <w:rPr>
                <w:lang w:val="sr-Cyrl-CS"/>
              </w:rPr>
              <w:t>Sredstva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</w:p>
        </w:tc>
        <w:tc>
          <w:tcPr>
            <w:tcW w:w="409" w:type="pct"/>
            <w:shd w:val="clear" w:color="auto" w:fill="auto"/>
          </w:tcPr>
          <w:p w:rsidR="009A6D0D" w:rsidRPr="001A4D2F" w:rsidRDefault="009A6D0D" w:rsidP="002922B5">
            <w:pPr>
              <w:rPr>
                <w:lang w:val="sr-Cyrl-CS"/>
              </w:rPr>
            </w:pPr>
          </w:p>
        </w:tc>
        <w:tc>
          <w:tcPr>
            <w:tcW w:w="636" w:type="pct"/>
            <w:shd w:val="clear" w:color="auto" w:fill="auto"/>
          </w:tcPr>
          <w:p w:rsidR="009A6D0D" w:rsidRPr="001A4D2F" w:rsidRDefault="009A6D0D" w:rsidP="002922B5">
            <w:pPr>
              <w:rPr>
                <w:lang w:val="sr-Cyrl-CS"/>
              </w:rPr>
            </w:pPr>
          </w:p>
        </w:tc>
        <w:tc>
          <w:tcPr>
            <w:tcW w:w="538" w:type="pct"/>
            <w:shd w:val="clear" w:color="auto" w:fill="auto"/>
          </w:tcPr>
          <w:p w:rsidR="009A6D0D" w:rsidRPr="001A4D2F" w:rsidRDefault="009A6D0D" w:rsidP="002922B5">
            <w:pPr>
              <w:rPr>
                <w:lang w:val="sr-Cyrl-CS"/>
              </w:rPr>
            </w:pPr>
          </w:p>
        </w:tc>
        <w:tc>
          <w:tcPr>
            <w:tcW w:w="763" w:type="pct"/>
            <w:shd w:val="clear" w:color="auto" w:fill="auto"/>
          </w:tcPr>
          <w:p w:rsidR="009A6D0D" w:rsidRPr="001A4D2F" w:rsidRDefault="009A6D0D" w:rsidP="002922B5">
            <w:pPr>
              <w:rPr>
                <w:lang w:val="sr-Cyrl-CS"/>
              </w:rPr>
            </w:pPr>
          </w:p>
        </w:tc>
      </w:tr>
      <w:tr w:rsidR="009A6D0D" w:rsidRPr="001A4D2F" w:rsidTr="000553F1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4.1.4. </w:t>
            </w:r>
            <w:r w:rsidR="00DF098D">
              <w:rPr>
                <w:lang w:val="sr-Cyrl-CS"/>
              </w:rPr>
              <w:t>Nastaviti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sistematsko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istraživanje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slučajevima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Pr="001A4D2F">
              <w:rPr>
                <w:lang w:val="sr-Cyrl-CS"/>
              </w:rPr>
              <w:t xml:space="preserve"> – </w:t>
            </w:r>
            <w:r w:rsidR="00DF098D">
              <w:rPr>
                <w:lang w:val="sr-Cyrl-CS"/>
              </w:rPr>
              <w:t>kroz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razmenu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izveštaja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Uprave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sprečavanje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nadležnim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državnim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organima</w:t>
            </w:r>
            <w:r w:rsidRPr="001A4D2F">
              <w:rPr>
                <w:lang w:val="sr-Cyrl-CS"/>
              </w:rPr>
              <w:t>;</w:t>
            </w:r>
          </w:p>
        </w:tc>
        <w:tc>
          <w:tcPr>
            <w:tcW w:w="404" w:type="pct"/>
            <w:shd w:val="clear" w:color="auto" w:fill="auto"/>
          </w:tcPr>
          <w:p w:rsidR="009A6D0D" w:rsidRPr="001A4D2F" w:rsidRDefault="00DF098D" w:rsidP="00294720">
            <w:pPr>
              <w:rPr>
                <w:lang w:val="sr-Cyrl-CS"/>
              </w:rPr>
            </w:pPr>
            <w:r>
              <w:rPr>
                <w:lang w:val="sr-Cyrl-CS"/>
              </w:rPr>
              <w:t>USPN</w:t>
            </w:r>
          </w:p>
        </w:tc>
        <w:tc>
          <w:tcPr>
            <w:tcW w:w="438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TOK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BIA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MUP</w:t>
            </w:r>
          </w:p>
        </w:tc>
        <w:tc>
          <w:tcPr>
            <w:tcW w:w="410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55" w:type="pct"/>
            <w:shd w:val="clear" w:color="auto" w:fill="auto"/>
          </w:tcPr>
          <w:p w:rsidR="009A6D0D" w:rsidRPr="001A4D2F" w:rsidRDefault="00DF098D" w:rsidP="000553F1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9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63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3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763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0553F1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4.1.5 </w:t>
            </w:r>
            <w:r w:rsidR="00DF098D">
              <w:rPr>
                <w:lang w:val="sr-Cyrl-CS"/>
              </w:rPr>
              <w:t>Unapređivati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saradnju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relevantnim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međunarodnim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subjektima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vezi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finansiranjem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Pr="001A4D2F">
              <w:rPr>
                <w:lang w:val="sr-Cyrl-CS"/>
              </w:rPr>
              <w:t>;</w:t>
            </w:r>
          </w:p>
        </w:tc>
        <w:tc>
          <w:tcPr>
            <w:tcW w:w="404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NKT</w:t>
            </w:r>
          </w:p>
        </w:tc>
        <w:tc>
          <w:tcPr>
            <w:tcW w:w="438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MSP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USPN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MUP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BIA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VOA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VBA</w:t>
            </w:r>
            <w:r w:rsidR="009A6D0D" w:rsidRPr="001A4D2F">
              <w:rPr>
                <w:lang w:val="sr-Cyrl-CS"/>
              </w:rPr>
              <w:t>,</w:t>
            </w:r>
          </w:p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KSNBiZTP</w:t>
            </w:r>
          </w:p>
        </w:tc>
        <w:tc>
          <w:tcPr>
            <w:tcW w:w="4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55" w:type="pct"/>
            <w:shd w:val="clear" w:color="auto" w:fill="auto"/>
          </w:tcPr>
          <w:p w:rsidR="009A6D0D" w:rsidRPr="001A4D2F" w:rsidRDefault="00DF098D" w:rsidP="000553F1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9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63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3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763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0553F1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4.1.6 </w:t>
            </w:r>
            <w:r w:rsidR="00DF098D">
              <w:rPr>
                <w:lang w:val="sr-Cyrl-CS"/>
              </w:rPr>
              <w:t>Analizirati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usklađenost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lastRenderedPageBreak/>
              <w:t>postojećeg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krivičnog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zakona</w:t>
            </w:r>
            <w:r w:rsidRPr="001A4D2F">
              <w:rPr>
                <w:lang w:val="sr-Cyrl-CS"/>
              </w:rPr>
              <w:t xml:space="preserve">-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delu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odnosi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krivično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delo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međunarodnim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standardima</w:t>
            </w:r>
          </w:p>
        </w:tc>
        <w:tc>
          <w:tcPr>
            <w:tcW w:w="404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MP</w:t>
            </w:r>
          </w:p>
        </w:tc>
        <w:tc>
          <w:tcPr>
            <w:tcW w:w="438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RJT</w:t>
            </w:r>
          </w:p>
        </w:tc>
        <w:tc>
          <w:tcPr>
            <w:tcW w:w="4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</w:t>
            </w:r>
            <w:r w:rsidRPr="001A4D2F">
              <w:rPr>
                <w:lang w:val="sr-Cyrl-CS"/>
              </w:rPr>
              <w:lastRenderedPageBreak/>
              <w:t>2022.</w:t>
            </w:r>
          </w:p>
        </w:tc>
        <w:tc>
          <w:tcPr>
            <w:tcW w:w="555" w:type="pct"/>
            <w:shd w:val="clear" w:color="auto" w:fill="auto"/>
          </w:tcPr>
          <w:p w:rsidR="009A6D0D" w:rsidRPr="001A4D2F" w:rsidRDefault="00DF098D" w:rsidP="000553F1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Finansira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lastRenderedPageBreak/>
              <w:t>redovnih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</w:tc>
        <w:tc>
          <w:tcPr>
            <w:tcW w:w="409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63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3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763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0553F1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ED4F9F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>4.1.</w:t>
            </w:r>
            <w:r w:rsidR="00ED4F9F" w:rsidRPr="001A4D2F">
              <w:rPr>
                <w:lang w:val="sr-Cyrl-CS"/>
              </w:rPr>
              <w:t>7</w:t>
            </w:r>
            <w:r w:rsidRPr="001A4D2F">
              <w:rPr>
                <w:lang w:val="sr-Cyrl-CS"/>
              </w:rPr>
              <w:t xml:space="preserve">. </w:t>
            </w:r>
            <w:r w:rsidR="00DF098D">
              <w:rPr>
                <w:lang w:val="sr-Cyrl-CS"/>
              </w:rPr>
              <w:t>Nastaviti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obukama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Jedinice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finansijske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istrage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MUP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RS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polju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prepoznavanja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aktivnosti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Pr="001A4D2F">
              <w:rPr>
                <w:lang w:val="sr-Cyrl-CS"/>
              </w:rPr>
              <w:t>;</w:t>
            </w:r>
          </w:p>
        </w:tc>
        <w:tc>
          <w:tcPr>
            <w:tcW w:w="404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  <w:r w:rsidR="009A6D0D" w:rsidRPr="001A4D2F">
              <w:rPr>
                <w:lang w:val="sr-Cyrl-CS"/>
              </w:rPr>
              <w:t xml:space="preserve"> </w:t>
            </w:r>
          </w:p>
        </w:tc>
        <w:tc>
          <w:tcPr>
            <w:tcW w:w="438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MUP</w:t>
            </w:r>
            <w:r w:rsidR="009A6D0D" w:rsidRPr="001A4D2F">
              <w:rPr>
                <w:lang w:val="sr-Cyrl-CS"/>
              </w:rPr>
              <w:t>,</w:t>
            </w:r>
            <w:r w:rsidR="0029472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USPN</w:t>
            </w:r>
          </w:p>
        </w:tc>
        <w:tc>
          <w:tcPr>
            <w:tcW w:w="4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55" w:type="pct"/>
            <w:shd w:val="clear" w:color="auto" w:fill="auto"/>
          </w:tcPr>
          <w:p w:rsidR="009A6D0D" w:rsidRPr="001A4D2F" w:rsidRDefault="00DF098D" w:rsidP="000553F1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9A6D0D" w:rsidRPr="001A4D2F" w:rsidRDefault="009A6D0D" w:rsidP="000553F1">
            <w:pPr>
              <w:rPr>
                <w:lang w:val="sr-Cyrl-CS"/>
              </w:rPr>
            </w:pPr>
          </w:p>
          <w:p w:rsidR="009A6D0D" w:rsidRPr="001A4D2F" w:rsidRDefault="009A6D0D" w:rsidP="000553F1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 </w:t>
            </w:r>
          </w:p>
        </w:tc>
        <w:tc>
          <w:tcPr>
            <w:tcW w:w="409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63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3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763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0553F1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ED4F9F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4.1.8</w:t>
            </w:r>
            <w:r w:rsidR="009A6D0D" w:rsidRPr="001A4D2F">
              <w:rPr>
                <w:lang w:val="sr-Cyrl-CS"/>
              </w:rPr>
              <w:t xml:space="preserve">. </w:t>
            </w:r>
            <w:r w:rsidR="00DF098D">
              <w:rPr>
                <w:lang w:val="sr-Cyrl-CS"/>
              </w:rPr>
              <w:t>Kontinuirano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vršiti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obuku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nadležnih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organa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skladu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najboljom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praksom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slučajevima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finansiranje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="009A6D0D" w:rsidRPr="001A4D2F">
              <w:rPr>
                <w:lang w:val="sr-Cyrl-CS"/>
              </w:rPr>
              <w:t>;</w:t>
            </w:r>
          </w:p>
        </w:tc>
        <w:tc>
          <w:tcPr>
            <w:tcW w:w="404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38" w:type="pct"/>
            <w:shd w:val="clear" w:color="auto" w:fill="auto"/>
          </w:tcPr>
          <w:p w:rsidR="009A6D0D" w:rsidRPr="001A4D2F" w:rsidRDefault="00DF098D" w:rsidP="00294720">
            <w:pPr>
              <w:rPr>
                <w:lang w:val="sr-Cyrl-CS"/>
              </w:rPr>
            </w:pPr>
            <w:r>
              <w:rPr>
                <w:lang w:val="sr-Cyrl-CS"/>
              </w:rPr>
              <w:t>PA</w:t>
            </w:r>
            <w:r w:rsidR="009A6D0D" w:rsidRPr="001A4D2F">
              <w:rPr>
                <w:lang w:val="sr-Cyrl-CS"/>
              </w:rPr>
              <w:t>,</w:t>
            </w:r>
            <w:r w:rsidR="00294720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MUP</w:t>
            </w:r>
            <w:r w:rsidR="00294720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BIA</w:t>
            </w:r>
            <w:r w:rsidR="00294720" w:rsidRPr="001A4D2F">
              <w:rPr>
                <w:lang w:val="sr-Cyrl-CS"/>
              </w:rPr>
              <w:t>,</w:t>
            </w:r>
            <w:r>
              <w:rPr>
                <w:lang w:val="sr-Cyrl-CS"/>
              </w:rPr>
              <w:t>USPN</w:t>
            </w:r>
          </w:p>
        </w:tc>
        <w:tc>
          <w:tcPr>
            <w:tcW w:w="4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555" w:type="pct"/>
            <w:shd w:val="clear" w:color="auto" w:fill="auto"/>
          </w:tcPr>
          <w:p w:rsidR="009A6D0D" w:rsidRPr="001A4D2F" w:rsidRDefault="00DF098D" w:rsidP="000553F1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  <w:r w:rsidR="009A6D0D" w:rsidRPr="001A4D2F">
              <w:rPr>
                <w:lang w:val="sr-Cyrl-CS"/>
              </w:rPr>
              <w:t>/</w:t>
            </w:r>
            <w:r>
              <w:rPr>
                <w:lang w:val="sr-Cyrl-CS"/>
              </w:rPr>
              <w:t>Sredstva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međunarodnih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  <w:r w:rsidR="009A6D0D" w:rsidRPr="001A4D2F">
              <w:rPr>
                <w:lang w:val="sr-Cyrl-CS"/>
              </w:rPr>
              <w:t xml:space="preserve"> </w:t>
            </w:r>
          </w:p>
        </w:tc>
        <w:tc>
          <w:tcPr>
            <w:tcW w:w="409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63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3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763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</w:tbl>
    <w:p w:rsidR="00FC4AE1" w:rsidRPr="001A4D2F" w:rsidRDefault="00FC4AE1" w:rsidP="00C11F8E">
      <w:pPr>
        <w:rPr>
          <w:lang w:val="sr-Cyrl-CS"/>
        </w:rPr>
      </w:pPr>
    </w:p>
    <w:p w:rsidR="00E81497" w:rsidRDefault="00E81497" w:rsidP="00C11F8E"/>
    <w:p w:rsidR="00733095" w:rsidRDefault="00733095" w:rsidP="00C11F8E"/>
    <w:p w:rsidR="00733095" w:rsidRDefault="00733095" w:rsidP="00C11F8E"/>
    <w:p w:rsidR="00733095" w:rsidRDefault="00733095" w:rsidP="00C11F8E"/>
    <w:p w:rsidR="00733095" w:rsidRDefault="00733095" w:rsidP="00C11F8E"/>
    <w:p w:rsidR="00733095" w:rsidRDefault="00733095" w:rsidP="00C11F8E"/>
    <w:p w:rsidR="00733095" w:rsidRDefault="00733095" w:rsidP="00C11F8E"/>
    <w:p w:rsidR="00733095" w:rsidRDefault="00733095" w:rsidP="00C11F8E"/>
    <w:p w:rsidR="00733095" w:rsidRPr="00733095" w:rsidRDefault="00733095" w:rsidP="00C11F8E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4"/>
        <w:gridCol w:w="1463"/>
        <w:gridCol w:w="1587"/>
        <w:gridCol w:w="965"/>
        <w:gridCol w:w="767"/>
        <w:gridCol w:w="1695"/>
        <w:gridCol w:w="1525"/>
        <w:gridCol w:w="1562"/>
        <w:gridCol w:w="1369"/>
      </w:tblGrid>
      <w:tr w:rsidR="00E81497" w:rsidRPr="001A4D2F" w:rsidTr="00C11F8E">
        <w:trPr>
          <w:trHeight w:val="270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DF098D" w:rsidP="00C11F8E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17" w:name="_Toc32409920"/>
            <w:r>
              <w:rPr>
                <w:rFonts w:cs="Times New Roman"/>
                <w:sz w:val="24"/>
                <w:lang w:val="sr-Cyrl-CS"/>
              </w:rPr>
              <w:lastRenderedPageBreak/>
              <w:t>Mera</w:t>
            </w:r>
            <w:r w:rsidR="006301B6" w:rsidRPr="001A4D2F">
              <w:rPr>
                <w:rFonts w:cs="Times New Roman"/>
                <w:sz w:val="24"/>
                <w:lang w:val="sr-Cyrl-CS"/>
              </w:rPr>
              <w:t xml:space="preserve"> 4.2: </w:t>
            </w:r>
            <w:r>
              <w:rPr>
                <w:rFonts w:cs="Times New Roman"/>
                <w:sz w:val="24"/>
                <w:lang w:val="sr-Cyrl-CS"/>
              </w:rPr>
              <w:t>Obezbeđenje</w:t>
            </w:r>
            <w:r w:rsidR="00E81497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efikasnosti</w:t>
            </w:r>
            <w:r w:rsidR="006301B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sprovođenja</w:t>
            </w:r>
            <w:r w:rsidR="00E81497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aktivnosti</w:t>
            </w:r>
            <w:r w:rsidR="00E81497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na</w:t>
            </w:r>
            <w:r w:rsidR="00E81497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praćenju</w:t>
            </w:r>
            <w:r w:rsidR="00E81497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prekograničnih</w:t>
            </w:r>
            <w:r w:rsidR="00E81497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rizika</w:t>
            </w:r>
            <w:r w:rsidR="00E81497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za</w:t>
            </w:r>
            <w:r w:rsidR="00E81497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finansiranje</w:t>
            </w:r>
            <w:r w:rsidR="00E81497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terorizma</w:t>
            </w:r>
            <w:bookmarkEnd w:id="17"/>
          </w:p>
        </w:tc>
      </w:tr>
      <w:tr w:rsidR="00E81497" w:rsidRPr="001A4D2F" w:rsidTr="00C11F8E">
        <w:trPr>
          <w:trHeight w:val="382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Institucija</w:t>
            </w:r>
            <w:r w:rsidR="00E81497" w:rsidRPr="001A4D2F">
              <w:rPr>
                <w:lang w:val="sr-Cyrl-CS"/>
              </w:rPr>
              <w:t xml:space="preserve"> o</w:t>
            </w:r>
            <w:r>
              <w:rPr>
                <w:lang w:val="sr-Cyrl-CS"/>
              </w:rPr>
              <w:t>dgovorna</w:t>
            </w:r>
            <w:r w:rsidR="00E8149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E8149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sprovođenje</w:t>
            </w:r>
            <w:r w:rsidR="00E81497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koordinisanje</w:t>
            </w:r>
            <w:r w:rsidR="00E8149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sprovođenja</w:t>
            </w:r>
            <w:r w:rsidR="00E81497" w:rsidRPr="001A4D2F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mere</w:t>
            </w:r>
            <w:r w:rsidR="00E81497" w:rsidRPr="001A4D2F">
              <w:rPr>
                <w:lang w:val="sr-Cyrl-CS"/>
              </w:rPr>
              <w:t>:</w:t>
            </w:r>
            <w:r w:rsidR="00F07D7D" w:rsidRPr="001A4D2F">
              <w:rPr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Koordinaciono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telo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za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sprečavanje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pranja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novca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i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finansiranja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terorizma</w:t>
            </w:r>
          </w:p>
        </w:tc>
      </w:tr>
      <w:tr w:rsidR="00E81497" w:rsidRPr="001A4D2F" w:rsidTr="0003799E">
        <w:trPr>
          <w:trHeight w:val="346"/>
        </w:trPr>
        <w:tc>
          <w:tcPr>
            <w:tcW w:w="2555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Period</w:t>
            </w:r>
            <w:r w:rsidR="00E8149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sprovođenja</w:t>
            </w:r>
            <w:r w:rsidR="00E81497" w:rsidRPr="001A4D2F">
              <w:rPr>
                <w:lang w:val="sr-Cyrl-CS"/>
              </w:rPr>
              <w:t>:</w:t>
            </w:r>
            <w:r w:rsidR="007405F7" w:rsidRPr="001A4D2F">
              <w:rPr>
                <w:lang w:val="sr-Cyrl-CS"/>
              </w:rPr>
              <w:t xml:space="preserve"> 2020-2022.</w:t>
            </w:r>
          </w:p>
        </w:tc>
        <w:tc>
          <w:tcPr>
            <w:tcW w:w="2445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Tip</w:t>
            </w:r>
            <w:r w:rsidR="00E8149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E81497" w:rsidRPr="001A4D2F">
              <w:rPr>
                <w:lang w:val="sr-Cyrl-CS"/>
              </w:rPr>
              <w:t>:</w:t>
            </w:r>
            <w:r w:rsidR="00DD68A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Informativno</w:t>
            </w:r>
            <w:r w:rsidR="00DD68A6" w:rsidRPr="001A4D2F">
              <w:rPr>
                <w:lang w:val="sr-Cyrl-CS"/>
              </w:rPr>
              <w:t>-</w:t>
            </w:r>
            <w:r>
              <w:rPr>
                <w:lang w:val="sr-Cyrl-CS"/>
              </w:rPr>
              <w:t>edukativna</w:t>
            </w:r>
          </w:p>
        </w:tc>
      </w:tr>
      <w:tr w:rsidR="00F3347F" w:rsidRPr="001A4D2F" w:rsidTr="00F3347F">
        <w:trPr>
          <w:trHeight w:val="595"/>
        </w:trPr>
        <w:tc>
          <w:tcPr>
            <w:tcW w:w="1136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Pokazatelj</w:t>
            </w:r>
            <w:r w:rsidR="00F3347F" w:rsidRPr="001A4D2F">
              <w:rPr>
                <w:lang w:val="sr-Cyrl-CS"/>
              </w:rPr>
              <w:t>(</w:t>
            </w:r>
            <w:r>
              <w:rPr>
                <w:lang w:val="sr-Cyrl-CS"/>
              </w:rPr>
              <w:t>i</w:t>
            </w:r>
            <w:r w:rsidR="00F3347F" w:rsidRPr="001A4D2F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nivou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F3347F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pokazatelj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rezultata</w:t>
            </w:r>
            <w:r w:rsidR="00F3347F" w:rsidRPr="001A4D2F">
              <w:rPr>
                <w:lang w:val="sr-Cyrl-CS"/>
              </w:rPr>
              <w:t>)</w:t>
            </w:r>
          </w:p>
        </w:tc>
        <w:tc>
          <w:tcPr>
            <w:tcW w:w="517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</w:t>
            </w:r>
            <w:r w:rsidR="00DF098D">
              <w:rPr>
                <w:lang w:val="sr-Cyrl-CS"/>
              </w:rPr>
              <w:t>edinica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mere</w:t>
            </w:r>
          </w:p>
          <w:p w:rsidR="00F3347F" w:rsidRPr="001A4D2F" w:rsidRDefault="00F3347F" w:rsidP="00C11F8E">
            <w:pPr>
              <w:rPr>
                <w:lang w:val="sr-Cyrl-CS"/>
              </w:rPr>
            </w:pPr>
          </w:p>
        </w:tc>
        <w:tc>
          <w:tcPr>
            <w:tcW w:w="561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Izvor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provere</w:t>
            </w:r>
          </w:p>
        </w:tc>
        <w:tc>
          <w:tcPr>
            <w:tcW w:w="612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Početna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F3347F" w:rsidRPr="001A4D2F">
              <w:rPr>
                <w:lang w:val="sr-Cyrl-CS"/>
              </w:rPr>
              <w:t xml:space="preserve"> </w:t>
            </w:r>
          </w:p>
        </w:tc>
        <w:tc>
          <w:tcPr>
            <w:tcW w:w="599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Bazna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godina</w:t>
            </w:r>
          </w:p>
        </w:tc>
        <w:tc>
          <w:tcPr>
            <w:tcW w:w="539" w:type="pct"/>
            <w:tcBorders>
              <w:top w:val="double" w:sz="4" w:space="0" w:color="auto"/>
            </w:tcBorders>
            <w:shd w:val="clear" w:color="auto" w:fill="D9D9D9"/>
          </w:tcPr>
          <w:p w:rsidR="00F3347F" w:rsidRPr="001A4D2F" w:rsidRDefault="00DF098D" w:rsidP="00CB13E8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F3347F" w:rsidRPr="001A4D2F">
              <w:rPr>
                <w:lang w:val="sr-Cyrl-CS"/>
              </w:rPr>
              <w:t xml:space="preserve"> 2020.</w:t>
            </w:r>
          </w:p>
        </w:tc>
        <w:tc>
          <w:tcPr>
            <w:tcW w:w="552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F3347F" w:rsidRPr="001A4D2F" w:rsidRDefault="00DF098D" w:rsidP="00CB13E8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F3347F" w:rsidRPr="001A4D2F">
              <w:rPr>
                <w:lang w:val="sr-Cyrl-CS"/>
              </w:rPr>
              <w:t xml:space="preserve"> 2021.</w:t>
            </w:r>
          </w:p>
        </w:tc>
        <w:tc>
          <w:tcPr>
            <w:tcW w:w="484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F3347F" w:rsidRPr="001A4D2F" w:rsidRDefault="00DF098D" w:rsidP="00CB13E8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885F9C" w:rsidRPr="001A4D2F">
              <w:rPr>
                <w:lang w:val="sr-Cyrl-CS"/>
              </w:rPr>
              <w:t xml:space="preserve"> 2022.</w:t>
            </w:r>
          </w:p>
        </w:tc>
      </w:tr>
      <w:tr w:rsidR="00E81497" w:rsidRPr="001A4D2F" w:rsidTr="00F3347F">
        <w:trPr>
          <w:trHeight w:val="381"/>
        </w:trPr>
        <w:tc>
          <w:tcPr>
            <w:tcW w:w="1136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DF098D" w:rsidP="00D5399E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Održan</w:t>
            </w:r>
            <w:r w:rsidR="00B56E7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kontinuitet</w:t>
            </w:r>
            <w:r w:rsidR="00D5399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obuka</w:t>
            </w:r>
            <w:r w:rsidR="00D5399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carinskih</w:t>
            </w:r>
            <w:r w:rsidR="00D5399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službenika</w:t>
            </w:r>
            <w:r w:rsidR="00D5399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D5399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graničnih</w:t>
            </w:r>
            <w:r w:rsidR="00D5399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policajaca</w:t>
            </w:r>
            <w:r w:rsidR="00D5399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D5399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prepoznavanje</w:t>
            </w:r>
            <w:r w:rsidR="00D5399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rizika</w:t>
            </w:r>
            <w:r w:rsidR="00D5399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</w:t>
            </w:r>
            <w:r w:rsidR="00D5399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finansiranja</w:t>
            </w:r>
            <w:r w:rsidR="00D5399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terorizma</w:t>
            </w:r>
          </w:p>
        </w:tc>
        <w:tc>
          <w:tcPr>
            <w:tcW w:w="517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DF098D" w:rsidP="00C11F8E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  <w:r w:rsidR="00D5399E" w:rsidRPr="001A4D2F">
              <w:rPr>
                <w:lang w:val="sr-Cyrl-CS"/>
              </w:rPr>
              <w:t>/</w:t>
            </w:r>
            <w:r>
              <w:rPr>
                <w:lang w:val="sr-Cyrl-CS"/>
              </w:rPr>
              <w:t>Ne</w:t>
            </w:r>
          </w:p>
        </w:tc>
        <w:tc>
          <w:tcPr>
            <w:tcW w:w="561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DF098D" w:rsidP="00C11F8E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7405F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</w:t>
            </w:r>
            <w:r w:rsidR="007405F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obuka</w:t>
            </w:r>
            <w:r w:rsidR="007405F7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Izveštaj</w:t>
            </w:r>
            <w:r w:rsidR="007405F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7405F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radu</w:t>
            </w:r>
            <w:r w:rsidR="007405F7" w:rsidRPr="001A4D2F">
              <w:rPr>
                <w:lang w:val="sr-Cyrl-CS"/>
              </w:rPr>
              <w:t xml:space="preserve"> </w:t>
            </w:r>
          </w:p>
        </w:tc>
        <w:tc>
          <w:tcPr>
            <w:tcW w:w="61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DF098D" w:rsidP="00C11F8E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599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7405F7" w:rsidP="00DD68A6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20</w:t>
            </w:r>
            <w:r w:rsidR="00DD68A6" w:rsidRPr="001A4D2F">
              <w:rPr>
                <w:lang w:val="sr-Cyrl-CS"/>
              </w:rPr>
              <w:t>19</w:t>
            </w:r>
            <w:r w:rsidRPr="001A4D2F">
              <w:rPr>
                <w:lang w:val="sr-Cyrl-CS"/>
              </w:rPr>
              <w:t>.</w:t>
            </w:r>
          </w:p>
        </w:tc>
        <w:tc>
          <w:tcPr>
            <w:tcW w:w="5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DF098D" w:rsidP="00C11F8E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5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1497" w:rsidRPr="001A4D2F" w:rsidRDefault="00DF098D" w:rsidP="00C11F8E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48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1497" w:rsidRPr="001A4D2F" w:rsidRDefault="00DF098D" w:rsidP="00C11F8E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</w:tr>
      <w:tr w:rsidR="00E81497" w:rsidRPr="001A4D2F" w:rsidTr="00F3347F">
        <w:trPr>
          <w:trHeight w:val="595"/>
        </w:trPr>
        <w:tc>
          <w:tcPr>
            <w:tcW w:w="1136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DF098D" w:rsidP="00C11F8E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Izrađena</w:t>
            </w:r>
            <w:r w:rsidR="00B56E7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analiza</w:t>
            </w:r>
            <w:r w:rsidR="00B56E7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alternativnih</w:t>
            </w:r>
            <w:r w:rsidR="0003799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načina</w:t>
            </w:r>
            <w:r w:rsidR="0003799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03799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prenos</w:t>
            </w:r>
            <w:r w:rsidR="0003799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imovine</w:t>
            </w:r>
            <w:r w:rsidR="0003799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kao</w:t>
            </w:r>
            <w:r w:rsidR="0003799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03799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korišćenje</w:t>
            </w:r>
            <w:r w:rsidR="0003799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savremenih</w:t>
            </w:r>
            <w:r w:rsidR="0003799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tehnologija</w:t>
            </w:r>
          </w:p>
        </w:tc>
        <w:tc>
          <w:tcPr>
            <w:tcW w:w="517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DF098D" w:rsidP="00C11F8E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  <w:r w:rsidR="0003799E" w:rsidRPr="001A4D2F">
              <w:rPr>
                <w:lang w:val="sr-Cyrl-CS"/>
              </w:rPr>
              <w:t>/</w:t>
            </w:r>
            <w:r>
              <w:rPr>
                <w:lang w:val="sr-Cyrl-CS"/>
              </w:rPr>
              <w:t>Ne</w:t>
            </w:r>
          </w:p>
        </w:tc>
        <w:tc>
          <w:tcPr>
            <w:tcW w:w="561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DF098D" w:rsidP="00C11F8E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Analiza</w:t>
            </w:r>
          </w:p>
        </w:tc>
        <w:tc>
          <w:tcPr>
            <w:tcW w:w="612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DF098D" w:rsidP="00C11F8E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Ne</w:t>
            </w:r>
          </w:p>
        </w:tc>
        <w:tc>
          <w:tcPr>
            <w:tcW w:w="599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03799E" w:rsidP="00C11F8E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2019</w:t>
            </w:r>
            <w:r w:rsidR="00A927A4" w:rsidRPr="001A4D2F">
              <w:rPr>
                <w:lang w:val="sr-Cyrl-CS"/>
              </w:rPr>
              <w:t>.</w:t>
            </w:r>
          </w:p>
        </w:tc>
        <w:tc>
          <w:tcPr>
            <w:tcW w:w="5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E81497" w:rsidRPr="001A4D2F" w:rsidRDefault="00DF098D" w:rsidP="00C11F8E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Ne</w:t>
            </w:r>
          </w:p>
        </w:tc>
        <w:tc>
          <w:tcPr>
            <w:tcW w:w="552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1497" w:rsidRPr="001A4D2F" w:rsidRDefault="00DF098D" w:rsidP="00C11F8E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48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E81497" w:rsidRPr="001A4D2F" w:rsidRDefault="00E81497" w:rsidP="00C11F8E">
            <w:pPr>
              <w:shd w:val="clear" w:color="auto" w:fill="FFFFFF"/>
              <w:rPr>
                <w:lang w:val="sr-Cyrl-CS"/>
              </w:rPr>
            </w:pPr>
          </w:p>
        </w:tc>
      </w:tr>
    </w:tbl>
    <w:p w:rsidR="00FC4AE1" w:rsidRDefault="00FC4AE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Pr="00566361" w:rsidRDefault="00566361" w:rsidP="00C11F8E"/>
    <w:p w:rsidR="00E81497" w:rsidRPr="001A4D2F" w:rsidRDefault="00E81497" w:rsidP="00C11F8E">
      <w:pPr>
        <w:rPr>
          <w:lang w:val="sr-Cyrl-C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3"/>
        <w:gridCol w:w="1268"/>
        <w:gridCol w:w="1372"/>
        <w:gridCol w:w="1285"/>
        <w:gridCol w:w="1740"/>
        <w:gridCol w:w="1282"/>
        <w:gridCol w:w="1556"/>
        <w:gridCol w:w="1466"/>
        <w:gridCol w:w="1525"/>
      </w:tblGrid>
      <w:tr w:rsidR="00E81497" w:rsidRPr="001A4D2F" w:rsidTr="00C11F8E">
        <w:trPr>
          <w:trHeight w:val="140"/>
        </w:trPr>
        <w:tc>
          <w:tcPr>
            <w:tcW w:w="938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Naziv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aktivnosti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44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Organ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koji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sprovodi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lastRenderedPageBreak/>
              <w:t>aktivnost</w:t>
            </w:r>
          </w:p>
        </w:tc>
        <w:tc>
          <w:tcPr>
            <w:tcW w:w="485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E81497" w:rsidP="00C11F8E">
            <w:pPr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lastRenderedPageBreak/>
              <w:t>O</w:t>
            </w:r>
            <w:r w:rsidR="00DF098D">
              <w:rPr>
                <w:b/>
                <w:sz w:val="18"/>
                <w:szCs w:val="18"/>
                <w:lang w:val="sr-Cyrl-CS"/>
              </w:rPr>
              <w:t>rgani</w:t>
            </w:r>
            <w:r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partneri</w:t>
            </w:r>
            <w:r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u</w:t>
            </w:r>
            <w:r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lastRenderedPageBreak/>
              <w:t>sprovođenju</w:t>
            </w:r>
            <w:r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aktivnosti</w:t>
            </w:r>
          </w:p>
        </w:tc>
        <w:tc>
          <w:tcPr>
            <w:tcW w:w="45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lastRenderedPageBreak/>
              <w:t>Rok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za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završetak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lastRenderedPageBreak/>
              <w:t>aktivnosti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lastRenderedPageBreak/>
              <w:t>Izvor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finansiranja</w:t>
            </w:r>
          </w:p>
        </w:tc>
        <w:tc>
          <w:tcPr>
            <w:tcW w:w="45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Veza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sa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programskim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lastRenderedPageBreak/>
              <w:t>budžetom</w:t>
            </w:r>
          </w:p>
          <w:p w:rsidR="00E81497" w:rsidRPr="00566361" w:rsidRDefault="00E81497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607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lastRenderedPageBreak/>
              <w:t>Ukupna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procenjena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finansijska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sredstva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po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izvorima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u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000 </w:t>
            </w:r>
            <w:r>
              <w:rPr>
                <w:b/>
                <w:sz w:val="18"/>
                <w:szCs w:val="18"/>
                <w:lang w:val="sr-Cyrl-CS"/>
              </w:rPr>
              <w:t>din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>.</w:t>
            </w:r>
          </w:p>
        </w:tc>
      </w:tr>
      <w:tr w:rsidR="00876914" w:rsidRPr="001A4D2F" w:rsidTr="00C11F8E">
        <w:trPr>
          <w:trHeight w:val="386"/>
        </w:trPr>
        <w:tc>
          <w:tcPr>
            <w:tcW w:w="938" w:type="pct"/>
            <w:vMerge/>
            <w:tcBorders>
              <w:left w:val="double" w:sz="4" w:space="0" w:color="auto"/>
            </w:tcBorders>
            <w:shd w:val="clear" w:color="auto" w:fill="FFF2CC"/>
          </w:tcPr>
          <w:p w:rsidR="00876914" w:rsidRPr="00566361" w:rsidRDefault="00876914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48" w:type="pct"/>
            <w:vMerge/>
            <w:shd w:val="clear" w:color="auto" w:fill="FFF2CC"/>
          </w:tcPr>
          <w:p w:rsidR="00876914" w:rsidRPr="00566361" w:rsidRDefault="00876914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85" w:type="pct"/>
            <w:vMerge/>
            <w:shd w:val="clear" w:color="auto" w:fill="FFF2CC"/>
          </w:tcPr>
          <w:p w:rsidR="00876914" w:rsidRPr="00566361" w:rsidRDefault="00876914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54" w:type="pct"/>
            <w:vMerge/>
            <w:shd w:val="clear" w:color="auto" w:fill="FFF2CC"/>
          </w:tcPr>
          <w:p w:rsidR="00876914" w:rsidRPr="00566361" w:rsidRDefault="00876914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615" w:type="pct"/>
            <w:vMerge/>
            <w:shd w:val="clear" w:color="auto" w:fill="FFF2CC"/>
          </w:tcPr>
          <w:p w:rsidR="00876914" w:rsidRPr="00566361" w:rsidRDefault="00876914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453" w:type="pct"/>
            <w:vMerge/>
            <w:shd w:val="clear" w:color="auto" w:fill="FFF2CC"/>
          </w:tcPr>
          <w:p w:rsidR="00876914" w:rsidRPr="00566361" w:rsidRDefault="00876914" w:rsidP="00C11F8E">
            <w:pPr>
              <w:rPr>
                <w:sz w:val="18"/>
                <w:szCs w:val="18"/>
                <w:lang w:val="sr-Cyrl-CS"/>
              </w:rPr>
            </w:pPr>
          </w:p>
        </w:tc>
        <w:tc>
          <w:tcPr>
            <w:tcW w:w="550" w:type="pct"/>
            <w:shd w:val="clear" w:color="auto" w:fill="E5DFEC" w:themeFill="accent4" w:themeFillTint="33"/>
          </w:tcPr>
          <w:p w:rsidR="00876914" w:rsidRPr="00566361" w:rsidRDefault="0087691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>2020</w:t>
            </w:r>
            <w:r w:rsidR="001B4CBD" w:rsidRPr="00566361">
              <w:rPr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518" w:type="pct"/>
            <w:shd w:val="clear" w:color="auto" w:fill="E5DFEC" w:themeFill="accent4" w:themeFillTint="33"/>
          </w:tcPr>
          <w:p w:rsidR="00876914" w:rsidRPr="00566361" w:rsidRDefault="0087691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>2021</w:t>
            </w:r>
            <w:r w:rsidR="001B4CBD" w:rsidRPr="00566361">
              <w:rPr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539" w:type="pct"/>
            <w:shd w:val="clear" w:color="auto" w:fill="E5DFEC" w:themeFill="accent4" w:themeFillTint="33"/>
          </w:tcPr>
          <w:p w:rsidR="00876914" w:rsidRPr="00566361" w:rsidRDefault="0087691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>2022</w:t>
            </w:r>
            <w:r w:rsidR="001B4CBD" w:rsidRPr="00566361">
              <w:rPr>
                <w:b/>
                <w:sz w:val="18"/>
                <w:szCs w:val="18"/>
                <w:lang w:val="sr-Cyrl-CS"/>
              </w:rPr>
              <w:t>.</w:t>
            </w:r>
          </w:p>
        </w:tc>
      </w:tr>
      <w:tr w:rsidR="009A6D0D" w:rsidRPr="001A4D2F" w:rsidTr="006E272C">
        <w:trPr>
          <w:trHeight w:val="1610"/>
        </w:trPr>
        <w:tc>
          <w:tcPr>
            <w:tcW w:w="938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contextualSpacing/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4.2.1 </w:t>
            </w:r>
            <w:r w:rsidR="00DF098D">
              <w:rPr>
                <w:lang w:val="sr-Cyrl-CS"/>
              </w:rPr>
              <w:t>Kontinuirano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održavati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obuke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pripadnika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granične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policije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cilju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prepoznavanja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od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Pr="001A4D2F">
              <w:rPr>
                <w:lang w:val="sr-Cyrl-CS"/>
              </w:rPr>
              <w:t>;</w:t>
            </w:r>
          </w:p>
        </w:tc>
        <w:tc>
          <w:tcPr>
            <w:tcW w:w="448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MUP</w:t>
            </w:r>
            <w:r w:rsidR="009A6D0D" w:rsidRPr="001A4D2F">
              <w:rPr>
                <w:lang w:val="sr-Cyrl-CS"/>
              </w:rPr>
              <w:t xml:space="preserve"> </w:t>
            </w:r>
          </w:p>
        </w:tc>
        <w:tc>
          <w:tcPr>
            <w:tcW w:w="485" w:type="pct"/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</w:p>
        </w:tc>
        <w:tc>
          <w:tcPr>
            <w:tcW w:w="454" w:type="pct"/>
            <w:shd w:val="clear" w:color="auto" w:fill="auto"/>
          </w:tcPr>
          <w:p w:rsidR="009A6D0D" w:rsidRPr="001A4D2F" w:rsidRDefault="009A6D0D" w:rsidP="0003799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615" w:type="pct"/>
            <w:shd w:val="clear" w:color="auto" w:fill="auto"/>
          </w:tcPr>
          <w:p w:rsidR="009A6D0D" w:rsidRPr="001A4D2F" w:rsidRDefault="00DF098D" w:rsidP="00C11F8E">
            <w:pPr>
              <w:rPr>
                <w:highlight w:val="yellow"/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  <w:r w:rsidR="009A6D0D" w:rsidRPr="001A4D2F">
              <w:rPr>
                <w:lang w:val="sr-Cyrl-CS"/>
              </w:rPr>
              <w:t>/</w:t>
            </w:r>
            <w:r>
              <w:rPr>
                <w:lang w:val="sr-Cyrl-CS"/>
              </w:rPr>
              <w:t>Sredstva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</w:p>
        </w:tc>
        <w:tc>
          <w:tcPr>
            <w:tcW w:w="453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5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39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6E272C">
        <w:trPr>
          <w:trHeight w:val="1610"/>
        </w:trPr>
        <w:tc>
          <w:tcPr>
            <w:tcW w:w="938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contextualSpacing/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4.2.2 </w:t>
            </w:r>
            <w:r w:rsidR="00DF098D">
              <w:rPr>
                <w:lang w:val="sr-Cyrl-CS"/>
              </w:rPr>
              <w:t>Kontinuirano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održavati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obuke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carinskih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službenika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cilju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prepoznavanja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od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Pr="001A4D2F">
              <w:rPr>
                <w:lang w:val="sr-Cyrl-CS"/>
              </w:rPr>
              <w:t>;</w:t>
            </w:r>
          </w:p>
        </w:tc>
        <w:tc>
          <w:tcPr>
            <w:tcW w:w="448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UC</w:t>
            </w:r>
          </w:p>
        </w:tc>
        <w:tc>
          <w:tcPr>
            <w:tcW w:w="485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USPN</w:t>
            </w:r>
            <w:r w:rsidR="00A366A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MUP</w:t>
            </w:r>
          </w:p>
        </w:tc>
        <w:tc>
          <w:tcPr>
            <w:tcW w:w="454" w:type="pct"/>
            <w:shd w:val="clear" w:color="auto" w:fill="auto"/>
          </w:tcPr>
          <w:p w:rsidR="009A6D0D" w:rsidRPr="001A4D2F" w:rsidRDefault="009A6D0D" w:rsidP="0003799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615" w:type="pct"/>
            <w:shd w:val="clear" w:color="auto" w:fill="auto"/>
          </w:tcPr>
          <w:p w:rsidR="009A6D0D" w:rsidRPr="001A4D2F" w:rsidRDefault="00DF098D" w:rsidP="0003799E">
            <w:pPr>
              <w:rPr>
                <w:highlight w:val="yellow"/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  <w:r w:rsidR="009A6D0D" w:rsidRPr="001A4D2F">
              <w:rPr>
                <w:lang w:val="sr-Cyrl-CS"/>
              </w:rPr>
              <w:t>/</w:t>
            </w:r>
            <w:r>
              <w:rPr>
                <w:lang w:val="sr-Cyrl-CS"/>
              </w:rPr>
              <w:t>Sredstva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</w:p>
        </w:tc>
        <w:tc>
          <w:tcPr>
            <w:tcW w:w="453" w:type="pct"/>
            <w:shd w:val="clear" w:color="auto" w:fill="auto"/>
          </w:tcPr>
          <w:p w:rsidR="009A6D0D" w:rsidRPr="001A4D2F" w:rsidRDefault="009A6D0D" w:rsidP="0003799E">
            <w:pPr>
              <w:rPr>
                <w:lang w:val="sr-Cyrl-CS"/>
              </w:rPr>
            </w:pPr>
          </w:p>
        </w:tc>
        <w:tc>
          <w:tcPr>
            <w:tcW w:w="550" w:type="pct"/>
            <w:shd w:val="clear" w:color="auto" w:fill="auto"/>
          </w:tcPr>
          <w:p w:rsidR="009A6D0D" w:rsidRPr="001A4D2F" w:rsidRDefault="009A6D0D" w:rsidP="0003799E">
            <w:pPr>
              <w:rPr>
                <w:lang w:val="sr-Cyrl-CS"/>
              </w:rPr>
            </w:pPr>
          </w:p>
        </w:tc>
        <w:tc>
          <w:tcPr>
            <w:tcW w:w="518" w:type="pct"/>
            <w:shd w:val="clear" w:color="auto" w:fill="auto"/>
          </w:tcPr>
          <w:p w:rsidR="009A6D0D" w:rsidRPr="001A4D2F" w:rsidRDefault="009A6D0D" w:rsidP="0003799E">
            <w:pPr>
              <w:rPr>
                <w:lang w:val="sr-Cyrl-CS"/>
              </w:rPr>
            </w:pPr>
          </w:p>
        </w:tc>
        <w:tc>
          <w:tcPr>
            <w:tcW w:w="539" w:type="pct"/>
            <w:shd w:val="clear" w:color="auto" w:fill="auto"/>
          </w:tcPr>
          <w:p w:rsidR="009A6D0D" w:rsidRPr="001A4D2F" w:rsidRDefault="009A6D0D" w:rsidP="0003799E">
            <w:pPr>
              <w:rPr>
                <w:lang w:val="sr-Cyrl-CS"/>
              </w:rPr>
            </w:pPr>
          </w:p>
        </w:tc>
      </w:tr>
      <w:tr w:rsidR="009A6D0D" w:rsidRPr="001A4D2F" w:rsidTr="00C11F8E">
        <w:trPr>
          <w:trHeight w:val="140"/>
        </w:trPr>
        <w:tc>
          <w:tcPr>
            <w:tcW w:w="938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4.2.3 </w:t>
            </w:r>
            <w:r w:rsidR="00DF098D">
              <w:rPr>
                <w:lang w:val="sr-Cyrl-CS"/>
              </w:rPr>
              <w:t>Sagledavanje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alternativnih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načina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prenos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imovine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korišćenja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savremenih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tehnologija</w:t>
            </w:r>
            <w:r w:rsidR="000C4208" w:rsidRPr="001A4D2F">
              <w:rPr>
                <w:lang w:val="sr-Cyrl-CS"/>
              </w:rPr>
              <w:t xml:space="preserve"> (</w:t>
            </w:r>
            <w:r w:rsidR="00DF098D">
              <w:rPr>
                <w:lang w:val="sr-Cyrl-CS"/>
              </w:rPr>
              <w:t>virtuelna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imovina</w:t>
            </w:r>
            <w:r w:rsidR="000C4208"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strane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institucije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prenos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novca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dr</w:t>
            </w:r>
            <w:r w:rsidR="000C4208" w:rsidRPr="001A4D2F">
              <w:rPr>
                <w:lang w:val="sr-Cyrl-CS"/>
              </w:rPr>
              <w:t xml:space="preserve">.) </w:t>
            </w:r>
            <w:r w:rsidR="00DF098D">
              <w:rPr>
                <w:lang w:val="sr-Cyrl-CS"/>
              </w:rPr>
              <w:t>za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finansiranje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usvojiti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nove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mere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prema</w:t>
            </w:r>
            <w:r w:rsidR="000C4208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potrebi</w:t>
            </w:r>
            <w:r w:rsidR="000C4208" w:rsidRPr="001A4D2F">
              <w:rPr>
                <w:lang w:val="sr-Cyrl-CS"/>
              </w:rPr>
              <w:t>;</w:t>
            </w:r>
          </w:p>
        </w:tc>
        <w:tc>
          <w:tcPr>
            <w:tcW w:w="448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NKT</w:t>
            </w:r>
          </w:p>
        </w:tc>
        <w:tc>
          <w:tcPr>
            <w:tcW w:w="485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NBS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KHOV</w:t>
            </w:r>
            <w:r w:rsidR="009A6D0D" w:rsidRPr="001A4D2F">
              <w:rPr>
                <w:lang w:val="sr-Cyrl-CS"/>
              </w:rPr>
              <w:t>,</w:t>
            </w:r>
          </w:p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BIA</w:t>
            </w:r>
            <w:r w:rsidR="009A6D0D" w:rsidRPr="001A4D2F">
              <w:rPr>
                <w:lang w:val="sr-Cyrl-CS"/>
              </w:rPr>
              <w:t>,</w:t>
            </w:r>
          </w:p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MUP</w:t>
            </w:r>
            <w:r w:rsidR="00294720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USPN</w:t>
            </w:r>
            <w:r w:rsidR="009A6D0D" w:rsidRPr="001A4D2F">
              <w:rPr>
                <w:lang w:val="sr-Cyrl-CS"/>
              </w:rPr>
              <w:t>,</w:t>
            </w:r>
          </w:p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KSNBiZTP</w:t>
            </w:r>
          </w:p>
        </w:tc>
        <w:tc>
          <w:tcPr>
            <w:tcW w:w="454" w:type="pct"/>
            <w:shd w:val="clear" w:color="auto" w:fill="auto"/>
          </w:tcPr>
          <w:p w:rsidR="009A6D0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Analiza</w:t>
            </w:r>
            <w:r w:rsidR="009A6D0D" w:rsidRPr="001A4D2F">
              <w:rPr>
                <w:lang w:val="sr-Cyrl-CS"/>
              </w:rPr>
              <w:t xml:space="preserve">: IV </w:t>
            </w:r>
            <w:r>
              <w:rPr>
                <w:lang w:val="sr-Cyrl-CS"/>
              </w:rPr>
              <w:t>kvartal</w:t>
            </w:r>
            <w:r w:rsidR="009A6D0D" w:rsidRPr="001A4D2F">
              <w:rPr>
                <w:lang w:val="sr-Cyrl-CS"/>
              </w:rPr>
              <w:t xml:space="preserve"> 2021; </w:t>
            </w:r>
            <w:r>
              <w:rPr>
                <w:lang w:val="sr-Cyrl-CS"/>
              </w:rPr>
              <w:t>Usvajanje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novih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mera</w:t>
            </w:r>
            <w:r w:rsidR="009A6D0D" w:rsidRPr="001A4D2F">
              <w:rPr>
                <w:lang w:val="sr-Cyrl-CS"/>
              </w:rPr>
              <w:t xml:space="preserve">: IV </w:t>
            </w:r>
            <w:r>
              <w:rPr>
                <w:lang w:val="sr-Cyrl-CS"/>
              </w:rPr>
              <w:t>kvartal</w:t>
            </w:r>
            <w:r w:rsidR="009A6D0D" w:rsidRPr="001A4D2F">
              <w:rPr>
                <w:lang w:val="sr-Cyrl-CS"/>
              </w:rPr>
              <w:t xml:space="preserve"> 2022.</w:t>
            </w:r>
          </w:p>
        </w:tc>
        <w:tc>
          <w:tcPr>
            <w:tcW w:w="615" w:type="pct"/>
            <w:shd w:val="clear" w:color="auto" w:fill="auto"/>
          </w:tcPr>
          <w:p w:rsidR="009A6D0D" w:rsidRPr="001A4D2F" w:rsidRDefault="00DF098D" w:rsidP="00C11F8E">
            <w:pPr>
              <w:rPr>
                <w:highlight w:val="yellow"/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  <w:r w:rsidR="009A6D0D" w:rsidRPr="001A4D2F">
              <w:rPr>
                <w:lang w:val="sr-Cyrl-CS"/>
              </w:rPr>
              <w:t>/</w:t>
            </w:r>
            <w:r>
              <w:rPr>
                <w:lang w:val="sr-Cyrl-CS"/>
              </w:rPr>
              <w:t>Sredstva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</w:p>
        </w:tc>
        <w:tc>
          <w:tcPr>
            <w:tcW w:w="453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5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39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</w:tbl>
    <w:p w:rsidR="00FC4AE1" w:rsidRPr="001A4D2F" w:rsidRDefault="00FC4AE1" w:rsidP="00C11F8E">
      <w:pPr>
        <w:rPr>
          <w:lang w:val="sr-Cyrl-CS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2"/>
        <w:gridCol w:w="1845"/>
        <w:gridCol w:w="2538"/>
        <w:gridCol w:w="153"/>
        <w:gridCol w:w="1418"/>
        <w:gridCol w:w="883"/>
        <w:gridCol w:w="1446"/>
        <w:gridCol w:w="8"/>
        <w:gridCol w:w="1491"/>
        <w:gridCol w:w="1423"/>
      </w:tblGrid>
      <w:tr w:rsidR="00E81497" w:rsidRPr="001A4D2F" w:rsidTr="0003799E">
        <w:trPr>
          <w:trHeight w:val="169"/>
        </w:trPr>
        <w:tc>
          <w:tcPr>
            <w:tcW w:w="5000" w:type="pct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DF098D" w:rsidP="001A47C0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18" w:name="_Toc32409921"/>
            <w:r>
              <w:rPr>
                <w:rFonts w:cs="Times New Roman"/>
                <w:sz w:val="24"/>
                <w:lang w:val="sr-Cyrl-CS"/>
              </w:rPr>
              <w:lastRenderedPageBreak/>
              <w:t>Mera</w:t>
            </w:r>
            <w:r w:rsidR="00E81497" w:rsidRPr="001A4D2F">
              <w:rPr>
                <w:rFonts w:cs="Times New Roman"/>
                <w:sz w:val="24"/>
                <w:lang w:val="sr-Cyrl-CS"/>
              </w:rPr>
              <w:t xml:space="preserve"> 4.3: </w:t>
            </w:r>
            <w:r>
              <w:rPr>
                <w:rFonts w:cs="Times New Roman"/>
                <w:sz w:val="24"/>
                <w:lang w:val="sr-Cyrl-CS"/>
              </w:rPr>
              <w:t>Unapređenje</w:t>
            </w:r>
            <w:r w:rsidR="00165CB9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okvira</w:t>
            </w:r>
            <w:r w:rsidR="001A47C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za</w:t>
            </w:r>
            <w:r w:rsidR="001A47C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sprečavanje</w:t>
            </w:r>
            <w:r w:rsidR="001A47C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zloupotrebe</w:t>
            </w:r>
            <w:r w:rsidR="001A47C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neprofitnog</w:t>
            </w:r>
            <w:r w:rsidR="001A47C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sektora</w:t>
            </w:r>
            <w:r w:rsidR="001A47C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u</w:t>
            </w:r>
            <w:r w:rsidR="001A47C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svrhe</w:t>
            </w:r>
            <w:r w:rsidR="001A47C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finansiranja</w:t>
            </w:r>
            <w:r w:rsidR="001A47C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terorizma</w:t>
            </w:r>
            <w:r w:rsidR="001A47C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kroz</w:t>
            </w:r>
            <w:r w:rsidR="001A47C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aktivnu</w:t>
            </w:r>
            <w:r w:rsidR="001A47C0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saradnju</w:t>
            </w:r>
            <w:r w:rsidR="00165CB9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između</w:t>
            </w:r>
            <w:r w:rsidR="00165CB9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javnog</w:t>
            </w:r>
            <w:r w:rsidR="00165CB9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</w:t>
            </w:r>
            <w:r w:rsidR="00165CB9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neprofitnog</w:t>
            </w:r>
            <w:r w:rsidR="00165CB9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sektora</w:t>
            </w:r>
            <w:bookmarkEnd w:id="18"/>
          </w:p>
        </w:tc>
      </w:tr>
      <w:tr w:rsidR="00E81497" w:rsidRPr="001A4D2F" w:rsidTr="0003799E">
        <w:trPr>
          <w:trHeight w:val="300"/>
        </w:trPr>
        <w:tc>
          <w:tcPr>
            <w:tcW w:w="5000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DF098D" w:rsidP="00C11F8E">
            <w:pPr>
              <w:rPr>
                <w:lang w:val="sr-Cyrl-CS"/>
              </w:rPr>
            </w:pPr>
            <w:r>
              <w:rPr>
                <w:rFonts w:eastAsia="Times New Roman"/>
                <w:color w:val="222222"/>
                <w:lang w:val="sr-Cyrl-CS"/>
              </w:rPr>
              <w:t>Institucija</w:t>
            </w:r>
            <w:r w:rsidR="00E81497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odgovorna</w:t>
            </w:r>
            <w:r w:rsidR="00E81497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za</w:t>
            </w:r>
            <w:r w:rsidR="00E81497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praćenje</w:t>
            </w:r>
            <w:r w:rsidR="00E81497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i</w:t>
            </w:r>
            <w:r w:rsidR="00E81497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kontrolu</w:t>
            </w:r>
            <w:r w:rsidR="00E81497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realizacije</w:t>
            </w:r>
            <w:r w:rsidR="00E81497" w:rsidRPr="001A4D2F">
              <w:rPr>
                <w:rFonts w:eastAsia="Times New Roman"/>
                <w:color w:val="222222"/>
                <w:lang w:val="sr-Cyrl-CS"/>
              </w:rPr>
              <w:t xml:space="preserve">: </w:t>
            </w:r>
            <w:r>
              <w:rPr>
                <w:rFonts w:eastAsia="Times New Roman"/>
                <w:color w:val="222222"/>
                <w:lang w:val="sr-Cyrl-CS"/>
              </w:rPr>
              <w:t>Koordinaciono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telo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za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sprečavanje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pranja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novca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i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finansiranja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terorizma</w:t>
            </w:r>
          </w:p>
        </w:tc>
      </w:tr>
      <w:tr w:rsidR="00E81497" w:rsidRPr="001A4D2F" w:rsidTr="0054380B">
        <w:trPr>
          <w:trHeight w:val="300"/>
        </w:trPr>
        <w:tc>
          <w:tcPr>
            <w:tcW w:w="2589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Period</w:t>
            </w:r>
            <w:r w:rsidR="00E8149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sprovođenja</w:t>
            </w:r>
            <w:r w:rsidR="00E81497" w:rsidRPr="001A4D2F">
              <w:rPr>
                <w:lang w:val="sr-Cyrl-CS"/>
              </w:rPr>
              <w:t>:</w:t>
            </w:r>
            <w:r w:rsidR="001A47C0" w:rsidRPr="001A4D2F">
              <w:rPr>
                <w:lang w:val="sr-Cyrl-CS"/>
              </w:rPr>
              <w:t xml:space="preserve"> 2020-2022.</w:t>
            </w:r>
          </w:p>
        </w:tc>
        <w:tc>
          <w:tcPr>
            <w:tcW w:w="2411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DF098D" w:rsidP="00224C1E">
            <w:pPr>
              <w:rPr>
                <w:lang w:val="sr-Cyrl-CS"/>
              </w:rPr>
            </w:pPr>
            <w:r>
              <w:rPr>
                <w:lang w:val="sr-Cyrl-CS"/>
              </w:rPr>
              <w:t>Tip</w:t>
            </w:r>
            <w:r w:rsidR="00E8149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E81497" w:rsidRPr="001A4D2F">
              <w:rPr>
                <w:lang w:val="sr-Cyrl-CS"/>
              </w:rPr>
              <w:t>: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Institucionalno</w:t>
            </w:r>
            <w:r w:rsidR="003030E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upravljačko</w:t>
            </w:r>
            <w:r w:rsidR="003030E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organizaciona</w:t>
            </w:r>
          </w:p>
        </w:tc>
      </w:tr>
      <w:tr w:rsidR="00F3347F" w:rsidRPr="001A4D2F" w:rsidTr="00F3347F">
        <w:trPr>
          <w:trHeight w:val="955"/>
        </w:trPr>
        <w:tc>
          <w:tcPr>
            <w:tcW w:w="1040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Pokazatelj</w:t>
            </w:r>
            <w:r w:rsidR="00F3347F" w:rsidRPr="001A4D2F">
              <w:rPr>
                <w:lang w:val="sr-Cyrl-CS"/>
              </w:rPr>
              <w:t>(</w:t>
            </w:r>
            <w:r>
              <w:rPr>
                <w:lang w:val="sr-Cyrl-CS"/>
              </w:rPr>
              <w:t>i</w:t>
            </w:r>
            <w:r w:rsidR="00F3347F" w:rsidRPr="001A4D2F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nivou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F3347F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pokazatelj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rezultata</w:t>
            </w:r>
            <w:r w:rsidR="00F3347F" w:rsidRPr="001A4D2F">
              <w:rPr>
                <w:lang w:val="sr-Cyrl-CS"/>
              </w:rPr>
              <w:t>)</w:t>
            </w:r>
          </w:p>
        </w:tc>
        <w:tc>
          <w:tcPr>
            <w:tcW w:w="652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</w:t>
            </w:r>
            <w:r w:rsidR="00DF098D">
              <w:rPr>
                <w:lang w:val="sr-Cyrl-CS"/>
              </w:rPr>
              <w:t>edinica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mere</w:t>
            </w:r>
          </w:p>
          <w:p w:rsidR="00F3347F" w:rsidRPr="001A4D2F" w:rsidRDefault="00F3347F" w:rsidP="00C11F8E">
            <w:pPr>
              <w:rPr>
                <w:lang w:val="sr-Cyrl-CS"/>
              </w:rPr>
            </w:pPr>
          </w:p>
        </w:tc>
        <w:tc>
          <w:tcPr>
            <w:tcW w:w="951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Izvor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provere</w:t>
            </w:r>
          </w:p>
        </w:tc>
        <w:tc>
          <w:tcPr>
            <w:tcW w:w="501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Početna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F3347F" w:rsidRPr="001A4D2F">
              <w:rPr>
                <w:lang w:val="sr-Cyrl-CS"/>
              </w:rPr>
              <w:t xml:space="preserve"> </w:t>
            </w:r>
          </w:p>
        </w:tc>
        <w:tc>
          <w:tcPr>
            <w:tcW w:w="312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Bazna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godina</w:t>
            </w:r>
          </w:p>
        </w:tc>
        <w:tc>
          <w:tcPr>
            <w:tcW w:w="514" w:type="pct"/>
            <w:gridSpan w:val="2"/>
            <w:tcBorders>
              <w:top w:val="double" w:sz="4" w:space="0" w:color="auto"/>
            </w:tcBorders>
            <w:shd w:val="clear" w:color="auto" w:fill="D9D9D9"/>
          </w:tcPr>
          <w:p w:rsidR="00F3347F" w:rsidRPr="001A4D2F" w:rsidRDefault="00DF098D" w:rsidP="00CB13E8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F3347F" w:rsidRPr="001A4D2F">
              <w:rPr>
                <w:lang w:val="sr-Cyrl-CS"/>
              </w:rPr>
              <w:t xml:space="preserve"> 2020.</w:t>
            </w:r>
          </w:p>
        </w:tc>
        <w:tc>
          <w:tcPr>
            <w:tcW w:w="527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F3347F" w:rsidRPr="001A4D2F" w:rsidRDefault="00DF098D" w:rsidP="00CB13E8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F3347F" w:rsidRPr="001A4D2F">
              <w:rPr>
                <w:lang w:val="sr-Cyrl-CS"/>
              </w:rPr>
              <w:t xml:space="preserve"> 2021.</w:t>
            </w:r>
          </w:p>
        </w:tc>
        <w:tc>
          <w:tcPr>
            <w:tcW w:w="503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F3347F" w:rsidRPr="001A4D2F" w:rsidRDefault="00DF098D" w:rsidP="00CB13E8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885F9C" w:rsidRPr="001A4D2F">
              <w:rPr>
                <w:lang w:val="sr-Cyrl-CS"/>
              </w:rPr>
              <w:t xml:space="preserve"> 2022.</w:t>
            </w:r>
          </w:p>
        </w:tc>
      </w:tr>
      <w:tr w:rsidR="00224C1E" w:rsidRPr="001A4D2F" w:rsidTr="00F3347F">
        <w:trPr>
          <w:trHeight w:val="304"/>
        </w:trPr>
        <w:tc>
          <w:tcPr>
            <w:tcW w:w="1040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24C1E" w:rsidRPr="001A4D2F" w:rsidRDefault="00DF098D" w:rsidP="000342B2">
            <w:pPr>
              <w:shd w:val="clear" w:color="auto" w:fill="FFFFFF"/>
              <w:rPr>
                <w:highlight w:val="yellow"/>
                <w:lang w:val="sr-Cyrl-CS"/>
              </w:rPr>
            </w:pPr>
            <w:r>
              <w:rPr>
                <w:lang w:val="sr-Cyrl-CS"/>
              </w:rPr>
              <w:t>Ocena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usklađenosti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međunarodnim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standardima</w:t>
            </w:r>
            <w:r w:rsidR="00224C1E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na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godišnjem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nivou</w:t>
            </w:r>
          </w:p>
        </w:tc>
        <w:tc>
          <w:tcPr>
            <w:tcW w:w="652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24C1E" w:rsidRPr="001A4D2F" w:rsidRDefault="00DF098D" w:rsidP="000342B2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a</w:t>
            </w:r>
            <w:r w:rsidR="00224C1E" w:rsidRPr="001A4D2F">
              <w:rPr>
                <w:color w:val="auto"/>
                <w:lang w:val="sr-Cyrl-CS"/>
              </w:rPr>
              <w:t xml:space="preserve">) </w:t>
            </w:r>
            <w:r>
              <w:rPr>
                <w:color w:val="auto"/>
                <w:lang w:val="sr-Cyrl-CS"/>
              </w:rPr>
              <w:t>neusklađen</w:t>
            </w:r>
          </w:p>
          <w:p w:rsidR="00224C1E" w:rsidRPr="001A4D2F" w:rsidRDefault="00DF098D" w:rsidP="000342B2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b</w:t>
            </w:r>
            <w:r w:rsidR="00BF22F8">
              <w:rPr>
                <w:color w:val="auto"/>
                <w:lang w:val="sr-Cyrl-CS"/>
              </w:rPr>
              <w:t xml:space="preserve">) </w:t>
            </w:r>
            <w:r>
              <w:rPr>
                <w:color w:val="auto"/>
                <w:lang w:val="sr-Cyrl-CS"/>
              </w:rPr>
              <w:t>delimično</w:t>
            </w:r>
            <w:r w:rsidR="00224C1E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usklađen</w:t>
            </w:r>
          </w:p>
          <w:p w:rsidR="00224C1E" w:rsidRPr="001A4D2F" w:rsidRDefault="00DF098D" w:rsidP="000342B2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v</w:t>
            </w:r>
            <w:r w:rsidR="00224C1E" w:rsidRPr="001A4D2F">
              <w:rPr>
                <w:color w:val="auto"/>
                <w:lang w:val="sr-Cyrl-CS"/>
              </w:rPr>
              <w:t xml:space="preserve">) </w:t>
            </w:r>
            <w:r>
              <w:rPr>
                <w:color w:val="auto"/>
                <w:lang w:val="sr-Cyrl-CS"/>
              </w:rPr>
              <w:t>u</w:t>
            </w:r>
            <w:r w:rsidR="00224C1E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velikoj</w:t>
            </w:r>
            <w:r w:rsidR="00224C1E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meri</w:t>
            </w:r>
            <w:r w:rsidR="00224C1E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usklađen</w:t>
            </w:r>
          </w:p>
          <w:p w:rsidR="00224C1E" w:rsidRPr="001A4D2F" w:rsidRDefault="00DF098D" w:rsidP="000342B2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g</w:t>
            </w:r>
            <w:r w:rsidR="00224C1E" w:rsidRPr="001A4D2F">
              <w:rPr>
                <w:color w:val="auto"/>
                <w:lang w:val="sr-Cyrl-CS"/>
              </w:rPr>
              <w:t xml:space="preserve">) </w:t>
            </w:r>
            <w:r>
              <w:rPr>
                <w:color w:val="auto"/>
                <w:lang w:val="sr-Cyrl-CS"/>
              </w:rPr>
              <w:t>usklađen</w:t>
            </w:r>
          </w:p>
        </w:tc>
        <w:tc>
          <w:tcPr>
            <w:tcW w:w="951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24C1E" w:rsidRPr="001A4D2F" w:rsidRDefault="00DF098D" w:rsidP="000342B2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nadležnih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organa</w:t>
            </w:r>
            <w:r w:rsidR="00224C1E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Izveštaj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relevantnih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organizacija</w:t>
            </w:r>
          </w:p>
        </w:tc>
        <w:tc>
          <w:tcPr>
            <w:tcW w:w="5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24C1E" w:rsidRPr="001A4D2F" w:rsidRDefault="00DF098D" w:rsidP="000342B2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Okvir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224C1E" w:rsidRPr="001A4D2F">
              <w:rPr>
                <w:lang w:val="sr-Cyrl-CS"/>
              </w:rPr>
              <w:t xml:space="preserve"> „</w:t>
            </w:r>
            <w:r>
              <w:rPr>
                <w:lang w:val="sr-Cyrl-CS"/>
              </w:rPr>
              <w:t>velikoj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meri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usklađen</w:t>
            </w:r>
            <w:r w:rsidR="00224C1E" w:rsidRPr="001A4D2F">
              <w:rPr>
                <w:lang w:val="sr-Cyrl-CS"/>
              </w:rPr>
              <w:t>“</w:t>
            </w:r>
          </w:p>
        </w:tc>
        <w:tc>
          <w:tcPr>
            <w:tcW w:w="312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24C1E" w:rsidRPr="001A4D2F" w:rsidRDefault="00224C1E" w:rsidP="000342B2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2019.</w:t>
            </w:r>
          </w:p>
        </w:tc>
        <w:tc>
          <w:tcPr>
            <w:tcW w:w="514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224C1E" w:rsidRPr="001A4D2F" w:rsidRDefault="00DF098D" w:rsidP="000342B2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Najmanje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velikoj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meri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usklađen</w:t>
            </w:r>
          </w:p>
        </w:tc>
        <w:tc>
          <w:tcPr>
            <w:tcW w:w="527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4C1E" w:rsidRPr="001A4D2F" w:rsidRDefault="00DF098D" w:rsidP="000342B2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Najmanje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velikoj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meri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usklađen</w:t>
            </w:r>
          </w:p>
        </w:tc>
        <w:tc>
          <w:tcPr>
            <w:tcW w:w="5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24C1E" w:rsidRPr="001A4D2F" w:rsidRDefault="00DF098D" w:rsidP="000342B2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Najmanje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velikoj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meri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usklađen</w:t>
            </w:r>
          </w:p>
        </w:tc>
      </w:tr>
      <w:tr w:rsidR="000A3B0D" w:rsidRPr="001A4D2F" w:rsidTr="00F3347F">
        <w:trPr>
          <w:trHeight w:val="595"/>
        </w:trPr>
        <w:tc>
          <w:tcPr>
            <w:tcW w:w="1040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799E" w:rsidRPr="001A4D2F" w:rsidRDefault="00DF098D" w:rsidP="000A3B0D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Zastupljenost</w:t>
            </w:r>
            <w:r w:rsidR="000A3B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neprofitnih</w:t>
            </w:r>
            <w:r w:rsidR="0003799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organizacija</w:t>
            </w:r>
            <w:r w:rsidR="0003799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0A3B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relevantnim</w:t>
            </w:r>
            <w:r w:rsidR="000A3B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aktivnostima</w:t>
            </w:r>
            <w:r w:rsidR="00224C1E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na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godišnjem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nivou</w:t>
            </w:r>
          </w:p>
        </w:tc>
        <w:tc>
          <w:tcPr>
            <w:tcW w:w="652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799E" w:rsidRPr="001A4D2F" w:rsidRDefault="00DF098D" w:rsidP="00AD151C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  <w:r w:rsidR="000A3B0D" w:rsidRPr="001A4D2F">
              <w:rPr>
                <w:lang w:val="sr-Cyrl-CS"/>
              </w:rPr>
              <w:t>/</w:t>
            </w:r>
            <w:r>
              <w:rPr>
                <w:lang w:val="sr-Cyrl-CS"/>
              </w:rPr>
              <w:t>Ne</w:t>
            </w:r>
          </w:p>
        </w:tc>
        <w:tc>
          <w:tcPr>
            <w:tcW w:w="951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799E" w:rsidRPr="001A4D2F" w:rsidRDefault="00DF098D" w:rsidP="0054380B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Izveštaji</w:t>
            </w:r>
            <w:r w:rsidR="0054380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54380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sprovedenim</w:t>
            </w:r>
            <w:r w:rsidR="0054380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aktivnostima</w:t>
            </w:r>
            <w:r w:rsidR="00F127C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54380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modalitetima</w:t>
            </w:r>
            <w:r w:rsidR="0054380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učešća</w:t>
            </w:r>
            <w:r w:rsidR="0054380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neprofitnih</w:t>
            </w:r>
            <w:r w:rsidR="0054380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organizacija</w:t>
            </w:r>
            <w:r w:rsidR="0054380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54380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njima</w:t>
            </w:r>
          </w:p>
        </w:tc>
        <w:tc>
          <w:tcPr>
            <w:tcW w:w="501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799E" w:rsidRPr="001A4D2F" w:rsidRDefault="00DF098D" w:rsidP="00AD151C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312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799E" w:rsidRPr="001A4D2F" w:rsidRDefault="000A3B0D" w:rsidP="00AD151C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2019</w:t>
            </w:r>
          </w:p>
        </w:tc>
        <w:tc>
          <w:tcPr>
            <w:tcW w:w="511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3799E" w:rsidRPr="001A4D2F" w:rsidRDefault="00DF098D" w:rsidP="00AD151C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530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799E" w:rsidRPr="001A4D2F" w:rsidRDefault="00DF098D" w:rsidP="00AD151C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  <w:tc>
          <w:tcPr>
            <w:tcW w:w="50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3799E" w:rsidRPr="001A4D2F" w:rsidRDefault="00DF098D" w:rsidP="00AD151C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Da</w:t>
            </w:r>
          </w:p>
        </w:tc>
      </w:tr>
    </w:tbl>
    <w:p w:rsidR="00FC4AE1" w:rsidRDefault="00FC4AE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Pr="00566361" w:rsidRDefault="00566361" w:rsidP="00C11F8E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1"/>
        <w:gridCol w:w="1479"/>
        <w:gridCol w:w="1350"/>
        <w:gridCol w:w="1265"/>
        <w:gridCol w:w="1712"/>
        <w:gridCol w:w="1262"/>
        <w:gridCol w:w="1531"/>
        <w:gridCol w:w="1443"/>
        <w:gridCol w:w="1494"/>
      </w:tblGrid>
      <w:tr w:rsidR="00E81497" w:rsidRPr="001A4D2F" w:rsidTr="00D53854">
        <w:trPr>
          <w:trHeight w:val="140"/>
          <w:tblHeader/>
        </w:trPr>
        <w:tc>
          <w:tcPr>
            <w:tcW w:w="923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Naziv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aktivnosti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23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Organ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koji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sprovodi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lastRenderedPageBreak/>
              <w:t>aktivnost</w:t>
            </w:r>
          </w:p>
        </w:tc>
        <w:tc>
          <w:tcPr>
            <w:tcW w:w="477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E81497" w:rsidP="00C11F8E">
            <w:pPr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lastRenderedPageBreak/>
              <w:t>O</w:t>
            </w:r>
            <w:r w:rsidR="00DF098D">
              <w:rPr>
                <w:b/>
                <w:sz w:val="18"/>
                <w:szCs w:val="18"/>
                <w:lang w:val="sr-Cyrl-CS"/>
              </w:rPr>
              <w:t>rgani</w:t>
            </w:r>
            <w:r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partneri</w:t>
            </w:r>
            <w:r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u</w:t>
            </w:r>
            <w:r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lastRenderedPageBreak/>
              <w:t>sprovođenju</w:t>
            </w:r>
            <w:r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aktivnosti</w:t>
            </w:r>
          </w:p>
        </w:tc>
        <w:tc>
          <w:tcPr>
            <w:tcW w:w="447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lastRenderedPageBreak/>
              <w:t>Rok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za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završetak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lastRenderedPageBreak/>
              <w:t>aktivnosti</w:t>
            </w:r>
          </w:p>
        </w:tc>
        <w:tc>
          <w:tcPr>
            <w:tcW w:w="605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lastRenderedPageBreak/>
              <w:t>Izvor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finansiranja</w:t>
            </w:r>
          </w:p>
        </w:tc>
        <w:tc>
          <w:tcPr>
            <w:tcW w:w="446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DF098D" w:rsidP="00C11F8E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Veza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sa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programskim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lastRenderedPageBreak/>
              <w:t>budžetom</w:t>
            </w:r>
          </w:p>
          <w:p w:rsidR="00E81497" w:rsidRPr="00566361" w:rsidRDefault="00E81497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579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E81497" w:rsidRPr="00566361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lastRenderedPageBreak/>
              <w:t>Ukupna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procenjena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finansijska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sredstva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po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izvorima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u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 xml:space="preserve"> 000 </w:t>
            </w:r>
            <w:r>
              <w:rPr>
                <w:b/>
                <w:sz w:val="18"/>
                <w:szCs w:val="18"/>
                <w:lang w:val="sr-Cyrl-CS"/>
              </w:rPr>
              <w:t>din</w:t>
            </w:r>
            <w:r w:rsidR="00E81497" w:rsidRPr="00566361">
              <w:rPr>
                <w:b/>
                <w:sz w:val="18"/>
                <w:szCs w:val="18"/>
                <w:lang w:val="sr-Cyrl-CS"/>
              </w:rPr>
              <w:t>.</w:t>
            </w:r>
          </w:p>
        </w:tc>
      </w:tr>
      <w:tr w:rsidR="00876914" w:rsidRPr="001A4D2F" w:rsidTr="00C11F8E">
        <w:trPr>
          <w:trHeight w:val="386"/>
          <w:tblHeader/>
        </w:trPr>
        <w:tc>
          <w:tcPr>
            <w:tcW w:w="923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876914" w:rsidRPr="00566361" w:rsidRDefault="00876914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23" w:type="pct"/>
            <w:vMerge/>
            <w:shd w:val="clear" w:color="auto" w:fill="E5DFEC" w:themeFill="accent4" w:themeFillTint="33"/>
          </w:tcPr>
          <w:p w:rsidR="00876914" w:rsidRPr="00566361" w:rsidRDefault="00876914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77" w:type="pct"/>
            <w:vMerge/>
            <w:shd w:val="clear" w:color="auto" w:fill="E5DFEC" w:themeFill="accent4" w:themeFillTint="33"/>
          </w:tcPr>
          <w:p w:rsidR="00876914" w:rsidRPr="00566361" w:rsidRDefault="00876914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47" w:type="pct"/>
            <w:vMerge/>
            <w:shd w:val="clear" w:color="auto" w:fill="E5DFEC" w:themeFill="accent4" w:themeFillTint="33"/>
          </w:tcPr>
          <w:p w:rsidR="00876914" w:rsidRPr="00566361" w:rsidRDefault="0087691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605" w:type="pct"/>
            <w:vMerge/>
            <w:shd w:val="clear" w:color="auto" w:fill="E5DFEC" w:themeFill="accent4" w:themeFillTint="33"/>
          </w:tcPr>
          <w:p w:rsidR="00876914" w:rsidRPr="00566361" w:rsidRDefault="0087691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46" w:type="pct"/>
            <w:vMerge/>
            <w:shd w:val="clear" w:color="auto" w:fill="E5DFEC" w:themeFill="accent4" w:themeFillTint="33"/>
          </w:tcPr>
          <w:p w:rsidR="00876914" w:rsidRPr="00566361" w:rsidRDefault="0087691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41" w:type="pct"/>
            <w:shd w:val="clear" w:color="auto" w:fill="E5DFEC" w:themeFill="accent4" w:themeFillTint="33"/>
          </w:tcPr>
          <w:p w:rsidR="00876914" w:rsidRPr="00566361" w:rsidRDefault="0087691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>2020</w:t>
            </w:r>
            <w:r w:rsidR="001B4CBD" w:rsidRPr="00566361">
              <w:rPr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510" w:type="pct"/>
            <w:shd w:val="clear" w:color="auto" w:fill="E5DFEC" w:themeFill="accent4" w:themeFillTint="33"/>
          </w:tcPr>
          <w:p w:rsidR="00876914" w:rsidRPr="00566361" w:rsidRDefault="0087691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>2021</w:t>
            </w:r>
            <w:r w:rsidR="001B4CBD" w:rsidRPr="00566361">
              <w:rPr>
                <w:b/>
                <w:sz w:val="18"/>
                <w:szCs w:val="18"/>
                <w:lang w:val="sr-Cyrl-CS"/>
              </w:rPr>
              <w:t>.</w:t>
            </w:r>
          </w:p>
        </w:tc>
        <w:tc>
          <w:tcPr>
            <w:tcW w:w="528" w:type="pct"/>
            <w:shd w:val="clear" w:color="auto" w:fill="E5DFEC" w:themeFill="accent4" w:themeFillTint="33"/>
          </w:tcPr>
          <w:p w:rsidR="00876914" w:rsidRPr="00566361" w:rsidRDefault="00876914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566361">
              <w:rPr>
                <w:b/>
                <w:sz w:val="18"/>
                <w:szCs w:val="18"/>
                <w:lang w:val="sr-Cyrl-CS"/>
              </w:rPr>
              <w:t>2022</w:t>
            </w:r>
            <w:r w:rsidR="001B4CBD" w:rsidRPr="00566361">
              <w:rPr>
                <w:b/>
                <w:sz w:val="18"/>
                <w:szCs w:val="18"/>
                <w:lang w:val="sr-Cyrl-CS"/>
              </w:rPr>
              <w:t>.</w:t>
            </w:r>
          </w:p>
        </w:tc>
      </w:tr>
      <w:tr w:rsidR="009A6D0D" w:rsidRPr="001A4D2F" w:rsidTr="001F1495">
        <w:trPr>
          <w:trHeight w:val="2401"/>
          <w:tblHeader/>
        </w:trPr>
        <w:tc>
          <w:tcPr>
            <w:tcW w:w="923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4.3.1.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participativnom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procesu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analizirati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propise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vezane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rad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nadležnih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organa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vezi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upisom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brisanjem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registra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evidencijom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nadzorom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saradnjom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neprofitnim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organizacijama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potrebi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prilagođavati</w:t>
            </w:r>
            <w:r w:rsidRPr="001A4D2F">
              <w:rPr>
                <w:lang w:val="sr-Cyrl-CS"/>
              </w:rPr>
              <w:t>;</w:t>
            </w:r>
          </w:p>
        </w:tc>
        <w:tc>
          <w:tcPr>
            <w:tcW w:w="523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77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MDULS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MKI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KZSCD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MPRIV</w:t>
            </w:r>
            <w:r w:rsidR="00294720" w:rsidRPr="001A4D2F">
              <w:rPr>
                <w:lang w:val="sr-Cyrl-CS"/>
              </w:rPr>
              <w:t xml:space="preserve"> </w:t>
            </w:r>
            <w:r w:rsidR="009A6D0D" w:rsidRPr="001A4D2F">
              <w:rPr>
                <w:lang w:val="sr-Cyrl-CS"/>
              </w:rPr>
              <w:t xml:space="preserve">– </w:t>
            </w:r>
            <w:r>
              <w:rPr>
                <w:lang w:val="sr-Cyrl-CS"/>
              </w:rPr>
              <w:t>APR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RGNPO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NPO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sektor</w:t>
            </w:r>
            <w:r w:rsidR="009A6D0D" w:rsidRPr="001A4D2F">
              <w:rPr>
                <w:lang w:val="sr-Cyrl-CS"/>
              </w:rPr>
              <w:t>,</w:t>
            </w:r>
          </w:p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USPN</w:t>
            </w:r>
          </w:p>
        </w:tc>
        <w:tc>
          <w:tcPr>
            <w:tcW w:w="447" w:type="pct"/>
            <w:shd w:val="clear" w:color="auto" w:fill="auto"/>
          </w:tcPr>
          <w:p w:rsidR="009A6D0D" w:rsidRPr="001A4D2F" w:rsidRDefault="00DF098D" w:rsidP="0054380B">
            <w:pPr>
              <w:rPr>
                <w:lang w:val="sr-Cyrl-CS"/>
              </w:rPr>
            </w:pPr>
            <w:r>
              <w:rPr>
                <w:lang w:val="sr-Cyrl-CS"/>
              </w:rPr>
              <w:t>Analiza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propisa</w:t>
            </w:r>
            <w:r w:rsidR="009A6D0D" w:rsidRPr="001A4D2F">
              <w:rPr>
                <w:lang w:val="sr-Cyrl-CS"/>
              </w:rPr>
              <w:t xml:space="preserve">: IV </w:t>
            </w:r>
            <w:r>
              <w:rPr>
                <w:lang w:val="sr-Cyrl-CS"/>
              </w:rPr>
              <w:t>kvartal</w:t>
            </w:r>
            <w:r w:rsidR="009A6D0D" w:rsidRPr="001A4D2F">
              <w:rPr>
                <w:lang w:val="sr-Cyrl-CS"/>
              </w:rPr>
              <w:t xml:space="preserve"> 2021; </w:t>
            </w:r>
            <w:r>
              <w:rPr>
                <w:lang w:val="sr-Cyrl-CS"/>
              </w:rPr>
              <w:t>Prilagođavanje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rezultatima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analize</w:t>
            </w:r>
            <w:r w:rsidR="009A6D0D" w:rsidRPr="001A4D2F">
              <w:rPr>
                <w:lang w:val="sr-Cyrl-CS"/>
              </w:rPr>
              <w:t xml:space="preserve">: IV </w:t>
            </w:r>
            <w:r>
              <w:rPr>
                <w:lang w:val="sr-Cyrl-CS"/>
              </w:rPr>
              <w:t>kvartal</w:t>
            </w:r>
            <w:r w:rsidR="009A6D0D" w:rsidRPr="001A4D2F">
              <w:rPr>
                <w:lang w:val="sr-Cyrl-CS"/>
              </w:rPr>
              <w:t xml:space="preserve"> 2022.</w:t>
            </w:r>
          </w:p>
        </w:tc>
        <w:tc>
          <w:tcPr>
            <w:tcW w:w="605" w:type="pct"/>
            <w:shd w:val="clear" w:color="auto" w:fill="auto"/>
          </w:tcPr>
          <w:p w:rsidR="009A6D0D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9A6D0D" w:rsidRPr="001A4D2F" w:rsidRDefault="009A6D0D" w:rsidP="00C11F8E">
            <w:pPr>
              <w:rPr>
                <w:lang w:val="sr-Cyrl-CS"/>
              </w:rPr>
            </w:pPr>
          </w:p>
          <w:p w:rsidR="009A6D0D" w:rsidRPr="001A4D2F" w:rsidRDefault="00DF098D" w:rsidP="001F1495">
            <w:pPr>
              <w:pStyle w:val="basic-paragraph"/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</w:p>
        </w:tc>
        <w:tc>
          <w:tcPr>
            <w:tcW w:w="44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41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2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C11F8E">
        <w:trPr>
          <w:trHeight w:val="140"/>
          <w:tblHeader/>
        </w:trPr>
        <w:tc>
          <w:tcPr>
            <w:tcW w:w="923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4.3.2 </w:t>
            </w:r>
            <w:r w:rsidR="00DF098D">
              <w:rPr>
                <w:lang w:val="sr-Cyrl-CS"/>
              </w:rPr>
              <w:t>Ažuriranje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analize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neprofitnog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sektora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participativnom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procesu</w:t>
            </w:r>
            <w:r w:rsidR="003F46B0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sa</w:t>
            </w:r>
            <w:r w:rsidR="003F46B0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aspekta</w:t>
            </w:r>
            <w:r w:rsidR="003F46B0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ranjivosti</w:t>
            </w:r>
            <w:r w:rsidR="003F46B0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od</w:t>
            </w:r>
            <w:r w:rsidR="003F46B0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Pr="001A4D2F">
              <w:rPr>
                <w:lang w:val="sr-Cyrl-CS"/>
              </w:rPr>
              <w:t>;</w:t>
            </w:r>
          </w:p>
        </w:tc>
        <w:tc>
          <w:tcPr>
            <w:tcW w:w="523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77" w:type="pct"/>
            <w:shd w:val="clear" w:color="auto" w:fill="auto"/>
          </w:tcPr>
          <w:p w:rsidR="009A6D0D" w:rsidRPr="001A4D2F" w:rsidRDefault="00DF098D" w:rsidP="00294720">
            <w:pPr>
              <w:rPr>
                <w:lang w:val="sr-Cyrl-CS"/>
              </w:rPr>
            </w:pPr>
            <w:r>
              <w:rPr>
                <w:lang w:val="sr-Cyrl-CS"/>
              </w:rPr>
              <w:t>MDULS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MKI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MF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APR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KZSCD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RGNPO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NKT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NPO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Sektor</w:t>
            </w:r>
            <w:r w:rsidR="009A6D0D" w:rsidRPr="001A4D2F">
              <w:rPr>
                <w:lang w:val="sr-Cyrl-CS"/>
              </w:rPr>
              <w:t>,</w:t>
            </w:r>
          </w:p>
        </w:tc>
        <w:tc>
          <w:tcPr>
            <w:tcW w:w="447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2020.</w:t>
            </w:r>
          </w:p>
        </w:tc>
        <w:tc>
          <w:tcPr>
            <w:tcW w:w="605" w:type="pct"/>
            <w:shd w:val="clear" w:color="auto" w:fill="auto"/>
          </w:tcPr>
          <w:p w:rsidR="009A6D0D" w:rsidRPr="001A4D2F" w:rsidRDefault="00DF098D" w:rsidP="000553F1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9A6D0D" w:rsidRPr="001A4D2F" w:rsidRDefault="009A6D0D" w:rsidP="000553F1">
            <w:pPr>
              <w:rPr>
                <w:lang w:val="sr-Cyrl-CS"/>
              </w:rPr>
            </w:pPr>
          </w:p>
          <w:p w:rsidR="009A6D0D" w:rsidRPr="001A4D2F" w:rsidRDefault="00DF098D" w:rsidP="000553F1">
            <w:pPr>
              <w:rPr>
                <w:highlight w:val="yellow"/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domaćih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</w:p>
        </w:tc>
        <w:tc>
          <w:tcPr>
            <w:tcW w:w="44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41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2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CB13E8">
        <w:trPr>
          <w:trHeight w:val="1884"/>
          <w:tblHeader/>
        </w:trPr>
        <w:tc>
          <w:tcPr>
            <w:tcW w:w="923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Del="004B2CB5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4.3.3 </w:t>
            </w:r>
            <w:r w:rsidR="00DF098D">
              <w:rPr>
                <w:lang w:val="sr-Cyrl-CS"/>
              </w:rPr>
              <w:t>Nastaviti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sprovođenjem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nadzora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neprofitnim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organizacijama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analizirati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rezultate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sastavljati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statističke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izveštaje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sprovedenim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nadzorima</w:t>
            </w:r>
            <w:r w:rsidRPr="001A4D2F">
              <w:rPr>
                <w:lang w:val="sr-Cyrl-CS"/>
              </w:rPr>
              <w:t xml:space="preserve">; </w:t>
            </w:r>
          </w:p>
        </w:tc>
        <w:tc>
          <w:tcPr>
            <w:tcW w:w="523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KKZIN</w:t>
            </w:r>
          </w:p>
        </w:tc>
        <w:tc>
          <w:tcPr>
            <w:tcW w:w="477" w:type="pct"/>
            <w:shd w:val="clear" w:color="auto" w:fill="auto"/>
          </w:tcPr>
          <w:p w:rsidR="009A6D0D" w:rsidRPr="001A4D2F" w:rsidRDefault="00DF098D" w:rsidP="00294720">
            <w:pPr>
              <w:rPr>
                <w:lang w:val="sr-Cyrl-CS"/>
              </w:rPr>
            </w:pPr>
            <w:r>
              <w:rPr>
                <w:lang w:val="sr-Cyrl-CS"/>
              </w:rPr>
              <w:t>RGNPO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MKI</w:t>
            </w:r>
          </w:p>
        </w:tc>
        <w:tc>
          <w:tcPr>
            <w:tcW w:w="447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605" w:type="pct"/>
            <w:shd w:val="clear" w:color="auto" w:fill="auto"/>
          </w:tcPr>
          <w:p w:rsidR="009A6D0D" w:rsidRPr="001A4D2F" w:rsidRDefault="00DF098D" w:rsidP="000553F1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9A6D0D" w:rsidRPr="001A4D2F" w:rsidRDefault="009A6D0D" w:rsidP="000553F1">
            <w:pPr>
              <w:rPr>
                <w:lang w:val="sr-Cyrl-CS"/>
              </w:rPr>
            </w:pPr>
          </w:p>
          <w:p w:rsidR="009A6D0D" w:rsidRPr="001A4D2F" w:rsidRDefault="009A6D0D" w:rsidP="000553F1">
            <w:pPr>
              <w:rPr>
                <w:highlight w:val="yellow"/>
                <w:lang w:val="sr-Cyrl-CS"/>
              </w:rPr>
            </w:pPr>
          </w:p>
        </w:tc>
        <w:tc>
          <w:tcPr>
            <w:tcW w:w="44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41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2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C11F8E">
        <w:trPr>
          <w:trHeight w:val="140"/>
          <w:tblHeader/>
        </w:trPr>
        <w:tc>
          <w:tcPr>
            <w:tcW w:w="923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4.3.4 </w:t>
            </w:r>
            <w:r w:rsidR="00DF098D">
              <w:rPr>
                <w:lang w:val="sr-Cyrl-CS"/>
              </w:rPr>
              <w:t>Ažurirati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kriterijume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procedure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sprovođenje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nadzora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neprofitnim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organizacijama</w:t>
            </w:r>
            <w:r w:rsidRPr="001A4D2F">
              <w:rPr>
                <w:lang w:val="sr-Cyrl-CS"/>
              </w:rPr>
              <w:t xml:space="preserve"> (</w:t>
            </w:r>
            <w:r w:rsidR="00DF098D">
              <w:rPr>
                <w:lang w:val="sr-Cyrl-CS"/>
              </w:rPr>
              <w:t>Matrica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  <w:r w:rsidRPr="001A4D2F">
              <w:rPr>
                <w:lang w:val="sr-Cyrl-CS"/>
              </w:rPr>
              <w:t xml:space="preserve">) </w:t>
            </w:r>
          </w:p>
        </w:tc>
        <w:tc>
          <w:tcPr>
            <w:tcW w:w="523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KKZIN</w:t>
            </w:r>
          </w:p>
        </w:tc>
        <w:tc>
          <w:tcPr>
            <w:tcW w:w="477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RGNPO</w:t>
            </w:r>
          </w:p>
        </w:tc>
        <w:tc>
          <w:tcPr>
            <w:tcW w:w="447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605" w:type="pct"/>
            <w:shd w:val="clear" w:color="auto" w:fill="auto"/>
          </w:tcPr>
          <w:p w:rsidR="009A6D0D" w:rsidRPr="001A4D2F" w:rsidRDefault="009A6D0D" w:rsidP="00C11F8E">
            <w:pPr>
              <w:rPr>
                <w:highlight w:val="yellow"/>
                <w:lang w:val="sr-Cyrl-CS"/>
              </w:rPr>
            </w:pPr>
          </w:p>
        </w:tc>
        <w:tc>
          <w:tcPr>
            <w:tcW w:w="44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41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2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C11F8E">
        <w:trPr>
          <w:trHeight w:val="140"/>
          <w:tblHeader/>
        </w:trPr>
        <w:tc>
          <w:tcPr>
            <w:tcW w:w="923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4.3.5 </w:t>
            </w:r>
            <w:r w:rsidR="00DF098D">
              <w:rPr>
                <w:lang w:val="sr-Cyrl-CS"/>
              </w:rPr>
              <w:t>Unaprediti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saradnju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neprofitnim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sektorom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donatorima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kroz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promovisanje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transparentnosti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odgovornosti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integriteta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mehanizama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samoregulacije</w:t>
            </w:r>
            <w:r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vršenja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edukacije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razmene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primera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dobre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prakse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svrhu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smanjenja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rizika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njihove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zloupotrebe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od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finansiranja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Pr="001A4D2F">
              <w:rPr>
                <w:lang w:val="sr-Cyrl-CS"/>
              </w:rPr>
              <w:t>;</w:t>
            </w:r>
          </w:p>
        </w:tc>
        <w:tc>
          <w:tcPr>
            <w:tcW w:w="523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KSCD</w:t>
            </w:r>
          </w:p>
        </w:tc>
        <w:tc>
          <w:tcPr>
            <w:tcW w:w="477" w:type="pct"/>
            <w:shd w:val="clear" w:color="auto" w:fill="auto"/>
          </w:tcPr>
          <w:p w:rsidR="009A6D0D" w:rsidRPr="001A4D2F" w:rsidRDefault="00DF098D" w:rsidP="00065149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NPO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sektor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donatori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USPN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MUP</w:t>
            </w:r>
          </w:p>
        </w:tc>
        <w:tc>
          <w:tcPr>
            <w:tcW w:w="447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605" w:type="pct"/>
            <w:shd w:val="clear" w:color="auto" w:fill="auto"/>
          </w:tcPr>
          <w:p w:rsidR="009A6D0D" w:rsidRPr="001A4D2F" w:rsidRDefault="00DF098D" w:rsidP="000553F1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9A6D0D" w:rsidRPr="001A4D2F" w:rsidRDefault="009A6D0D" w:rsidP="000553F1">
            <w:pPr>
              <w:rPr>
                <w:lang w:val="sr-Cyrl-CS"/>
              </w:rPr>
            </w:pPr>
          </w:p>
          <w:p w:rsidR="009A6D0D" w:rsidRPr="001A4D2F" w:rsidRDefault="00DF098D" w:rsidP="000553F1">
            <w:pPr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domaćih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</w:p>
        </w:tc>
        <w:tc>
          <w:tcPr>
            <w:tcW w:w="44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41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2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CB13E8">
        <w:trPr>
          <w:trHeight w:val="1946"/>
          <w:tblHeader/>
        </w:trPr>
        <w:tc>
          <w:tcPr>
            <w:tcW w:w="923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081B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4.3.6 </w:t>
            </w:r>
            <w:r w:rsidR="00DF098D">
              <w:rPr>
                <w:lang w:val="sr-Cyrl-CS"/>
              </w:rPr>
              <w:t>Analizirati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postojeće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kadrovske</w:t>
            </w:r>
            <w:r w:rsidR="009A6D0D"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tehnološke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finansijske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kapacitete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organa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nadležnih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upis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brisanje</w:t>
            </w:r>
            <w:r w:rsidR="009A6D0D"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evidenciju</w:t>
            </w:r>
            <w:r w:rsidR="009A6D0D"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nadzor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saradnju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neprofitnim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sektorom</w:t>
            </w:r>
            <w:r w:rsidR="009A6D0D" w:rsidRPr="001A4D2F">
              <w:rPr>
                <w:lang w:val="sr-Cyrl-CS"/>
              </w:rPr>
              <w:t xml:space="preserve"> </w:t>
            </w:r>
          </w:p>
        </w:tc>
        <w:tc>
          <w:tcPr>
            <w:tcW w:w="523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77" w:type="pct"/>
            <w:shd w:val="clear" w:color="auto" w:fill="auto"/>
          </w:tcPr>
          <w:p w:rsidR="009A6D0D" w:rsidRPr="001A4D2F" w:rsidRDefault="00DF098D" w:rsidP="00F90196">
            <w:pPr>
              <w:rPr>
                <w:lang w:val="sr-Cyrl-CS"/>
              </w:rPr>
            </w:pPr>
            <w:r>
              <w:rPr>
                <w:lang w:val="sr-Cyrl-CS"/>
              </w:rPr>
              <w:t>MDULS</w:t>
            </w:r>
            <w:r w:rsidR="008E086E" w:rsidRPr="001A4D2F">
              <w:rPr>
                <w:lang w:val="sr-Cyrl-CS"/>
              </w:rPr>
              <w:t xml:space="preserve"> –</w:t>
            </w:r>
            <w:r>
              <w:rPr>
                <w:lang w:val="sr-Cyrl-CS"/>
              </w:rPr>
              <w:t>UI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MKI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KSCD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MPRIV</w:t>
            </w:r>
            <w:r w:rsidR="00065149" w:rsidRPr="001A4D2F">
              <w:rPr>
                <w:lang w:val="sr-Cyrl-CS"/>
              </w:rPr>
              <w:t xml:space="preserve"> </w:t>
            </w:r>
            <w:r w:rsidR="009A6D0D" w:rsidRPr="001A4D2F">
              <w:rPr>
                <w:lang w:val="sr-Cyrl-CS"/>
              </w:rPr>
              <w:t xml:space="preserve">– </w:t>
            </w:r>
            <w:r>
              <w:rPr>
                <w:lang w:val="sr-Cyrl-CS"/>
              </w:rPr>
              <w:t>APR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MF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RGNPO</w:t>
            </w:r>
          </w:p>
        </w:tc>
        <w:tc>
          <w:tcPr>
            <w:tcW w:w="447" w:type="pct"/>
            <w:shd w:val="clear" w:color="auto" w:fill="auto"/>
          </w:tcPr>
          <w:p w:rsidR="009A6D0D" w:rsidRPr="001A4D2F" w:rsidRDefault="00DF098D" w:rsidP="003F6C47">
            <w:pPr>
              <w:rPr>
                <w:lang w:val="sr-Cyrl-CS"/>
              </w:rPr>
            </w:pPr>
            <w:r>
              <w:rPr>
                <w:lang w:val="sr-Cyrl-CS"/>
              </w:rPr>
              <w:t>Analiza</w:t>
            </w:r>
            <w:r w:rsidR="009A6D0D" w:rsidRPr="001A4D2F">
              <w:rPr>
                <w:lang w:val="sr-Cyrl-CS"/>
              </w:rPr>
              <w:t xml:space="preserve">: IV </w:t>
            </w:r>
            <w:r>
              <w:rPr>
                <w:lang w:val="sr-Cyrl-CS"/>
              </w:rPr>
              <w:t>kvartal</w:t>
            </w:r>
            <w:r w:rsidR="009A6D0D" w:rsidRPr="001A4D2F">
              <w:rPr>
                <w:lang w:val="sr-Cyrl-CS"/>
              </w:rPr>
              <w:t xml:space="preserve"> 2021. </w:t>
            </w:r>
          </w:p>
        </w:tc>
        <w:tc>
          <w:tcPr>
            <w:tcW w:w="605" w:type="pct"/>
            <w:shd w:val="clear" w:color="auto" w:fill="auto"/>
          </w:tcPr>
          <w:p w:rsidR="009A6D0D" w:rsidRPr="001A4D2F" w:rsidRDefault="00DF098D" w:rsidP="000553F1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9A6D0D" w:rsidRPr="001A4D2F" w:rsidRDefault="009A6D0D" w:rsidP="000553F1">
            <w:pPr>
              <w:rPr>
                <w:lang w:val="sr-Cyrl-CS"/>
              </w:rPr>
            </w:pPr>
          </w:p>
          <w:p w:rsidR="009A6D0D" w:rsidRPr="001A4D2F" w:rsidRDefault="00DF098D" w:rsidP="000553F1">
            <w:pPr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domaćih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</w:p>
        </w:tc>
        <w:tc>
          <w:tcPr>
            <w:tcW w:w="44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41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2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C11F8E">
        <w:trPr>
          <w:trHeight w:val="140"/>
          <w:tblHeader/>
        </w:trPr>
        <w:tc>
          <w:tcPr>
            <w:tcW w:w="923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4.3.7 </w:t>
            </w:r>
            <w:r w:rsidR="00DF098D">
              <w:rPr>
                <w:lang w:val="sr-Cyrl-CS"/>
              </w:rPr>
              <w:t>Unaprediti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sistem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kapacitete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nadležnih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organa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skladu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analizom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iz</w:t>
            </w:r>
            <w:r w:rsidRPr="001A4D2F">
              <w:rPr>
                <w:lang w:val="sr-Cyrl-CS"/>
              </w:rPr>
              <w:t xml:space="preserve"> 4.3.6;</w:t>
            </w:r>
          </w:p>
        </w:tc>
        <w:tc>
          <w:tcPr>
            <w:tcW w:w="523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VRS</w:t>
            </w:r>
          </w:p>
        </w:tc>
        <w:tc>
          <w:tcPr>
            <w:tcW w:w="477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47" w:type="pct"/>
            <w:shd w:val="clear" w:color="auto" w:fill="auto"/>
          </w:tcPr>
          <w:p w:rsidR="009A6D0D" w:rsidRPr="001A4D2F" w:rsidRDefault="009A6D0D" w:rsidP="00F42CD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605" w:type="pct"/>
            <w:shd w:val="clear" w:color="auto" w:fill="auto"/>
          </w:tcPr>
          <w:p w:rsidR="009A6D0D" w:rsidRPr="001A4D2F" w:rsidRDefault="00DF098D" w:rsidP="000553F1">
            <w:pPr>
              <w:rPr>
                <w:lang w:val="sr-Cyrl-CS"/>
              </w:rPr>
            </w:pPr>
            <w:r>
              <w:rPr>
                <w:lang w:val="sr-Cyrl-CS"/>
              </w:rPr>
              <w:t>Shodno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rezultatima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analize</w:t>
            </w:r>
            <w:r w:rsidR="009A6D0D" w:rsidRPr="001A4D2F">
              <w:rPr>
                <w:lang w:val="sr-Cyrl-CS"/>
              </w:rPr>
              <w:t xml:space="preserve">. </w:t>
            </w:r>
            <w:r>
              <w:rPr>
                <w:lang w:val="sr-Cyrl-CS"/>
              </w:rPr>
              <w:t>Biće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predmet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ažuriranog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akcionog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plana</w:t>
            </w:r>
            <w:r w:rsidR="009A6D0D" w:rsidRPr="001A4D2F">
              <w:rPr>
                <w:lang w:val="sr-Cyrl-CS"/>
              </w:rPr>
              <w:t xml:space="preserve">. </w:t>
            </w:r>
          </w:p>
        </w:tc>
        <w:tc>
          <w:tcPr>
            <w:tcW w:w="44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41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2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C11F8E">
        <w:trPr>
          <w:trHeight w:val="140"/>
          <w:tblHeader/>
        </w:trPr>
        <w:tc>
          <w:tcPr>
            <w:tcW w:w="923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4.3.8 </w:t>
            </w:r>
            <w:r w:rsidR="00DF098D">
              <w:rPr>
                <w:lang w:val="sr-Cyrl-CS"/>
              </w:rPr>
              <w:t>Nastaviti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održavanjem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obuka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inspektora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nadležnih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institucija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nadzor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neprofitnog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sektora</w:t>
            </w:r>
            <w:r w:rsidRPr="001A4D2F">
              <w:rPr>
                <w:lang w:val="sr-Cyrl-CS"/>
              </w:rPr>
              <w:t>;</w:t>
            </w:r>
          </w:p>
        </w:tc>
        <w:tc>
          <w:tcPr>
            <w:tcW w:w="523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77" w:type="pct"/>
            <w:shd w:val="clear" w:color="auto" w:fill="auto"/>
          </w:tcPr>
          <w:p w:rsidR="009A6D0D" w:rsidRPr="001A4D2F" w:rsidRDefault="00DF098D" w:rsidP="00065149">
            <w:pPr>
              <w:rPr>
                <w:lang w:val="sr-Cyrl-CS"/>
              </w:rPr>
            </w:pPr>
            <w:r>
              <w:rPr>
                <w:lang w:val="sr-Cyrl-CS"/>
              </w:rPr>
              <w:t>KKZIN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RGNPO</w:t>
            </w:r>
          </w:p>
        </w:tc>
        <w:tc>
          <w:tcPr>
            <w:tcW w:w="447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605" w:type="pct"/>
            <w:shd w:val="clear" w:color="auto" w:fill="auto"/>
          </w:tcPr>
          <w:p w:rsidR="009A6D0D" w:rsidRPr="001A4D2F" w:rsidRDefault="00DF098D" w:rsidP="000553F1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9A6D0D" w:rsidRPr="001A4D2F" w:rsidRDefault="009A6D0D" w:rsidP="000553F1">
            <w:pPr>
              <w:rPr>
                <w:lang w:val="sr-Cyrl-CS"/>
              </w:rPr>
            </w:pPr>
          </w:p>
          <w:p w:rsidR="009A6D0D" w:rsidRPr="001A4D2F" w:rsidRDefault="00DF098D" w:rsidP="000553F1">
            <w:pPr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domaćih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</w:p>
        </w:tc>
        <w:tc>
          <w:tcPr>
            <w:tcW w:w="44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41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2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C11F8E">
        <w:trPr>
          <w:trHeight w:val="140"/>
          <w:tblHeader/>
        </w:trPr>
        <w:tc>
          <w:tcPr>
            <w:tcW w:w="923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4.3.9 </w:t>
            </w:r>
            <w:r w:rsidR="00DF098D">
              <w:rPr>
                <w:lang w:val="sr-Cyrl-CS"/>
              </w:rPr>
              <w:t>Povećanje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informisanosti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neprofitnog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sektora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podizanje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svesti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dozvoljenim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načinima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finansijskog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poslovanja</w:t>
            </w:r>
          </w:p>
        </w:tc>
        <w:tc>
          <w:tcPr>
            <w:tcW w:w="523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  <w:r w:rsidR="009A6D0D" w:rsidRPr="001A4D2F" w:rsidDel="004F2A90">
              <w:rPr>
                <w:lang w:val="sr-Cyrl-CS"/>
              </w:rPr>
              <w:t xml:space="preserve"> </w:t>
            </w:r>
          </w:p>
        </w:tc>
        <w:tc>
          <w:tcPr>
            <w:tcW w:w="477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NBS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MDULS</w:t>
            </w:r>
            <w:r w:rsidR="009A6D0D" w:rsidRPr="001A4D2F">
              <w:rPr>
                <w:lang w:val="sr-Cyrl-CS"/>
              </w:rPr>
              <w:t>,</w:t>
            </w:r>
          </w:p>
          <w:p w:rsidR="009A6D0D" w:rsidRPr="001A4D2F" w:rsidRDefault="00065149" w:rsidP="00065149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MK</w:t>
            </w:r>
            <w:r w:rsidR="00DF098D">
              <w:rPr>
                <w:lang w:val="sr-Cyrl-CS"/>
              </w:rPr>
              <w:t>I</w:t>
            </w:r>
            <w:r w:rsidR="009A6D0D"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KSCD</w:t>
            </w:r>
            <w:r w:rsidR="009A6D0D" w:rsidRPr="001A4D2F">
              <w:rPr>
                <w:lang w:val="sr-Cyrl-CS"/>
              </w:rPr>
              <w:t xml:space="preserve">, </w:t>
            </w:r>
            <w:r w:rsidR="00DF098D">
              <w:rPr>
                <w:lang w:val="sr-Cyrl-CS"/>
              </w:rPr>
              <w:t>NPO</w:t>
            </w:r>
            <w:r w:rsidR="009A6D0D"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sektor</w:t>
            </w:r>
            <w:r w:rsidRPr="001A4D2F">
              <w:rPr>
                <w:lang w:val="sr-Cyrl-CS"/>
              </w:rPr>
              <w:t>,</w:t>
            </w:r>
            <w:r w:rsidR="00054AC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USPN</w:t>
            </w:r>
          </w:p>
        </w:tc>
        <w:tc>
          <w:tcPr>
            <w:tcW w:w="447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605" w:type="pct"/>
            <w:shd w:val="clear" w:color="auto" w:fill="auto"/>
          </w:tcPr>
          <w:p w:rsidR="009A6D0D" w:rsidRPr="001A4D2F" w:rsidRDefault="00DF098D" w:rsidP="000553F1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9A6D0D" w:rsidRPr="001A4D2F" w:rsidRDefault="009A6D0D" w:rsidP="000553F1">
            <w:pPr>
              <w:rPr>
                <w:lang w:val="sr-Cyrl-CS"/>
              </w:rPr>
            </w:pPr>
          </w:p>
          <w:p w:rsidR="009A6D0D" w:rsidRPr="001A4D2F" w:rsidRDefault="00DF098D" w:rsidP="000553F1">
            <w:pPr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domaćih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</w:p>
        </w:tc>
        <w:tc>
          <w:tcPr>
            <w:tcW w:w="44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41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2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C11F8E">
        <w:trPr>
          <w:trHeight w:val="140"/>
          <w:tblHeader/>
        </w:trPr>
        <w:tc>
          <w:tcPr>
            <w:tcW w:w="923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lastRenderedPageBreak/>
              <w:t xml:space="preserve">4.3.10 </w:t>
            </w:r>
            <w:r w:rsidR="00DF098D">
              <w:rPr>
                <w:lang w:val="sr-Cyrl-CS"/>
              </w:rPr>
              <w:t>Voditi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ažurirane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evidencije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aktivnostima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neprofitnog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sektora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pitanju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samoregulacije</w:t>
            </w:r>
          </w:p>
        </w:tc>
        <w:tc>
          <w:tcPr>
            <w:tcW w:w="523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KSCD</w:t>
            </w:r>
          </w:p>
        </w:tc>
        <w:tc>
          <w:tcPr>
            <w:tcW w:w="477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NPO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sektor</w:t>
            </w:r>
          </w:p>
        </w:tc>
        <w:tc>
          <w:tcPr>
            <w:tcW w:w="447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2022.</w:t>
            </w:r>
          </w:p>
        </w:tc>
        <w:tc>
          <w:tcPr>
            <w:tcW w:w="605" w:type="pct"/>
            <w:shd w:val="clear" w:color="auto" w:fill="auto"/>
          </w:tcPr>
          <w:p w:rsidR="009A6D0D" w:rsidRPr="001A4D2F" w:rsidRDefault="00DF098D" w:rsidP="000553F1">
            <w:pPr>
              <w:rPr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okviru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redovnih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aktivnosti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zaposlenih</w:t>
            </w:r>
          </w:p>
          <w:p w:rsidR="009A6D0D" w:rsidRPr="001A4D2F" w:rsidRDefault="009A6D0D" w:rsidP="000553F1">
            <w:pPr>
              <w:rPr>
                <w:lang w:val="sr-Cyrl-CS"/>
              </w:rPr>
            </w:pPr>
          </w:p>
          <w:p w:rsidR="009A6D0D" w:rsidRPr="001A4D2F" w:rsidRDefault="00DF098D" w:rsidP="000553F1">
            <w:pPr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domaćih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</w:p>
        </w:tc>
        <w:tc>
          <w:tcPr>
            <w:tcW w:w="446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41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1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2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E81497" w:rsidRPr="001A4D2F" w:rsidTr="00C11F8E">
        <w:trPr>
          <w:trHeight w:val="140"/>
          <w:tblHeader/>
        </w:trPr>
        <w:tc>
          <w:tcPr>
            <w:tcW w:w="923" w:type="pct"/>
            <w:tcBorders>
              <w:left w:val="double" w:sz="4" w:space="0" w:color="auto"/>
            </w:tcBorders>
            <w:shd w:val="clear" w:color="auto" w:fill="auto"/>
          </w:tcPr>
          <w:p w:rsidR="00E81497" w:rsidRPr="001A4D2F" w:rsidRDefault="003F6C47" w:rsidP="00C11F8E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>4.3.11</w:t>
            </w:r>
            <w:r w:rsidR="00B02F59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Unaprediti</w:t>
            </w:r>
            <w:r w:rsidR="00E81497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veb</w:t>
            </w:r>
            <w:r w:rsidR="00E81497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aplikaciju</w:t>
            </w:r>
            <w:r w:rsidR="00E81497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za</w:t>
            </w:r>
            <w:r w:rsidR="00E81497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pretragu</w:t>
            </w:r>
            <w:r w:rsidR="00E81497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označenih</w:t>
            </w:r>
            <w:r w:rsidR="00E81497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lica</w:t>
            </w:r>
            <w:r w:rsidR="00E81497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i</w:t>
            </w:r>
            <w:r w:rsidR="00E81497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nastaviti</w:t>
            </w:r>
            <w:r w:rsidR="00E81497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njenu</w:t>
            </w:r>
            <w:r w:rsidR="00E81497"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promociju</w:t>
            </w:r>
            <w:r w:rsidR="00E81497" w:rsidRPr="001A4D2F">
              <w:rPr>
                <w:color w:val="auto"/>
                <w:lang w:val="sr-Cyrl-CS"/>
              </w:rPr>
              <w:t>;</w:t>
            </w:r>
          </w:p>
        </w:tc>
        <w:tc>
          <w:tcPr>
            <w:tcW w:w="523" w:type="pct"/>
            <w:shd w:val="clear" w:color="auto" w:fill="auto"/>
          </w:tcPr>
          <w:p w:rsidR="00E81497" w:rsidRPr="001A4D2F" w:rsidRDefault="00DF098D" w:rsidP="00C11F8E">
            <w:pPr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USPN</w:t>
            </w:r>
          </w:p>
        </w:tc>
        <w:tc>
          <w:tcPr>
            <w:tcW w:w="477" w:type="pct"/>
            <w:shd w:val="clear" w:color="auto" w:fill="auto"/>
          </w:tcPr>
          <w:p w:rsidR="00E81497" w:rsidRPr="001A4D2F" w:rsidRDefault="00E81497" w:rsidP="00C11F8E">
            <w:pPr>
              <w:rPr>
                <w:color w:val="auto"/>
                <w:lang w:val="sr-Cyrl-CS"/>
              </w:rPr>
            </w:pPr>
          </w:p>
        </w:tc>
        <w:tc>
          <w:tcPr>
            <w:tcW w:w="447" w:type="pct"/>
            <w:shd w:val="clear" w:color="auto" w:fill="auto"/>
          </w:tcPr>
          <w:p w:rsidR="00E81497" w:rsidRPr="001A4D2F" w:rsidRDefault="003F6C47" w:rsidP="00C11F8E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 xml:space="preserve">IV </w:t>
            </w:r>
            <w:r w:rsidR="00DF098D">
              <w:rPr>
                <w:color w:val="auto"/>
                <w:lang w:val="sr-Cyrl-CS"/>
              </w:rPr>
              <w:t>kvartal</w:t>
            </w:r>
            <w:r w:rsidRPr="001A4D2F">
              <w:rPr>
                <w:color w:val="auto"/>
                <w:lang w:val="sr-Cyrl-CS"/>
              </w:rPr>
              <w:t xml:space="preserve"> 2022.</w:t>
            </w:r>
          </w:p>
        </w:tc>
        <w:tc>
          <w:tcPr>
            <w:tcW w:w="605" w:type="pct"/>
            <w:shd w:val="clear" w:color="auto" w:fill="auto"/>
          </w:tcPr>
          <w:p w:rsidR="000553F1" w:rsidRPr="001A4D2F" w:rsidRDefault="00DF098D" w:rsidP="000553F1">
            <w:pPr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Finansira</w:t>
            </w:r>
            <w:r w:rsidR="000553F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se</w:t>
            </w:r>
            <w:r w:rsidR="000553F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u</w:t>
            </w:r>
            <w:r w:rsidR="000553F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okviru</w:t>
            </w:r>
            <w:r w:rsidR="000553F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redovnih</w:t>
            </w:r>
            <w:r w:rsidR="000553F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aktivnosti</w:t>
            </w:r>
            <w:r w:rsidR="000553F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zaposlenih</w:t>
            </w:r>
          </w:p>
          <w:p w:rsidR="000553F1" w:rsidRPr="001A4D2F" w:rsidRDefault="000553F1" w:rsidP="000553F1">
            <w:pPr>
              <w:rPr>
                <w:color w:val="auto"/>
                <w:lang w:val="sr-Cyrl-CS"/>
              </w:rPr>
            </w:pPr>
          </w:p>
          <w:p w:rsidR="00E81497" w:rsidRPr="001A4D2F" w:rsidRDefault="00DF098D" w:rsidP="000553F1">
            <w:pPr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Sredstva</w:t>
            </w:r>
            <w:r w:rsidR="000553F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domaćih</w:t>
            </w:r>
            <w:r w:rsidR="000553F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i</w:t>
            </w:r>
            <w:r w:rsidR="000553F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međunarodnih</w:t>
            </w:r>
            <w:r w:rsidR="000553F1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donatora</w:t>
            </w:r>
          </w:p>
        </w:tc>
        <w:tc>
          <w:tcPr>
            <w:tcW w:w="446" w:type="pct"/>
            <w:shd w:val="clear" w:color="auto" w:fill="auto"/>
          </w:tcPr>
          <w:p w:rsidR="00E81497" w:rsidRPr="001A4D2F" w:rsidRDefault="00E81497" w:rsidP="00C11F8E">
            <w:pPr>
              <w:rPr>
                <w:color w:val="FF0000"/>
                <w:lang w:val="sr-Cyrl-CS"/>
              </w:rPr>
            </w:pPr>
          </w:p>
        </w:tc>
        <w:tc>
          <w:tcPr>
            <w:tcW w:w="541" w:type="pct"/>
            <w:shd w:val="clear" w:color="auto" w:fill="auto"/>
          </w:tcPr>
          <w:p w:rsidR="00E81497" w:rsidRPr="001A4D2F" w:rsidRDefault="00E81497" w:rsidP="00C11F8E">
            <w:pPr>
              <w:rPr>
                <w:color w:val="FF0000"/>
                <w:lang w:val="sr-Cyrl-CS"/>
              </w:rPr>
            </w:pPr>
          </w:p>
        </w:tc>
        <w:tc>
          <w:tcPr>
            <w:tcW w:w="510" w:type="pct"/>
            <w:shd w:val="clear" w:color="auto" w:fill="auto"/>
          </w:tcPr>
          <w:p w:rsidR="00E81497" w:rsidRPr="001A4D2F" w:rsidRDefault="00E81497" w:rsidP="00C11F8E">
            <w:pPr>
              <w:rPr>
                <w:color w:val="FF0000"/>
                <w:lang w:val="sr-Cyrl-CS"/>
              </w:rPr>
            </w:pPr>
          </w:p>
        </w:tc>
        <w:tc>
          <w:tcPr>
            <w:tcW w:w="528" w:type="pct"/>
            <w:shd w:val="clear" w:color="auto" w:fill="auto"/>
          </w:tcPr>
          <w:p w:rsidR="00E81497" w:rsidRPr="001A4D2F" w:rsidRDefault="00E81497" w:rsidP="00C11F8E">
            <w:pPr>
              <w:rPr>
                <w:color w:val="FF0000"/>
                <w:lang w:val="sr-Cyrl-CS"/>
              </w:rPr>
            </w:pPr>
          </w:p>
        </w:tc>
      </w:tr>
    </w:tbl>
    <w:p w:rsidR="00FC4AE1" w:rsidRDefault="00FC4AE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Default="00566361" w:rsidP="00C11F8E"/>
    <w:p w:rsidR="00566361" w:rsidRPr="00566361" w:rsidRDefault="00566361" w:rsidP="00C11F8E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9"/>
        <w:gridCol w:w="1459"/>
        <w:gridCol w:w="1603"/>
        <w:gridCol w:w="972"/>
        <w:gridCol w:w="761"/>
        <w:gridCol w:w="1697"/>
        <w:gridCol w:w="1528"/>
        <w:gridCol w:w="1253"/>
        <w:gridCol w:w="1655"/>
      </w:tblGrid>
      <w:tr w:rsidR="00E81497" w:rsidRPr="001A4D2F" w:rsidTr="00C11F8E">
        <w:trPr>
          <w:trHeight w:val="308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DF098D" w:rsidP="00C11F8E">
            <w:pPr>
              <w:pStyle w:val="Heading3"/>
              <w:spacing w:before="0"/>
              <w:rPr>
                <w:rFonts w:cs="Times New Roman"/>
                <w:sz w:val="24"/>
                <w:lang w:val="sr-Cyrl-CS"/>
              </w:rPr>
            </w:pPr>
            <w:bookmarkStart w:id="19" w:name="_Toc32409922"/>
            <w:r>
              <w:rPr>
                <w:rFonts w:cs="Times New Roman"/>
                <w:sz w:val="24"/>
                <w:lang w:val="sr-Cyrl-CS"/>
              </w:rPr>
              <w:lastRenderedPageBreak/>
              <w:t>Mera</w:t>
            </w:r>
            <w:r w:rsidR="006301B6" w:rsidRPr="001A4D2F">
              <w:rPr>
                <w:rFonts w:cs="Times New Roman"/>
                <w:sz w:val="24"/>
                <w:lang w:val="sr-Cyrl-CS"/>
              </w:rPr>
              <w:t xml:space="preserve"> 4.4: </w:t>
            </w:r>
            <w:r>
              <w:rPr>
                <w:rFonts w:cs="Times New Roman"/>
                <w:sz w:val="24"/>
                <w:lang w:val="sr-Cyrl-CS"/>
              </w:rPr>
              <w:t>Unapređenje</w:t>
            </w:r>
            <w:r w:rsidR="006301B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i</w:t>
            </w:r>
            <w:r w:rsidR="006301B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efikasna</w:t>
            </w:r>
            <w:r w:rsidR="006301B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primena</w:t>
            </w:r>
            <w:r w:rsidR="006301B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normativnog</w:t>
            </w:r>
            <w:r w:rsidR="00E81497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okvira</w:t>
            </w:r>
            <w:r w:rsidR="006301B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koji</w:t>
            </w:r>
            <w:r w:rsidR="006301B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se</w:t>
            </w:r>
            <w:r w:rsidR="006301B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odnosi</w:t>
            </w:r>
            <w:r w:rsidR="006301B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na</w:t>
            </w:r>
            <w:r w:rsidR="006301B6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sprečavanje</w:t>
            </w:r>
            <w:r w:rsidR="00E81497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finansiranja</w:t>
            </w:r>
            <w:r w:rsidR="00E81497" w:rsidRPr="001A4D2F">
              <w:rPr>
                <w:rFonts w:cs="Times New Roman"/>
                <w:sz w:val="24"/>
                <w:lang w:val="sr-Cyrl-CS"/>
              </w:rPr>
              <w:t xml:space="preserve"> </w:t>
            </w:r>
            <w:r>
              <w:rPr>
                <w:rFonts w:cs="Times New Roman"/>
                <w:sz w:val="24"/>
                <w:lang w:val="sr-Cyrl-CS"/>
              </w:rPr>
              <w:t>terorizma</w:t>
            </w:r>
            <w:bookmarkEnd w:id="19"/>
          </w:p>
        </w:tc>
      </w:tr>
      <w:tr w:rsidR="00E81497" w:rsidRPr="001A4D2F" w:rsidTr="00C11F8E">
        <w:trPr>
          <w:trHeight w:val="351"/>
        </w:trPr>
        <w:tc>
          <w:tcPr>
            <w:tcW w:w="5000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Organ</w:t>
            </w:r>
            <w:r w:rsidR="00E81497" w:rsidRPr="001A4D2F">
              <w:rPr>
                <w:lang w:val="sr-Cyrl-CS"/>
              </w:rPr>
              <w:t xml:space="preserve"> o</w:t>
            </w:r>
            <w:r>
              <w:rPr>
                <w:lang w:val="sr-Cyrl-CS"/>
              </w:rPr>
              <w:t>dgovoran</w:t>
            </w:r>
            <w:r w:rsidR="00E8149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E8149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sprovođenje</w:t>
            </w:r>
            <w:r w:rsidR="00E81497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koordinisanje</w:t>
            </w:r>
            <w:r w:rsidR="00E8149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sprovođenja</w:t>
            </w:r>
            <w:r w:rsidR="00E81497" w:rsidRPr="001A4D2F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mere</w:t>
            </w:r>
            <w:r w:rsidR="00E81497" w:rsidRPr="001A4D2F">
              <w:rPr>
                <w:lang w:val="sr-Cyrl-CS"/>
              </w:rPr>
              <w:t>: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Koordinaciono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telo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za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sprečavanje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pranja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novca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i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finansiranja</w:t>
            </w:r>
            <w:r w:rsidR="00F07D7D" w:rsidRPr="001A4D2F">
              <w:rPr>
                <w:rFonts w:eastAsia="Times New Roman"/>
                <w:color w:val="222222"/>
                <w:lang w:val="sr-Cyrl-CS"/>
              </w:rPr>
              <w:t xml:space="preserve"> </w:t>
            </w:r>
            <w:r>
              <w:rPr>
                <w:rFonts w:eastAsia="Times New Roman"/>
                <w:color w:val="222222"/>
                <w:lang w:val="sr-Cyrl-CS"/>
              </w:rPr>
              <w:t>terorizma</w:t>
            </w:r>
          </w:p>
        </w:tc>
      </w:tr>
      <w:tr w:rsidR="00E81497" w:rsidRPr="001A4D2F" w:rsidTr="00B5332F">
        <w:trPr>
          <w:trHeight w:val="258"/>
        </w:trPr>
        <w:tc>
          <w:tcPr>
            <w:tcW w:w="252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Period</w:t>
            </w:r>
            <w:r w:rsidR="00E8149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sprovođenja</w:t>
            </w:r>
            <w:r w:rsidR="00E81497" w:rsidRPr="001A4D2F">
              <w:rPr>
                <w:lang w:val="sr-Cyrl-CS"/>
              </w:rPr>
              <w:t>:</w:t>
            </w:r>
            <w:r w:rsidR="003F6C47" w:rsidRPr="001A4D2F">
              <w:rPr>
                <w:lang w:val="sr-Cyrl-CS"/>
              </w:rPr>
              <w:t xml:space="preserve"> 2020-2022.</w:t>
            </w:r>
          </w:p>
        </w:tc>
        <w:tc>
          <w:tcPr>
            <w:tcW w:w="247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:rsidR="00E81497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Tip</w:t>
            </w:r>
            <w:r w:rsidR="00E8149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E81497" w:rsidRPr="001A4D2F">
              <w:rPr>
                <w:lang w:val="sr-Cyrl-CS"/>
              </w:rPr>
              <w:t>:</w:t>
            </w:r>
            <w:r w:rsidR="003030E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Institucionalno</w:t>
            </w:r>
            <w:r w:rsidR="003030E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upravljačko</w:t>
            </w:r>
            <w:r w:rsidR="003030E6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organizaciona</w:t>
            </w:r>
          </w:p>
        </w:tc>
      </w:tr>
      <w:tr w:rsidR="00F3347F" w:rsidRPr="001A4D2F" w:rsidTr="00CB13E8">
        <w:trPr>
          <w:trHeight w:val="596"/>
        </w:trPr>
        <w:tc>
          <w:tcPr>
            <w:tcW w:w="1145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Pokazatelj</w:t>
            </w:r>
            <w:r w:rsidR="00F3347F" w:rsidRPr="001A4D2F">
              <w:rPr>
                <w:lang w:val="sr-Cyrl-CS"/>
              </w:rPr>
              <w:t>(</w:t>
            </w:r>
            <w:r>
              <w:rPr>
                <w:lang w:val="sr-Cyrl-CS"/>
              </w:rPr>
              <w:t>i</w:t>
            </w:r>
            <w:r w:rsidR="00F3347F" w:rsidRPr="001A4D2F">
              <w:rPr>
                <w:lang w:val="sr-Cyrl-CS"/>
              </w:rPr>
              <w:t xml:space="preserve">) </w:t>
            </w:r>
            <w:r>
              <w:rPr>
                <w:lang w:val="sr-Cyrl-CS"/>
              </w:rPr>
              <w:t>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nivou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mere</w:t>
            </w:r>
            <w:r w:rsidR="00F3347F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pokazatelj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rezultata</w:t>
            </w:r>
            <w:r w:rsidR="00F3347F" w:rsidRPr="001A4D2F">
              <w:rPr>
                <w:lang w:val="sr-Cyrl-CS"/>
              </w:rPr>
              <w:t>)</w:t>
            </w:r>
          </w:p>
        </w:tc>
        <w:tc>
          <w:tcPr>
            <w:tcW w:w="523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F3347F" w:rsidP="00C11F8E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>J</w:t>
            </w:r>
            <w:r w:rsidR="00DF098D">
              <w:rPr>
                <w:lang w:val="sr-Cyrl-CS"/>
              </w:rPr>
              <w:t>edinica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mere</w:t>
            </w:r>
          </w:p>
          <w:p w:rsidR="00F3347F" w:rsidRPr="001A4D2F" w:rsidRDefault="00F3347F" w:rsidP="00C11F8E">
            <w:pPr>
              <w:rPr>
                <w:lang w:val="sr-Cyrl-CS"/>
              </w:rPr>
            </w:pPr>
          </w:p>
        </w:tc>
        <w:tc>
          <w:tcPr>
            <w:tcW w:w="509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Izvor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provere</w:t>
            </w:r>
          </w:p>
        </w:tc>
        <w:tc>
          <w:tcPr>
            <w:tcW w:w="627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Početna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F3347F" w:rsidRPr="001A4D2F">
              <w:rPr>
                <w:lang w:val="sr-Cyrl-CS"/>
              </w:rPr>
              <w:t xml:space="preserve"> </w:t>
            </w:r>
          </w:p>
        </w:tc>
        <w:tc>
          <w:tcPr>
            <w:tcW w:w="607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3347F" w:rsidRPr="001A4D2F" w:rsidRDefault="00DF098D" w:rsidP="00C11F8E">
            <w:pPr>
              <w:rPr>
                <w:lang w:val="sr-Cyrl-CS"/>
              </w:rPr>
            </w:pPr>
            <w:r>
              <w:rPr>
                <w:lang w:val="sr-Cyrl-CS"/>
              </w:rPr>
              <w:t>Bazna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godina</w:t>
            </w:r>
          </w:p>
        </w:tc>
        <w:tc>
          <w:tcPr>
            <w:tcW w:w="547" w:type="pct"/>
            <w:tcBorders>
              <w:top w:val="double" w:sz="4" w:space="0" w:color="auto"/>
            </w:tcBorders>
            <w:shd w:val="clear" w:color="auto" w:fill="D9D9D9"/>
          </w:tcPr>
          <w:p w:rsidR="00F3347F" w:rsidRPr="001A4D2F" w:rsidRDefault="00DF098D" w:rsidP="00CB13E8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F3347F" w:rsidRPr="001A4D2F">
              <w:rPr>
                <w:lang w:val="sr-Cyrl-CS"/>
              </w:rPr>
              <w:t xml:space="preserve"> 2020.</w:t>
            </w:r>
          </w:p>
        </w:tc>
        <w:tc>
          <w:tcPr>
            <w:tcW w:w="450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F3347F" w:rsidRPr="001A4D2F" w:rsidRDefault="00DF098D" w:rsidP="00CB13E8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F3347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F3347F" w:rsidRPr="001A4D2F">
              <w:rPr>
                <w:lang w:val="sr-Cyrl-CS"/>
              </w:rPr>
              <w:t xml:space="preserve"> 2021.</w:t>
            </w:r>
          </w:p>
        </w:tc>
        <w:tc>
          <w:tcPr>
            <w:tcW w:w="592" w:type="pct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:rsidR="00F3347F" w:rsidRPr="001A4D2F" w:rsidRDefault="00DF098D" w:rsidP="00CB13E8">
            <w:pPr>
              <w:rPr>
                <w:lang w:val="sr-Cyrl-CS"/>
              </w:rPr>
            </w:pPr>
            <w:r>
              <w:rPr>
                <w:lang w:val="sr-Cyrl-CS"/>
              </w:rPr>
              <w:t>Ciljana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885F9C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godini</w:t>
            </w:r>
            <w:r w:rsidR="00885F9C" w:rsidRPr="001A4D2F">
              <w:rPr>
                <w:lang w:val="sr-Cyrl-CS"/>
              </w:rPr>
              <w:t xml:space="preserve"> 2022.</w:t>
            </w:r>
          </w:p>
        </w:tc>
      </w:tr>
      <w:tr w:rsidR="00B5332F" w:rsidRPr="001A4D2F" w:rsidTr="00B5332F">
        <w:trPr>
          <w:trHeight w:val="339"/>
        </w:trPr>
        <w:tc>
          <w:tcPr>
            <w:tcW w:w="1145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5332F" w:rsidRPr="001A4D2F" w:rsidRDefault="00DF098D" w:rsidP="003F6C47">
            <w:pPr>
              <w:shd w:val="clear" w:color="auto" w:fill="FFFFFF"/>
              <w:rPr>
                <w:highlight w:val="yellow"/>
                <w:lang w:val="sr-Cyrl-CS"/>
              </w:rPr>
            </w:pPr>
            <w:r>
              <w:rPr>
                <w:lang w:val="sr-Cyrl-CS"/>
              </w:rPr>
              <w:t>Ocena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usklađenosti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relevantnim</w:t>
            </w:r>
            <w:r w:rsidR="00224C1E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međunarodnim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standardima</w:t>
            </w:r>
            <w:r w:rsidR="00B5332F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na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godišnjem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nivou</w:t>
            </w:r>
          </w:p>
        </w:tc>
        <w:tc>
          <w:tcPr>
            <w:tcW w:w="523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5332F" w:rsidRPr="001A4D2F" w:rsidRDefault="00DF098D" w:rsidP="00B5332F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a</w:t>
            </w:r>
            <w:r w:rsidR="00B5332F" w:rsidRPr="001A4D2F">
              <w:rPr>
                <w:color w:val="auto"/>
                <w:lang w:val="sr-Cyrl-CS"/>
              </w:rPr>
              <w:t xml:space="preserve">) </w:t>
            </w:r>
            <w:r>
              <w:rPr>
                <w:color w:val="auto"/>
                <w:lang w:val="sr-Cyrl-CS"/>
              </w:rPr>
              <w:t>neusklađen</w:t>
            </w:r>
          </w:p>
          <w:p w:rsidR="00B5332F" w:rsidRPr="001A4D2F" w:rsidRDefault="00DF098D" w:rsidP="00B5332F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b</w:t>
            </w:r>
            <w:r w:rsidR="00E626ED">
              <w:rPr>
                <w:color w:val="auto"/>
                <w:lang w:val="sr-Cyrl-CS"/>
              </w:rPr>
              <w:t xml:space="preserve">) </w:t>
            </w:r>
            <w:r>
              <w:rPr>
                <w:color w:val="auto"/>
                <w:lang w:val="sr-Cyrl-CS"/>
              </w:rPr>
              <w:t>delimično</w:t>
            </w:r>
            <w:r w:rsidR="00B5332F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usklađen</w:t>
            </w:r>
          </w:p>
          <w:p w:rsidR="00B5332F" w:rsidRPr="001A4D2F" w:rsidRDefault="00DF098D" w:rsidP="00B5332F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v</w:t>
            </w:r>
            <w:r w:rsidR="00B5332F" w:rsidRPr="001A4D2F">
              <w:rPr>
                <w:color w:val="auto"/>
                <w:lang w:val="sr-Cyrl-CS"/>
              </w:rPr>
              <w:t xml:space="preserve">) </w:t>
            </w:r>
            <w:r>
              <w:rPr>
                <w:color w:val="auto"/>
                <w:lang w:val="sr-Cyrl-CS"/>
              </w:rPr>
              <w:t>u</w:t>
            </w:r>
            <w:r w:rsidR="00B5332F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velikoj</w:t>
            </w:r>
            <w:r w:rsidR="00B5332F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meri</w:t>
            </w:r>
            <w:r w:rsidR="00B5332F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usklađen</w:t>
            </w:r>
          </w:p>
          <w:p w:rsidR="00B5332F" w:rsidRPr="001A4D2F" w:rsidRDefault="00DF098D" w:rsidP="00B5332F">
            <w:pPr>
              <w:shd w:val="clear" w:color="auto" w:fill="FFFFFF" w:themeFill="background1"/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g</w:t>
            </w:r>
            <w:r w:rsidR="00B5332F" w:rsidRPr="001A4D2F">
              <w:rPr>
                <w:color w:val="auto"/>
                <w:lang w:val="sr-Cyrl-CS"/>
              </w:rPr>
              <w:t xml:space="preserve">) </w:t>
            </w:r>
            <w:r>
              <w:rPr>
                <w:color w:val="auto"/>
                <w:lang w:val="sr-Cyrl-CS"/>
              </w:rPr>
              <w:t>usklađen</w:t>
            </w:r>
          </w:p>
        </w:tc>
        <w:tc>
          <w:tcPr>
            <w:tcW w:w="509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5332F" w:rsidRPr="001A4D2F" w:rsidRDefault="00DF098D" w:rsidP="00B5332F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Izveštaj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nadležnih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organa</w:t>
            </w:r>
            <w:r w:rsidR="00B5332F" w:rsidRPr="001A4D2F">
              <w:rPr>
                <w:lang w:val="sr-Cyrl-CS"/>
              </w:rPr>
              <w:t xml:space="preserve">; </w:t>
            </w:r>
            <w:r>
              <w:rPr>
                <w:lang w:val="sr-Cyrl-CS"/>
              </w:rPr>
              <w:t>Izveštaj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relevantnih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međunarodnih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organizacija</w:t>
            </w:r>
          </w:p>
        </w:tc>
        <w:tc>
          <w:tcPr>
            <w:tcW w:w="627" w:type="pct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5332F" w:rsidRPr="001A4D2F" w:rsidRDefault="00DF098D" w:rsidP="003F6C47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Okvir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B5332F" w:rsidRPr="001A4D2F">
              <w:rPr>
                <w:lang w:val="sr-Cyrl-CS"/>
              </w:rPr>
              <w:t xml:space="preserve"> „</w:t>
            </w:r>
            <w:r>
              <w:rPr>
                <w:lang w:val="sr-Cyrl-CS"/>
              </w:rPr>
              <w:t>velikoj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meri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usklađen</w:t>
            </w:r>
            <w:r w:rsidR="003B30BF" w:rsidRPr="001A4D2F">
              <w:rPr>
                <w:rFonts w:eastAsia="Times New Roman"/>
                <w:color w:val="auto"/>
                <w:kern w:val="0"/>
                <w:lang w:val="sr-Cyrl-CS"/>
              </w:rPr>
              <w:t>”</w:t>
            </w:r>
          </w:p>
        </w:tc>
        <w:tc>
          <w:tcPr>
            <w:tcW w:w="607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5332F" w:rsidRPr="001A4D2F" w:rsidRDefault="00B5332F" w:rsidP="003F6C47">
            <w:pPr>
              <w:shd w:val="clear" w:color="auto" w:fill="FFFFFF"/>
              <w:rPr>
                <w:lang w:val="sr-Cyrl-CS"/>
              </w:rPr>
            </w:pPr>
            <w:r w:rsidRPr="001A4D2F">
              <w:rPr>
                <w:lang w:val="sr-Cyrl-CS"/>
              </w:rPr>
              <w:t>2019.</w:t>
            </w:r>
          </w:p>
        </w:tc>
        <w:tc>
          <w:tcPr>
            <w:tcW w:w="547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B5332F" w:rsidRPr="001A4D2F" w:rsidRDefault="00DF098D" w:rsidP="00B5332F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Najmanje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velikoj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meri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usklađen</w:t>
            </w:r>
          </w:p>
        </w:tc>
        <w:tc>
          <w:tcPr>
            <w:tcW w:w="450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332F" w:rsidRPr="001A4D2F" w:rsidRDefault="00DF098D" w:rsidP="00B5332F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Najmanje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velikoj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meri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usklađen</w:t>
            </w:r>
          </w:p>
        </w:tc>
        <w:tc>
          <w:tcPr>
            <w:tcW w:w="592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B5332F" w:rsidRPr="001A4D2F" w:rsidRDefault="00DF098D" w:rsidP="00B5332F">
            <w:pPr>
              <w:shd w:val="clear" w:color="auto" w:fill="FFFFFF"/>
              <w:rPr>
                <w:lang w:val="sr-Cyrl-CS"/>
              </w:rPr>
            </w:pPr>
            <w:r>
              <w:rPr>
                <w:lang w:val="sr-Cyrl-CS"/>
              </w:rPr>
              <w:t>Najmanje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velikoj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meri</w:t>
            </w:r>
            <w:r w:rsidR="00B5332F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usklađen</w:t>
            </w:r>
          </w:p>
        </w:tc>
      </w:tr>
    </w:tbl>
    <w:p w:rsidR="00FC4AE1" w:rsidRPr="001A4D2F" w:rsidRDefault="00FC4AE1" w:rsidP="00C11F8E">
      <w:pPr>
        <w:rPr>
          <w:lang w:val="sr-Cyrl-CS"/>
        </w:rPr>
      </w:pPr>
    </w:p>
    <w:p w:rsidR="00FC4AE1" w:rsidRDefault="00FC4AE1" w:rsidP="00C11F8E"/>
    <w:p w:rsidR="00DB3F0B" w:rsidRDefault="00DB3F0B" w:rsidP="00C11F8E"/>
    <w:p w:rsidR="00DB3F0B" w:rsidRDefault="00DB3F0B" w:rsidP="00C11F8E"/>
    <w:p w:rsidR="00DB3F0B" w:rsidRDefault="00DB3F0B" w:rsidP="00C11F8E"/>
    <w:p w:rsidR="00DB3F0B" w:rsidRDefault="00DB3F0B" w:rsidP="00C11F8E"/>
    <w:p w:rsidR="00DB3F0B" w:rsidRDefault="00DB3F0B" w:rsidP="00C11F8E"/>
    <w:p w:rsidR="00DB3F0B" w:rsidRDefault="00DB3F0B" w:rsidP="00C11F8E"/>
    <w:p w:rsidR="00DB3F0B" w:rsidRDefault="00DB3F0B" w:rsidP="00C11F8E"/>
    <w:p w:rsidR="00DB3F0B" w:rsidRDefault="00DB3F0B" w:rsidP="00C11F8E"/>
    <w:p w:rsidR="00DB3F0B" w:rsidRDefault="00DB3F0B" w:rsidP="00C11F8E"/>
    <w:p w:rsidR="00DB3F0B" w:rsidRDefault="00DB3F0B" w:rsidP="00C11F8E"/>
    <w:p w:rsidR="00DB3F0B" w:rsidRDefault="00DB3F0B" w:rsidP="00C11F8E"/>
    <w:p w:rsidR="00DB3F0B" w:rsidRDefault="00DB3F0B" w:rsidP="00C11F8E"/>
    <w:p w:rsidR="00DB3F0B" w:rsidRDefault="00DB3F0B" w:rsidP="00C11F8E"/>
    <w:p w:rsidR="00DB3F0B" w:rsidRPr="00DB3F0B" w:rsidRDefault="00DB3F0B" w:rsidP="00C11F8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2"/>
        <w:gridCol w:w="1145"/>
        <w:gridCol w:w="1242"/>
        <w:gridCol w:w="1162"/>
        <w:gridCol w:w="1573"/>
        <w:gridCol w:w="1160"/>
        <w:gridCol w:w="1956"/>
        <w:gridCol w:w="1525"/>
        <w:gridCol w:w="2010"/>
      </w:tblGrid>
      <w:tr w:rsidR="006E272C" w:rsidRPr="001A4D2F" w:rsidTr="006E272C">
        <w:trPr>
          <w:trHeight w:val="140"/>
        </w:trPr>
        <w:tc>
          <w:tcPr>
            <w:tcW w:w="847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5DFEC" w:themeFill="accent4" w:themeFillTint="33"/>
          </w:tcPr>
          <w:p w:rsidR="006E272C" w:rsidRPr="00DB3F0B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lastRenderedPageBreak/>
              <w:t>Naziv</w:t>
            </w:r>
            <w:r w:rsidR="006E272C" w:rsidRPr="00DB3F0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aktivnosti</w:t>
            </w:r>
            <w:r w:rsidR="006E272C" w:rsidRPr="00DB3F0B">
              <w:rPr>
                <w:b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404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6E272C" w:rsidRPr="00DB3F0B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Organ</w:t>
            </w:r>
            <w:r w:rsidR="006E272C" w:rsidRPr="00DB3F0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koji</w:t>
            </w:r>
            <w:r w:rsidR="006E272C" w:rsidRPr="00DB3F0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sprovodi</w:t>
            </w:r>
            <w:r w:rsidR="006E272C" w:rsidRPr="00DB3F0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aktivnost</w:t>
            </w:r>
          </w:p>
        </w:tc>
        <w:tc>
          <w:tcPr>
            <w:tcW w:w="438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6E272C" w:rsidRPr="00DB3F0B" w:rsidRDefault="006E272C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B3F0B">
              <w:rPr>
                <w:b/>
                <w:sz w:val="18"/>
                <w:szCs w:val="18"/>
                <w:lang w:val="sr-Cyrl-CS"/>
              </w:rPr>
              <w:t>O</w:t>
            </w:r>
            <w:r w:rsidR="00DF098D">
              <w:rPr>
                <w:b/>
                <w:sz w:val="18"/>
                <w:szCs w:val="18"/>
                <w:lang w:val="sr-Cyrl-CS"/>
              </w:rPr>
              <w:t>rgani</w:t>
            </w:r>
            <w:r w:rsidRPr="00DB3F0B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partneri</w:t>
            </w:r>
            <w:r w:rsidRPr="00DB3F0B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u</w:t>
            </w:r>
            <w:r w:rsidRPr="00DB3F0B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sprovođenju</w:t>
            </w:r>
            <w:r w:rsidRPr="00DB3F0B">
              <w:rPr>
                <w:b/>
                <w:sz w:val="18"/>
                <w:szCs w:val="18"/>
                <w:lang w:val="sr-Cyrl-CS"/>
              </w:rPr>
              <w:t xml:space="preserve"> </w:t>
            </w:r>
            <w:r w:rsidR="00DF098D">
              <w:rPr>
                <w:b/>
                <w:sz w:val="18"/>
                <w:szCs w:val="18"/>
                <w:lang w:val="sr-Cyrl-CS"/>
              </w:rPr>
              <w:t>aktivnosti</w:t>
            </w:r>
          </w:p>
        </w:tc>
        <w:tc>
          <w:tcPr>
            <w:tcW w:w="410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6E272C" w:rsidRPr="00DB3F0B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Rok</w:t>
            </w:r>
            <w:r w:rsidR="006E272C" w:rsidRPr="00DB3F0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za</w:t>
            </w:r>
            <w:r w:rsidR="006E272C" w:rsidRPr="00DB3F0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završetak</w:t>
            </w:r>
            <w:r w:rsidR="006E272C" w:rsidRPr="00DB3F0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aktivnosti</w:t>
            </w:r>
          </w:p>
        </w:tc>
        <w:tc>
          <w:tcPr>
            <w:tcW w:w="555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6E272C" w:rsidRPr="00DB3F0B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Izvor</w:t>
            </w:r>
            <w:r w:rsidR="006E272C" w:rsidRPr="00DB3F0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finansiranja</w:t>
            </w:r>
          </w:p>
        </w:tc>
        <w:tc>
          <w:tcPr>
            <w:tcW w:w="409" w:type="pct"/>
            <w:vMerge w:val="restart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6E272C" w:rsidRPr="00DB3F0B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Veza</w:t>
            </w:r>
            <w:r w:rsidR="006E272C" w:rsidRPr="00DB3F0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sa</w:t>
            </w:r>
            <w:r w:rsidR="006E272C" w:rsidRPr="00DB3F0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4"/>
                <w:szCs w:val="14"/>
                <w:lang w:val="sr-Cyrl-CS"/>
              </w:rPr>
              <w:t>programskim</w:t>
            </w:r>
            <w:r w:rsidR="006E272C" w:rsidRPr="00DB3F0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budžetom</w:t>
            </w:r>
          </w:p>
          <w:p w:rsidR="006E272C" w:rsidRPr="00DB3F0B" w:rsidRDefault="006E272C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937" w:type="pct"/>
            <w:gridSpan w:val="3"/>
            <w:tcBorders>
              <w:top w:val="double" w:sz="4" w:space="0" w:color="auto"/>
            </w:tcBorders>
            <w:shd w:val="clear" w:color="auto" w:fill="E5DFEC" w:themeFill="accent4" w:themeFillTint="33"/>
          </w:tcPr>
          <w:p w:rsidR="006E272C" w:rsidRPr="00DB3F0B" w:rsidRDefault="00DF098D" w:rsidP="00C11F8E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Ukupna</w:t>
            </w:r>
            <w:r w:rsidR="006E272C" w:rsidRPr="00DB3F0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procenjena</w:t>
            </w:r>
            <w:r w:rsidR="006E272C" w:rsidRPr="00DB3F0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finansijska</w:t>
            </w:r>
            <w:r w:rsidR="006E272C" w:rsidRPr="00DB3F0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sredstva</w:t>
            </w:r>
            <w:r w:rsidR="006E272C" w:rsidRPr="00DB3F0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po</w:t>
            </w:r>
            <w:r w:rsidR="006E272C" w:rsidRPr="00DB3F0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izvorima</w:t>
            </w:r>
            <w:r w:rsidR="006E272C" w:rsidRPr="00DB3F0B">
              <w:rPr>
                <w:b/>
                <w:sz w:val="18"/>
                <w:szCs w:val="18"/>
                <w:lang w:val="sr-Cyrl-CS"/>
              </w:rPr>
              <w:t xml:space="preserve"> </w:t>
            </w:r>
            <w:r>
              <w:rPr>
                <w:b/>
                <w:sz w:val="18"/>
                <w:szCs w:val="18"/>
                <w:lang w:val="sr-Cyrl-CS"/>
              </w:rPr>
              <w:t>u</w:t>
            </w:r>
            <w:r w:rsidR="006E272C" w:rsidRPr="00DB3F0B">
              <w:rPr>
                <w:b/>
                <w:sz w:val="18"/>
                <w:szCs w:val="18"/>
                <w:lang w:val="sr-Cyrl-CS"/>
              </w:rPr>
              <w:t xml:space="preserve"> 000 </w:t>
            </w:r>
            <w:r>
              <w:rPr>
                <w:b/>
                <w:sz w:val="18"/>
                <w:szCs w:val="18"/>
                <w:lang w:val="sr-Cyrl-CS"/>
              </w:rPr>
              <w:t>din</w:t>
            </w:r>
            <w:r w:rsidR="006E272C" w:rsidRPr="00DB3F0B">
              <w:rPr>
                <w:b/>
                <w:sz w:val="18"/>
                <w:szCs w:val="18"/>
                <w:lang w:val="sr-Cyrl-CS"/>
              </w:rPr>
              <w:t>.</w:t>
            </w:r>
          </w:p>
        </w:tc>
      </w:tr>
      <w:tr w:rsidR="001B4CBD" w:rsidRPr="001A4D2F" w:rsidTr="001B4CBD">
        <w:trPr>
          <w:trHeight w:val="386"/>
        </w:trPr>
        <w:tc>
          <w:tcPr>
            <w:tcW w:w="847" w:type="pct"/>
            <w:vMerge/>
            <w:tcBorders>
              <w:left w:val="double" w:sz="4" w:space="0" w:color="auto"/>
            </w:tcBorders>
            <w:shd w:val="clear" w:color="auto" w:fill="E5DFEC" w:themeFill="accent4" w:themeFillTint="33"/>
          </w:tcPr>
          <w:p w:rsidR="001B4CBD" w:rsidRPr="00DB3F0B" w:rsidRDefault="001B4CBD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04" w:type="pct"/>
            <w:vMerge/>
            <w:shd w:val="clear" w:color="auto" w:fill="E5DFEC" w:themeFill="accent4" w:themeFillTint="33"/>
          </w:tcPr>
          <w:p w:rsidR="001B4CBD" w:rsidRPr="00DB3F0B" w:rsidRDefault="001B4CBD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38" w:type="pct"/>
            <w:vMerge/>
            <w:shd w:val="clear" w:color="auto" w:fill="E5DFEC" w:themeFill="accent4" w:themeFillTint="33"/>
          </w:tcPr>
          <w:p w:rsidR="001B4CBD" w:rsidRPr="00DB3F0B" w:rsidRDefault="001B4CBD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10" w:type="pct"/>
            <w:vMerge/>
            <w:shd w:val="clear" w:color="auto" w:fill="E5DFEC" w:themeFill="accent4" w:themeFillTint="33"/>
          </w:tcPr>
          <w:p w:rsidR="001B4CBD" w:rsidRPr="00DB3F0B" w:rsidRDefault="001B4CBD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555" w:type="pct"/>
            <w:vMerge/>
            <w:shd w:val="clear" w:color="auto" w:fill="E5DFEC" w:themeFill="accent4" w:themeFillTint="33"/>
          </w:tcPr>
          <w:p w:rsidR="001B4CBD" w:rsidRPr="00DB3F0B" w:rsidRDefault="001B4CBD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409" w:type="pct"/>
            <w:vMerge/>
            <w:shd w:val="clear" w:color="auto" w:fill="E5DFEC" w:themeFill="accent4" w:themeFillTint="33"/>
          </w:tcPr>
          <w:p w:rsidR="001B4CBD" w:rsidRPr="00DB3F0B" w:rsidRDefault="001B4CBD" w:rsidP="00C11F8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690" w:type="pct"/>
            <w:shd w:val="clear" w:color="auto" w:fill="E5DFEC" w:themeFill="accent4" w:themeFillTint="33"/>
          </w:tcPr>
          <w:p w:rsidR="001B4CBD" w:rsidRPr="00DB3F0B" w:rsidRDefault="001B4CBD" w:rsidP="006E272C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B3F0B">
              <w:rPr>
                <w:b/>
                <w:sz w:val="18"/>
                <w:szCs w:val="18"/>
                <w:lang w:val="sr-Cyrl-CS"/>
              </w:rPr>
              <w:t>2020.</w:t>
            </w:r>
          </w:p>
        </w:tc>
        <w:tc>
          <w:tcPr>
            <w:tcW w:w="538" w:type="pct"/>
            <w:shd w:val="clear" w:color="auto" w:fill="E5DFEC" w:themeFill="accent4" w:themeFillTint="33"/>
          </w:tcPr>
          <w:p w:rsidR="001B4CBD" w:rsidRPr="00DB3F0B" w:rsidRDefault="001B4CBD" w:rsidP="006E272C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B3F0B">
              <w:rPr>
                <w:b/>
                <w:sz w:val="18"/>
                <w:szCs w:val="18"/>
                <w:lang w:val="sr-Cyrl-CS"/>
              </w:rPr>
              <w:t>2021.</w:t>
            </w:r>
          </w:p>
        </w:tc>
        <w:tc>
          <w:tcPr>
            <w:tcW w:w="709" w:type="pct"/>
            <w:shd w:val="clear" w:color="auto" w:fill="E5DFEC" w:themeFill="accent4" w:themeFillTint="33"/>
          </w:tcPr>
          <w:p w:rsidR="001B4CBD" w:rsidRPr="00DB3F0B" w:rsidRDefault="001B4CBD" w:rsidP="006E272C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DB3F0B">
              <w:rPr>
                <w:b/>
                <w:sz w:val="18"/>
                <w:szCs w:val="18"/>
                <w:lang w:val="sr-Cyrl-CS"/>
              </w:rPr>
              <w:t>2022.</w:t>
            </w:r>
          </w:p>
          <w:p w:rsidR="001B4CBD" w:rsidRPr="00DB3F0B" w:rsidRDefault="001B4CBD" w:rsidP="001B4CBD">
            <w:pPr>
              <w:rPr>
                <w:b/>
                <w:sz w:val="18"/>
                <w:szCs w:val="18"/>
                <w:lang w:val="sr-Cyrl-CS"/>
              </w:rPr>
            </w:pPr>
          </w:p>
        </w:tc>
      </w:tr>
      <w:tr w:rsidR="009A6D0D" w:rsidRPr="001A4D2F" w:rsidTr="001B4CBD">
        <w:trPr>
          <w:trHeight w:val="2530"/>
        </w:trPr>
        <w:tc>
          <w:tcPr>
            <w:tcW w:w="847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contextualSpacing/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4.4.1 </w:t>
            </w:r>
            <w:r w:rsidR="00DF098D">
              <w:rPr>
                <w:lang w:val="sr-Cyrl-CS"/>
              </w:rPr>
              <w:t>Sprovesti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analizu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usklađenosti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međusobne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usaglašenosti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Zakona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ograničavanju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raspolaganja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imovinom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cilju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sprečavanja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terorizma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širenja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oružja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masovno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uništenje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i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Zakona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međunarodnim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merama</w:t>
            </w:r>
            <w:r w:rsidRPr="001A4D2F">
              <w:rPr>
                <w:lang w:val="sr-Cyrl-CS"/>
              </w:rPr>
              <w:t xml:space="preserve"> </w:t>
            </w:r>
            <w:r w:rsidR="00DF098D">
              <w:rPr>
                <w:lang w:val="sr-Cyrl-CS"/>
              </w:rPr>
              <w:t>ograničenja</w:t>
            </w:r>
            <w:r w:rsidRPr="001A4D2F">
              <w:rPr>
                <w:lang w:val="sr-Cyrl-CS"/>
              </w:rPr>
              <w:t xml:space="preserve">; </w:t>
            </w:r>
          </w:p>
        </w:tc>
        <w:tc>
          <w:tcPr>
            <w:tcW w:w="404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438" w:type="pct"/>
            <w:shd w:val="clear" w:color="auto" w:fill="auto"/>
          </w:tcPr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MP</w:t>
            </w:r>
            <w:r w:rsidR="009A6D0D" w:rsidRPr="001A4D2F">
              <w:rPr>
                <w:lang w:val="sr-Cyrl-CS"/>
              </w:rPr>
              <w:t>,</w:t>
            </w:r>
          </w:p>
          <w:p w:rsidR="009A6D0D" w:rsidRPr="001A4D2F" w:rsidRDefault="00DF098D" w:rsidP="00A9340A">
            <w:pPr>
              <w:rPr>
                <w:lang w:val="sr-Cyrl-CS"/>
              </w:rPr>
            </w:pPr>
            <w:r>
              <w:rPr>
                <w:lang w:val="sr-Cyrl-CS"/>
              </w:rPr>
              <w:t>MSP</w:t>
            </w:r>
            <w:r w:rsidR="009A6D0D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USPN</w:t>
            </w:r>
            <w:r w:rsidR="009A6D0D" w:rsidRPr="001A4D2F">
              <w:rPr>
                <w:lang w:val="sr-Cyrl-CS"/>
              </w:rP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9A6D0D" w:rsidRPr="001A4D2F" w:rsidRDefault="009A6D0D" w:rsidP="003F6C47">
            <w:pPr>
              <w:rPr>
                <w:lang w:val="sr-Cyrl-CS"/>
              </w:rPr>
            </w:pPr>
            <w:r w:rsidRPr="001A4D2F">
              <w:rPr>
                <w:lang w:val="sr-Cyrl-CS"/>
              </w:rPr>
              <w:t xml:space="preserve">IV </w:t>
            </w:r>
            <w:r w:rsidR="00DF098D">
              <w:rPr>
                <w:lang w:val="sr-Cyrl-CS"/>
              </w:rPr>
              <w:t>kvartal</w:t>
            </w:r>
            <w:r w:rsidRPr="001A4D2F">
              <w:rPr>
                <w:lang w:val="sr-Cyrl-CS"/>
              </w:rPr>
              <w:t xml:space="preserve"> 2020.</w:t>
            </w:r>
          </w:p>
        </w:tc>
        <w:tc>
          <w:tcPr>
            <w:tcW w:w="555" w:type="pct"/>
            <w:shd w:val="clear" w:color="auto" w:fill="auto"/>
          </w:tcPr>
          <w:p w:rsidR="009A6D0D" w:rsidRPr="001A4D2F" w:rsidRDefault="00DF098D" w:rsidP="00DD68A6">
            <w:pPr>
              <w:rPr>
                <w:color w:val="auto"/>
                <w:lang w:val="sr-Cyrl-CS"/>
              </w:rPr>
            </w:pPr>
            <w:r>
              <w:rPr>
                <w:lang w:val="sr-Cyrl-CS"/>
              </w:rPr>
              <w:t>Finansira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okviru</w:t>
            </w:r>
            <w:r w:rsidR="009A6D0D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redovnih</w:t>
            </w:r>
            <w:r w:rsidR="009A6D0D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aktivnosti</w:t>
            </w:r>
            <w:r w:rsidR="009A6D0D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zaposlenih</w:t>
            </w:r>
          </w:p>
          <w:p w:rsidR="009A6D0D" w:rsidRPr="001A4D2F" w:rsidRDefault="009A6D0D" w:rsidP="00DD68A6">
            <w:pPr>
              <w:rPr>
                <w:color w:val="auto"/>
                <w:lang w:val="sr-Cyrl-CS"/>
              </w:rPr>
            </w:pPr>
          </w:p>
          <w:p w:rsidR="009A6D0D" w:rsidRPr="001A4D2F" w:rsidRDefault="00DF098D" w:rsidP="00DD68A6">
            <w:pPr>
              <w:pStyle w:val="basic-paragraph"/>
              <w:spacing w:before="0" w:beforeAutospacing="0" w:after="0" w:afterAutospacing="0"/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domaćih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međunarodnih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</w:p>
          <w:p w:rsidR="009A6D0D" w:rsidRPr="001A4D2F" w:rsidRDefault="009A6D0D" w:rsidP="00C11F8E">
            <w:pPr>
              <w:rPr>
                <w:highlight w:val="yellow"/>
                <w:lang w:val="sr-Cyrl-CS"/>
              </w:rPr>
            </w:pPr>
          </w:p>
        </w:tc>
        <w:tc>
          <w:tcPr>
            <w:tcW w:w="409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690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538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  <w:tc>
          <w:tcPr>
            <w:tcW w:w="709" w:type="pct"/>
            <w:shd w:val="clear" w:color="auto" w:fill="auto"/>
          </w:tcPr>
          <w:p w:rsidR="009A6D0D" w:rsidRPr="001A4D2F" w:rsidRDefault="009A6D0D" w:rsidP="00C11F8E">
            <w:pPr>
              <w:rPr>
                <w:lang w:val="sr-Cyrl-CS"/>
              </w:rPr>
            </w:pPr>
          </w:p>
        </w:tc>
      </w:tr>
      <w:tr w:rsidR="009A6D0D" w:rsidRPr="001A4D2F" w:rsidTr="001B4CBD">
        <w:trPr>
          <w:trHeight w:val="140"/>
        </w:trPr>
        <w:tc>
          <w:tcPr>
            <w:tcW w:w="847" w:type="pct"/>
            <w:tcBorders>
              <w:left w:val="double" w:sz="4" w:space="0" w:color="auto"/>
            </w:tcBorders>
            <w:shd w:val="clear" w:color="auto" w:fill="auto"/>
          </w:tcPr>
          <w:p w:rsidR="009A6D0D" w:rsidRPr="001A4D2F" w:rsidRDefault="009A6D0D" w:rsidP="00A9340A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 xml:space="preserve">4.4.2 </w:t>
            </w:r>
            <w:r w:rsidR="00DF098D">
              <w:rPr>
                <w:color w:val="auto"/>
                <w:lang w:val="sr-Cyrl-CS"/>
              </w:rPr>
              <w:t>Usaglasiti</w:t>
            </w:r>
            <w:r w:rsidRPr="001A4D2F">
              <w:rPr>
                <w:color w:val="auto"/>
                <w:lang w:val="sr-Cyrl-CS"/>
              </w:rPr>
              <w:t xml:space="preserve">, </w:t>
            </w:r>
            <w:r w:rsidR="00DF098D">
              <w:rPr>
                <w:color w:val="auto"/>
                <w:lang w:val="sr-Cyrl-CS"/>
              </w:rPr>
              <w:t>po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potrebi</w:t>
            </w:r>
            <w:r w:rsidRPr="001A4D2F">
              <w:rPr>
                <w:color w:val="auto"/>
                <w:lang w:val="sr-Cyrl-CS"/>
              </w:rPr>
              <w:t xml:space="preserve">, </w:t>
            </w:r>
            <w:r w:rsidR="00DF098D">
              <w:rPr>
                <w:color w:val="auto"/>
                <w:lang w:val="sr-Cyrl-CS"/>
              </w:rPr>
              <w:t>zakonsku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regulativu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sa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rezultatima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analize</w:t>
            </w:r>
            <w:r w:rsidRPr="001A4D2F">
              <w:rPr>
                <w:color w:val="auto"/>
                <w:lang w:val="sr-Cyrl-CS"/>
              </w:rPr>
              <w:t xml:space="preserve"> </w:t>
            </w:r>
            <w:r w:rsidR="00DF098D">
              <w:rPr>
                <w:color w:val="auto"/>
                <w:lang w:val="sr-Cyrl-CS"/>
              </w:rPr>
              <w:t>iz</w:t>
            </w:r>
            <w:r w:rsidRPr="001A4D2F">
              <w:rPr>
                <w:color w:val="auto"/>
                <w:lang w:val="sr-Cyrl-CS"/>
              </w:rPr>
              <w:t xml:space="preserve"> 4.4.1;</w:t>
            </w:r>
          </w:p>
        </w:tc>
        <w:tc>
          <w:tcPr>
            <w:tcW w:w="404" w:type="pct"/>
            <w:shd w:val="clear" w:color="auto" w:fill="auto"/>
          </w:tcPr>
          <w:p w:rsidR="009A6D0D" w:rsidRPr="001A4D2F" w:rsidRDefault="00DF098D" w:rsidP="00A9340A">
            <w:pPr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VRS</w:t>
            </w:r>
          </w:p>
        </w:tc>
        <w:tc>
          <w:tcPr>
            <w:tcW w:w="438" w:type="pct"/>
            <w:shd w:val="clear" w:color="auto" w:fill="auto"/>
          </w:tcPr>
          <w:p w:rsidR="009A6D0D" w:rsidRPr="001A4D2F" w:rsidRDefault="00DF098D" w:rsidP="00A9340A">
            <w:pPr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KT</w:t>
            </w:r>
          </w:p>
        </w:tc>
        <w:tc>
          <w:tcPr>
            <w:tcW w:w="410" w:type="pct"/>
            <w:shd w:val="clear" w:color="auto" w:fill="auto"/>
          </w:tcPr>
          <w:p w:rsidR="009A6D0D" w:rsidRPr="001A4D2F" w:rsidRDefault="009A6D0D" w:rsidP="0041235D">
            <w:pPr>
              <w:rPr>
                <w:color w:val="auto"/>
                <w:lang w:val="sr-Cyrl-CS"/>
              </w:rPr>
            </w:pPr>
            <w:r w:rsidRPr="001A4D2F">
              <w:rPr>
                <w:color w:val="auto"/>
                <w:lang w:val="sr-Cyrl-CS"/>
              </w:rPr>
              <w:t xml:space="preserve">IV </w:t>
            </w:r>
            <w:r w:rsidR="00DF098D">
              <w:rPr>
                <w:color w:val="auto"/>
                <w:lang w:val="sr-Cyrl-CS"/>
              </w:rPr>
              <w:t>kvartal</w:t>
            </w:r>
            <w:r w:rsidRPr="001A4D2F">
              <w:rPr>
                <w:color w:val="auto"/>
                <w:lang w:val="sr-Cyrl-CS"/>
              </w:rPr>
              <w:t xml:space="preserve"> 2021.</w:t>
            </w:r>
          </w:p>
        </w:tc>
        <w:tc>
          <w:tcPr>
            <w:tcW w:w="555" w:type="pct"/>
            <w:shd w:val="clear" w:color="auto" w:fill="auto"/>
          </w:tcPr>
          <w:p w:rsidR="009A6D0D" w:rsidRPr="001A4D2F" w:rsidRDefault="00DF098D" w:rsidP="00DD68A6">
            <w:pPr>
              <w:rPr>
                <w:color w:val="auto"/>
                <w:lang w:val="sr-Cyrl-CS"/>
              </w:rPr>
            </w:pPr>
            <w:r>
              <w:rPr>
                <w:color w:val="auto"/>
                <w:lang w:val="sr-Cyrl-CS"/>
              </w:rPr>
              <w:t>Finansira</w:t>
            </w:r>
            <w:r w:rsidR="009A6D0D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se</w:t>
            </w:r>
            <w:r w:rsidR="009A6D0D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u</w:t>
            </w:r>
            <w:r w:rsidR="009A6D0D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okviru</w:t>
            </w:r>
            <w:r w:rsidR="009A6D0D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redovnih</w:t>
            </w:r>
            <w:r w:rsidR="009A6D0D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aktivnosti</w:t>
            </w:r>
            <w:r w:rsidR="009A6D0D" w:rsidRPr="001A4D2F">
              <w:rPr>
                <w:color w:val="auto"/>
                <w:lang w:val="sr-Cyrl-CS"/>
              </w:rPr>
              <w:t xml:space="preserve"> </w:t>
            </w:r>
            <w:r>
              <w:rPr>
                <w:color w:val="auto"/>
                <w:lang w:val="sr-Cyrl-CS"/>
              </w:rPr>
              <w:t>zaposlenih</w:t>
            </w:r>
          </w:p>
          <w:p w:rsidR="009A6D0D" w:rsidRPr="001A4D2F" w:rsidRDefault="009A6D0D" w:rsidP="00DD68A6">
            <w:pPr>
              <w:rPr>
                <w:color w:val="auto"/>
                <w:lang w:val="sr-Cyrl-CS"/>
              </w:rPr>
            </w:pPr>
          </w:p>
          <w:p w:rsidR="009A6D0D" w:rsidRPr="001A4D2F" w:rsidRDefault="00DF098D" w:rsidP="00DD68A6">
            <w:pPr>
              <w:pStyle w:val="basic-paragraph"/>
              <w:spacing w:before="0" w:beforeAutospacing="0" w:after="0" w:afterAutospacing="0"/>
              <w:rPr>
                <w:lang w:val="sr-Cyrl-CS"/>
              </w:rPr>
            </w:pPr>
            <w:r>
              <w:rPr>
                <w:lang w:val="sr-Cyrl-CS"/>
              </w:rPr>
              <w:t>Sredstva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domaćih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9A6D0D" w:rsidRPr="001A4D2F">
              <w:rPr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međunarodnih</w:t>
            </w:r>
            <w:r w:rsidR="009A6D0D" w:rsidRPr="00566361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lang w:val="sr-Cyrl-CS"/>
              </w:rPr>
              <w:t>donatora</w:t>
            </w:r>
          </w:p>
          <w:p w:rsidR="009A6D0D" w:rsidRPr="001A4D2F" w:rsidRDefault="009A6D0D" w:rsidP="0041235D">
            <w:pPr>
              <w:rPr>
                <w:color w:val="auto"/>
                <w:lang w:val="sr-Cyrl-CS"/>
              </w:rPr>
            </w:pPr>
          </w:p>
        </w:tc>
        <w:tc>
          <w:tcPr>
            <w:tcW w:w="409" w:type="pct"/>
            <w:shd w:val="clear" w:color="auto" w:fill="auto"/>
          </w:tcPr>
          <w:p w:rsidR="009A6D0D" w:rsidRPr="001A4D2F" w:rsidRDefault="009A6D0D" w:rsidP="0041235D">
            <w:pPr>
              <w:rPr>
                <w:color w:val="auto"/>
                <w:lang w:val="sr-Cyrl-CS"/>
              </w:rPr>
            </w:pPr>
          </w:p>
        </w:tc>
        <w:tc>
          <w:tcPr>
            <w:tcW w:w="690" w:type="pct"/>
            <w:shd w:val="clear" w:color="auto" w:fill="auto"/>
          </w:tcPr>
          <w:p w:rsidR="009A6D0D" w:rsidRPr="001A4D2F" w:rsidRDefault="009A6D0D" w:rsidP="0041235D">
            <w:pPr>
              <w:rPr>
                <w:color w:val="auto"/>
                <w:lang w:val="sr-Cyrl-CS"/>
              </w:rPr>
            </w:pPr>
          </w:p>
        </w:tc>
        <w:tc>
          <w:tcPr>
            <w:tcW w:w="538" w:type="pct"/>
            <w:shd w:val="clear" w:color="auto" w:fill="auto"/>
          </w:tcPr>
          <w:p w:rsidR="009A6D0D" w:rsidRPr="001A4D2F" w:rsidRDefault="009A6D0D" w:rsidP="0041235D">
            <w:pPr>
              <w:rPr>
                <w:color w:val="auto"/>
                <w:lang w:val="sr-Cyrl-CS"/>
              </w:rPr>
            </w:pPr>
          </w:p>
        </w:tc>
        <w:tc>
          <w:tcPr>
            <w:tcW w:w="709" w:type="pct"/>
            <w:shd w:val="clear" w:color="auto" w:fill="auto"/>
          </w:tcPr>
          <w:p w:rsidR="009A6D0D" w:rsidRPr="001A4D2F" w:rsidRDefault="009A6D0D" w:rsidP="0041235D">
            <w:pPr>
              <w:rPr>
                <w:color w:val="auto"/>
                <w:lang w:val="sr-Cyrl-CS"/>
              </w:rPr>
            </w:pPr>
          </w:p>
        </w:tc>
      </w:tr>
    </w:tbl>
    <w:p w:rsidR="00793779" w:rsidRPr="001A4D2F" w:rsidRDefault="00793779" w:rsidP="00C11F8E">
      <w:pPr>
        <w:rPr>
          <w:lang w:val="sr-Cyrl-CS"/>
        </w:rPr>
        <w:sectPr w:rsidR="00793779" w:rsidRPr="001A4D2F" w:rsidSect="00793779">
          <w:headerReference w:type="default" r:id="rId9"/>
          <w:footerReference w:type="default" r:id="rId10"/>
          <w:pgSz w:w="16839" w:h="11907" w:orient="landscape" w:code="9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2093"/>
        <w:gridCol w:w="7483"/>
      </w:tblGrid>
      <w:tr w:rsidR="005768D4" w:rsidRPr="001A4D2F" w:rsidTr="00D93CED">
        <w:tc>
          <w:tcPr>
            <w:tcW w:w="9576" w:type="dxa"/>
            <w:gridSpan w:val="2"/>
          </w:tcPr>
          <w:p w:rsidR="005768D4" w:rsidRPr="001A4D2F" w:rsidRDefault="00DF098D" w:rsidP="00D93CE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Lista</w:t>
            </w:r>
            <w:r w:rsidR="005768D4" w:rsidRPr="001A4D2F">
              <w:rPr>
                <w:b/>
                <w:lang w:val="sr-Cyrl-CS"/>
              </w:rPr>
              <w:t xml:space="preserve"> </w:t>
            </w:r>
            <w:r>
              <w:rPr>
                <w:b/>
                <w:lang w:val="sr-Cyrl-CS"/>
              </w:rPr>
              <w:t>skraćenica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ABPK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Agencija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borbu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protiv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korupcije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AKS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Advokatska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komora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Srbije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APR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Agencija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privredne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registre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AS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Apelacioni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sudovi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BIA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Bezbednosno</w:t>
            </w:r>
            <w:r w:rsidR="00123637">
              <w:rPr>
                <w:lang w:val="sr-Cyrl-CS"/>
              </w:rPr>
              <w:t>-</w:t>
            </w:r>
            <w:r>
              <w:rPr>
                <w:lang w:val="sr-Cyrl-CS"/>
              </w:rPr>
              <w:t>informativna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agencija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VBA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Vojno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bezbednosna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agencija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VJT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Više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javno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tužilaštvo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VKS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Vrhovni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kasacioni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sud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VOA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Vojno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obaveštajna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agencija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VRS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Vlada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Republike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Srbije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VS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Viši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sud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VSS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Visoki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savet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sudstva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DRI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Državna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revizorska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institucija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IUP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Institut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uporedno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pravo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JBK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Javnobeležnička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komora</w:t>
            </w:r>
            <w:r w:rsidR="00123637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Srbije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KZSCD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Kancelarija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saradnju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civilnim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društvom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KKZIN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Koordinaciona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komisija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inspekcijski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nadzor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KSNBiZTP</w:t>
            </w:r>
          </w:p>
        </w:tc>
        <w:tc>
          <w:tcPr>
            <w:tcW w:w="7483" w:type="dxa"/>
          </w:tcPr>
          <w:p w:rsidR="0082149B" w:rsidRPr="001A4D2F" w:rsidRDefault="00DF098D" w:rsidP="00CB13E8">
            <w:pPr>
              <w:rPr>
                <w:lang w:val="sr-Cyrl-CS"/>
              </w:rPr>
            </w:pPr>
            <w:r>
              <w:rPr>
                <w:lang w:val="sr-Cyrl-CS"/>
              </w:rPr>
              <w:t>Kancelarija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Saveta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nacionalnu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bezbednost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zaštitu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tajnih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podataka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KT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Koordinaciono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telo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sprečavanje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pranja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novca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KHOV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Komisija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hartije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vrednosti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MDULS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Ministarstvo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državne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uprave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lokalne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samouprave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MDULS</w:t>
            </w:r>
            <w:r w:rsidR="0082149B" w:rsidRPr="001A4D2F">
              <w:rPr>
                <w:lang w:val="sr-Cyrl-CS"/>
              </w:rPr>
              <w:t>-</w:t>
            </w:r>
            <w:r>
              <w:rPr>
                <w:lang w:val="sr-Cyrl-CS"/>
              </w:rPr>
              <w:t>UI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Ministarstvo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državne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uprave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lokalne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samouprave</w:t>
            </w:r>
            <w:r w:rsidR="0082149B" w:rsidRPr="001A4D2F">
              <w:rPr>
                <w:lang w:val="sr-Cyrl-CS"/>
              </w:rPr>
              <w:t xml:space="preserve"> – </w:t>
            </w:r>
            <w:r>
              <w:rPr>
                <w:lang w:val="sr-Cyrl-CS"/>
              </w:rPr>
              <w:t>Upravna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inspekcija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MKI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Ministarstvo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kulture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informisanja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MP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Ministarstvo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pravde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MP</w:t>
            </w:r>
            <w:r w:rsidR="0082149B" w:rsidRPr="001A4D2F">
              <w:rPr>
                <w:lang w:val="sr-Cyrl-CS"/>
              </w:rPr>
              <w:t>-</w:t>
            </w:r>
            <w:r>
              <w:rPr>
                <w:lang w:val="sr-Cyrl-CS"/>
              </w:rPr>
              <w:t>DUOI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Ministarstvo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pravde</w:t>
            </w:r>
            <w:r w:rsidR="0082149B" w:rsidRPr="001A4D2F">
              <w:rPr>
                <w:lang w:val="sr-Cyrl-CS"/>
              </w:rPr>
              <w:t xml:space="preserve"> – </w:t>
            </w:r>
            <w:r>
              <w:rPr>
                <w:lang w:val="sr-Cyrl-CS"/>
              </w:rPr>
              <w:t>Direkcija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upravljanje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oduzetom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imovinom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MPRIV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Ministarstvo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privrede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MTTT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Ministarstvo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trgovine</w:t>
            </w:r>
            <w:r w:rsidR="0082149B" w:rsidRPr="001A4D2F">
              <w:rPr>
                <w:lang w:val="sr-Cyrl-CS"/>
              </w:rPr>
              <w:t>,</w:t>
            </w:r>
            <w:r w:rsidR="00BF2D2D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turizma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telekomunikacija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MUP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Ministarstvo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unutrašnjih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poslova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MFIN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Ministarstvo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finansija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Nadzorni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Nadzorni</w:t>
            </w:r>
            <w:r w:rsidR="00BC6F2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</w:t>
            </w:r>
            <w:r w:rsidR="00BC6F2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</w:t>
            </w:r>
            <w:r w:rsidR="00BC6F2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Zakonu</w:t>
            </w:r>
            <w:r w:rsidR="00BC6F2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</w:t>
            </w:r>
            <w:r w:rsidR="00BC6F2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sprečavanju</w:t>
            </w:r>
            <w:r w:rsidR="00BC6F2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pranja</w:t>
            </w:r>
            <w:r w:rsidR="00BC6F2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novca</w:t>
            </w:r>
            <w:r w:rsidR="00BC6F2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BC6F2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finansiranja</w:t>
            </w:r>
            <w:r w:rsidR="00BC6F23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terorizma</w:t>
            </w:r>
            <w:r w:rsidR="00BC6F23" w:rsidRPr="001A4D2F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NBS</w:t>
            </w:r>
            <w:r w:rsidR="0082149B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MTTT</w:t>
            </w:r>
            <w:r w:rsidR="0082149B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KHOV</w:t>
            </w:r>
            <w:r w:rsidR="0082149B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JBK</w:t>
            </w:r>
            <w:r w:rsidR="0082149B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AKS</w:t>
            </w:r>
            <w:r w:rsidR="0082149B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UIS</w:t>
            </w:r>
            <w:r w:rsidR="0082149B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USPN</w:t>
            </w:r>
            <w:r w:rsidR="0082149B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PU</w:t>
            </w:r>
            <w:r w:rsidR="00BC6F23" w:rsidRPr="001A4D2F">
              <w:rPr>
                <w:lang w:val="sr-Cyrl-CS"/>
              </w:rPr>
              <w:t>)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NBS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Narodna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banka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Srbije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NKT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Nacionalno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koordinaciono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telo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sprečavanje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borbu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protiv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terorizma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NPO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sektor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Neprofitni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sektor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PA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Pravosudna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akademija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PAS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Prekršajni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apelacioni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sud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PKS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Privredna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komora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Srbije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POLA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Policijska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akademija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PP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Poreska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policija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PRIVS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Privredni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sud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PS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Prekršajni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sud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PU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Poreska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uprava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RGZ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Republički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geodetski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zavod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RGNPO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Radna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grupa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nadzor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lastRenderedPageBreak/>
              <w:t>RDI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Republička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direkcija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imovinu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Republike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Srbije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RJT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Republičko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javno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tužilaštvo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RFZO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Republički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fond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zdravstveno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osiguranje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RFPIO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Republički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fond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penzijsko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invalidsko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osiguranje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TOK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Tužilaštvo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organizovani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kriminal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UGP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Uprava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granične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policije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UIS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Uprava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igre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sreću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UJN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Uprava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javne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nabavke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USPN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Uprava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za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sprečavanje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pranja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novca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UC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Uprava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carina</w:t>
            </w:r>
          </w:p>
        </w:tc>
      </w:tr>
      <w:tr w:rsidR="0082149B" w:rsidRPr="001A4D2F" w:rsidTr="00CB13E8">
        <w:tc>
          <w:tcPr>
            <w:tcW w:w="209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CRHOV</w:t>
            </w:r>
          </w:p>
        </w:tc>
        <w:tc>
          <w:tcPr>
            <w:tcW w:w="7483" w:type="dxa"/>
          </w:tcPr>
          <w:p w:rsidR="0082149B" w:rsidRPr="001A4D2F" w:rsidRDefault="00DF098D">
            <w:pPr>
              <w:rPr>
                <w:lang w:val="sr-Cyrl-CS"/>
              </w:rPr>
            </w:pPr>
            <w:r>
              <w:rPr>
                <w:lang w:val="sr-Cyrl-CS"/>
              </w:rPr>
              <w:t>Centralni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registar</w:t>
            </w:r>
            <w:r w:rsidR="0082149B" w:rsidRPr="001A4D2F">
              <w:rPr>
                <w:lang w:val="sr-Cyrl-CS"/>
              </w:rPr>
              <w:t xml:space="preserve">, </w:t>
            </w:r>
            <w:r>
              <w:rPr>
                <w:lang w:val="sr-Cyrl-CS"/>
              </w:rPr>
              <w:t>depo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kliring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hartija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od</w:t>
            </w:r>
            <w:r w:rsidR="0082149B" w:rsidRPr="001A4D2F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vrednosti</w:t>
            </w:r>
          </w:p>
        </w:tc>
      </w:tr>
    </w:tbl>
    <w:p w:rsidR="00F43ECD" w:rsidRPr="001A4D2F" w:rsidRDefault="00F43ECD" w:rsidP="00C11F8E">
      <w:pPr>
        <w:rPr>
          <w:lang w:val="sr-Cyrl-CS"/>
        </w:rPr>
      </w:pPr>
    </w:p>
    <w:sectPr w:rsidR="00F43ECD" w:rsidRPr="001A4D2F" w:rsidSect="007F4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6DD" w:rsidRDefault="003426DD" w:rsidP="00713A91">
      <w:r>
        <w:separator/>
      </w:r>
    </w:p>
  </w:endnote>
  <w:endnote w:type="continuationSeparator" w:id="0">
    <w:p w:rsidR="003426DD" w:rsidRDefault="003426DD" w:rsidP="00713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egoe UI" w:hAnsi="Segoe UI" w:cs="Segoe UI"/>
        <w:color w:val="auto"/>
        <w:sz w:val="21"/>
        <w:szCs w:val="21"/>
      </w:rPr>
      <w:id w:val="18746953"/>
      <w:docPartObj>
        <w:docPartGallery w:val="Page Numbers (Bottom of Page)"/>
        <w:docPartUnique/>
      </w:docPartObj>
    </w:sdtPr>
    <w:sdtContent>
      <w:p w:rsidR="00536DA8" w:rsidRPr="000B0BBF" w:rsidRDefault="002D2675">
        <w:pPr>
          <w:pStyle w:val="Footer"/>
          <w:jc w:val="right"/>
          <w:rPr>
            <w:rFonts w:ascii="Segoe UI" w:hAnsi="Segoe UI" w:cs="Segoe UI"/>
            <w:sz w:val="21"/>
            <w:szCs w:val="21"/>
          </w:rPr>
        </w:pPr>
        <w:r w:rsidRPr="000B0BBF">
          <w:rPr>
            <w:rFonts w:ascii="Segoe UI" w:hAnsi="Segoe UI" w:cs="Segoe UI"/>
            <w:sz w:val="21"/>
            <w:szCs w:val="21"/>
          </w:rPr>
          <w:fldChar w:fldCharType="begin"/>
        </w:r>
        <w:r w:rsidR="00536DA8" w:rsidRPr="000B0BBF">
          <w:rPr>
            <w:rFonts w:ascii="Segoe UI" w:hAnsi="Segoe UI" w:cs="Segoe UI"/>
            <w:sz w:val="21"/>
            <w:szCs w:val="21"/>
          </w:rPr>
          <w:instrText xml:space="preserve"> PAGE   \* MERGEFORMAT </w:instrText>
        </w:r>
        <w:r w:rsidRPr="000B0BBF">
          <w:rPr>
            <w:rFonts w:ascii="Segoe UI" w:hAnsi="Segoe UI" w:cs="Segoe UI"/>
            <w:sz w:val="21"/>
            <w:szCs w:val="21"/>
          </w:rPr>
          <w:fldChar w:fldCharType="separate"/>
        </w:r>
        <w:r w:rsidR="00DF098D">
          <w:rPr>
            <w:rFonts w:ascii="Segoe UI" w:hAnsi="Segoe UI" w:cs="Segoe UI"/>
            <w:noProof/>
            <w:sz w:val="21"/>
            <w:szCs w:val="21"/>
          </w:rPr>
          <w:t>59</w:t>
        </w:r>
        <w:r w:rsidRPr="000B0BBF">
          <w:rPr>
            <w:rFonts w:ascii="Segoe UI" w:hAnsi="Segoe UI" w:cs="Segoe UI"/>
            <w:sz w:val="21"/>
            <w:szCs w:val="21"/>
          </w:rPr>
          <w:fldChar w:fldCharType="end"/>
        </w:r>
      </w:p>
    </w:sdtContent>
  </w:sdt>
  <w:p w:rsidR="00536DA8" w:rsidRPr="000B0BBF" w:rsidRDefault="00536DA8">
    <w:pPr>
      <w:pStyle w:val="Footer"/>
      <w:rPr>
        <w:rFonts w:ascii="Segoe UI" w:hAnsi="Segoe UI" w:cs="Segoe UI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6DD" w:rsidRDefault="003426DD" w:rsidP="00713A91">
      <w:r>
        <w:separator/>
      </w:r>
    </w:p>
  </w:footnote>
  <w:footnote w:type="continuationSeparator" w:id="0">
    <w:p w:rsidR="003426DD" w:rsidRDefault="003426DD" w:rsidP="00713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DA8" w:rsidRPr="00A47261" w:rsidRDefault="00536DA8" w:rsidP="00A47261">
    <w:pPr>
      <w:pStyle w:val="Header"/>
      <w:jc w:val="right"/>
      <w:rPr>
        <w:b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2F88"/>
    <w:multiLevelType w:val="hybridMultilevel"/>
    <w:tmpl w:val="9976D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0A61"/>
    <w:multiLevelType w:val="hybridMultilevel"/>
    <w:tmpl w:val="2B220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43ED3"/>
    <w:multiLevelType w:val="hybridMultilevel"/>
    <w:tmpl w:val="9976D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1773E"/>
    <w:multiLevelType w:val="hybridMultilevel"/>
    <w:tmpl w:val="EE82A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51A60"/>
    <w:multiLevelType w:val="hybridMultilevel"/>
    <w:tmpl w:val="2392F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7720A"/>
    <w:multiLevelType w:val="hybridMultilevel"/>
    <w:tmpl w:val="592A3A0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95A98"/>
    <w:multiLevelType w:val="hybridMultilevel"/>
    <w:tmpl w:val="9976D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C10FE"/>
    <w:multiLevelType w:val="hybridMultilevel"/>
    <w:tmpl w:val="42D67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92AB6"/>
    <w:multiLevelType w:val="hybridMultilevel"/>
    <w:tmpl w:val="9976D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D7A87"/>
    <w:multiLevelType w:val="hybridMultilevel"/>
    <w:tmpl w:val="8F089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A7917"/>
    <w:multiLevelType w:val="hybridMultilevel"/>
    <w:tmpl w:val="42563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62134"/>
    <w:multiLevelType w:val="hybridMultilevel"/>
    <w:tmpl w:val="01160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01087"/>
    <w:multiLevelType w:val="hybridMultilevel"/>
    <w:tmpl w:val="46BC1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95C3B"/>
    <w:multiLevelType w:val="hybridMultilevel"/>
    <w:tmpl w:val="1316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225B0"/>
    <w:multiLevelType w:val="multilevel"/>
    <w:tmpl w:val="54F48D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B77398"/>
    <w:multiLevelType w:val="hybridMultilevel"/>
    <w:tmpl w:val="891EE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375828"/>
    <w:multiLevelType w:val="multilevel"/>
    <w:tmpl w:val="54F48D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930E71"/>
    <w:multiLevelType w:val="multilevel"/>
    <w:tmpl w:val="54F48D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155046"/>
    <w:multiLevelType w:val="hybridMultilevel"/>
    <w:tmpl w:val="9976D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C4ADB"/>
    <w:multiLevelType w:val="hybridMultilevel"/>
    <w:tmpl w:val="A782AF7C"/>
    <w:lvl w:ilvl="0" w:tplc="DB7CB438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A329B"/>
    <w:multiLevelType w:val="hybridMultilevel"/>
    <w:tmpl w:val="6352D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253143"/>
    <w:multiLevelType w:val="hybridMultilevel"/>
    <w:tmpl w:val="E8F6EA5E"/>
    <w:lvl w:ilvl="0" w:tplc="BA26FA8E">
      <w:start w:val="1"/>
      <w:numFmt w:val="decimal"/>
      <w:lvlText w:val="%1."/>
      <w:lvlJc w:val="left"/>
      <w:pPr>
        <w:ind w:left="720" w:hanging="360"/>
      </w:pPr>
      <w:rPr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11C5F"/>
    <w:multiLevelType w:val="hybridMultilevel"/>
    <w:tmpl w:val="1B6C4A02"/>
    <w:lvl w:ilvl="0" w:tplc="5B564EEC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304A17"/>
    <w:multiLevelType w:val="multilevel"/>
    <w:tmpl w:val="54F48D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F66A1F"/>
    <w:multiLevelType w:val="multilevel"/>
    <w:tmpl w:val="54F48D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3F34CF"/>
    <w:multiLevelType w:val="hybridMultilevel"/>
    <w:tmpl w:val="55588364"/>
    <w:lvl w:ilvl="0" w:tplc="F50A1E10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43CD7"/>
    <w:multiLevelType w:val="hybridMultilevel"/>
    <w:tmpl w:val="709C8B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F7DB6"/>
    <w:multiLevelType w:val="multilevel"/>
    <w:tmpl w:val="54F48D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C97678"/>
    <w:multiLevelType w:val="hybridMultilevel"/>
    <w:tmpl w:val="9976D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6D0999"/>
    <w:multiLevelType w:val="hybridMultilevel"/>
    <w:tmpl w:val="C98EC08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FF42DF4"/>
    <w:multiLevelType w:val="hybridMultilevel"/>
    <w:tmpl w:val="9976D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91666"/>
    <w:multiLevelType w:val="multilevel"/>
    <w:tmpl w:val="54F48D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7"/>
  </w:num>
  <w:num w:numId="4">
    <w:abstractNumId w:val="4"/>
  </w:num>
  <w:num w:numId="5">
    <w:abstractNumId w:val="1"/>
  </w:num>
  <w:num w:numId="6">
    <w:abstractNumId w:val="12"/>
  </w:num>
  <w:num w:numId="7">
    <w:abstractNumId w:val="15"/>
  </w:num>
  <w:num w:numId="8">
    <w:abstractNumId w:val="23"/>
  </w:num>
  <w:num w:numId="9">
    <w:abstractNumId w:val="21"/>
  </w:num>
  <w:num w:numId="10">
    <w:abstractNumId w:val="19"/>
  </w:num>
  <w:num w:numId="11">
    <w:abstractNumId w:val="25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26"/>
  </w:num>
  <w:num w:numId="16">
    <w:abstractNumId w:val="3"/>
  </w:num>
  <w:num w:numId="17">
    <w:abstractNumId w:val="29"/>
  </w:num>
  <w:num w:numId="18">
    <w:abstractNumId w:val="31"/>
  </w:num>
  <w:num w:numId="19">
    <w:abstractNumId w:val="17"/>
  </w:num>
  <w:num w:numId="20">
    <w:abstractNumId w:val="27"/>
  </w:num>
  <w:num w:numId="21">
    <w:abstractNumId w:val="14"/>
  </w:num>
  <w:num w:numId="22">
    <w:abstractNumId w:val="16"/>
  </w:num>
  <w:num w:numId="23">
    <w:abstractNumId w:val="24"/>
  </w:num>
  <w:num w:numId="24">
    <w:abstractNumId w:val="13"/>
  </w:num>
  <w:num w:numId="25">
    <w:abstractNumId w:val="10"/>
  </w:num>
  <w:num w:numId="26">
    <w:abstractNumId w:val="9"/>
  </w:num>
  <w:num w:numId="27">
    <w:abstractNumId w:val="18"/>
  </w:num>
  <w:num w:numId="28">
    <w:abstractNumId w:val="6"/>
  </w:num>
  <w:num w:numId="29">
    <w:abstractNumId w:val="8"/>
  </w:num>
  <w:num w:numId="30">
    <w:abstractNumId w:val="28"/>
  </w:num>
  <w:num w:numId="31">
    <w:abstractNumId w:val="0"/>
  </w:num>
  <w:num w:numId="32">
    <w:abstractNumId w:val="3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hideSpellingErrors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A91"/>
    <w:rsid w:val="0000003B"/>
    <w:rsid w:val="0001093D"/>
    <w:rsid w:val="00015C01"/>
    <w:rsid w:val="000229FA"/>
    <w:rsid w:val="000259B3"/>
    <w:rsid w:val="000269C8"/>
    <w:rsid w:val="00032563"/>
    <w:rsid w:val="000342B2"/>
    <w:rsid w:val="0003799E"/>
    <w:rsid w:val="00037BF6"/>
    <w:rsid w:val="00040297"/>
    <w:rsid w:val="000435FD"/>
    <w:rsid w:val="0004492D"/>
    <w:rsid w:val="0004546C"/>
    <w:rsid w:val="000474AA"/>
    <w:rsid w:val="00050AB0"/>
    <w:rsid w:val="00050E7F"/>
    <w:rsid w:val="00051416"/>
    <w:rsid w:val="00054ACF"/>
    <w:rsid w:val="00054E20"/>
    <w:rsid w:val="000553F1"/>
    <w:rsid w:val="00056AE0"/>
    <w:rsid w:val="00063345"/>
    <w:rsid w:val="00065149"/>
    <w:rsid w:val="000656E7"/>
    <w:rsid w:val="000674FF"/>
    <w:rsid w:val="000703A9"/>
    <w:rsid w:val="00073345"/>
    <w:rsid w:val="00074050"/>
    <w:rsid w:val="00074670"/>
    <w:rsid w:val="00077619"/>
    <w:rsid w:val="00081B8D"/>
    <w:rsid w:val="00083ED0"/>
    <w:rsid w:val="000860BE"/>
    <w:rsid w:val="00090975"/>
    <w:rsid w:val="0009405E"/>
    <w:rsid w:val="000A3B0D"/>
    <w:rsid w:val="000A59A7"/>
    <w:rsid w:val="000A7CC4"/>
    <w:rsid w:val="000B0100"/>
    <w:rsid w:val="000B0BBF"/>
    <w:rsid w:val="000B3C2A"/>
    <w:rsid w:val="000B5F1D"/>
    <w:rsid w:val="000B75F7"/>
    <w:rsid w:val="000C1D77"/>
    <w:rsid w:val="000C4208"/>
    <w:rsid w:val="000C6EB5"/>
    <w:rsid w:val="000C7714"/>
    <w:rsid w:val="000D08A9"/>
    <w:rsid w:val="000D1143"/>
    <w:rsid w:val="000D1319"/>
    <w:rsid w:val="000D4757"/>
    <w:rsid w:val="000E3771"/>
    <w:rsid w:val="000E3FF6"/>
    <w:rsid w:val="000E7324"/>
    <w:rsid w:val="000F0BD0"/>
    <w:rsid w:val="00102718"/>
    <w:rsid w:val="00102ECF"/>
    <w:rsid w:val="001043A5"/>
    <w:rsid w:val="00104CDD"/>
    <w:rsid w:val="001204FF"/>
    <w:rsid w:val="001210BE"/>
    <w:rsid w:val="00121212"/>
    <w:rsid w:val="00123637"/>
    <w:rsid w:val="00123675"/>
    <w:rsid w:val="001254C3"/>
    <w:rsid w:val="00131ED0"/>
    <w:rsid w:val="00133CB5"/>
    <w:rsid w:val="0013548D"/>
    <w:rsid w:val="00142EDC"/>
    <w:rsid w:val="00143AC7"/>
    <w:rsid w:val="00144CCE"/>
    <w:rsid w:val="00146E18"/>
    <w:rsid w:val="0015383E"/>
    <w:rsid w:val="00154FDD"/>
    <w:rsid w:val="00156124"/>
    <w:rsid w:val="00156D4E"/>
    <w:rsid w:val="00161230"/>
    <w:rsid w:val="001626DC"/>
    <w:rsid w:val="00163505"/>
    <w:rsid w:val="00165CB9"/>
    <w:rsid w:val="00170910"/>
    <w:rsid w:val="00173AE0"/>
    <w:rsid w:val="001812E7"/>
    <w:rsid w:val="001821C4"/>
    <w:rsid w:val="00182940"/>
    <w:rsid w:val="00184E9E"/>
    <w:rsid w:val="00185FE6"/>
    <w:rsid w:val="00191E3F"/>
    <w:rsid w:val="001A0C43"/>
    <w:rsid w:val="001A18C8"/>
    <w:rsid w:val="001A3C52"/>
    <w:rsid w:val="001A47C0"/>
    <w:rsid w:val="001A4D2F"/>
    <w:rsid w:val="001A655F"/>
    <w:rsid w:val="001B2108"/>
    <w:rsid w:val="001B2820"/>
    <w:rsid w:val="001B2E39"/>
    <w:rsid w:val="001B379F"/>
    <w:rsid w:val="001B4CBD"/>
    <w:rsid w:val="001B60B1"/>
    <w:rsid w:val="001B65B2"/>
    <w:rsid w:val="001C28EC"/>
    <w:rsid w:val="001C4A4F"/>
    <w:rsid w:val="001E4E03"/>
    <w:rsid w:val="001E542B"/>
    <w:rsid w:val="001E55D5"/>
    <w:rsid w:val="001E5DFF"/>
    <w:rsid w:val="001F1495"/>
    <w:rsid w:val="001F15C3"/>
    <w:rsid w:val="001F2C4B"/>
    <w:rsid w:val="002052A3"/>
    <w:rsid w:val="0020533F"/>
    <w:rsid w:val="0020631B"/>
    <w:rsid w:val="00206857"/>
    <w:rsid w:val="002074F1"/>
    <w:rsid w:val="00210A55"/>
    <w:rsid w:val="002145B3"/>
    <w:rsid w:val="00215665"/>
    <w:rsid w:val="0021585E"/>
    <w:rsid w:val="002219B5"/>
    <w:rsid w:val="0022234E"/>
    <w:rsid w:val="002247A8"/>
    <w:rsid w:val="00224C1E"/>
    <w:rsid w:val="00232650"/>
    <w:rsid w:val="002374BA"/>
    <w:rsid w:val="002424EB"/>
    <w:rsid w:val="00245ED1"/>
    <w:rsid w:val="00250537"/>
    <w:rsid w:val="00250708"/>
    <w:rsid w:val="00254C7E"/>
    <w:rsid w:val="0025513A"/>
    <w:rsid w:val="002632C2"/>
    <w:rsid w:val="00263780"/>
    <w:rsid w:val="00263A5E"/>
    <w:rsid w:val="0026686C"/>
    <w:rsid w:val="00267777"/>
    <w:rsid w:val="002702AB"/>
    <w:rsid w:val="00271782"/>
    <w:rsid w:val="00273598"/>
    <w:rsid w:val="00274562"/>
    <w:rsid w:val="00281A15"/>
    <w:rsid w:val="00283830"/>
    <w:rsid w:val="00283DD5"/>
    <w:rsid w:val="00284C51"/>
    <w:rsid w:val="00285FD7"/>
    <w:rsid w:val="00286710"/>
    <w:rsid w:val="00291FF2"/>
    <w:rsid w:val="002922B5"/>
    <w:rsid w:val="00294720"/>
    <w:rsid w:val="002A3F75"/>
    <w:rsid w:val="002A4CC7"/>
    <w:rsid w:val="002B23AB"/>
    <w:rsid w:val="002B6D6A"/>
    <w:rsid w:val="002B7AB2"/>
    <w:rsid w:val="002B7E1A"/>
    <w:rsid w:val="002C15B7"/>
    <w:rsid w:val="002C54BD"/>
    <w:rsid w:val="002D1889"/>
    <w:rsid w:val="002D2675"/>
    <w:rsid w:val="002D3052"/>
    <w:rsid w:val="002D69E2"/>
    <w:rsid w:val="002E071E"/>
    <w:rsid w:val="002E2CAF"/>
    <w:rsid w:val="002E5077"/>
    <w:rsid w:val="002E5CC8"/>
    <w:rsid w:val="002F1FEA"/>
    <w:rsid w:val="002F2585"/>
    <w:rsid w:val="002F2CC6"/>
    <w:rsid w:val="003030E6"/>
    <w:rsid w:val="003041BF"/>
    <w:rsid w:val="003069B2"/>
    <w:rsid w:val="003162F4"/>
    <w:rsid w:val="00320748"/>
    <w:rsid w:val="00320EA9"/>
    <w:rsid w:val="003214BC"/>
    <w:rsid w:val="00321E8D"/>
    <w:rsid w:val="00323486"/>
    <w:rsid w:val="00323A5A"/>
    <w:rsid w:val="00326C84"/>
    <w:rsid w:val="00326CC2"/>
    <w:rsid w:val="00326EA5"/>
    <w:rsid w:val="00327445"/>
    <w:rsid w:val="0034189E"/>
    <w:rsid w:val="003426DD"/>
    <w:rsid w:val="00343DEC"/>
    <w:rsid w:val="00345049"/>
    <w:rsid w:val="003478F8"/>
    <w:rsid w:val="00350767"/>
    <w:rsid w:val="00350AF3"/>
    <w:rsid w:val="003562B4"/>
    <w:rsid w:val="0036171D"/>
    <w:rsid w:val="00363221"/>
    <w:rsid w:val="00363ED5"/>
    <w:rsid w:val="00366074"/>
    <w:rsid w:val="00367ABB"/>
    <w:rsid w:val="00367ADF"/>
    <w:rsid w:val="00375E65"/>
    <w:rsid w:val="003909EA"/>
    <w:rsid w:val="00395DA3"/>
    <w:rsid w:val="0039640D"/>
    <w:rsid w:val="003A159C"/>
    <w:rsid w:val="003A2212"/>
    <w:rsid w:val="003A6CA2"/>
    <w:rsid w:val="003B30BF"/>
    <w:rsid w:val="003B399A"/>
    <w:rsid w:val="003B3C7C"/>
    <w:rsid w:val="003C012B"/>
    <w:rsid w:val="003C0BAA"/>
    <w:rsid w:val="003C0D99"/>
    <w:rsid w:val="003C2A92"/>
    <w:rsid w:val="003C48F1"/>
    <w:rsid w:val="003E265E"/>
    <w:rsid w:val="003E418C"/>
    <w:rsid w:val="003E6F29"/>
    <w:rsid w:val="003F3E12"/>
    <w:rsid w:val="003F46B0"/>
    <w:rsid w:val="003F4F08"/>
    <w:rsid w:val="003F6B18"/>
    <w:rsid w:val="003F6C47"/>
    <w:rsid w:val="004052BA"/>
    <w:rsid w:val="004079BC"/>
    <w:rsid w:val="0041026F"/>
    <w:rsid w:val="0041235D"/>
    <w:rsid w:val="00421291"/>
    <w:rsid w:val="004232FE"/>
    <w:rsid w:val="00423F6C"/>
    <w:rsid w:val="00424469"/>
    <w:rsid w:val="00424D8F"/>
    <w:rsid w:val="00424DC6"/>
    <w:rsid w:val="00425B43"/>
    <w:rsid w:val="004316AD"/>
    <w:rsid w:val="004318D2"/>
    <w:rsid w:val="00432822"/>
    <w:rsid w:val="00434EDC"/>
    <w:rsid w:val="004420AE"/>
    <w:rsid w:val="00442D60"/>
    <w:rsid w:val="004446B4"/>
    <w:rsid w:val="0044603F"/>
    <w:rsid w:val="00447807"/>
    <w:rsid w:val="00450A86"/>
    <w:rsid w:val="00451BF1"/>
    <w:rsid w:val="00463E7C"/>
    <w:rsid w:val="00464869"/>
    <w:rsid w:val="00465BE6"/>
    <w:rsid w:val="00467761"/>
    <w:rsid w:val="004747BD"/>
    <w:rsid w:val="004769B3"/>
    <w:rsid w:val="00476D5F"/>
    <w:rsid w:val="00481539"/>
    <w:rsid w:val="00481586"/>
    <w:rsid w:val="004819C9"/>
    <w:rsid w:val="00487258"/>
    <w:rsid w:val="00492C3B"/>
    <w:rsid w:val="00493915"/>
    <w:rsid w:val="004965C9"/>
    <w:rsid w:val="00497818"/>
    <w:rsid w:val="00497A27"/>
    <w:rsid w:val="004A1E65"/>
    <w:rsid w:val="004B4172"/>
    <w:rsid w:val="004B7C54"/>
    <w:rsid w:val="004C04D7"/>
    <w:rsid w:val="004C44F2"/>
    <w:rsid w:val="004C54B0"/>
    <w:rsid w:val="004C76C3"/>
    <w:rsid w:val="004D0E60"/>
    <w:rsid w:val="004D6269"/>
    <w:rsid w:val="004E07FF"/>
    <w:rsid w:val="004E180B"/>
    <w:rsid w:val="004E3E05"/>
    <w:rsid w:val="004E570C"/>
    <w:rsid w:val="004E74BC"/>
    <w:rsid w:val="004F598D"/>
    <w:rsid w:val="004F5B8A"/>
    <w:rsid w:val="005068C3"/>
    <w:rsid w:val="00514CA1"/>
    <w:rsid w:val="00520B00"/>
    <w:rsid w:val="00520B58"/>
    <w:rsid w:val="0052577D"/>
    <w:rsid w:val="00526A7A"/>
    <w:rsid w:val="00530C7B"/>
    <w:rsid w:val="0053445B"/>
    <w:rsid w:val="00536DA8"/>
    <w:rsid w:val="005414D3"/>
    <w:rsid w:val="0054380B"/>
    <w:rsid w:val="00552016"/>
    <w:rsid w:val="00552A56"/>
    <w:rsid w:val="0055614B"/>
    <w:rsid w:val="00557B42"/>
    <w:rsid w:val="00566361"/>
    <w:rsid w:val="00575AF4"/>
    <w:rsid w:val="005768D4"/>
    <w:rsid w:val="00577F78"/>
    <w:rsid w:val="00583368"/>
    <w:rsid w:val="00583FE2"/>
    <w:rsid w:val="0058466C"/>
    <w:rsid w:val="005877A4"/>
    <w:rsid w:val="00587FE4"/>
    <w:rsid w:val="00597E67"/>
    <w:rsid w:val="005A3EEE"/>
    <w:rsid w:val="005A6DC3"/>
    <w:rsid w:val="005B03E9"/>
    <w:rsid w:val="005B10C2"/>
    <w:rsid w:val="005B2E2B"/>
    <w:rsid w:val="005B69D9"/>
    <w:rsid w:val="005C0132"/>
    <w:rsid w:val="005C3BBE"/>
    <w:rsid w:val="005C5918"/>
    <w:rsid w:val="005C5D8A"/>
    <w:rsid w:val="005C69BF"/>
    <w:rsid w:val="005C7708"/>
    <w:rsid w:val="005D036E"/>
    <w:rsid w:val="005F240E"/>
    <w:rsid w:val="005F2A88"/>
    <w:rsid w:val="005F5F31"/>
    <w:rsid w:val="006014A9"/>
    <w:rsid w:val="0060276A"/>
    <w:rsid w:val="00603DAA"/>
    <w:rsid w:val="0060447A"/>
    <w:rsid w:val="00607374"/>
    <w:rsid w:val="00607B8A"/>
    <w:rsid w:val="0061765F"/>
    <w:rsid w:val="006244CE"/>
    <w:rsid w:val="006301B6"/>
    <w:rsid w:val="0063555F"/>
    <w:rsid w:val="006359AA"/>
    <w:rsid w:val="006364A3"/>
    <w:rsid w:val="0064036A"/>
    <w:rsid w:val="00640619"/>
    <w:rsid w:val="0065437A"/>
    <w:rsid w:val="0065536B"/>
    <w:rsid w:val="00657FEB"/>
    <w:rsid w:val="0066049D"/>
    <w:rsid w:val="00660A8C"/>
    <w:rsid w:val="00660ABD"/>
    <w:rsid w:val="00661819"/>
    <w:rsid w:val="006634AE"/>
    <w:rsid w:val="00665BC3"/>
    <w:rsid w:val="00674A9F"/>
    <w:rsid w:val="00674B4D"/>
    <w:rsid w:val="00675F8D"/>
    <w:rsid w:val="00680B5F"/>
    <w:rsid w:val="00685676"/>
    <w:rsid w:val="00692B78"/>
    <w:rsid w:val="0069535B"/>
    <w:rsid w:val="006A53F2"/>
    <w:rsid w:val="006A607F"/>
    <w:rsid w:val="006B25BA"/>
    <w:rsid w:val="006B2D80"/>
    <w:rsid w:val="006B3697"/>
    <w:rsid w:val="006B44FA"/>
    <w:rsid w:val="006B4500"/>
    <w:rsid w:val="006B456A"/>
    <w:rsid w:val="006B6E0B"/>
    <w:rsid w:val="006C15FB"/>
    <w:rsid w:val="006C303F"/>
    <w:rsid w:val="006C3281"/>
    <w:rsid w:val="006C3B76"/>
    <w:rsid w:val="006C4E6E"/>
    <w:rsid w:val="006D03A5"/>
    <w:rsid w:val="006D29C7"/>
    <w:rsid w:val="006D3236"/>
    <w:rsid w:val="006D41ED"/>
    <w:rsid w:val="006D56C2"/>
    <w:rsid w:val="006D5E7E"/>
    <w:rsid w:val="006D74CD"/>
    <w:rsid w:val="006D7E87"/>
    <w:rsid w:val="006E0804"/>
    <w:rsid w:val="006E1576"/>
    <w:rsid w:val="006E272C"/>
    <w:rsid w:val="006E45AC"/>
    <w:rsid w:val="006E580D"/>
    <w:rsid w:val="006F2E9B"/>
    <w:rsid w:val="006F7310"/>
    <w:rsid w:val="006F74D9"/>
    <w:rsid w:val="00704F54"/>
    <w:rsid w:val="00707DEB"/>
    <w:rsid w:val="0071106E"/>
    <w:rsid w:val="0071229F"/>
    <w:rsid w:val="00713A91"/>
    <w:rsid w:val="00713C9A"/>
    <w:rsid w:val="007169B7"/>
    <w:rsid w:val="00733095"/>
    <w:rsid w:val="00733420"/>
    <w:rsid w:val="00734916"/>
    <w:rsid w:val="007405F7"/>
    <w:rsid w:val="00741126"/>
    <w:rsid w:val="0074155A"/>
    <w:rsid w:val="007450DA"/>
    <w:rsid w:val="00745C54"/>
    <w:rsid w:val="00745F39"/>
    <w:rsid w:val="00746A29"/>
    <w:rsid w:val="007574CB"/>
    <w:rsid w:val="007606A2"/>
    <w:rsid w:val="0076321C"/>
    <w:rsid w:val="00763367"/>
    <w:rsid w:val="0076411F"/>
    <w:rsid w:val="00765B7E"/>
    <w:rsid w:val="00784AA9"/>
    <w:rsid w:val="00787792"/>
    <w:rsid w:val="00791D60"/>
    <w:rsid w:val="00793779"/>
    <w:rsid w:val="007953F0"/>
    <w:rsid w:val="007A1892"/>
    <w:rsid w:val="007A7B74"/>
    <w:rsid w:val="007B0298"/>
    <w:rsid w:val="007B4D25"/>
    <w:rsid w:val="007C3863"/>
    <w:rsid w:val="007D3835"/>
    <w:rsid w:val="007D51C0"/>
    <w:rsid w:val="007D60B3"/>
    <w:rsid w:val="007E03E4"/>
    <w:rsid w:val="007E1D3C"/>
    <w:rsid w:val="007E1EA4"/>
    <w:rsid w:val="007E7244"/>
    <w:rsid w:val="007F1D06"/>
    <w:rsid w:val="007F28BA"/>
    <w:rsid w:val="007F4A50"/>
    <w:rsid w:val="007F5C8D"/>
    <w:rsid w:val="007F70F0"/>
    <w:rsid w:val="007F7F60"/>
    <w:rsid w:val="007F7FA4"/>
    <w:rsid w:val="00800732"/>
    <w:rsid w:val="008040CA"/>
    <w:rsid w:val="0080414E"/>
    <w:rsid w:val="008064E7"/>
    <w:rsid w:val="008066B1"/>
    <w:rsid w:val="00806E9B"/>
    <w:rsid w:val="008152F0"/>
    <w:rsid w:val="00816358"/>
    <w:rsid w:val="008166FB"/>
    <w:rsid w:val="0082149B"/>
    <w:rsid w:val="0082324E"/>
    <w:rsid w:val="008258C2"/>
    <w:rsid w:val="00826675"/>
    <w:rsid w:val="0083281B"/>
    <w:rsid w:val="0083693C"/>
    <w:rsid w:val="0084011D"/>
    <w:rsid w:val="00842C31"/>
    <w:rsid w:val="00842D2B"/>
    <w:rsid w:val="00847FC1"/>
    <w:rsid w:val="00851277"/>
    <w:rsid w:val="008572E7"/>
    <w:rsid w:val="00863117"/>
    <w:rsid w:val="00863A32"/>
    <w:rsid w:val="00863E13"/>
    <w:rsid w:val="00864498"/>
    <w:rsid w:val="00864EB1"/>
    <w:rsid w:val="0086525D"/>
    <w:rsid w:val="008663F2"/>
    <w:rsid w:val="00867224"/>
    <w:rsid w:val="008738FC"/>
    <w:rsid w:val="008739B5"/>
    <w:rsid w:val="00875A03"/>
    <w:rsid w:val="0087616A"/>
    <w:rsid w:val="00876914"/>
    <w:rsid w:val="00877F10"/>
    <w:rsid w:val="0088130C"/>
    <w:rsid w:val="0088138E"/>
    <w:rsid w:val="00883269"/>
    <w:rsid w:val="00885F9C"/>
    <w:rsid w:val="00891636"/>
    <w:rsid w:val="00891EE4"/>
    <w:rsid w:val="008A1074"/>
    <w:rsid w:val="008A184C"/>
    <w:rsid w:val="008A3D46"/>
    <w:rsid w:val="008A65BD"/>
    <w:rsid w:val="008A7033"/>
    <w:rsid w:val="008B4459"/>
    <w:rsid w:val="008C09AC"/>
    <w:rsid w:val="008C111C"/>
    <w:rsid w:val="008C12BC"/>
    <w:rsid w:val="008C4177"/>
    <w:rsid w:val="008D3C16"/>
    <w:rsid w:val="008D6879"/>
    <w:rsid w:val="008D7FBA"/>
    <w:rsid w:val="008E086E"/>
    <w:rsid w:val="008E17F3"/>
    <w:rsid w:val="008E25B5"/>
    <w:rsid w:val="008E4671"/>
    <w:rsid w:val="008F0383"/>
    <w:rsid w:val="008F6CF9"/>
    <w:rsid w:val="00903B60"/>
    <w:rsid w:val="00907B40"/>
    <w:rsid w:val="00910033"/>
    <w:rsid w:val="009255B6"/>
    <w:rsid w:val="00927A2E"/>
    <w:rsid w:val="00931FE5"/>
    <w:rsid w:val="0093316B"/>
    <w:rsid w:val="00944D14"/>
    <w:rsid w:val="00947093"/>
    <w:rsid w:val="009510A6"/>
    <w:rsid w:val="00952081"/>
    <w:rsid w:val="009526CA"/>
    <w:rsid w:val="00955914"/>
    <w:rsid w:val="0096032B"/>
    <w:rsid w:val="00962FA1"/>
    <w:rsid w:val="0096445A"/>
    <w:rsid w:val="0096670D"/>
    <w:rsid w:val="00971204"/>
    <w:rsid w:val="00972C36"/>
    <w:rsid w:val="00974A03"/>
    <w:rsid w:val="00976AD7"/>
    <w:rsid w:val="00981209"/>
    <w:rsid w:val="00985089"/>
    <w:rsid w:val="00986E93"/>
    <w:rsid w:val="00987594"/>
    <w:rsid w:val="00990BEE"/>
    <w:rsid w:val="00990F58"/>
    <w:rsid w:val="0099231E"/>
    <w:rsid w:val="0099638C"/>
    <w:rsid w:val="00996814"/>
    <w:rsid w:val="009A2486"/>
    <w:rsid w:val="009A511C"/>
    <w:rsid w:val="009A5328"/>
    <w:rsid w:val="009A5E51"/>
    <w:rsid w:val="009A5F8C"/>
    <w:rsid w:val="009A6243"/>
    <w:rsid w:val="009A6D0D"/>
    <w:rsid w:val="009A7DDB"/>
    <w:rsid w:val="009B27FA"/>
    <w:rsid w:val="009B3BB9"/>
    <w:rsid w:val="009B424F"/>
    <w:rsid w:val="009B6F9B"/>
    <w:rsid w:val="009C0579"/>
    <w:rsid w:val="009D00C4"/>
    <w:rsid w:val="009D68EE"/>
    <w:rsid w:val="009E02C0"/>
    <w:rsid w:val="009E03A7"/>
    <w:rsid w:val="009E1129"/>
    <w:rsid w:val="00A01D0D"/>
    <w:rsid w:val="00A02FC2"/>
    <w:rsid w:val="00A12AA6"/>
    <w:rsid w:val="00A12C29"/>
    <w:rsid w:val="00A146DB"/>
    <w:rsid w:val="00A1499B"/>
    <w:rsid w:val="00A24750"/>
    <w:rsid w:val="00A26580"/>
    <w:rsid w:val="00A278FF"/>
    <w:rsid w:val="00A27A1D"/>
    <w:rsid w:val="00A34DED"/>
    <w:rsid w:val="00A366AD"/>
    <w:rsid w:val="00A42156"/>
    <w:rsid w:val="00A464DB"/>
    <w:rsid w:val="00A47261"/>
    <w:rsid w:val="00A56AE0"/>
    <w:rsid w:val="00A6074C"/>
    <w:rsid w:val="00A63977"/>
    <w:rsid w:val="00A649F8"/>
    <w:rsid w:val="00A64F3C"/>
    <w:rsid w:val="00A70FDA"/>
    <w:rsid w:val="00A7555F"/>
    <w:rsid w:val="00A765CF"/>
    <w:rsid w:val="00A76933"/>
    <w:rsid w:val="00A82060"/>
    <w:rsid w:val="00A86266"/>
    <w:rsid w:val="00A927A4"/>
    <w:rsid w:val="00A9340A"/>
    <w:rsid w:val="00AA23AE"/>
    <w:rsid w:val="00AA37DA"/>
    <w:rsid w:val="00AA5B3F"/>
    <w:rsid w:val="00AA6D60"/>
    <w:rsid w:val="00AB0707"/>
    <w:rsid w:val="00AB07E5"/>
    <w:rsid w:val="00AB0960"/>
    <w:rsid w:val="00AB16CA"/>
    <w:rsid w:val="00AB5CF8"/>
    <w:rsid w:val="00AC11E9"/>
    <w:rsid w:val="00AC2562"/>
    <w:rsid w:val="00AC3A43"/>
    <w:rsid w:val="00AC572E"/>
    <w:rsid w:val="00AC7277"/>
    <w:rsid w:val="00AD07BC"/>
    <w:rsid w:val="00AD151C"/>
    <w:rsid w:val="00AD1E10"/>
    <w:rsid w:val="00AD5F3C"/>
    <w:rsid w:val="00AE1ADF"/>
    <w:rsid w:val="00AE49F7"/>
    <w:rsid w:val="00AF26DE"/>
    <w:rsid w:val="00AF2C67"/>
    <w:rsid w:val="00AF4B6F"/>
    <w:rsid w:val="00B02F59"/>
    <w:rsid w:val="00B033B8"/>
    <w:rsid w:val="00B14744"/>
    <w:rsid w:val="00B150CA"/>
    <w:rsid w:val="00B15A10"/>
    <w:rsid w:val="00B25B44"/>
    <w:rsid w:val="00B267CF"/>
    <w:rsid w:val="00B32268"/>
    <w:rsid w:val="00B34331"/>
    <w:rsid w:val="00B35A1A"/>
    <w:rsid w:val="00B362E0"/>
    <w:rsid w:val="00B40B97"/>
    <w:rsid w:val="00B44AB4"/>
    <w:rsid w:val="00B4543F"/>
    <w:rsid w:val="00B458C2"/>
    <w:rsid w:val="00B46C05"/>
    <w:rsid w:val="00B5332F"/>
    <w:rsid w:val="00B55947"/>
    <w:rsid w:val="00B562D9"/>
    <w:rsid w:val="00B56E46"/>
    <w:rsid w:val="00B56E7D"/>
    <w:rsid w:val="00B627C8"/>
    <w:rsid w:val="00B64E1D"/>
    <w:rsid w:val="00B654ED"/>
    <w:rsid w:val="00B70620"/>
    <w:rsid w:val="00B720FB"/>
    <w:rsid w:val="00B72409"/>
    <w:rsid w:val="00B769C5"/>
    <w:rsid w:val="00B77B19"/>
    <w:rsid w:val="00B77FF7"/>
    <w:rsid w:val="00B86C7E"/>
    <w:rsid w:val="00B90D60"/>
    <w:rsid w:val="00B925E7"/>
    <w:rsid w:val="00B92A09"/>
    <w:rsid w:val="00BA0B29"/>
    <w:rsid w:val="00BB04FA"/>
    <w:rsid w:val="00BB3926"/>
    <w:rsid w:val="00BB4CB2"/>
    <w:rsid w:val="00BB6891"/>
    <w:rsid w:val="00BC6F23"/>
    <w:rsid w:val="00BD0541"/>
    <w:rsid w:val="00BD0633"/>
    <w:rsid w:val="00BD0F86"/>
    <w:rsid w:val="00BD2766"/>
    <w:rsid w:val="00BD56FF"/>
    <w:rsid w:val="00BE1A2E"/>
    <w:rsid w:val="00BE282A"/>
    <w:rsid w:val="00BE5998"/>
    <w:rsid w:val="00BE642B"/>
    <w:rsid w:val="00BF1B62"/>
    <w:rsid w:val="00BF22F8"/>
    <w:rsid w:val="00BF25A7"/>
    <w:rsid w:val="00BF2D2D"/>
    <w:rsid w:val="00BF57D9"/>
    <w:rsid w:val="00BF68B6"/>
    <w:rsid w:val="00C001F4"/>
    <w:rsid w:val="00C00F4F"/>
    <w:rsid w:val="00C0410C"/>
    <w:rsid w:val="00C05AAB"/>
    <w:rsid w:val="00C062C3"/>
    <w:rsid w:val="00C11F8E"/>
    <w:rsid w:val="00C1496A"/>
    <w:rsid w:val="00C14CEB"/>
    <w:rsid w:val="00C20CD9"/>
    <w:rsid w:val="00C21C2C"/>
    <w:rsid w:val="00C24928"/>
    <w:rsid w:val="00C322A1"/>
    <w:rsid w:val="00C36273"/>
    <w:rsid w:val="00C36CE0"/>
    <w:rsid w:val="00C37424"/>
    <w:rsid w:val="00C41CE7"/>
    <w:rsid w:val="00C44B14"/>
    <w:rsid w:val="00C46A59"/>
    <w:rsid w:val="00C46CB0"/>
    <w:rsid w:val="00C50116"/>
    <w:rsid w:val="00C55991"/>
    <w:rsid w:val="00C6078C"/>
    <w:rsid w:val="00C642CC"/>
    <w:rsid w:val="00C6475B"/>
    <w:rsid w:val="00C650C3"/>
    <w:rsid w:val="00C67B9A"/>
    <w:rsid w:val="00C7213A"/>
    <w:rsid w:val="00C761A2"/>
    <w:rsid w:val="00C802E4"/>
    <w:rsid w:val="00C905B0"/>
    <w:rsid w:val="00C93EED"/>
    <w:rsid w:val="00C951CC"/>
    <w:rsid w:val="00C96963"/>
    <w:rsid w:val="00CA1824"/>
    <w:rsid w:val="00CA4617"/>
    <w:rsid w:val="00CB13E8"/>
    <w:rsid w:val="00CB5545"/>
    <w:rsid w:val="00CC21F4"/>
    <w:rsid w:val="00CC3224"/>
    <w:rsid w:val="00CC3736"/>
    <w:rsid w:val="00CC44BB"/>
    <w:rsid w:val="00CC4EF6"/>
    <w:rsid w:val="00CC5C25"/>
    <w:rsid w:val="00CE1FCF"/>
    <w:rsid w:val="00CE4C1E"/>
    <w:rsid w:val="00CF027E"/>
    <w:rsid w:val="00CF080D"/>
    <w:rsid w:val="00CF30B2"/>
    <w:rsid w:val="00CF3802"/>
    <w:rsid w:val="00CF53DD"/>
    <w:rsid w:val="00CF75A0"/>
    <w:rsid w:val="00D00A39"/>
    <w:rsid w:val="00D01697"/>
    <w:rsid w:val="00D039B9"/>
    <w:rsid w:val="00D0536D"/>
    <w:rsid w:val="00D0571C"/>
    <w:rsid w:val="00D107B0"/>
    <w:rsid w:val="00D1117C"/>
    <w:rsid w:val="00D12FC8"/>
    <w:rsid w:val="00D13B96"/>
    <w:rsid w:val="00D15782"/>
    <w:rsid w:val="00D17BB2"/>
    <w:rsid w:val="00D20B46"/>
    <w:rsid w:val="00D25E44"/>
    <w:rsid w:val="00D32654"/>
    <w:rsid w:val="00D33D64"/>
    <w:rsid w:val="00D527DB"/>
    <w:rsid w:val="00D53854"/>
    <w:rsid w:val="00D5399E"/>
    <w:rsid w:val="00D552C8"/>
    <w:rsid w:val="00D57EC4"/>
    <w:rsid w:val="00D648D0"/>
    <w:rsid w:val="00D77FC2"/>
    <w:rsid w:val="00D82A7A"/>
    <w:rsid w:val="00D83454"/>
    <w:rsid w:val="00D870B9"/>
    <w:rsid w:val="00D9195A"/>
    <w:rsid w:val="00D91B82"/>
    <w:rsid w:val="00D93CED"/>
    <w:rsid w:val="00D93DEA"/>
    <w:rsid w:val="00D9541E"/>
    <w:rsid w:val="00D96082"/>
    <w:rsid w:val="00DA0064"/>
    <w:rsid w:val="00DA0EC2"/>
    <w:rsid w:val="00DA75CF"/>
    <w:rsid w:val="00DA7692"/>
    <w:rsid w:val="00DB0EA6"/>
    <w:rsid w:val="00DB0EC8"/>
    <w:rsid w:val="00DB1FCA"/>
    <w:rsid w:val="00DB34B7"/>
    <w:rsid w:val="00DB3F0B"/>
    <w:rsid w:val="00DB5550"/>
    <w:rsid w:val="00DB72B5"/>
    <w:rsid w:val="00DC3BC4"/>
    <w:rsid w:val="00DC4AA4"/>
    <w:rsid w:val="00DD0286"/>
    <w:rsid w:val="00DD0D6E"/>
    <w:rsid w:val="00DD2BCE"/>
    <w:rsid w:val="00DD4067"/>
    <w:rsid w:val="00DD48F3"/>
    <w:rsid w:val="00DD68A6"/>
    <w:rsid w:val="00DD72E1"/>
    <w:rsid w:val="00DD7D00"/>
    <w:rsid w:val="00DE4D05"/>
    <w:rsid w:val="00DF098D"/>
    <w:rsid w:val="00DF0DDF"/>
    <w:rsid w:val="00DF143E"/>
    <w:rsid w:val="00DF2729"/>
    <w:rsid w:val="00DF6E5B"/>
    <w:rsid w:val="00E0054E"/>
    <w:rsid w:val="00E041C8"/>
    <w:rsid w:val="00E04390"/>
    <w:rsid w:val="00E044F9"/>
    <w:rsid w:val="00E163E1"/>
    <w:rsid w:val="00E228E3"/>
    <w:rsid w:val="00E23BC7"/>
    <w:rsid w:val="00E312BC"/>
    <w:rsid w:val="00E31352"/>
    <w:rsid w:val="00E377E3"/>
    <w:rsid w:val="00E40838"/>
    <w:rsid w:val="00E4123F"/>
    <w:rsid w:val="00E43478"/>
    <w:rsid w:val="00E45084"/>
    <w:rsid w:val="00E459C1"/>
    <w:rsid w:val="00E45FF8"/>
    <w:rsid w:val="00E51052"/>
    <w:rsid w:val="00E517D0"/>
    <w:rsid w:val="00E5527A"/>
    <w:rsid w:val="00E577EE"/>
    <w:rsid w:val="00E57984"/>
    <w:rsid w:val="00E617EB"/>
    <w:rsid w:val="00E61AA4"/>
    <w:rsid w:val="00E626ED"/>
    <w:rsid w:val="00E62F72"/>
    <w:rsid w:val="00E65578"/>
    <w:rsid w:val="00E74F8C"/>
    <w:rsid w:val="00E8015F"/>
    <w:rsid w:val="00E81497"/>
    <w:rsid w:val="00E83693"/>
    <w:rsid w:val="00E856F4"/>
    <w:rsid w:val="00E91A83"/>
    <w:rsid w:val="00E91BD4"/>
    <w:rsid w:val="00E96085"/>
    <w:rsid w:val="00E9705E"/>
    <w:rsid w:val="00EA1004"/>
    <w:rsid w:val="00EA6825"/>
    <w:rsid w:val="00EA7D55"/>
    <w:rsid w:val="00EB0026"/>
    <w:rsid w:val="00EB12F5"/>
    <w:rsid w:val="00EB243C"/>
    <w:rsid w:val="00EB24C3"/>
    <w:rsid w:val="00EB2DE7"/>
    <w:rsid w:val="00EB4EE8"/>
    <w:rsid w:val="00EC3A17"/>
    <w:rsid w:val="00EC53DA"/>
    <w:rsid w:val="00ED46EC"/>
    <w:rsid w:val="00ED4F9F"/>
    <w:rsid w:val="00ED58C8"/>
    <w:rsid w:val="00EE296B"/>
    <w:rsid w:val="00EE56CF"/>
    <w:rsid w:val="00EF185F"/>
    <w:rsid w:val="00F00DFC"/>
    <w:rsid w:val="00F010BF"/>
    <w:rsid w:val="00F040F1"/>
    <w:rsid w:val="00F07D7D"/>
    <w:rsid w:val="00F127CA"/>
    <w:rsid w:val="00F145BF"/>
    <w:rsid w:val="00F15A08"/>
    <w:rsid w:val="00F16B6E"/>
    <w:rsid w:val="00F16F15"/>
    <w:rsid w:val="00F172E0"/>
    <w:rsid w:val="00F21E30"/>
    <w:rsid w:val="00F251A1"/>
    <w:rsid w:val="00F2688F"/>
    <w:rsid w:val="00F3347F"/>
    <w:rsid w:val="00F33ED5"/>
    <w:rsid w:val="00F3448F"/>
    <w:rsid w:val="00F3579D"/>
    <w:rsid w:val="00F35DC4"/>
    <w:rsid w:val="00F36F80"/>
    <w:rsid w:val="00F42CDE"/>
    <w:rsid w:val="00F43E26"/>
    <w:rsid w:val="00F43ECD"/>
    <w:rsid w:val="00F44EA0"/>
    <w:rsid w:val="00F50D44"/>
    <w:rsid w:val="00F51459"/>
    <w:rsid w:val="00F53066"/>
    <w:rsid w:val="00F56ED0"/>
    <w:rsid w:val="00F634B9"/>
    <w:rsid w:val="00F6467E"/>
    <w:rsid w:val="00F65C28"/>
    <w:rsid w:val="00F67792"/>
    <w:rsid w:val="00F700E0"/>
    <w:rsid w:val="00F71AE8"/>
    <w:rsid w:val="00F77324"/>
    <w:rsid w:val="00F774BC"/>
    <w:rsid w:val="00F77DEA"/>
    <w:rsid w:val="00F82597"/>
    <w:rsid w:val="00F83CCF"/>
    <w:rsid w:val="00F86F91"/>
    <w:rsid w:val="00F90196"/>
    <w:rsid w:val="00F9603C"/>
    <w:rsid w:val="00F96F47"/>
    <w:rsid w:val="00F976A3"/>
    <w:rsid w:val="00FA1340"/>
    <w:rsid w:val="00FA3014"/>
    <w:rsid w:val="00FA5629"/>
    <w:rsid w:val="00FB1798"/>
    <w:rsid w:val="00FB7B3A"/>
    <w:rsid w:val="00FC3049"/>
    <w:rsid w:val="00FC4AE1"/>
    <w:rsid w:val="00FC5632"/>
    <w:rsid w:val="00FD0484"/>
    <w:rsid w:val="00FD45ED"/>
    <w:rsid w:val="00FD6ACD"/>
    <w:rsid w:val="00FE09CF"/>
    <w:rsid w:val="00FE0FE5"/>
    <w:rsid w:val="00FE4BC6"/>
    <w:rsid w:val="00FE659C"/>
    <w:rsid w:val="00FF094C"/>
    <w:rsid w:val="00FF2EA9"/>
    <w:rsid w:val="00FF3F3C"/>
    <w:rsid w:val="00FF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kern w:val="28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6891"/>
  </w:style>
  <w:style w:type="paragraph" w:styleId="Heading1">
    <w:name w:val="heading 1"/>
    <w:basedOn w:val="Normal"/>
    <w:next w:val="Normal"/>
    <w:link w:val="Heading1Char"/>
    <w:uiPriority w:val="9"/>
    <w:qFormat/>
    <w:rsid w:val="003C01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D2BCE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kern w:val="0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BCE"/>
    <w:pPr>
      <w:keepNext/>
      <w:keepLines/>
      <w:spacing w:before="200"/>
      <w:outlineLvl w:val="2"/>
    </w:pPr>
    <w:rPr>
      <w:rFonts w:eastAsiaTheme="majorEastAsia" w:cstheme="majorBidi"/>
      <w:b/>
      <w:bCs/>
      <w:color w:val="auto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1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3A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A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713A91"/>
    <w:rPr>
      <w:vertAlign w:val="superscript"/>
    </w:rPr>
  </w:style>
  <w:style w:type="paragraph" w:customStyle="1" w:styleId="emission">
    <w:name w:val="emission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rfrenceinstitutionnelle">
    <w:name w:val="rfrenceinstitutionnelle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typedudocumentcp">
    <w:name w:val="typedudocument_cp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accompagnantcp">
    <w:name w:val="accompagnant_cp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typeacteprincipalcp">
    <w:name w:val="typeacteprincipal_cp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objetacteprincipalcp">
    <w:name w:val="objetacteprincipal_cp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basic-paragraph">
    <w:name w:val="basic-paragraph"/>
    <w:basedOn w:val="Normal"/>
    <w:rsid w:val="008166FB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character" w:customStyle="1" w:styleId="italik">
    <w:name w:val="italik"/>
    <w:basedOn w:val="DefaultParagraphFont"/>
    <w:rsid w:val="008166FB"/>
  </w:style>
  <w:style w:type="paragraph" w:customStyle="1" w:styleId="bold">
    <w:name w:val="bold"/>
    <w:basedOn w:val="Normal"/>
    <w:rsid w:val="008166FB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clan">
    <w:name w:val="clan"/>
    <w:basedOn w:val="Normal"/>
    <w:rsid w:val="008166FB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odluka-zakon">
    <w:name w:val="odluka-zakon"/>
    <w:basedOn w:val="Normal"/>
    <w:rsid w:val="008166FB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auto-style1">
    <w:name w:val="auto-style1"/>
    <w:basedOn w:val="Normal"/>
    <w:rsid w:val="008166FB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centar">
    <w:name w:val="centar"/>
    <w:basedOn w:val="Normal"/>
    <w:rsid w:val="00B77B19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Default">
    <w:name w:val="Default"/>
    <w:rsid w:val="006C3281"/>
    <w:pPr>
      <w:autoSpaceDE w:val="0"/>
      <w:autoSpaceDN w:val="0"/>
      <w:adjustRightInd w:val="0"/>
    </w:pPr>
    <w:rPr>
      <w:rFonts w:ascii="Arial" w:hAnsi="Arial" w:cs="Arial"/>
      <w:kern w:val="0"/>
    </w:rPr>
  </w:style>
  <w:style w:type="paragraph" w:styleId="ListParagraph">
    <w:name w:val="List Paragraph"/>
    <w:basedOn w:val="Normal"/>
    <w:link w:val="ListParagraphChar"/>
    <w:uiPriority w:val="34"/>
    <w:qFormat/>
    <w:rsid w:val="006C3281"/>
    <w:pPr>
      <w:ind w:left="720"/>
      <w:contextualSpacing/>
    </w:pPr>
  </w:style>
  <w:style w:type="table" w:styleId="TableGrid">
    <w:name w:val="Table Grid"/>
    <w:basedOn w:val="TableNormal"/>
    <w:uiPriority w:val="59"/>
    <w:rsid w:val="00881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ATF-TEXTE1115">
    <w:name w:val="FATF-TEXTE 11/15"/>
    <w:link w:val="FATF-TEXTE1115Char"/>
    <w:qFormat/>
    <w:rsid w:val="0088138E"/>
    <w:pPr>
      <w:tabs>
        <w:tab w:val="left" w:pos="624"/>
        <w:tab w:val="left" w:pos="1247"/>
        <w:tab w:val="left" w:pos="1871"/>
        <w:tab w:val="left" w:pos="2495"/>
        <w:tab w:val="left" w:pos="3119"/>
      </w:tabs>
      <w:spacing w:after="120" w:line="300" w:lineRule="exact"/>
      <w:jc w:val="both"/>
    </w:pPr>
    <w:rPr>
      <w:rFonts w:ascii="Cambria" w:eastAsia="SimSun" w:hAnsi="Cambria"/>
      <w:color w:val="auto"/>
      <w:kern w:val="0"/>
      <w:sz w:val="22"/>
      <w:szCs w:val="22"/>
      <w:lang w:val="en-GB" w:eastAsia="zh-CN"/>
    </w:rPr>
  </w:style>
  <w:style w:type="character" w:customStyle="1" w:styleId="FATF-TEXTE1115Char">
    <w:name w:val="FATF-TEXTE 11/15 Char"/>
    <w:basedOn w:val="DefaultParagraphFont"/>
    <w:link w:val="FATF-TEXTE1115"/>
    <w:rsid w:val="0088138E"/>
    <w:rPr>
      <w:rFonts w:ascii="Cambria" w:eastAsia="SimSun" w:hAnsi="Cambria"/>
      <w:color w:val="auto"/>
      <w:kern w:val="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D2BCE"/>
    <w:rPr>
      <w:rFonts w:eastAsia="Times New Roman"/>
      <w:b/>
      <w:bCs/>
      <w:color w:val="auto"/>
      <w:kern w:val="0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3FF6"/>
    <w:rPr>
      <w:rFonts w:ascii="Consolas" w:eastAsia="Calibri" w:hAnsi="Consolas"/>
      <w:color w:val="auto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3FF6"/>
    <w:rPr>
      <w:rFonts w:ascii="Consolas" w:eastAsia="Calibri" w:hAnsi="Consolas"/>
      <w:color w:val="auto"/>
      <w:kern w:val="0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F6467E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character" w:styleId="Strong">
    <w:name w:val="Strong"/>
    <w:basedOn w:val="DefaultParagraphFont"/>
    <w:uiPriority w:val="22"/>
    <w:qFormat/>
    <w:rsid w:val="00F6467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0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1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3C012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36F80"/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36F80"/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E1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A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A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A2E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632C2"/>
  </w:style>
  <w:style w:type="character" w:styleId="PageNumber">
    <w:name w:val="page number"/>
    <w:basedOn w:val="DefaultParagraphFont"/>
    <w:uiPriority w:val="99"/>
    <w:semiHidden/>
    <w:unhideWhenUsed/>
    <w:rsid w:val="00A70FDA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0FDA"/>
    <w:pPr>
      <w:spacing w:line="276" w:lineRule="auto"/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A70FDA"/>
    <w:pPr>
      <w:spacing w:after="100"/>
    </w:pPr>
  </w:style>
  <w:style w:type="character" w:customStyle="1" w:styleId="il">
    <w:name w:val="il"/>
    <w:basedOn w:val="DefaultParagraphFont"/>
    <w:rsid w:val="00E04390"/>
  </w:style>
  <w:style w:type="character" w:customStyle="1" w:styleId="v2-clan-left-1">
    <w:name w:val="v2-clan-left-1"/>
    <w:basedOn w:val="DefaultParagraphFont"/>
    <w:rsid w:val="00DA75CF"/>
  </w:style>
  <w:style w:type="paragraph" w:customStyle="1" w:styleId="potpis">
    <w:name w:val="potpis"/>
    <w:basedOn w:val="Normal"/>
    <w:rsid w:val="00DA75CF"/>
    <w:pPr>
      <w:spacing w:before="100" w:beforeAutospacing="1" w:after="100" w:afterAutospacing="1"/>
    </w:pPr>
    <w:rPr>
      <w:rFonts w:eastAsia="Times New Roman"/>
      <w:color w:val="auto"/>
      <w:kern w:val="0"/>
      <w:lang w:val="en-GB" w:eastAsia="en-GB"/>
    </w:rPr>
  </w:style>
  <w:style w:type="character" w:customStyle="1" w:styleId="st">
    <w:name w:val="st"/>
    <w:basedOn w:val="DefaultParagraphFont"/>
    <w:rsid w:val="0004492D"/>
  </w:style>
  <w:style w:type="paragraph" w:styleId="Header">
    <w:name w:val="header"/>
    <w:basedOn w:val="Normal"/>
    <w:link w:val="HeaderChar"/>
    <w:uiPriority w:val="99"/>
    <w:unhideWhenUsed/>
    <w:rsid w:val="006B45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56A"/>
  </w:style>
  <w:style w:type="paragraph" w:styleId="Footer">
    <w:name w:val="footer"/>
    <w:basedOn w:val="Normal"/>
    <w:link w:val="FooterChar"/>
    <w:uiPriority w:val="99"/>
    <w:unhideWhenUsed/>
    <w:rsid w:val="006B45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56A"/>
  </w:style>
  <w:style w:type="paragraph" w:styleId="Revision">
    <w:name w:val="Revision"/>
    <w:hidden/>
    <w:uiPriority w:val="99"/>
    <w:semiHidden/>
    <w:rsid w:val="00F43ECD"/>
    <w:rPr>
      <w:rFonts w:asciiTheme="minorHAnsi" w:hAnsiTheme="minorHAnsi" w:cstheme="minorBidi"/>
      <w:color w:val="auto"/>
      <w:kern w:val="0"/>
      <w:sz w:val="22"/>
      <w:szCs w:val="22"/>
    </w:rPr>
  </w:style>
  <w:style w:type="character" w:customStyle="1" w:styleId="highlight">
    <w:name w:val="highlight"/>
    <w:basedOn w:val="DefaultParagraphFont"/>
    <w:rsid w:val="00F43ECD"/>
  </w:style>
  <w:style w:type="character" w:customStyle="1" w:styleId="naslovpropisa1">
    <w:name w:val="naslovpropisa1"/>
    <w:basedOn w:val="DefaultParagraphFont"/>
    <w:rsid w:val="00182940"/>
  </w:style>
  <w:style w:type="character" w:customStyle="1" w:styleId="naslovpropisa1a">
    <w:name w:val="naslovpropisa1a"/>
    <w:basedOn w:val="DefaultParagraphFont"/>
    <w:rsid w:val="00182940"/>
  </w:style>
  <w:style w:type="paragraph" w:customStyle="1" w:styleId="podnaslovpropisa">
    <w:name w:val="podnaslovpropisa"/>
    <w:basedOn w:val="Normal"/>
    <w:rsid w:val="00182940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table" w:styleId="MediumGrid3-Accent1">
    <w:name w:val="Medium Grid 3 Accent 1"/>
    <w:basedOn w:val="TableNormal"/>
    <w:uiPriority w:val="69"/>
    <w:rsid w:val="00A1499B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1">
    <w:name w:val="Medium Grid 31"/>
    <w:basedOn w:val="TableNormal"/>
    <w:uiPriority w:val="69"/>
    <w:rsid w:val="00972C36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D2BCE"/>
    <w:rPr>
      <w:rFonts w:eastAsiaTheme="majorEastAsia" w:cstheme="majorBidi"/>
      <w:b/>
      <w:bCs/>
      <w:color w:val="auto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9E02C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E02C0"/>
    <w:pPr>
      <w:spacing w:after="100"/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kern w:val="28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6891"/>
  </w:style>
  <w:style w:type="paragraph" w:styleId="Heading1">
    <w:name w:val="heading 1"/>
    <w:basedOn w:val="Normal"/>
    <w:next w:val="Normal"/>
    <w:link w:val="Heading1Char"/>
    <w:uiPriority w:val="9"/>
    <w:qFormat/>
    <w:rsid w:val="003C01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D2BCE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kern w:val="0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2BCE"/>
    <w:pPr>
      <w:keepNext/>
      <w:keepLines/>
      <w:spacing w:before="200"/>
      <w:outlineLvl w:val="2"/>
    </w:pPr>
    <w:rPr>
      <w:rFonts w:eastAsiaTheme="majorEastAsia" w:cstheme="majorBidi"/>
      <w:b/>
      <w:bCs/>
      <w:color w:val="auto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1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713A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A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713A91"/>
    <w:rPr>
      <w:vertAlign w:val="superscript"/>
    </w:rPr>
  </w:style>
  <w:style w:type="paragraph" w:customStyle="1" w:styleId="emission">
    <w:name w:val="emission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rfrenceinstitutionnelle">
    <w:name w:val="rfrenceinstitutionnelle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typedudocumentcp">
    <w:name w:val="typedudocument_cp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accompagnantcp">
    <w:name w:val="accompagnant_cp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typeacteprincipalcp">
    <w:name w:val="typeacteprincipal_cp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objetacteprincipalcp">
    <w:name w:val="objetacteprincipal_cp"/>
    <w:basedOn w:val="Normal"/>
    <w:rsid w:val="00713A91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basic-paragraph">
    <w:name w:val="basic-paragraph"/>
    <w:basedOn w:val="Normal"/>
    <w:rsid w:val="008166FB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character" w:customStyle="1" w:styleId="italik">
    <w:name w:val="italik"/>
    <w:basedOn w:val="DefaultParagraphFont"/>
    <w:rsid w:val="008166FB"/>
  </w:style>
  <w:style w:type="paragraph" w:customStyle="1" w:styleId="bold">
    <w:name w:val="bold"/>
    <w:basedOn w:val="Normal"/>
    <w:rsid w:val="008166FB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clan">
    <w:name w:val="clan"/>
    <w:basedOn w:val="Normal"/>
    <w:rsid w:val="008166FB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odluka-zakon">
    <w:name w:val="odluka-zakon"/>
    <w:basedOn w:val="Normal"/>
    <w:rsid w:val="008166FB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auto-style1">
    <w:name w:val="auto-style1"/>
    <w:basedOn w:val="Normal"/>
    <w:rsid w:val="008166FB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centar">
    <w:name w:val="centar"/>
    <w:basedOn w:val="Normal"/>
    <w:rsid w:val="00B77B19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paragraph" w:customStyle="1" w:styleId="Default">
    <w:name w:val="Default"/>
    <w:rsid w:val="006C3281"/>
    <w:pPr>
      <w:autoSpaceDE w:val="0"/>
      <w:autoSpaceDN w:val="0"/>
      <w:adjustRightInd w:val="0"/>
    </w:pPr>
    <w:rPr>
      <w:rFonts w:ascii="Arial" w:hAnsi="Arial" w:cs="Arial"/>
      <w:kern w:val="0"/>
    </w:rPr>
  </w:style>
  <w:style w:type="paragraph" w:styleId="ListParagraph">
    <w:name w:val="List Paragraph"/>
    <w:basedOn w:val="Normal"/>
    <w:link w:val="ListParagraphChar"/>
    <w:uiPriority w:val="34"/>
    <w:qFormat/>
    <w:rsid w:val="006C3281"/>
    <w:pPr>
      <w:ind w:left="720"/>
      <w:contextualSpacing/>
    </w:pPr>
  </w:style>
  <w:style w:type="table" w:styleId="TableGrid">
    <w:name w:val="Table Grid"/>
    <w:basedOn w:val="TableNormal"/>
    <w:uiPriority w:val="59"/>
    <w:rsid w:val="00881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TF-TEXTE1115">
    <w:name w:val="FATF-TEXTE 11/15"/>
    <w:link w:val="FATF-TEXTE1115Char"/>
    <w:qFormat/>
    <w:rsid w:val="0088138E"/>
    <w:pPr>
      <w:tabs>
        <w:tab w:val="left" w:pos="624"/>
        <w:tab w:val="left" w:pos="1247"/>
        <w:tab w:val="left" w:pos="1871"/>
        <w:tab w:val="left" w:pos="2495"/>
        <w:tab w:val="left" w:pos="3119"/>
      </w:tabs>
      <w:spacing w:after="120" w:line="300" w:lineRule="exact"/>
      <w:jc w:val="both"/>
    </w:pPr>
    <w:rPr>
      <w:rFonts w:ascii="Cambria" w:eastAsia="SimSun" w:hAnsi="Cambria"/>
      <w:color w:val="auto"/>
      <w:kern w:val="0"/>
      <w:sz w:val="22"/>
      <w:szCs w:val="22"/>
      <w:lang w:val="en-GB" w:eastAsia="zh-CN"/>
    </w:rPr>
  </w:style>
  <w:style w:type="character" w:customStyle="1" w:styleId="FATF-TEXTE1115Char">
    <w:name w:val="FATF-TEXTE 11/15 Char"/>
    <w:basedOn w:val="DefaultParagraphFont"/>
    <w:link w:val="FATF-TEXTE1115"/>
    <w:rsid w:val="0088138E"/>
    <w:rPr>
      <w:rFonts w:ascii="Cambria" w:eastAsia="SimSun" w:hAnsi="Cambria"/>
      <w:color w:val="auto"/>
      <w:kern w:val="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D2BCE"/>
    <w:rPr>
      <w:rFonts w:eastAsia="Times New Roman"/>
      <w:b/>
      <w:bCs/>
      <w:color w:val="auto"/>
      <w:kern w:val="0"/>
      <w:szCs w:val="3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3FF6"/>
    <w:rPr>
      <w:rFonts w:ascii="Consolas" w:eastAsia="Calibri" w:hAnsi="Consolas"/>
      <w:color w:val="auto"/>
      <w:kern w:val="0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3FF6"/>
    <w:rPr>
      <w:rFonts w:ascii="Consolas" w:eastAsia="Calibri" w:hAnsi="Consolas"/>
      <w:color w:val="auto"/>
      <w:kern w:val="0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F6467E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character" w:styleId="Strong">
    <w:name w:val="Strong"/>
    <w:basedOn w:val="DefaultParagraphFont"/>
    <w:uiPriority w:val="22"/>
    <w:qFormat/>
    <w:rsid w:val="00F6467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0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1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3C012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36F80"/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36F80"/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E1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1A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1A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1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1A2E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2632C2"/>
  </w:style>
  <w:style w:type="character" w:styleId="PageNumber">
    <w:name w:val="page number"/>
    <w:basedOn w:val="DefaultParagraphFont"/>
    <w:uiPriority w:val="99"/>
    <w:semiHidden/>
    <w:unhideWhenUsed/>
    <w:rsid w:val="00A70FDA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0FDA"/>
    <w:pPr>
      <w:spacing w:line="276" w:lineRule="auto"/>
      <w:outlineLvl w:val="9"/>
    </w:pPr>
    <w:rPr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A70FDA"/>
    <w:pPr>
      <w:spacing w:after="100"/>
    </w:pPr>
  </w:style>
  <w:style w:type="character" w:customStyle="1" w:styleId="il">
    <w:name w:val="il"/>
    <w:basedOn w:val="DefaultParagraphFont"/>
    <w:rsid w:val="00E04390"/>
  </w:style>
  <w:style w:type="character" w:customStyle="1" w:styleId="v2-clan-left-1">
    <w:name w:val="v2-clan-left-1"/>
    <w:basedOn w:val="DefaultParagraphFont"/>
    <w:rsid w:val="00DA75CF"/>
  </w:style>
  <w:style w:type="paragraph" w:customStyle="1" w:styleId="potpis">
    <w:name w:val="potpis"/>
    <w:basedOn w:val="Normal"/>
    <w:rsid w:val="00DA75CF"/>
    <w:pPr>
      <w:spacing w:before="100" w:beforeAutospacing="1" w:after="100" w:afterAutospacing="1"/>
    </w:pPr>
    <w:rPr>
      <w:rFonts w:eastAsia="Times New Roman"/>
      <w:color w:val="auto"/>
      <w:kern w:val="0"/>
      <w:lang w:val="en-GB" w:eastAsia="en-GB"/>
    </w:rPr>
  </w:style>
  <w:style w:type="character" w:customStyle="1" w:styleId="st">
    <w:name w:val="st"/>
    <w:basedOn w:val="DefaultParagraphFont"/>
    <w:rsid w:val="0004492D"/>
  </w:style>
  <w:style w:type="paragraph" w:styleId="Header">
    <w:name w:val="header"/>
    <w:basedOn w:val="Normal"/>
    <w:link w:val="HeaderChar"/>
    <w:uiPriority w:val="99"/>
    <w:unhideWhenUsed/>
    <w:rsid w:val="006B45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56A"/>
  </w:style>
  <w:style w:type="paragraph" w:styleId="Footer">
    <w:name w:val="footer"/>
    <w:basedOn w:val="Normal"/>
    <w:link w:val="FooterChar"/>
    <w:uiPriority w:val="99"/>
    <w:unhideWhenUsed/>
    <w:rsid w:val="006B45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56A"/>
  </w:style>
  <w:style w:type="paragraph" w:styleId="Revision">
    <w:name w:val="Revision"/>
    <w:hidden/>
    <w:uiPriority w:val="99"/>
    <w:semiHidden/>
    <w:rsid w:val="00F43ECD"/>
    <w:rPr>
      <w:rFonts w:asciiTheme="minorHAnsi" w:hAnsiTheme="minorHAnsi" w:cstheme="minorBidi"/>
      <w:color w:val="auto"/>
      <w:kern w:val="0"/>
      <w:sz w:val="22"/>
      <w:szCs w:val="22"/>
    </w:rPr>
  </w:style>
  <w:style w:type="character" w:customStyle="1" w:styleId="highlight">
    <w:name w:val="highlight"/>
    <w:basedOn w:val="DefaultParagraphFont"/>
    <w:rsid w:val="00F43ECD"/>
  </w:style>
  <w:style w:type="character" w:customStyle="1" w:styleId="naslovpropisa1">
    <w:name w:val="naslovpropisa1"/>
    <w:basedOn w:val="DefaultParagraphFont"/>
    <w:rsid w:val="00182940"/>
  </w:style>
  <w:style w:type="character" w:customStyle="1" w:styleId="naslovpropisa1a">
    <w:name w:val="naslovpropisa1a"/>
    <w:basedOn w:val="DefaultParagraphFont"/>
    <w:rsid w:val="00182940"/>
  </w:style>
  <w:style w:type="paragraph" w:customStyle="1" w:styleId="podnaslovpropisa">
    <w:name w:val="podnaslovpropisa"/>
    <w:basedOn w:val="Normal"/>
    <w:rsid w:val="00182940"/>
    <w:pPr>
      <w:spacing w:before="100" w:beforeAutospacing="1" w:after="100" w:afterAutospacing="1"/>
    </w:pPr>
    <w:rPr>
      <w:rFonts w:eastAsia="Times New Roman"/>
      <w:color w:val="auto"/>
      <w:kern w:val="0"/>
    </w:rPr>
  </w:style>
  <w:style w:type="table" w:styleId="MediumGrid3-Accent1">
    <w:name w:val="Medium Grid 3 Accent 1"/>
    <w:basedOn w:val="TableNormal"/>
    <w:uiPriority w:val="69"/>
    <w:rsid w:val="00A1499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1">
    <w:name w:val="Medium Grid 31"/>
    <w:basedOn w:val="TableNormal"/>
    <w:uiPriority w:val="69"/>
    <w:rsid w:val="00972C3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DD2BCE"/>
    <w:rPr>
      <w:rFonts w:eastAsiaTheme="majorEastAsia" w:cstheme="majorBidi"/>
      <w:b/>
      <w:bCs/>
      <w:color w:val="auto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9E02C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E02C0"/>
    <w:pPr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94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54974">
              <w:marLeft w:val="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2020-2024</PublishDate>
  <Abstract>за борбу против прања новца и финансирања тероризма за период 2020–2024. и Акциони план за период 2020–2022. године - ПРЕДЛОГ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F94B45-0B74-48FB-AB9E-E8AF33EA9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8451</Words>
  <Characters>48177</Characters>
  <Application>Microsoft Office Word</Application>
  <DocSecurity>0</DocSecurity>
  <Lines>401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СТРАТЕГИЈА</vt:lpstr>
    </vt:vector>
  </TitlesOfParts>
  <Company>Mic</Company>
  <LinksUpToDate>false</LinksUpToDate>
  <CharactersWithSpaces>56515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СТРАТЕГИЈА</dc:title>
  <dc:creator>Snezana Konjevic</dc:creator>
  <cp:lastModifiedBy>Катарина Павличић</cp:lastModifiedBy>
  <cp:revision>3</cp:revision>
  <cp:lastPrinted>2020-02-13T13:39:00Z</cp:lastPrinted>
  <dcterms:created xsi:type="dcterms:W3CDTF">2020-02-19T11:45:00Z</dcterms:created>
  <dcterms:modified xsi:type="dcterms:W3CDTF">2020-02-19T11:45:00Z</dcterms:modified>
</cp:coreProperties>
</file>