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E18" w:rsidRPr="00E95BC4" w:rsidRDefault="005818C0" w:rsidP="00146E18">
      <w:pPr>
        <w:ind w:firstLine="720"/>
        <w:jc w:val="both"/>
        <w:rPr>
          <w:rFonts w:eastAsia="Times New Roman"/>
          <w:color w:val="auto"/>
          <w:kern w:val="0"/>
          <w:lang w:val="sr-Cyrl-CS"/>
        </w:rPr>
      </w:pPr>
      <w:r>
        <w:rPr>
          <w:rFonts w:eastAsia="Times New Roman"/>
          <w:color w:val="auto"/>
          <w:kern w:val="0"/>
          <w:lang w:val="sr-Cyrl-CS"/>
        </w:rPr>
        <w:t>Na</w:t>
      </w:r>
      <w:r w:rsidR="00146E18" w:rsidRPr="00E95BC4">
        <w:rPr>
          <w:rFonts w:eastAsia="Times New Roman"/>
          <w:color w:val="auto"/>
          <w:kern w:val="0"/>
          <w:lang w:val="sr-Cyrl-CS"/>
        </w:rPr>
        <w:t xml:space="preserve"> </w:t>
      </w:r>
      <w:r>
        <w:rPr>
          <w:rFonts w:eastAsia="Times New Roman"/>
          <w:color w:val="auto"/>
          <w:kern w:val="0"/>
          <w:lang w:val="sr-Cyrl-CS"/>
        </w:rPr>
        <w:t>osnovu</w:t>
      </w:r>
      <w:r w:rsidR="00146E18" w:rsidRPr="00E95BC4">
        <w:rPr>
          <w:rFonts w:eastAsia="Times New Roman"/>
          <w:color w:val="auto"/>
          <w:kern w:val="0"/>
          <w:lang w:val="sr-Cyrl-CS"/>
        </w:rPr>
        <w:t xml:space="preserve"> </w:t>
      </w:r>
      <w:r>
        <w:rPr>
          <w:rFonts w:eastAsia="Times New Roman"/>
          <w:color w:val="auto"/>
          <w:kern w:val="0"/>
          <w:lang w:val="sr-Cyrl-CS"/>
        </w:rPr>
        <w:t>člana</w:t>
      </w:r>
      <w:r w:rsidR="00A34DED" w:rsidRPr="00E95BC4">
        <w:rPr>
          <w:rFonts w:eastAsia="Times New Roman"/>
          <w:color w:val="auto"/>
          <w:kern w:val="0"/>
          <w:lang w:val="sr-Cyrl-CS"/>
        </w:rPr>
        <w:t xml:space="preserve"> 38.</w:t>
      </w:r>
      <w:r w:rsidR="00603DAA" w:rsidRPr="00E95BC4">
        <w:rPr>
          <w:rFonts w:eastAsia="Times New Roman"/>
          <w:color w:val="auto"/>
          <w:kern w:val="0"/>
          <w:lang w:val="sr-Cyrl-CS"/>
        </w:rPr>
        <w:t xml:space="preserve"> </w:t>
      </w:r>
      <w:r>
        <w:rPr>
          <w:rFonts w:eastAsia="Times New Roman"/>
          <w:color w:val="auto"/>
          <w:kern w:val="0"/>
          <w:lang w:val="sr-Cyrl-CS"/>
        </w:rPr>
        <w:t>stav</w:t>
      </w:r>
      <w:r w:rsidR="00603DAA" w:rsidRPr="00E95BC4">
        <w:rPr>
          <w:rFonts w:eastAsia="Times New Roman"/>
          <w:color w:val="auto"/>
          <w:kern w:val="0"/>
          <w:lang w:val="sr-Cyrl-CS"/>
        </w:rPr>
        <w:t xml:space="preserve"> 1. </w:t>
      </w:r>
      <w:r>
        <w:rPr>
          <w:rFonts w:eastAsia="Times New Roman"/>
          <w:color w:val="auto"/>
          <w:kern w:val="0"/>
          <w:lang w:val="sr-Cyrl-CS"/>
        </w:rPr>
        <w:t>Zakona</w:t>
      </w:r>
      <w:r w:rsidR="00603DAA" w:rsidRPr="00E95BC4">
        <w:rPr>
          <w:rFonts w:eastAsia="Times New Roman"/>
          <w:color w:val="auto"/>
          <w:kern w:val="0"/>
          <w:lang w:val="sr-Cyrl-CS"/>
        </w:rPr>
        <w:t xml:space="preserve"> </w:t>
      </w:r>
      <w:r>
        <w:rPr>
          <w:rFonts w:eastAsia="Times New Roman"/>
          <w:color w:val="auto"/>
          <w:kern w:val="0"/>
          <w:lang w:val="sr-Cyrl-CS"/>
        </w:rPr>
        <w:t>o</w:t>
      </w:r>
      <w:r w:rsidR="00603DAA" w:rsidRPr="00E95BC4">
        <w:rPr>
          <w:rFonts w:eastAsia="Times New Roman"/>
          <w:color w:val="auto"/>
          <w:kern w:val="0"/>
          <w:lang w:val="sr-Cyrl-CS"/>
        </w:rPr>
        <w:t xml:space="preserve"> </w:t>
      </w:r>
      <w:r>
        <w:rPr>
          <w:rFonts w:eastAsia="Times New Roman"/>
          <w:color w:val="auto"/>
          <w:kern w:val="0"/>
          <w:lang w:val="sr-Cyrl-CS"/>
        </w:rPr>
        <w:t>planskom</w:t>
      </w:r>
      <w:r w:rsidR="00603DAA" w:rsidRPr="00E95BC4">
        <w:rPr>
          <w:rFonts w:eastAsia="Times New Roman"/>
          <w:color w:val="auto"/>
          <w:kern w:val="0"/>
          <w:lang w:val="sr-Cyrl-CS"/>
        </w:rPr>
        <w:t xml:space="preserve"> </w:t>
      </w:r>
      <w:r>
        <w:rPr>
          <w:rFonts w:eastAsia="Times New Roman"/>
          <w:color w:val="auto"/>
          <w:kern w:val="0"/>
          <w:lang w:val="sr-Cyrl-CS"/>
        </w:rPr>
        <w:t>sistemu</w:t>
      </w:r>
      <w:r w:rsidR="00603DAA" w:rsidRPr="00E95BC4">
        <w:rPr>
          <w:rFonts w:eastAsia="Times New Roman"/>
          <w:color w:val="auto"/>
          <w:kern w:val="0"/>
          <w:lang w:val="sr-Cyrl-CS"/>
        </w:rPr>
        <w:t xml:space="preserve"> </w:t>
      </w:r>
      <w:r>
        <w:rPr>
          <w:rFonts w:eastAsia="Times New Roman"/>
          <w:color w:val="auto"/>
          <w:kern w:val="0"/>
          <w:lang w:val="sr-Cyrl-CS"/>
        </w:rPr>
        <w:t>Republike</w:t>
      </w:r>
      <w:r w:rsidR="00603DAA" w:rsidRPr="00E95BC4">
        <w:rPr>
          <w:rFonts w:eastAsia="Times New Roman"/>
          <w:color w:val="auto"/>
          <w:kern w:val="0"/>
          <w:lang w:val="sr-Cyrl-CS"/>
        </w:rPr>
        <w:t xml:space="preserve"> </w:t>
      </w:r>
      <w:r>
        <w:rPr>
          <w:rFonts w:eastAsia="Times New Roman"/>
          <w:color w:val="auto"/>
          <w:kern w:val="0"/>
          <w:lang w:val="sr-Cyrl-CS"/>
        </w:rPr>
        <w:t>Srbije</w:t>
      </w:r>
      <w:r w:rsidR="00603DAA" w:rsidRPr="00E95BC4">
        <w:rPr>
          <w:rFonts w:eastAsia="Times New Roman"/>
          <w:color w:val="auto"/>
          <w:kern w:val="0"/>
          <w:lang w:val="sr-Cyrl-CS"/>
        </w:rPr>
        <w:t xml:space="preserve"> („</w:t>
      </w:r>
      <w:r>
        <w:rPr>
          <w:rFonts w:eastAsia="Times New Roman"/>
          <w:color w:val="auto"/>
          <w:kern w:val="0"/>
          <w:lang w:val="sr-Cyrl-CS"/>
        </w:rPr>
        <w:t>Službeni</w:t>
      </w:r>
      <w:r w:rsidR="0071229F" w:rsidRPr="00E95BC4">
        <w:rPr>
          <w:rFonts w:eastAsia="Times New Roman"/>
          <w:color w:val="auto"/>
          <w:kern w:val="0"/>
          <w:lang w:val="sr-Cyrl-CS"/>
        </w:rPr>
        <w:t xml:space="preserve"> </w:t>
      </w:r>
      <w:r>
        <w:rPr>
          <w:rFonts w:eastAsia="Times New Roman"/>
          <w:color w:val="auto"/>
          <w:kern w:val="0"/>
          <w:lang w:val="sr-Cyrl-CS"/>
        </w:rPr>
        <w:t>glasnik</w:t>
      </w:r>
      <w:r w:rsidR="0071229F" w:rsidRPr="00E95BC4">
        <w:rPr>
          <w:rFonts w:eastAsia="Times New Roman"/>
          <w:color w:val="auto"/>
          <w:kern w:val="0"/>
          <w:lang w:val="sr-Cyrl-CS"/>
        </w:rPr>
        <w:t xml:space="preserve"> </w:t>
      </w:r>
      <w:r>
        <w:rPr>
          <w:rFonts w:eastAsia="Times New Roman"/>
          <w:color w:val="auto"/>
          <w:kern w:val="0"/>
          <w:lang w:val="sr-Cyrl-CS"/>
        </w:rPr>
        <w:t>RS</w:t>
      </w:r>
      <w:r w:rsidR="0071229F" w:rsidRPr="00E95BC4">
        <w:rPr>
          <w:rFonts w:eastAsia="Times New Roman"/>
          <w:color w:val="auto"/>
          <w:kern w:val="0"/>
          <w:lang w:val="sr-Cyrl-CS"/>
        </w:rPr>
        <w:t>”</w:t>
      </w:r>
      <w:r w:rsidR="00A34DED" w:rsidRPr="00E95BC4">
        <w:rPr>
          <w:rFonts w:eastAsia="Times New Roman"/>
          <w:color w:val="auto"/>
          <w:kern w:val="0"/>
          <w:lang w:val="sr-Cyrl-CS"/>
        </w:rPr>
        <w:t xml:space="preserve">, </w:t>
      </w:r>
      <w:r>
        <w:rPr>
          <w:rFonts w:eastAsia="Times New Roman"/>
          <w:color w:val="auto"/>
          <w:kern w:val="0"/>
          <w:lang w:val="sr-Cyrl-CS"/>
        </w:rPr>
        <w:t>broj</w:t>
      </w:r>
      <w:r w:rsidR="00A34DED" w:rsidRPr="00E95BC4">
        <w:rPr>
          <w:rFonts w:eastAsia="Times New Roman"/>
          <w:color w:val="auto"/>
          <w:kern w:val="0"/>
          <w:lang w:val="sr-Cyrl-CS"/>
        </w:rPr>
        <w:t xml:space="preserve"> 30/18)</w:t>
      </w:r>
      <w:r w:rsidR="00146E18" w:rsidRPr="00E95BC4">
        <w:rPr>
          <w:rFonts w:eastAsia="Times New Roman"/>
          <w:color w:val="auto"/>
          <w:kern w:val="0"/>
          <w:lang w:val="sr-Cyrl-CS"/>
        </w:rPr>
        <w:t>,</w:t>
      </w:r>
    </w:p>
    <w:p w:rsidR="00093C87" w:rsidRPr="00E95BC4" w:rsidRDefault="00093C87" w:rsidP="00146E18">
      <w:pPr>
        <w:ind w:firstLine="720"/>
        <w:jc w:val="both"/>
        <w:rPr>
          <w:rFonts w:eastAsia="Times New Roman"/>
          <w:color w:val="auto"/>
          <w:kern w:val="0"/>
          <w:lang w:val="sr-Cyrl-CS"/>
        </w:rPr>
      </w:pPr>
    </w:p>
    <w:p w:rsidR="00146E18" w:rsidRPr="00E95BC4" w:rsidRDefault="005818C0" w:rsidP="00146E18">
      <w:pPr>
        <w:ind w:firstLine="720"/>
        <w:jc w:val="both"/>
        <w:rPr>
          <w:rFonts w:eastAsia="Times New Roman"/>
          <w:color w:val="auto"/>
          <w:kern w:val="0"/>
          <w:lang w:val="sr-Cyrl-CS"/>
        </w:rPr>
      </w:pPr>
      <w:r>
        <w:rPr>
          <w:rFonts w:eastAsia="Times New Roman"/>
          <w:color w:val="auto"/>
          <w:kern w:val="0"/>
          <w:lang w:val="sr-Cyrl-CS"/>
        </w:rPr>
        <w:t>Vlada</w:t>
      </w:r>
      <w:r w:rsidR="00146E18" w:rsidRPr="00E95BC4">
        <w:rPr>
          <w:rFonts w:eastAsia="Times New Roman"/>
          <w:color w:val="auto"/>
          <w:kern w:val="0"/>
          <w:lang w:val="sr-Cyrl-CS"/>
        </w:rPr>
        <w:t xml:space="preserve"> </w:t>
      </w:r>
      <w:r>
        <w:rPr>
          <w:rFonts w:eastAsia="Times New Roman"/>
          <w:color w:val="auto"/>
          <w:kern w:val="0"/>
          <w:lang w:val="sr-Cyrl-CS"/>
        </w:rPr>
        <w:t>donosi</w:t>
      </w:r>
    </w:p>
    <w:p w:rsidR="00146E18" w:rsidRPr="00E95BC4" w:rsidRDefault="00146E18" w:rsidP="00146E18">
      <w:pPr>
        <w:ind w:firstLine="720"/>
        <w:jc w:val="both"/>
        <w:rPr>
          <w:rFonts w:eastAsia="Times New Roman"/>
          <w:color w:val="auto"/>
          <w:kern w:val="0"/>
          <w:lang w:val="sr-Cyrl-CS"/>
        </w:rPr>
      </w:pPr>
    </w:p>
    <w:p w:rsidR="00146E18" w:rsidRPr="00E95BC4" w:rsidRDefault="005818C0" w:rsidP="00146E18">
      <w:pPr>
        <w:jc w:val="center"/>
        <w:rPr>
          <w:rFonts w:eastAsia="Times New Roman"/>
          <w:color w:val="auto"/>
          <w:kern w:val="0"/>
          <w:lang w:val="sr-Cyrl-CS"/>
        </w:rPr>
      </w:pPr>
      <w:r>
        <w:rPr>
          <w:rFonts w:eastAsia="Times New Roman"/>
          <w:color w:val="auto"/>
          <w:kern w:val="0"/>
          <w:lang w:val="sr-Cyrl-CS"/>
        </w:rPr>
        <w:t>STRATEGIJU</w:t>
      </w:r>
    </w:p>
    <w:p w:rsidR="00B94B2E" w:rsidRPr="00E95BC4" w:rsidRDefault="005818C0" w:rsidP="00146E18">
      <w:pPr>
        <w:jc w:val="center"/>
        <w:rPr>
          <w:rFonts w:eastAsia="Times New Roman"/>
          <w:color w:val="auto"/>
          <w:kern w:val="0"/>
          <w:lang w:val="sr-Cyrl-CS"/>
        </w:rPr>
      </w:pPr>
      <w:r>
        <w:rPr>
          <w:rFonts w:eastAsia="Times New Roman"/>
          <w:color w:val="auto"/>
          <w:kern w:val="0"/>
          <w:lang w:val="sr-Cyrl-CS"/>
        </w:rPr>
        <w:t>ZA</w:t>
      </w:r>
      <w:r w:rsidR="00603DAA" w:rsidRPr="00E95BC4">
        <w:rPr>
          <w:rFonts w:eastAsia="Times New Roman"/>
          <w:color w:val="auto"/>
          <w:kern w:val="0"/>
          <w:lang w:val="sr-Cyrl-CS"/>
        </w:rPr>
        <w:t xml:space="preserve"> </w:t>
      </w:r>
      <w:r>
        <w:rPr>
          <w:rFonts w:eastAsia="Times New Roman"/>
          <w:color w:val="auto"/>
          <w:kern w:val="0"/>
          <w:lang w:val="sr-Cyrl-CS"/>
        </w:rPr>
        <w:t>BORBU</w:t>
      </w:r>
      <w:r w:rsidR="00603DAA" w:rsidRPr="00E95BC4">
        <w:rPr>
          <w:rFonts w:eastAsia="Times New Roman"/>
          <w:color w:val="auto"/>
          <w:kern w:val="0"/>
          <w:lang w:val="sr-Cyrl-CS"/>
        </w:rPr>
        <w:t xml:space="preserve"> </w:t>
      </w:r>
      <w:r>
        <w:rPr>
          <w:rFonts w:eastAsia="Times New Roman"/>
          <w:color w:val="auto"/>
          <w:kern w:val="0"/>
          <w:lang w:val="sr-Cyrl-CS"/>
        </w:rPr>
        <w:t>PROTIV</w:t>
      </w:r>
      <w:r w:rsidR="00603DAA" w:rsidRPr="00E95BC4">
        <w:rPr>
          <w:rFonts w:eastAsia="Times New Roman"/>
          <w:color w:val="auto"/>
          <w:kern w:val="0"/>
          <w:lang w:val="sr-Cyrl-CS"/>
        </w:rPr>
        <w:t xml:space="preserve"> </w:t>
      </w:r>
      <w:r>
        <w:rPr>
          <w:rFonts w:eastAsia="Times New Roman"/>
          <w:color w:val="auto"/>
          <w:kern w:val="0"/>
          <w:lang w:val="sr-Cyrl-CS"/>
        </w:rPr>
        <w:t>PRANjA</w:t>
      </w:r>
      <w:r w:rsidR="00603DAA" w:rsidRPr="00E95BC4">
        <w:rPr>
          <w:rFonts w:eastAsia="Times New Roman"/>
          <w:color w:val="auto"/>
          <w:kern w:val="0"/>
          <w:lang w:val="sr-Cyrl-CS"/>
        </w:rPr>
        <w:t xml:space="preserve"> </w:t>
      </w:r>
      <w:r>
        <w:rPr>
          <w:rFonts w:eastAsia="Times New Roman"/>
          <w:color w:val="auto"/>
          <w:kern w:val="0"/>
          <w:lang w:val="sr-Cyrl-CS"/>
        </w:rPr>
        <w:t>NOVCA</w:t>
      </w:r>
      <w:r w:rsidR="00603DAA" w:rsidRPr="00E95BC4">
        <w:rPr>
          <w:rFonts w:eastAsia="Times New Roman"/>
          <w:color w:val="auto"/>
          <w:kern w:val="0"/>
          <w:lang w:val="sr-Cyrl-CS"/>
        </w:rPr>
        <w:t xml:space="preserve"> </w:t>
      </w:r>
      <w:r>
        <w:rPr>
          <w:rFonts w:eastAsia="Times New Roman"/>
          <w:color w:val="auto"/>
          <w:kern w:val="0"/>
          <w:lang w:val="sr-Cyrl-CS"/>
        </w:rPr>
        <w:t>I</w:t>
      </w:r>
      <w:r w:rsidR="00603DAA" w:rsidRPr="00E95BC4">
        <w:rPr>
          <w:rFonts w:eastAsia="Times New Roman"/>
          <w:color w:val="auto"/>
          <w:kern w:val="0"/>
          <w:lang w:val="sr-Cyrl-CS"/>
        </w:rPr>
        <w:t xml:space="preserve"> </w:t>
      </w:r>
      <w:r>
        <w:rPr>
          <w:rFonts w:eastAsia="Times New Roman"/>
          <w:color w:val="auto"/>
          <w:kern w:val="0"/>
          <w:lang w:val="sr-Cyrl-CS"/>
        </w:rPr>
        <w:t>FINANSIRANjA</w:t>
      </w:r>
      <w:r w:rsidR="00603DAA" w:rsidRPr="00E95BC4">
        <w:rPr>
          <w:rFonts w:eastAsia="Times New Roman"/>
          <w:color w:val="auto"/>
          <w:kern w:val="0"/>
          <w:lang w:val="sr-Cyrl-CS"/>
        </w:rPr>
        <w:t xml:space="preserve"> </w:t>
      </w:r>
      <w:r>
        <w:rPr>
          <w:rFonts w:eastAsia="Times New Roman"/>
          <w:color w:val="auto"/>
          <w:kern w:val="0"/>
          <w:lang w:val="sr-Cyrl-CS"/>
        </w:rPr>
        <w:t>TERORIZMA</w:t>
      </w:r>
    </w:p>
    <w:p w:rsidR="00146E18" w:rsidRPr="0081731E" w:rsidRDefault="00603DAA" w:rsidP="00146E18">
      <w:pPr>
        <w:jc w:val="center"/>
        <w:rPr>
          <w:rFonts w:eastAsia="Times New Roman"/>
          <w:color w:val="auto"/>
          <w:kern w:val="0"/>
          <w:lang/>
        </w:rPr>
      </w:pPr>
      <w:r w:rsidRPr="00E95BC4">
        <w:rPr>
          <w:rFonts w:eastAsia="Times New Roman"/>
          <w:color w:val="auto"/>
          <w:kern w:val="0"/>
          <w:lang w:val="sr-Cyrl-CS"/>
        </w:rPr>
        <w:t xml:space="preserve"> </w:t>
      </w:r>
      <w:r w:rsidR="005818C0">
        <w:rPr>
          <w:rFonts w:eastAsia="Times New Roman"/>
          <w:color w:val="auto"/>
          <w:kern w:val="0"/>
          <w:lang w:val="sr-Cyrl-CS"/>
        </w:rPr>
        <w:t>ZA</w:t>
      </w:r>
      <w:r w:rsidRPr="00E95BC4">
        <w:rPr>
          <w:rFonts w:eastAsia="Times New Roman"/>
          <w:color w:val="auto"/>
          <w:kern w:val="0"/>
          <w:lang w:val="sr-Cyrl-CS"/>
        </w:rPr>
        <w:t xml:space="preserve"> </w:t>
      </w:r>
      <w:r w:rsidR="005818C0">
        <w:rPr>
          <w:rFonts w:eastAsia="Times New Roman"/>
          <w:color w:val="auto"/>
          <w:kern w:val="0"/>
          <w:lang w:val="sr-Cyrl-CS"/>
        </w:rPr>
        <w:t>PERIOD</w:t>
      </w:r>
      <w:r w:rsidRPr="00E95BC4">
        <w:rPr>
          <w:rFonts w:eastAsia="Times New Roman"/>
          <w:color w:val="auto"/>
          <w:kern w:val="0"/>
          <w:lang w:val="sr-Cyrl-CS"/>
        </w:rPr>
        <w:t xml:space="preserve"> 2020–2024.</w:t>
      </w:r>
      <w:r w:rsidR="0081731E">
        <w:rPr>
          <w:rFonts w:eastAsia="Times New Roman"/>
          <w:color w:val="auto"/>
          <w:kern w:val="0"/>
        </w:rPr>
        <w:t xml:space="preserve"> </w:t>
      </w:r>
      <w:r w:rsidR="005818C0">
        <w:rPr>
          <w:rFonts w:eastAsia="Times New Roman"/>
          <w:color w:val="auto"/>
          <w:kern w:val="0"/>
          <w:lang/>
        </w:rPr>
        <w:t>GODINE</w:t>
      </w:r>
    </w:p>
    <w:p w:rsidR="00146E18" w:rsidRPr="00E95BC4" w:rsidRDefault="00146E18" w:rsidP="00285FD7">
      <w:pPr>
        <w:ind w:firstLine="720"/>
        <w:jc w:val="both"/>
        <w:rPr>
          <w:rFonts w:eastAsia="Times New Roman"/>
          <w:color w:val="auto"/>
          <w:kern w:val="0"/>
          <w:lang w:val="sr-Cyrl-CS"/>
        </w:rPr>
      </w:pPr>
    </w:p>
    <w:p w:rsidR="00146E18" w:rsidRPr="00E95BC4" w:rsidRDefault="00146E18" w:rsidP="00146E18">
      <w:pPr>
        <w:pStyle w:val="Heading1"/>
        <w:spacing w:before="0"/>
        <w:ind w:firstLine="720"/>
        <w:rPr>
          <w:rFonts w:ascii="Times New Roman" w:hAnsi="Times New Roman" w:cs="Times New Roman"/>
          <w:sz w:val="24"/>
          <w:szCs w:val="24"/>
          <w:lang w:val="sr-Cyrl-CS"/>
        </w:rPr>
      </w:pPr>
    </w:p>
    <w:p w:rsidR="00146E18" w:rsidRPr="00E95BC4" w:rsidRDefault="005818C0" w:rsidP="00146E18">
      <w:pPr>
        <w:pStyle w:val="Heading1"/>
        <w:spacing w:before="0"/>
        <w:ind w:firstLine="720"/>
        <w:rPr>
          <w:rFonts w:ascii="Times New Roman" w:hAnsi="Times New Roman" w:cs="Times New Roman"/>
          <w:color w:val="auto"/>
          <w:sz w:val="24"/>
          <w:szCs w:val="24"/>
          <w:lang w:val="sr-Cyrl-CS"/>
        </w:rPr>
      </w:pPr>
      <w:bookmarkStart w:id="0" w:name="_Toc32409891"/>
      <w:r>
        <w:rPr>
          <w:rFonts w:ascii="Times New Roman" w:hAnsi="Times New Roman" w:cs="Times New Roman"/>
          <w:color w:val="auto"/>
          <w:sz w:val="24"/>
          <w:szCs w:val="24"/>
          <w:lang w:val="sr-Cyrl-CS"/>
        </w:rPr>
        <w:t>Uvod</w:t>
      </w:r>
      <w:bookmarkEnd w:id="0"/>
    </w:p>
    <w:p w:rsidR="00146E18" w:rsidRPr="00E95BC4" w:rsidRDefault="00146E18" w:rsidP="00146E18">
      <w:pPr>
        <w:rPr>
          <w:lang w:val="sr-Cyrl-CS"/>
        </w:rPr>
      </w:pPr>
    </w:p>
    <w:p w:rsidR="002E5CC8" w:rsidRPr="00E95BC4" w:rsidRDefault="005818C0" w:rsidP="00285FD7">
      <w:pPr>
        <w:ind w:firstLine="720"/>
        <w:jc w:val="both"/>
        <w:rPr>
          <w:rFonts w:eastAsia="Times New Roman"/>
          <w:color w:val="auto"/>
          <w:kern w:val="0"/>
          <w:lang w:val="sr-Cyrl-CS"/>
        </w:rPr>
      </w:pPr>
      <w:r>
        <w:rPr>
          <w:rFonts w:eastAsia="Times New Roman"/>
          <w:color w:val="auto"/>
          <w:kern w:val="0"/>
          <w:lang w:val="sr-Cyrl-CS"/>
        </w:rPr>
        <w:t>Pranje</w:t>
      </w:r>
      <w:r w:rsidR="002E5CC8" w:rsidRPr="00E95BC4">
        <w:rPr>
          <w:rFonts w:eastAsia="Times New Roman"/>
          <w:color w:val="auto"/>
          <w:kern w:val="0"/>
          <w:lang w:val="sr-Cyrl-CS"/>
        </w:rPr>
        <w:t xml:space="preserve"> </w:t>
      </w:r>
      <w:r>
        <w:rPr>
          <w:rFonts w:eastAsia="Times New Roman"/>
          <w:color w:val="auto"/>
          <w:kern w:val="0"/>
          <w:lang w:val="sr-Cyrl-CS"/>
        </w:rPr>
        <w:t>novca</w:t>
      </w:r>
      <w:r w:rsidR="002E5CC8" w:rsidRPr="00E95BC4">
        <w:rPr>
          <w:rFonts w:eastAsia="Times New Roman"/>
          <w:color w:val="auto"/>
          <w:kern w:val="0"/>
          <w:lang w:val="sr-Cyrl-CS"/>
        </w:rPr>
        <w:t xml:space="preserve"> </w:t>
      </w:r>
      <w:r>
        <w:rPr>
          <w:rFonts w:eastAsia="Times New Roman"/>
          <w:color w:val="auto"/>
          <w:kern w:val="0"/>
          <w:lang w:val="sr-Cyrl-CS"/>
        </w:rPr>
        <w:t>predstavlja</w:t>
      </w:r>
      <w:r w:rsidR="002E5CC8" w:rsidRPr="00E95BC4">
        <w:rPr>
          <w:rFonts w:eastAsia="Times New Roman"/>
          <w:color w:val="auto"/>
          <w:kern w:val="0"/>
          <w:lang w:val="sr-Cyrl-CS"/>
        </w:rPr>
        <w:t xml:space="preserve"> </w:t>
      </w:r>
      <w:r>
        <w:rPr>
          <w:rFonts w:eastAsia="Times New Roman"/>
          <w:color w:val="auto"/>
          <w:kern w:val="0"/>
          <w:lang w:val="sr-Cyrl-CS"/>
        </w:rPr>
        <w:t>proces</w:t>
      </w:r>
      <w:r w:rsidR="002E5CC8" w:rsidRPr="00E95BC4">
        <w:rPr>
          <w:rFonts w:eastAsia="Times New Roman"/>
          <w:color w:val="auto"/>
          <w:kern w:val="0"/>
          <w:lang w:val="sr-Cyrl-CS"/>
        </w:rPr>
        <w:t xml:space="preserve"> </w:t>
      </w:r>
      <w:r>
        <w:rPr>
          <w:rFonts w:eastAsia="Times New Roman"/>
          <w:color w:val="auto"/>
          <w:kern w:val="0"/>
          <w:lang w:val="sr-Cyrl-CS"/>
        </w:rPr>
        <w:t>prikrivanja</w:t>
      </w:r>
      <w:r w:rsidR="002E5CC8" w:rsidRPr="00E95BC4">
        <w:rPr>
          <w:rFonts w:eastAsia="Times New Roman"/>
          <w:color w:val="auto"/>
          <w:kern w:val="0"/>
          <w:lang w:val="sr-Cyrl-CS"/>
        </w:rPr>
        <w:t xml:space="preserve"> </w:t>
      </w:r>
      <w:r>
        <w:rPr>
          <w:rFonts w:eastAsia="Times New Roman"/>
          <w:color w:val="auto"/>
          <w:kern w:val="0"/>
          <w:lang w:val="sr-Cyrl-CS"/>
        </w:rPr>
        <w:t>imovine</w:t>
      </w:r>
      <w:r w:rsidR="002E5CC8" w:rsidRPr="00E95BC4">
        <w:rPr>
          <w:rFonts w:eastAsia="Times New Roman"/>
          <w:color w:val="auto"/>
          <w:kern w:val="0"/>
          <w:lang w:val="sr-Cyrl-CS"/>
        </w:rPr>
        <w:t xml:space="preserve"> </w:t>
      </w:r>
      <w:r>
        <w:rPr>
          <w:rFonts w:eastAsia="Times New Roman"/>
          <w:color w:val="auto"/>
          <w:kern w:val="0"/>
          <w:lang w:val="sr-Cyrl-CS"/>
        </w:rPr>
        <w:t>stečene</w:t>
      </w:r>
      <w:r w:rsidR="002E5CC8" w:rsidRPr="00E95BC4">
        <w:rPr>
          <w:rFonts w:eastAsia="Times New Roman"/>
          <w:color w:val="auto"/>
          <w:kern w:val="0"/>
          <w:lang w:val="sr-Cyrl-CS"/>
        </w:rPr>
        <w:t xml:space="preserve"> </w:t>
      </w:r>
      <w:r>
        <w:rPr>
          <w:rFonts w:eastAsia="Times New Roman"/>
          <w:color w:val="auto"/>
          <w:kern w:val="0"/>
          <w:lang w:val="sr-Cyrl-CS"/>
        </w:rPr>
        <w:t>kriminalnim</w:t>
      </w:r>
      <w:r w:rsidR="002E5CC8" w:rsidRPr="00E95BC4">
        <w:rPr>
          <w:rFonts w:eastAsia="Times New Roman"/>
          <w:color w:val="auto"/>
          <w:kern w:val="0"/>
          <w:lang w:val="sr-Cyrl-CS"/>
        </w:rPr>
        <w:t xml:space="preserve"> </w:t>
      </w:r>
      <w:r>
        <w:rPr>
          <w:rFonts w:eastAsia="Times New Roman"/>
          <w:color w:val="auto"/>
          <w:kern w:val="0"/>
          <w:lang w:val="sr-Cyrl-CS"/>
        </w:rPr>
        <w:t>aktivnostima</w:t>
      </w:r>
      <w:r w:rsidR="002E5CC8" w:rsidRPr="00E95BC4">
        <w:rPr>
          <w:rFonts w:eastAsia="Times New Roman"/>
          <w:color w:val="auto"/>
          <w:kern w:val="0"/>
          <w:lang w:val="sr-Cyrl-CS"/>
        </w:rPr>
        <w:t xml:space="preserve"> </w:t>
      </w:r>
      <w:r>
        <w:rPr>
          <w:rFonts w:eastAsia="Times New Roman"/>
          <w:color w:val="auto"/>
          <w:kern w:val="0"/>
          <w:lang w:val="sr-Cyrl-CS"/>
        </w:rPr>
        <w:t>kojim</w:t>
      </w:r>
      <w:r w:rsidR="002E5CC8" w:rsidRPr="00E95BC4">
        <w:rPr>
          <w:rFonts w:eastAsia="Times New Roman"/>
          <w:color w:val="auto"/>
          <w:kern w:val="0"/>
          <w:lang w:val="sr-Cyrl-CS"/>
        </w:rPr>
        <w:t xml:space="preserve"> </w:t>
      </w:r>
      <w:r>
        <w:rPr>
          <w:rFonts w:eastAsia="Times New Roman"/>
          <w:color w:val="auto"/>
          <w:kern w:val="0"/>
          <w:lang w:val="sr-Cyrl-CS"/>
        </w:rPr>
        <w:t>se</w:t>
      </w:r>
      <w:r w:rsidR="002E5CC8" w:rsidRPr="00E95BC4">
        <w:rPr>
          <w:rFonts w:eastAsia="Times New Roman"/>
          <w:color w:val="auto"/>
          <w:kern w:val="0"/>
          <w:lang w:val="sr-Cyrl-CS"/>
        </w:rPr>
        <w:t xml:space="preserve"> </w:t>
      </w:r>
      <w:r>
        <w:rPr>
          <w:rFonts w:eastAsia="Times New Roman"/>
          <w:color w:val="auto"/>
          <w:kern w:val="0"/>
          <w:lang w:val="sr-Cyrl-CS"/>
        </w:rPr>
        <w:t>kriminalcima</w:t>
      </w:r>
      <w:r w:rsidR="002E5CC8" w:rsidRPr="00E95BC4">
        <w:rPr>
          <w:rFonts w:eastAsia="Times New Roman"/>
          <w:color w:val="auto"/>
          <w:kern w:val="0"/>
          <w:lang w:val="sr-Cyrl-CS"/>
        </w:rPr>
        <w:t xml:space="preserve"> </w:t>
      </w:r>
      <w:r>
        <w:rPr>
          <w:rFonts w:eastAsia="Times New Roman"/>
          <w:color w:val="auto"/>
          <w:kern w:val="0"/>
          <w:lang w:val="sr-Cyrl-CS"/>
        </w:rPr>
        <w:t>omogućava</w:t>
      </w:r>
      <w:r w:rsidR="002E5CC8" w:rsidRPr="00E95BC4">
        <w:rPr>
          <w:rFonts w:eastAsia="Times New Roman"/>
          <w:color w:val="auto"/>
          <w:kern w:val="0"/>
          <w:lang w:val="sr-Cyrl-CS"/>
        </w:rPr>
        <w:t xml:space="preserve"> </w:t>
      </w:r>
      <w:r>
        <w:rPr>
          <w:rFonts w:eastAsia="Times New Roman"/>
          <w:color w:val="auto"/>
          <w:kern w:val="0"/>
          <w:lang w:val="sr-Cyrl-CS"/>
        </w:rPr>
        <w:t>da</w:t>
      </w:r>
      <w:r w:rsidR="002E5CC8" w:rsidRPr="00E95BC4">
        <w:rPr>
          <w:rFonts w:eastAsia="Times New Roman"/>
          <w:color w:val="auto"/>
          <w:kern w:val="0"/>
          <w:lang w:val="sr-Cyrl-CS"/>
        </w:rPr>
        <w:t xml:space="preserve"> </w:t>
      </w:r>
      <w:r>
        <w:rPr>
          <w:rFonts w:eastAsia="Times New Roman"/>
          <w:color w:val="auto"/>
          <w:kern w:val="0"/>
          <w:lang w:val="sr-Cyrl-CS"/>
        </w:rPr>
        <w:t>takvu</w:t>
      </w:r>
      <w:r w:rsidR="002E5CC8" w:rsidRPr="00E95BC4">
        <w:rPr>
          <w:rFonts w:eastAsia="Times New Roman"/>
          <w:color w:val="auto"/>
          <w:kern w:val="0"/>
          <w:lang w:val="sr-Cyrl-CS"/>
        </w:rPr>
        <w:t xml:space="preserve"> </w:t>
      </w:r>
      <w:r>
        <w:rPr>
          <w:rFonts w:eastAsia="Times New Roman"/>
          <w:color w:val="auto"/>
          <w:kern w:val="0"/>
          <w:lang w:val="sr-Cyrl-CS"/>
        </w:rPr>
        <w:t>imovinu</w:t>
      </w:r>
      <w:r w:rsidR="002E5CC8" w:rsidRPr="00E95BC4">
        <w:rPr>
          <w:rFonts w:eastAsia="Times New Roman"/>
          <w:color w:val="auto"/>
          <w:kern w:val="0"/>
          <w:lang w:val="sr-Cyrl-CS"/>
        </w:rPr>
        <w:t xml:space="preserve"> </w:t>
      </w:r>
      <w:r>
        <w:rPr>
          <w:rFonts w:eastAsia="Times New Roman"/>
          <w:color w:val="auto"/>
          <w:kern w:val="0"/>
          <w:lang w:val="sr-Cyrl-CS"/>
        </w:rPr>
        <w:t>koriste</w:t>
      </w:r>
      <w:r w:rsidR="002E5CC8" w:rsidRPr="00E95BC4">
        <w:rPr>
          <w:rFonts w:eastAsia="Times New Roman"/>
          <w:color w:val="auto"/>
          <w:kern w:val="0"/>
          <w:lang w:val="sr-Cyrl-CS"/>
        </w:rPr>
        <w:t xml:space="preserve"> </w:t>
      </w:r>
      <w:r>
        <w:rPr>
          <w:rFonts w:eastAsia="Times New Roman"/>
          <w:color w:val="auto"/>
          <w:kern w:val="0"/>
          <w:lang w:val="sr-Cyrl-CS"/>
        </w:rPr>
        <w:t>u</w:t>
      </w:r>
      <w:r w:rsidR="002E5CC8" w:rsidRPr="00E95BC4">
        <w:rPr>
          <w:rFonts w:eastAsia="Times New Roman"/>
          <w:color w:val="auto"/>
          <w:kern w:val="0"/>
          <w:lang w:val="sr-Cyrl-CS"/>
        </w:rPr>
        <w:t xml:space="preserve"> </w:t>
      </w:r>
      <w:r>
        <w:rPr>
          <w:rFonts w:eastAsia="Times New Roman"/>
          <w:color w:val="auto"/>
          <w:kern w:val="0"/>
          <w:lang w:val="sr-Cyrl-CS"/>
        </w:rPr>
        <w:t>regularnom</w:t>
      </w:r>
      <w:r w:rsidR="002E5CC8" w:rsidRPr="00E95BC4">
        <w:rPr>
          <w:rFonts w:eastAsia="Times New Roman"/>
          <w:color w:val="auto"/>
          <w:kern w:val="0"/>
          <w:lang w:val="sr-Cyrl-CS"/>
        </w:rPr>
        <w:t xml:space="preserve"> </w:t>
      </w:r>
      <w:r>
        <w:rPr>
          <w:rFonts w:eastAsia="Times New Roman"/>
          <w:color w:val="auto"/>
          <w:kern w:val="0"/>
          <w:lang w:val="sr-Cyrl-CS"/>
        </w:rPr>
        <w:t>privrednom</w:t>
      </w:r>
      <w:r w:rsidR="002E5CC8" w:rsidRPr="00E95BC4">
        <w:rPr>
          <w:rFonts w:eastAsia="Times New Roman"/>
          <w:color w:val="auto"/>
          <w:kern w:val="0"/>
          <w:lang w:val="sr-Cyrl-CS"/>
        </w:rPr>
        <w:t xml:space="preserve"> </w:t>
      </w:r>
      <w:r>
        <w:rPr>
          <w:rFonts w:eastAsia="Times New Roman"/>
          <w:color w:val="auto"/>
          <w:kern w:val="0"/>
          <w:lang w:val="sr-Cyrl-CS"/>
        </w:rPr>
        <w:t>poslovanju</w:t>
      </w:r>
      <w:r w:rsidR="002E5CC8" w:rsidRPr="00E95BC4">
        <w:rPr>
          <w:rFonts w:eastAsia="Times New Roman"/>
          <w:color w:val="auto"/>
          <w:kern w:val="0"/>
          <w:lang w:val="sr-Cyrl-CS"/>
        </w:rPr>
        <w:t xml:space="preserve">. </w:t>
      </w:r>
      <w:r>
        <w:rPr>
          <w:rFonts w:eastAsia="Times New Roman"/>
          <w:color w:val="auto"/>
          <w:kern w:val="0"/>
          <w:lang w:val="sr-Cyrl-CS"/>
        </w:rPr>
        <w:t>Korupcija</w:t>
      </w:r>
      <w:r w:rsidR="002E5CC8" w:rsidRPr="00E95BC4">
        <w:rPr>
          <w:rFonts w:eastAsia="Times New Roman"/>
          <w:color w:val="auto"/>
          <w:kern w:val="0"/>
          <w:lang w:val="sr-Cyrl-CS"/>
        </w:rPr>
        <w:t xml:space="preserve"> </w:t>
      </w:r>
      <w:r>
        <w:rPr>
          <w:rFonts w:eastAsia="Times New Roman"/>
          <w:color w:val="auto"/>
          <w:kern w:val="0"/>
          <w:lang w:val="sr-Cyrl-CS"/>
        </w:rPr>
        <w:t>i</w:t>
      </w:r>
      <w:r w:rsidR="002E5CC8" w:rsidRPr="00E95BC4">
        <w:rPr>
          <w:rFonts w:eastAsia="Times New Roman"/>
          <w:color w:val="auto"/>
          <w:kern w:val="0"/>
          <w:lang w:val="sr-Cyrl-CS"/>
        </w:rPr>
        <w:t xml:space="preserve"> </w:t>
      </w:r>
      <w:r>
        <w:rPr>
          <w:rFonts w:eastAsia="Times New Roman"/>
          <w:color w:val="auto"/>
          <w:kern w:val="0"/>
          <w:lang w:val="sr-Cyrl-CS"/>
        </w:rPr>
        <w:t>organizovani</w:t>
      </w:r>
      <w:r w:rsidR="002E5CC8" w:rsidRPr="00E95BC4">
        <w:rPr>
          <w:rFonts w:eastAsia="Times New Roman"/>
          <w:color w:val="auto"/>
          <w:kern w:val="0"/>
          <w:lang w:val="sr-Cyrl-CS"/>
        </w:rPr>
        <w:t xml:space="preserve"> </w:t>
      </w:r>
      <w:r>
        <w:rPr>
          <w:rFonts w:eastAsia="Times New Roman"/>
          <w:color w:val="auto"/>
          <w:kern w:val="0"/>
          <w:lang w:val="sr-Cyrl-CS"/>
        </w:rPr>
        <w:t>kriminal</w:t>
      </w:r>
      <w:r w:rsidR="002E5CC8" w:rsidRPr="00E95BC4">
        <w:rPr>
          <w:rFonts w:eastAsia="Times New Roman"/>
          <w:color w:val="auto"/>
          <w:kern w:val="0"/>
          <w:lang w:val="sr-Cyrl-CS"/>
        </w:rPr>
        <w:t xml:space="preserve">, </w:t>
      </w:r>
      <w:r>
        <w:rPr>
          <w:rFonts w:eastAsia="Times New Roman"/>
          <w:color w:val="auto"/>
          <w:kern w:val="0"/>
          <w:lang w:val="sr-Cyrl-CS"/>
        </w:rPr>
        <w:t>kao</w:t>
      </w:r>
      <w:r w:rsidR="002E5CC8" w:rsidRPr="00E95BC4">
        <w:rPr>
          <w:rFonts w:eastAsia="Times New Roman"/>
          <w:color w:val="auto"/>
          <w:kern w:val="0"/>
          <w:lang w:val="sr-Cyrl-CS"/>
        </w:rPr>
        <w:t xml:space="preserve"> </w:t>
      </w:r>
      <w:r>
        <w:rPr>
          <w:rFonts w:eastAsia="Times New Roman"/>
          <w:color w:val="auto"/>
          <w:kern w:val="0"/>
          <w:lang w:val="sr-Cyrl-CS"/>
        </w:rPr>
        <w:t>što</w:t>
      </w:r>
      <w:r w:rsidR="002E5CC8" w:rsidRPr="00E95BC4">
        <w:rPr>
          <w:rFonts w:eastAsia="Times New Roman"/>
          <w:color w:val="auto"/>
          <w:kern w:val="0"/>
          <w:lang w:val="sr-Cyrl-CS"/>
        </w:rPr>
        <w:t xml:space="preserve"> </w:t>
      </w:r>
      <w:r>
        <w:rPr>
          <w:rFonts w:eastAsia="Times New Roman"/>
          <w:color w:val="auto"/>
          <w:kern w:val="0"/>
          <w:lang w:val="sr-Cyrl-CS"/>
        </w:rPr>
        <w:t>su</w:t>
      </w:r>
      <w:r w:rsidR="002E5CC8" w:rsidRPr="00E95BC4">
        <w:rPr>
          <w:rFonts w:eastAsia="Times New Roman"/>
          <w:color w:val="auto"/>
          <w:kern w:val="0"/>
          <w:lang w:val="sr-Cyrl-CS"/>
        </w:rPr>
        <w:t xml:space="preserve"> </w:t>
      </w:r>
      <w:r>
        <w:rPr>
          <w:rFonts w:eastAsia="Times New Roman"/>
          <w:color w:val="auto"/>
          <w:kern w:val="0"/>
          <w:lang w:val="sr-Cyrl-CS"/>
        </w:rPr>
        <w:t>trgovina</w:t>
      </w:r>
      <w:r w:rsidR="002E5CC8" w:rsidRPr="00E95BC4">
        <w:rPr>
          <w:rFonts w:eastAsia="Times New Roman"/>
          <w:color w:val="auto"/>
          <w:kern w:val="0"/>
          <w:lang w:val="sr-Cyrl-CS"/>
        </w:rPr>
        <w:t xml:space="preserve"> </w:t>
      </w:r>
      <w:r>
        <w:rPr>
          <w:rFonts w:eastAsia="Times New Roman"/>
          <w:color w:val="auto"/>
          <w:kern w:val="0"/>
          <w:lang w:val="sr-Cyrl-CS"/>
        </w:rPr>
        <w:t>narkoticima</w:t>
      </w:r>
      <w:r w:rsidR="002E5CC8" w:rsidRPr="00E95BC4">
        <w:rPr>
          <w:rFonts w:eastAsia="Times New Roman"/>
          <w:color w:val="auto"/>
          <w:kern w:val="0"/>
          <w:lang w:val="sr-Cyrl-CS"/>
        </w:rPr>
        <w:t xml:space="preserve">, </w:t>
      </w:r>
      <w:r>
        <w:rPr>
          <w:rFonts w:eastAsia="Times New Roman"/>
          <w:color w:val="auto"/>
          <w:kern w:val="0"/>
          <w:lang w:val="sr-Cyrl-CS"/>
        </w:rPr>
        <w:t>oružjem</w:t>
      </w:r>
      <w:r w:rsidR="002E5CC8" w:rsidRPr="00E95BC4">
        <w:rPr>
          <w:rFonts w:eastAsia="Times New Roman"/>
          <w:color w:val="auto"/>
          <w:kern w:val="0"/>
          <w:lang w:val="sr-Cyrl-CS"/>
        </w:rPr>
        <w:t xml:space="preserve"> </w:t>
      </w:r>
      <w:r>
        <w:rPr>
          <w:rFonts w:eastAsia="Times New Roman"/>
          <w:color w:val="auto"/>
          <w:kern w:val="0"/>
          <w:lang w:val="sr-Cyrl-CS"/>
        </w:rPr>
        <w:t>i</w:t>
      </w:r>
      <w:r w:rsidR="002E5CC8" w:rsidRPr="00E95BC4">
        <w:rPr>
          <w:rFonts w:eastAsia="Times New Roman"/>
          <w:color w:val="auto"/>
          <w:kern w:val="0"/>
          <w:lang w:val="sr-Cyrl-CS"/>
        </w:rPr>
        <w:t xml:space="preserve"> </w:t>
      </w:r>
      <w:r>
        <w:rPr>
          <w:rFonts w:eastAsia="Times New Roman"/>
          <w:color w:val="auto"/>
          <w:kern w:val="0"/>
          <w:lang w:val="sr-Cyrl-CS"/>
        </w:rPr>
        <w:t>ljudima</w:t>
      </w:r>
      <w:r w:rsidR="002E5CC8" w:rsidRPr="00E95BC4">
        <w:rPr>
          <w:rFonts w:eastAsia="Times New Roman"/>
          <w:color w:val="auto"/>
          <w:kern w:val="0"/>
          <w:lang w:val="sr-Cyrl-CS"/>
        </w:rPr>
        <w:t xml:space="preserve">, </w:t>
      </w:r>
      <w:r>
        <w:rPr>
          <w:rFonts w:eastAsia="Times New Roman"/>
          <w:color w:val="auto"/>
          <w:kern w:val="0"/>
          <w:lang w:val="sr-Cyrl-CS"/>
        </w:rPr>
        <w:t>stvaraju</w:t>
      </w:r>
      <w:r w:rsidR="002E5CC8" w:rsidRPr="00E95BC4">
        <w:rPr>
          <w:rFonts w:eastAsia="Times New Roman"/>
          <w:color w:val="auto"/>
          <w:kern w:val="0"/>
          <w:lang w:val="sr-Cyrl-CS"/>
        </w:rPr>
        <w:t xml:space="preserve"> </w:t>
      </w:r>
      <w:r>
        <w:rPr>
          <w:rFonts w:eastAsia="Times New Roman"/>
          <w:color w:val="auto"/>
          <w:kern w:val="0"/>
          <w:lang w:val="sr-Cyrl-CS"/>
        </w:rPr>
        <w:t>velike</w:t>
      </w:r>
      <w:r w:rsidR="002E5CC8" w:rsidRPr="00E95BC4">
        <w:rPr>
          <w:rFonts w:eastAsia="Times New Roman"/>
          <w:color w:val="auto"/>
          <w:kern w:val="0"/>
          <w:lang w:val="sr-Cyrl-CS"/>
        </w:rPr>
        <w:t xml:space="preserve"> </w:t>
      </w:r>
      <w:r>
        <w:rPr>
          <w:rFonts w:eastAsia="Times New Roman"/>
          <w:color w:val="auto"/>
          <w:kern w:val="0"/>
          <w:lang w:val="sr-Cyrl-CS"/>
        </w:rPr>
        <w:t>količine</w:t>
      </w:r>
      <w:r w:rsidR="002E5CC8" w:rsidRPr="00E95BC4">
        <w:rPr>
          <w:rFonts w:eastAsia="Times New Roman"/>
          <w:color w:val="auto"/>
          <w:kern w:val="0"/>
          <w:lang w:val="sr-Cyrl-CS"/>
        </w:rPr>
        <w:t xml:space="preserve"> </w:t>
      </w:r>
      <w:r>
        <w:rPr>
          <w:rFonts w:eastAsia="Times New Roman"/>
          <w:color w:val="auto"/>
          <w:kern w:val="0"/>
          <w:lang w:val="sr-Cyrl-CS"/>
        </w:rPr>
        <w:t>nelegalne</w:t>
      </w:r>
      <w:r w:rsidR="002E5CC8" w:rsidRPr="00E95BC4">
        <w:rPr>
          <w:rFonts w:eastAsia="Times New Roman"/>
          <w:color w:val="auto"/>
          <w:kern w:val="0"/>
          <w:lang w:val="sr-Cyrl-CS"/>
        </w:rPr>
        <w:t xml:space="preserve"> </w:t>
      </w:r>
      <w:r>
        <w:rPr>
          <w:rFonts w:eastAsia="Times New Roman"/>
          <w:color w:val="auto"/>
          <w:kern w:val="0"/>
          <w:lang w:val="sr-Cyrl-CS"/>
        </w:rPr>
        <w:t>imovine</w:t>
      </w:r>
      <w:r w:rsidR="002E5CC8" w:rsidRPr="00E95BC4">
        <w:rPr>
          <w:rFonts w:eastAsia="Times New Roman"/>
          <w:color w:val="auto"/>
          <w:kern w:val="0"/>
          <w:lang w:val="sr-Cyrl-CS"/>
        </w:rPr>
        <w:t xml:space="preserve">, </w:t>
      </w:r>
      <w:r>
        <w:rPr>
          <w:rFonts w:eastAsia="Times New Roman"/>
          <w:color w:val="auto"/>
          <w:kern w:val="0"/>
          <w:lang w:val="sr-Cyrl-CS"/>
        </w:rPr>
        <w:t>i</w:t>
      </w:r>
      <w:r w:rsidR="002E5CC8" w:rsidRPr="00E95BC4">
        <w:rPr>
          <w:rFonts w:eastAsia="Times New Roman"/>
          <w:color w:val="auto"/>
          <w:kern w:val="0"/>
          <w:lang w:val="sr-Cyrl-CS"/>
        </w:rPr>
        <w:t xml:space="preserve"> </w:t>
      </w:r>
      <w:r>
        <w:rPr>
          <w:rFonts w:eastAsia="Times New Roman"/>
          <w:color w:val="auto"/>
          <w:kern w:val="0"/>
          <w:lang w:val="sr-Cyrl-CS"/>
        </w:rPr>
        <w:t>pranje</w:t>
      </w:r>
      <w:r w:rsidR="002E5CC8" w:rsidRPr="00E95BC4">
        <w:rPr>
          <w:rFonts w:eastAsia="Times New Roman"/>
          <w:color w:val="auto"/>
          <w:kern w:val="0"/>
          <w:lang w:val="sr-Cyrl-CS"/>
        </w:rPr>
        <w:t xml:space="preserve"> </w:t>
      </w:r>
      <w:r>
        <w:rPr>
          <w:rFonts w:eastAsia="Times New Roman"/>
          <w:color w:val="auto"/>
          <w:kern w:val="0"/>
          <w:lang w:val="sr-Cyrl-CS"/>
        </w:rPr>
        <w:t>takve</w:t>
      </w:r>
      <w:r w:rsidR="002E5CC8" w:rsidRPr="00E95BC4">
        <w:rPr>
          <w:rFonts w:eastAsia="Times New Roman"/>
          <w:color w:val="auto"/>
          <w:kern w:val="0"/>
          <w:lang w:val="sr-Cyrl-CS"/>
        </w:rPr>
        <w:t xml:space="preserve"> </w:t>
      </w:r>
      <w:r>
        <w:rPr>
          <w:rFonts w:eastAsia="Times New Roman"/>
          <w:color w:val="auto"/>
          <w:kern w:val="0"/>
          <w:lang w:val="sr-Cyrl-CS"/>
        </w:rPr>
        <w:t>imovine</w:t>
      </w:r>
      <w:r w:rsidR="002E5CC8" w:rsidRPr="00E95BC4">
        <w:rPr>
          <w:rFonts w:eastAsia="Times New Roman"/>
          <w:color w:val="auto"/>
          <w:kern w:val="0"/>
          <w:lang w:val="sr-Cyrl-CS"/>
        </w:rPr>
        <w:t xml:space="preserve"> </w:t>
      </w:r>
      <w:r>
        <w:rPr>
          <w:rFonts w:eastAsia="Times New Roman"/>
          <w:color w:val="auto"/>
          <w:kern w:val="0"/>
          <w:lang w:val="sr-Cyrl-CS"/>
        </w:rPr>
        <w:t>može</w:t>
      </w:r>
      <w:r w:rsidR="002E5CC8" w:rsidRPr="00E95BC4">
        <w:rPr>
          <w:rFonts w:eastAsia="Times New Roman"/>
          <w:color w:val="auto"/>
          <w:kern w:val="0"/>
          <w:lang w:val="sr-Cyrl-CS"/>
        </w:rPr>
        <w:t xml:space="preserve"> </w:t>
      </w:r>
      <w:r>
        <w:rPr>
          <w:rFonts w:eastAsia="Times New Roman"/>
          <w:color w:val="auto"/>
          <w:kern w:val="0"/>
          <w:lang w:val="sr-Cyrl-CS"/>
        </w:rPr>
        <w:t>narušiti</w:t>
      </w:r>
      <w:r w:rsidR="002E5CC8" w:rsidRPr="00E95BC4">
        <w:rPr>
          <w:rFonts w:eastAsia="Times New Roman"/>
          <w:color w:val="auto"/>
          <w:kern w:val="0"/>
          <w:lang w:val="sr-Cyrl-CS"/>
        </w:rPr>
        <w:t xml:space="preserve"> </w:t>
      </w:r>
      <w:r>
        <w:rPr>
          <w:rFonts w:eastAsia="Times New Roman"/>
          <w:color w:val="auto"/>
          <w:kern w:val="0"/>
          <w:lang w:val="sr-Cyrl-CS"/>
        </w:rPr>
        <w:t>privredu</w:t>
      </w:r>
      <w:r w:rsidR="002E5CC8" w:rsidRPr="00E95BC4">
        <w:rPr>
          <w:rFonts w:eastAsia="Times New Roman"/>
          <w:color w:val="auto"/>
          <w:kern w:val="0"/>
          <w:lang w:val="sr-Cyrl-CS"/>
        </w:rPr>
        <w:t xml:space="preserve"> </w:t>
      </w:r>
      <w:r>
        <w:rPr>
          <w:rFonts w:eastAsia="Times New Roman"/>
          <w:color w:val="auto"/>
          <w:kern w:val="0"/>
          <w:lang w:val="sr-Cyrl-CS"/>
        </w:rPr>
        <w:t>i</w:t>
      </w:r>
      <w:r w:rsidR="002E5CC8" w:rsidRPr="00E95BC4">
        <w:rPr>
          <w:rFonts w:eastAsia="Times New Roman"/>
          <w:color w:val="auto"/>
          <w:kern w:val="0"/>
          <w:lang w:val="sr-Cyrl-CS"/>
        </w:rPr>
        <w:t xml:space="preserve"> </w:t>
      </w:r>
      <w:r>
        <w:rPr>
          <w:rFonts w:eastAsia="Times New Roman"/>
          <w:color w:val="auto"/>
          <w:kern w:val="0"/>
          <w:lang w:val="sr-Cyrl-CS"/>
        </w:rPr>
        <w:t>ugroziti</w:t>
      </w:r>
      <w:r w:rsidR="002E5CC8" w:rsidRPr="00E95BC4">
        <w:rPr>
          <w:rFonts w:eastAsia="Times New Roman"/>
          <w:color w:val="auto"/>
          <w:kern w:val="0"/>
          <w:lang w:val="sr-Cyrl-CS"/>
        </w:rPr>
        <w:t xml:space="preserve"> </w:t>
      </w:r>
      <w:r>
        <w:rPr>
          <w:rFonts w:eastAsia="Times New Roman"/>
          <w:color w:val="auto"/>
          <w:kern w:val="0"/>
          <w:lang w:val="sr-Cyrl-CS"/>
        </w:rPr>
        <w:t>integritet</w:t>
      </w:r>
      <w:r w:rsidR="002E5CC8" w:rsidRPr="00E95BC4">
        <w:rPr>
          <w:rFonts w:eastAsia="Times New Roman"/>
          <w:color w:val="auto"/>
          <w:kern w:val="0"/>
          <w:lang w:val="sr-Cyrl-CS"/>
        </w:rPr>
        <w:t xml:space="preserve"> </w:t>
      </w:r>
      <w:r>
        <w:rPr>
          <w:rFonts w:eastAsia="Times New Roman"/>
          <w:color w:val="auto"/>
          <w:kern w:val="0"/>
          <w:lang w:val="sr-Cyrl-CS"/>
        </w:rPr>
        <w:t>finansijskog</w:t>
      </w:r>
      <w:r w:rsidR="002E5CC8" w:rsidRPr="00E95BC4">
        <w:rPr>
          <w:rFonts w:eastAsia="Times New Roman"/>
          <w:color w:val="auto"/>
          <w:kern w:val="0"/>
          <w:lang w:val="sr-Cyrl-CS"/>
        </w:rPr>
        <w:t xml:space="preserve"> </w:t>
      </w:r>
      <w:r>
        <w:rPr>
          <w:rFonts w:eastAsia="Times New Roman"/>
          <w:color w:val="auto"/>
          <w:kern w:val="0"/>
          <w:lang w:val="sr-Cyrl-CS"/>
        </w:rPr>
        <w:t>sistema</w:t>
      </w:r>
      <w:r w:rsidR="002E5CC8" w:rsidRPr="00E95BC4">
        <w:rPr>
          <w:rFonts w:eastAsia="Times New Roman"/>
          <w:color w:val="auto"/>
          <w:kern w:val="0"/>
          <w:lang w:val="sr-Cyrl-CS"/>
        </w:rPr>
        <w:t xml:space="preserve">. </w:t>
      </w:r>
      <w:r>
        <w:rPr>
          <w:rFonts w:eastAsia="Times New Roman"/>
          <w:color w:val="auto"/>
          <w:kern w:val="0"/>
          <w:lang w:val="sr-Cyrl-CS"/>
        </w:rPr>
        <w:t>Finansiranje</w:t>
      </w:r>
      <w:r w:rsidR="002E5CC8" w:rsidRPr="00E95BC4">
        <w:rPr>
          <w:rFonts w:eastAsia="Times New Roman"/>
          <w:color w:val="auto"/>
          <w:kern w:val="0"/>
          <w:lang w:val="sr-Cyrl-CS"/>
        </w:rPr>
        <w:t xml:space="preserve"> </w:t>
      </w:r>
      <w:r>
        <w:rPr>
          <w:rFonts w:eastAsia="Times New Roman"/>
          <w:color w:val="auto"/>
          <w:kern w:val="0"/>
          <w:lang w:val="sr-Cyrl-CS"/>
        </w:rPr>
        <w:t>terorizma</w:t>
      </w:r>
      <w:r w:rsidR="002E5CC8" w:rsidRPr="00E95BC4">
        <w:rPr>
          <w:rFonts w:eastAsia="Times New Roman"/>
          <w:color w:val="auto"/>
          <w:kern w:val="0"/>
          <w:lang w:val="sr-Cyrl-CS"/>
        </w:rPr>
        <w:t xml:space="preserve">, </w:t>
      </w:r>
      <w:r>
        <w:rPr>
          <w:rFonts w:eastAsia="Times New Roman"/>
          <w:color w:val="auto"/>
          <w:kern w:val="0"/>
          <w:lang w:val="sr-Cyrl-CS"/>
        </w:rPr>
        <w:t>tj</w:t>
      </w:r>
      <w:r w:rsidR="002E5CC8" w:rsidRPr="00E95BC4">
        <w:rPr>
          <w:rFonts w:eastAsia="Times New Roman"/>
          <w:color w:val="auto"/>
          <w:kern w:val="0"/>
          <w:lang w:val="sr-Cyrl-CS"/>
        </w:rPr>
        <w:t xml:space="preserve">. </w:t>
      </w:r>
      <w:r>
        <w:rPr>
          <w:rFonts w:eastAsia="Times New Roman"/>
          <w:color w:val="auto"/>
          <w:kern w:val="0"/>
          <w:lang w:val="sr-Cyrl-CS"/>
        </w:rPr>
        <w:t>upotreba</w:t>
      </w:r>
      <w:r w:rsidR="002E5CC8" w:rsidRPr="00E95BC4">
        <w:rPr>
          <w:rFonts w:eastAsia="Times New Roman"/>
          <w:color w:val="auto"/>
          <w:kern w:val="0"/>
          <w:lang w:val="sr-Cyrl-CS"/>
        </w:rPr>
        <w:t xml:space="preserve"> </w:t>
      </w:r>
      <w:r>
        <w:rPr>
          <w:rFonts w:eastAsia="Times New Roman"/>
          <w:color w:val="auto"/>
          <w:kern w:val="0"/>
          <w:lang w:val="sr-Cyrl-CS"/>
        </w:rPr>
        <w:t>sredstava</w:t>
      </w:r>
      <w:r w:rsidR="002E5CC8" w:rsidRPr="00E95BC4">
        <w:rPr>
          <w:rFonts w:eastAsia="Times New Roman"/>
          <w:color w:val="auto"/>
          <w:kern w:val="0"/>
          <w:lang w:val="sr-Cyrl-CS"/>
        </w:rPr>
        <w:t xml:space="preserve"> </w:t>
      </w:r>
      <w:r>
        <w:rPr>
          <w:rFonts w:eastAsia="Times New Roman"/>
          <w:color w:val="auto"/>
          <w:kern w:val="0"/>
          <w:lang w:val="sr-Cyrl-CS"/>
        </w:rPr>
        <w:t>radi</w:t>
      </w:r>
      <w:r w:rsidR="002E5CC8" w:rsidRPr="00E95BC4">
        <w:rPr>
          <w:rFonts w:eastAsia="Times New Roman"/>
          <w:color w:val="auto"/>
          <w:kern w:val="0"/>
          <w:lang w:val="sr-Cyrl-CS"/>
        </w:rPr>
        <w:t xml:space="preserve"> </w:t>
      </w:r>
      <w:r>
        <w:rPr>
          <w:rFonts w:eastAsia="Times New Roman"/>
          <w:color w:val="auto"/>
          <w:kern w:val="0"/>
          <w:lang w:val="sr-Cyrl-CS"/>
        </w:rPr>
        <w:t>pružanja</w:t>
      </w:r>
      <w:r w:rsidR="002E5CC8" w:rsidRPr="00E95BC4">
        <w:rPr>
          <w:rFonts w:eastAsia="Times New Roman"/>
          <w:color w:val="auto"/>
          <w:kern w:val="0"/>
          <w:lang w:val="sr-Cyrl-CS"/>
        </w:rPr>
        <w:t xml:space="preserve"> </w:t>
      </w:r>
      <w:r>
        <w:rPr>
          <w:rFonts w:eastAsia="Times New Roman"/>
          <w:color w:val="auto"/>
          <w:kern w:val="0"/>
          <w:lang w:val="sr-Cyrl-CS"/>
        </w:rPr>
        <w:t>podrške</w:t>
      </w:r>
      <w:r w:rsidR="002E5CC8" w:rsidRPr="00E95BC4">
        <w:rPr>
          <w:rFonts w:eastAsia="Times New Roman"/>
          <w:color w:val="auto"/>
          <w:kern w:val="0"/>
          <w:lang w:val="sr-Cyrl-CS"/>
        </w:rPr>
        <w:t xml:space="preserve"> </w:t>
      </w:r>
      <w:r>
        <w:rPr>
          <w:rFonts w:eastAsia="Times New Roman"/>
          <w:color w:val="auto"/>
          <w:kern w:val="0"/>
          <w:lang w:val="sr-Cyrl-CS"/>
        </w:rPr>
        <w:t>izvršenju</w:t>
      </w:r>
      <w:r w:rsidR="002E5CC8" w:rsidRPr="00E95BC4">
        <w:rPr>
          <w:rFonts w:eastAsia="Times New Roman"/>
          <w:color w:val="auto"/>
          <w:kern w:val="0"/>
          <w:lang w:val="sr-Cyrl-CS"/>
        </w:rPr>
        <w:t xml:space="preserve"> </w:t>
      </w:r>
      <w:r>
        <w:rPr>
          <w:rFonts w:eastAsia="Times New Roman"/>
          <w:color w:val="auto"/>
          <w:kern w:val="0"/>
          <w:lang w:val="sr-Cyrl-CS"/>
        </w:rPr>
        <w:t>akata</w:t>
      </w:r>
      <w:r w:rsidR="002E5CC8" w:rsidRPr="00E95BC4">
        <w:rPr>
          <w:rFonts w:eastAsia="Times New Roman"/>
          <w:color w:val="auto"/>
          <w:kern w:val="0"/>
          <w:lang w:val="sr-Cyrl-CS"/>
        </w:rPr>
        <w:t xml:space="preserve"> </w:t>
      </w:r>
      <w:r>
        <w:rPr>
          <w:rFonts w:eastAsia="Times New Roman"/>
          <w:color w:val="auto"/>
          <w:kern w:val="0"/>
          <w:lang w:val="sr-Cyrl-CS"/>
        </w:rPr>
        <w:t>terorizma</w:t>
      </w:r>
      <w:r w:rsidR="002E5CC8" w:rsidRPr="00E95BC4">
        <w:rPr>
          <w:rFonts w:eastAsia="Times New Roman"/>
          <w:color w:val="auto"/>
          <w:kern w:val="0"/>
          <w:lang w:val="sr-Cyrl-CS"/>
        </w:rPr>
        <w:t xml:space="preserve"> </w:t>
      </w:r>
      <w:r>
        <w:rPr>
          <w:rFonts w:eastAsia="Times New Roman"/>
          <w:color w:val="auto"/>
          <w:kern w:val="0"/>
          <w:lang w:val="sr-Cyrl-CS"/>
        </w:rPr>
        <w:t>i</w:t>
      </w:r>
      <w:r w:rsidR="002E5CC8" w:rsidRPr="00E95BC4">
        <w:rPr>
          <w:rFonts w:eastAsia="Times New Roman"/>
          <w:color w:val="auto"/>
          <w:kern w:val="0"/>
          <w:lang w:val="sr-Cyrl-CS"/>
        </w:rPr>
        <w:t xml:space="preserve"> </w:t>
      </w:r>
      <w:r>
        <w:rPr>
          <w:rFonts w:eastAsia="Times New Roman"/>
          <w:color w:val="auto"/>
          <w:kern w:val="0"/>
          <w:lang w:val="sr-Cyrl-CS"/>
        </w:rPr>
        <w:t>terorističkim</w:t>
      </w:r>
      <w:r w:rsidR="002E5CC8" w:rsidRPr="00E95BC4">
        <w:rPr>
          <w:rFonts w:eastAsia="Times New Roman"/>
          <w:color w:val="auto"/>
          <w:kern w:val="0"/>
          <w:lang w:val="sr-Cyrl-CS"/>
        </w:rPr>
        <w:t xml:space="preserve"> </w:t>
      </w:r>
      <w:r>
        <w:rPr>
          <w:rFonts w:eastAsia="Times New Roman"/>
          <w:color w:val="auto"/>
          <w:kern w:val="0"/>
          <w:lang w:val="sr-Cyrl-CS"/>
        </w:rPr>
        <w:t>grupama</w:t>
      </w:r>
      <w:r w:rsidR="002E5CC8" w:rsidRPr="00E95BC4">
        <w:rPr>
          <w:rFonts w:eastAsia="Times New Roman"/>
          <w:color w:val="auto"/>
          <w:kern w:val="0"/>
          <w:lang w:val="sr-Cyrl-CS"/>
        </w:rPr>
        <w:t>,</w:t>
      </w:r>
      <w:r w:rsidR="00D96082" w:rsidRPr="00E95BC4">
        <w:rPr>
          <w:rFonts w:eastAsia="Times New Roman"/>
          <w:color w:val="auto"/>
          <w:kern w:val="0"/>
          <w:lang w:val="sr-Cyrl-CS"/>
        </w:rPr>
        <w:t xml:space="preserve"> </w:t>
      </w:r>
      <w:r>
        <w:rPr>
          <w:rFonts w:eastAsia="Times New Roman"/>
          <w:color w:val="auto"/>
          <w:kern w:val="0"/>
          <w:lang w:val="sr-Cyrl-CS"/>
        </w:rPr>
        <w:t>neizostavan</w:t>
      </w:r>
      <w:r w:rsidR="00D96082" w:rsidRPr="00E95BC4">
        <w:rPr>
          <w:rFonts w:eastAsia="Times New Roman"/>
          <w:color w:val="auto"/>
          <w:kern w:val="0"/>
          <w:lang w:val="sr-Cyrl-CS"/>
        </w:rPr>
        <w:t xml:space="preserve"> </w:t>
      </w:r>
      <w:r>
        <w:rPr>
          <w:rFonts w:eastAsia="Times New Roman"/>
          <w:color w:val="auto"/>
          <w:kern w:val="0"/>
          <w:lang w:val="sr-Cyrl-CS"/>
        </w:rPr>
        <w:t>je</w:t>
      </w:r>
      <w:r w:rsidR="00D96082" w:rsidRPr="00E95BC4">
        <w:rPr>
          <w:rFonts w:eastAsia="Times New Roman"/>
          <w:color w:val="auto"/>
          <w:kern w:val="0"/>
          <w:lang w:val="sr-Cyrl-CS"/>
        </w:rPr>
        <w:t xml:space="preserve"> </w:t>
      </w:r>
      <w:r>
        <w:rPr>
          <w:rFonts w:eastAsia="Times New Roman"/>
          <w:color w:val="auto"/>
          <w:kern w:val="0"/>
          <w:lang w:val="sr-Cyrl-CS"/>
        </w:rPr>
        <w:t>deo</w:t>
      </w:r>
      <w:r w:rsidR="00D96082" w:rsidRPr="00E95BC4">
        <w:rPr>
          <w:rFonts w:eastAsia="Times New Roman"/>
          <w:color w:val="auto"/>
          <w:kern w:val="0"/>
          <w:lang w:val="sr-Cyrl-CS"/>
        </w:rPr>
        <w:t xml:space="preserve"> </w:t>
      </w:r>
      <w:r>
        <w:rPr>
          <w:rFonts w:eastAsia="Times New Roman"/>
          <w:color w:val="auto"/>
          <w:kern w:val="0"/>
          <w:lang w:val="sr-Cyrl-CS"/>
        </w:rPr>
        <w:t>terorističke</w:t>
      </w:r>
      <w:r w:rsidR="00D96082" w:rsidRPr="00E95BC4">
        <w:rPr>
          <w:rFonts w:eastAsia="Times New Roman"/>
          <w:color w:val="auto"/>
          <w:kern w:val="0"/>
          <w:lang w:val="sr-Cyrl-CS"/>
        </w:rPr>
        <w:t xml:space="preserve"> </w:t>
      </w:r>
      <w:r>
        <w:rPr>
          <w:rFonts w:eastAsia="Times New Roman"/>
          <w:color w:val="auto"/>
          <w:kern w:val="0"/>
          <w:lang w:val="sr-Cyrl-CS"/>
        </w:rPr>
        <w:t>aktivnosti</w:t>
      </w:r>
      <w:r w:rsidR="00D96082" w:rsidRPr="00E95BC4">
        <w:rPr>
          <w:rFonts w:eastAsia="Times New Roman"/>
          <w:color w:val="auto"/>
          <w:kern w:val="0"/>
          <w:lang w:val="sr-Cyrl-CS"/>
        </w:rPr>
        <w:t xml:space="preserve"> </w:t>
      </w:r>
      <w:r>
        <w:rPr>
          <w:rFonts w:eastAsia="Times New Roman"/>
          <w:color w:val="auto"/>
          <w:kern w:val="0"/>
          <w:lang w:val="sr-Cyrl-CS"/>
        </w:rPr>
        <w:t>na</w:t>
      </w:r>
      <w:r w:rsidR="00D96082" w:rsidRPr="00E95BC4">
        <w:rPr>
          <w:rFonts w:eastAsia="Times New Roman"/>
          <w:color w:val="auto"/>
          <w:kern w:val="0"/>
          <w:lang w:val="sr-Cyrl-CS"/>
        </w:rPr>
        <w:t xml:space="preserve"> </w:t>
      </w:r>
      <w:r>
        <w:rPr>
          <w:rFonts w:eastAsia="Times New Roman"/>
          <w:color w:val="auto"/>
          <w:kern w:val="0"/>
          <w:lang w:val="sr-Cyrl-CS"/>
        </w:rPr>
        <w:t>globalnom</w:t>
      </w:r>
      <w:r w:rsidR="00D96082" w:rsidRPr="00E95BC4">
        <w:rPr>
          <w:rFonts w:eastAsia="Times New Roman"/>
          <w:color w:val="auto"/>
          <w:kern w:val="0"/>
          <w:lang w:val="sr-Cyrl-CS"/>
        </w:rPr>
        <w:t xml:space="preserve"> </w:t>
      </w:r>
      <w:r>
        <w:rPr>
          <w:rFonts w:eastAsia="Times New Roman"/>
          <w:color w:val="auto"/>
          <w:kern w:val="0"/>
          <w:lang w:val="sr-Cyrl-CS"/>
        </w:rPr>
        <w:t>nivou</w:t>
      </w:r>
      <w:r w:rsidR="00D96082" w:rsidRPr="00E95BC4">
        <w:rPr>
          <w:rFonts w:eastAsia="Times New Roman"/>
          <w:color w:val="auto"/>
          <w:kern w:val="0"/>
          <w:lang w:val="sr-Cyrl-CS"/>
        </w:rPr>
        <w:t xml:space="preserve">, </w:t>
      </w:r>
      <w:r>
        <w:rPr>
          <w:rFonts w:eastAsia="Times New Roman"/>
          <w:color w:val="auto"/>
          <w:kern w:val="0"/>
          <w:lang w:val="sr-Cyrl-CS"/>
        </w:rPr>
        <w:t>čime</w:t>
      </w:r>
      <w:r w:rsidR="00D96082" w:rsidRPr="00E95BC4">
        <w:rPr>
          <w:rFonts w:eastAsia="Times New Roman"/>
          <w:color w:val="auto"/>
          <w:kern w:val="0"/>
          <w:lang w:val="sr-Cyrl-CS"/>
        </w:rPr>
        <w:t xml:space="preserve"> </w:t>
      </w:r>
      <w:r>
        <w:rPr>
          <w:rFonts w:eastAsia="Times New Roman"/>
          <w:color w:val="auto"/>
          <w:kern w:val="0"/>
          <w:lang w:val="sr-Cyrl-CS"/>
        </w:rPr>
        <w:t>se</w:t>
      </w:r>
      <w:r w:rsidR="00D96082" w:rsidRPr="00E95BC4">
        <w:rPr>
          <w:rFonts w:eastAsia="Times New Roman"/>
          <w:color w:val="auto"/>
          <w:kern w:val="0"/>
          <w:lang w:val="sr-Cyrl-CS"/>
        </w:rPr>
        <w:t xml:space="preserve"> </w:t>
      </w:r>
      <w:r>
        <w:rPr>
          <w:rFonts w:eastAsia="Times New Roman"/>
          <w:color w:val="auto"/>
          <w:kern w:val="0"/>
          <w:lang w:val="sr-Cyrl-CS"/>
        </w:rPr>
        <w:t>ugrožava</w:t>
      </w:r>
      <w:r w:rsidR="00D96082" w:rsidRPr="00E95BC4">
        <w:rPr>
          <w:rFonts w:eastAsia="Times New Roman"/>
          <w:color w:val="auto"/>
          <w:kern w:val="0"/>
          <w:lang w:val="sr-Cyrl-CS"/>
        </w:rPr>
        <w:t xml:space="preserve"> </w:t>
      </w:r>
      <w:r>
        <w:rPr>
          <w:rFonts w:eastAsia="Times New Roman"/>
          <w:color w:val="auto"/>
          <w:kern w:val="0"/>
          <w:lang w:val="sr-Cyrl-CS"/>
        </w:rPr>
        <w:t>mir</w:t>
      </w:r>
      <w:r w:rsidR="00D96082" w:rsidRPr="00E95BC4">
        <w:rPr>
          <w:rFonts w:eastAsia="Times New Roman"/>
          <w:color w:val="auto"/>
          <w:kern w:val="0"/>
          <w:lang w:val="sr-Cyrl-CS"/>
        </w:rPr>
        <w:t xml:space="preserve"> </w:t>
      </w:r>
      <w:r>
        <w:rPr>
          <w:rFonts w:eastAsia="Times New Roman"/>
          <w:color w:val="auto"/>
          <w:kern w:val="0"/>
          <w:lang w:val="sr-Cyrl-CS"/>
        </w:rPr>
        <w:t>i</w:t>
      </w:r>
      <w:r w:rsidR="00D96082" w:rsidRPr="00E95BC4">
        <w:rPr>
          <w:rFonts w:eastAsia="Times New Roman"/>
          <w:color w:val="auto"/>
          <w:kern w:val="0"/>
          <w:lang w:val="sr-Cyrl-CS"/>
        </w:rPr>
        <w:t xml:space="preserve"> </w:t>
      </w:r>
      <w:r>
        <w:rPr>
          <w:rFonts w:eastAsia="Times New Roman"/>
          <w:color w:val="auto"/>
          <w:kern w:val="0"/>
          <w:lang w:val="sr-Cyrl-CS"/>
        </w:rPr>
        <w:t>napredak</w:t>
      </w:r>
      <w:r w:rsidR="00D96082" w:rsidRPr="00E95BC4">
        <w:rPr>
          <w:rFonts w:eastAsia="Times New Roman"/>
          <w:color w:val="auto"/>
          <w:kern w:val="0"/>
          <w:lang w:val="sr-Cyrl-CS"/>
        </w:rPr>
        <w:t xml:space="preserve">. </w:t>
      </w:r>
      <w:r>
        <w:rPr>
          <w:rFonts w:eastAsia="Times New Roman"/>
          <w:color w:val="auto"/>
          <w:kern w:val="0"/>
          <w:lang w:val="sr-Cyrl-CS"/>
        </w:rPr>
        <w:t>Otuda</w:t>
      </w:r>
      <w:r w:rsidR="00D96082" w:rsidRPr="00E95BC4">
        <w:rPr>
          <w:rFonts w:eastAsia="Times New Roman"/>
          <w:color w:val="auto"/>
          <w:kern w:val="0"/>
          <w:lang w:val="sr-Cyrl-CS"/>
        </w:rPr>
        <w:t xml:space="preserve"> </w:t>
      </w:r>
      <w:r>
        <w:rPr>
          <w:rFonts w:eastAsia="Times New Roman"/>
          <w:color w:val="auto"/>
          <w:kern w:val="0"/>
          <w:lang w:val="sr-Cyrl-CS"/>
        </w:rPr>
        <w:t>je</w:t>
      </w:r>
      <w:r w:rsidR="00D96082" w:rsidRPr="00E95BC4">
        <w:rPr>
          <w:rFonts w:eastAsia="Times New Roman"/>
          <w:color w:val="auto"/>
          <w:kern w:val="0"/>
          <w:lang w:val="sr-Cyrl-CS"/>
        </w:rPr>
        <w:t xml:space="preserve"> </w:t>
      </w:r>
      <w:r>
        <w:rPr>
          <w:rFonts w:eastAsia="Times New Roman"/>
          <w:color w:val="auto"/>
          <w:kern w:val="0"/>
          <w:lang w:val="sr-Cyrl-CS"/>
        </w:rPr>
        <w:t>Republika</w:t>
      </w:r>
      <w:r w:rsidR="00D96082" w:rsidRPr="00E95BC4">
        <w:rPr>
          <w:rFonts w:eastAsia="Times New Roman"/>
          <w:color w:val="auto"/>
          <w:kern w:val="0"/>
          <w:lang w:val="sr-Cyrl-CS"/>
        </w:rPr>
        <w:t xml:space="preserve"> </w:t>
      </w:r>
      <w:r>
        <w:rPr>
          <w:rFonts w:eastAsia="Times New Roman"/>
          <w:color w:val="auto"/>
          <w:kern w:val="0"/>
          <w:lang w:val="sr-Cyrl-CS"/>
        </w:rPr>
        <w:t>Srbija</w:t>
      </w:r>
      <w:r w:rsidR="00D96082" w:rsidRPr="00E95BC4">
        <w:rPr>
          <w:rFonts w:eastAsia="Times New Roman"/>
          <w:color w:val="auto"/>
          <w:kern w:val="0"/>
          <w:lang w:val="sr-Cyrl-CS"/>
        </w:rPr>
        <w:t xml:space="preserve"> </w:t>
      </w:r>
      <w:r>
        <w:rPr>
          <w:rFonts w:eastAsia="Times New Roman"/>
          <w:color w:val="auto"/>
          <w:kern w:val="0"/>
          <w:lang w:val="sr-Cyrl-CS"/>
        </w:rPr>
        <w:t>posvećena</w:t>
      </w:r>
      <w:r w:rsidR="00D96082" w:rsidRPr="00E95BC4">
        <w:rPr>
          <w:rFonts w:eastAsia="Times New Roman"/>
          <w:color w:val="auto"/>
          <w:kern w:val="0"/>
          <w:lang w:val="sr-Cyrl-CS"/>
        </w:rPr>
        <w:t xml:space="preserve"> </w:t>
      </w:r>
      <w:r>
        <w:rPr>
          <w:rFonts w:eastAsia="Times New Roman"/>
          <w:color w:val="auto"/>
          <w:kern w:val="0"/>
          <w:lang w:val="sr-Cyrl-CS"/>
        </w:rPr>
        <w:t>izgradnji</w:t>
      </w:r>
      <w:r w:rsidR="00D96082" w:rsidRPr="00E95BC4">
        <w:rPr>
          <w:rFonts w:eastAsia="Times New Roman"/>
          <w:color w:val="auto"/>
          <w:kern w:val="0"/>
          <w:lang w:val="sr-Cyrl-CS"/>
        </w:rPr>
        <w:t xml:space="preserve"> </w:t>
      </w:r>
      <w:r>
        <w:rPr>
          <w:rFonts w:eastAsia="Times New Roman"/>
          <w:color w:val="auto"/>
          <w:kern w:val="0"/>
          <w:lang w:val="sr-Cyrl-CS"/>
        </w:rPr>
        <w:t>delotvornog</w:t>
      </w:r>
      <w:r w:rsidR="00D96082" w:rsidRPr="00E95BC4">
        <w:rPr>
          <w:rFonts w:eastAsia="Times New Roman"/>
          <w:color w:val="auto"/>
          <w:kern w:val="0"/>
          <w:lang w:val="sr-Cyrl-CS"/>
        </w:rPr>
        <w:t xml:space="preserve"> </w:t>
      </w:r>
      <w:r>
        <w:rPr>
          <w:rFonts w:eastAsia="Times New Roman"/>
          <w:color w:val="auto"/>
          <w:kern w:val="0"/>
          <w:lang w:val="sr-Cyrl-CS"/>
        </w:rPr>
        <w:t>sistema</w:t>
      </w:r>
      <w:r w:rsidR="00D96082" w:rsidRPr="00E95BC4">
        <w:rPr>
          <w:rFonts w:eastAsia="Times New Roman"/>
          <w:color w:val="auto"/>
          <w:kern w:val="0"/>
          <w:lang w:val="sr-Cyrl-CS"/>
        </w:rPr>
        <w:t xml:space="preserve"> </w:t>
      </w:r>
      <w:r>
        <w:rPr>
          <w:rFonts w:eastAsia="Times New Roman"/>
          <w:color w:val="auto"/>
          <w:kern w:val="0"/>
          <w:lang w:val="sr-Cyrl-CS"/>
        </w:rPr>
        <w:t>borbe</w:t>
      </w:r>
      <w:r w:rsidR="00D96082" w:rsidRPr="00E95BC4">
        <w:rPr>
          <w:rFonts w:eastAsia="Times New Roman"/>
          <w:color w:val="auto"/>
          <w:kern w:val="0"/>
          <w:lang w:val="sr-Cyrl-CS"/>
        </w:rPr>
        <w:t xml:space="preserve"> </w:t>
      </w:r>
      <w:r>
        <w:rPr>
          <w:rFonts w:eastAsia="Times New Roman"/>
          <w:color w:val="auto"/>
          <w:kern w:val="0"/>
          <w:lang w:val="sr-Cyrl-CS"/>
        </w:rPr>
        <w:t>protiv</w:t>
      </w:r>
      <w:r w:rsidR="00D96082" w:rsidRPr="00E95BC4">
        <w:rPr>
          <w:rFonts w:eastAsia="Times New Roman"/>
          <w:color w:val="auto"/>
          <w:kern w:val="0"/>
          <w:lang w:val="sr-Cyrl-CS"/>
        </w:rPr>
        <w:t xml:space="preserve"> </w:t>
      </w:r>
      <w:r>
        <w:rPr>
          <w:rFonts w:eastAsia="Times New Roman"/>
          <w:color w:val="auto"/>
          <w:kern w:val="0"/>
          <w:lang w:val="sr-Cyrl-CS"/>
        </w:rPr>
        <w:t>prnja</w:t>
      </w:r>
      <w:r w:rsidR="00D96082" w:rsidRPr="00E95BC4">
        <w:rPr>
          <w:rFonts w:eastAsia="Times New Roman"/>
          <w:color w:val="auto"/>
          <w:kern w:val="0"/>
          <w:lang w:val="sr-Cyrl-CS"/>
        </w:rPr>
        <w:t xml:space="preserve"> </w:t>
      </w:r>
      <w:r>
        <w:rPr>
          <w:rFonts w:eastAsia="Times New Roman"/>
          <w:color w:val="auto"/>
          <w:kern w:val="0"/>
          <w:lang w:val="sr-Cyrl-CS"/>
        </w:rPr>
        <w:t>novac</w:t>
      </w:r>
      <w:r w:rsidR="00D96082" w:rsidRPr="00E95BC4">
        <w:rPr>
          <w:rFonts w:eastAsia="Times New Roman"/>
          <w:color w:val="auto"/>
          <w:kern w:val="0"/>
          <w:lang w:val="sr-Cyrl-CS"/>
        </w:rPr>
        <w:t xml:space="preserve"> </w:t>
      </w:r>
      <w:r>
        <w:rPr>
          <w:rFonts w:eastAsia="Times New Roman"/>
          <w:color w:val="auto"/>
          <w:kern w:val="0"/>
          <w:lang w:val="sr-Cyrl-CS"/>
        </w:rPr>
        <w:t>i</w:t>
      </w:r>
      <w:r w:rsidR="00D96082" w:rsidRPr="00E95BC4">
        <w:rPr>
          <w:rFonts w:eastAsia="Times New Roman"/>
          <w:color w:val="auto"/>
          <w:kern w:val="0"/>
          <w:lang w:val="sr-Cyrl-CS"/>
        </w:rPr>
        <w:t xml:space="preserve"> </w:t>
      </w:r>
      <w:r>
        <w:rPr>
          <w:rFonts w:eastAsia="Times New Roman"/>
          <w:color w:val="auto"/>
          <w:kern w:val="0"/>
          <w:lang w:val="sr-Cyrl-CS"/>
        </w:rPr>
        <w:t>finansiranja</w:t>
      </w:r>
      <w:r w:rsidR="00D96082" w:rsidRPr="00E95BC4">
        <w:rPr>
          <w:rFonts w:eastAsia="Times New Roman"/>
          <w:color w:val="auto"/>
          <w:kern w:val="0"/>
          <w:lang w:val="sr-Cyrl-CS"/>
        </w:rPr>
        <w:t xml:space="preserve"> </w:t>
      </w:r>
      <w:r>
        <w:rPr>
          <w:rFonts w:eastAsia="Times New Roman"/>
          <w:color w:val="auto"/>
          <w:kern w:val="0"/>
          <w:lang w:val="sr-Cyrl-CS"/>
        </w:rPr>
        <w:t>terorizma</w:t>
      </w:r>
      <w:r w:rsidR="00D96082" w:rsidRPr="00E95BC4">
        <w:rPr>
          <w:rFonts w:eastAsia="Times New Roman"/>
          <w:color w:val="auto"/>
          <w:kern w:val="0"/>
          <w:lang w:val="sr-Cyrl-CS"/>
        </w:rPr>
        <w:t xml:space="preserve"> </w:t>
      </w:r>
      <w:r>
        <w:rPr>
          <w:rFonts w:eastAsia="Times New Roman"/>
          <w:color w:val="auto"/>
          <w:kern w:val="0"/>
          <w:lang w:val="sr-Cyrl-CS"/>
        </w:rPr>
        <w:t>kroz</w:t>
      </w:r>
      <w:r w:rsidR="00D96082" w:rsidRPr="00E95BC4">
        <w:rPr>
          <w:rFonts w:eastAsia="Times New Roman"/>
          <w:color w:val="auto"/>
          <w:kern w:val="0"/>
          <w:lang w:val="sr-Cyrl-CS"/>
        </w:rPr>
        <w:t xml:space="preserve"> </w:t>
      </w:r>
      <w:r>
        <w:rPr>
          <w:rFonts w:eastAsia="Times New Roman"/>
          <w:color w:val="auto"/>
          <w:kern w:val="0"/>
          <w:lang w:val="sr-Cyrl-CS"/>
        </w:rPr>
        <w:t>primenu</w:t>
      </w:r>
      <w:r w:rsidR="00D96082" w:rsidRPr="00E95BC4">
        <w:rPr>
          <w:rFonts w:eastAsia="Times New Roman"/>
          <w:color w:val="auto"/>
          <w:kern w:val="0"/>
          <w:lang w:val="sr-Cyrl-CS"/>
        </w:rPr>
        <w:t xml:space="preserve"> </w:t>
      </w:r>
      <w:r>
        <w:rPr>
          <w:rFonts w:eastAsia="Times New Roman"/>
          <w:color w:val="auto"/>
          <w:kern w:val="0"/>
          <w:lang w:val="sr-Cyrl-CS"/>
        </w:rPr>
        <w:t>mera</w:t>
      </w:r>
      <w:r w:rsidR="00D96082" w:rsidRPr="00E95BC4">
        <w:rPr>
          <w:rFonts w:eastAsia="Times New Roman"/>
          <w:color w:val="auto"/>
          <w:kern w:val="0"/>
          <w:lang w:val="sr-Cyrl-CS"/>
        </w:rPr>
        <w:t xml:space="preserve"> </w:t>
      </w:r>
      <w:r>
        <w:rPr>
          <w:rFonts w:eastAsia="Times New Roman"/>
          <w:color w:val="auto"/>
          <w:kern w:val="0"/>
          <w:lang w:val="sr-Cyrl-CS"/>
        </w:rPr>
        <w:t>koje</w:t>
      </w:r>
      <w:r w:rsidR="00D96082" w:rsidRPr="00E95BC4">
        <w:rPr>
          <w:rFonts w:eastAsia="Times New Roman"/>
          <w:color w:val="auto"/>
          <w:kern w:val="0"/>
          <w:lang w:val="sr-Cyrl-CS"/>
        </w:rPr>
        <w:t xml:space="preserve"> </w:t>
      </w:r>
      <w:r>
        <w:rPr>
          <w:rFonts w:eastAsia="Times New Roman"/>
          <w:color w:val="auto"/>
          <w:kern w:val="0"/>
          <w:lang w:val="sr-Cyrl-CS"/>
        </w:rPr>
        <w:t>predviđa</w:t>
      </w:r>
      <w:r w:rsidR="00D96082" w:rsidRPr="00E95BC4">
        <w:rPr>
          <w:rFonts w:eastAsia="Times New Roman"/>
          <w:color w:val="auto"/>
          <w:kern w:val="0"/>
          <w:lang w:val="sr-Cyrl-CS"/>
        </w:rPr>
        <w:t xml:space="preserve"> </w:t>
      </w:r>
      <w:r>
        <w:rPr>
          <w:rFonts w:eastAsia="Times New Roman"/>
          <w:color w:val="auto"/>
          <w:kern w:val="0"/>
          <w:lang w:val="sr-Cyrl-CS"/>
        </w:rPr>
        <w:t>Radna</w:t>
      </w:r>
      <w:r w:rsidR="00D96082" w:rsidRPr="00E95BC4">
        <w:rPr>
          <w:rFonts w:eastAsia="Times New Roman"/>
          <w:color w:val="auto"/>
          <w:kern w:val="0"/>
          <w:lang w:val="sr-Cyrl-CS"/>
        </w:rPr>
        <w:t xml:space="preserve"> </w:t>
      </w:r>
      <w:r>
        <w:rPr>
          <w:rFonts w:eastAsia="Times New Roman"/>
          <w:color w:val="auto"/>
          <w:kern w:val="0"/>
          <w:lang w:val="sr-Cyrl-CS"/>
        </w:rPr>
        <w:t>grupa</w:t>
      </w:r>
      <w:r w:rsidR="00D96082" w:rsidRPr="00E95BC4">
        <w:rPr>
          <w:rFonts w:eastAsia="Times New Roman"/>
          <w:color w:val="auto"/>
          <w:kern w:val="0"/>
          <w:lang w:val="sr-Cyrl-CS"/>
        </w:rPr>
        <w:t xml:space="preserve"> </w:t>
      </w:r>
      <w:r>
        <w:rPr>
          <w:rFonts w:eastAsia="Times New Roman"/>
          <w:color w:val="auto"/>
          <w:kern w:val="0"/>
          <w:lang w:val="sr-Cyrl-CS"/>
        </w:rPr>
        <w:t>za</w:t>
      </w:r>
      <w:r w:rsidR="00D96082" w:rsidRPr="00E95BC4">
        <w:rPr>
          <w:rFonts w:eastAsia="Times New Roman"/>
          <w:color w:val="auto"/>
          <w:kern w:val="0"/>
          <w:lang w:val="sr-Cyrl-CS"/>
        </w:rPr>
        <w:t xml:space="preserve"> </w:t>
      </w:r>
      <w:r>
        <w:rPr>
          <w:rFonts w:eastAsia="Times New Roman"/>
          <w:color w:val="auto"/>
          <w:kern w:val="0"/>
          <w:lang w:val="sr-Cyrl-CS"/>
        </w:rPr>
        <w:t>finansijsku</w:t>
      </w:r>
      <w:r w:rsidR="00D96082" w:rsidRPr="00E95BC4">
        <w:rPr>
          <w:rFonts w:eastAsia="Times New Roman"/>
          <w:color w:val="auto"/>
          <w:kern w:val="0"/>
          <w:lang w:val="sr-Cyrl-CS"/>
        </w:rPr>
        <w:t xml:space="preserve"> </w:t>
      </w:r>
      <w:r>
        <w:rPr>
          <w:rFonts w:eastAsia="Times New Roman"/>
          <w:color w:val="auto"/>
          <w:kern w:val="0"/>
          <w:lang w:val="sr-Cyrl-CS"/>
        </w:rPr>
        <w:t>akciju</w:t>
      </w:r>
      <w:r w:rsidR="00D96082" w:rsidRPr="00E95BC4">
        <w:rPr>
          <w:rFonts w:eastAsia="Times New Roman"/>
          <w:color w:val="auto"/>
          <w:kern w:val="0"/>
          <w:lang w:val="sr-Cyrl-CS"/>
        </w:rPr>
        <w:t xml:space="preserve"> (</w:t>
      </w:r>
      <w:r>
        <w:rPr>
          <w:rFonts w:eastAsia="Times New Roman"/>
          <w:color w:val="auto"/>
          <w:kern w:val="0"/>
          <w:lang w:val="sr-Cyrl-CS"/>
        </w:rPr>
        <w:t>u</w:t>
      </w:r>
      <w:r w:rsidR="00D96082" w:rsidRPr="00E95BC4">
        <w:rPr>
          <w:rFonts w:eastAsia="Times New Roman"/>
          <w:color w:val="auto"/>
          <w:kern w:val="0"/>
          <w:lang w:val="sr-Cyrl-CS"/>
        </w:rPr>
        <w:t xml:space="preserve"> </w:t>
      </w:r>
      <w:r>
        <w:rPr>
          <w:rFonts w:eastAsia="Times New Roman"/>
          <w:color w:val="auto"/>
          <w:kern w:val="0"/>
          <w:lang w:val="sr-Cyrl-CS"/>
        </w:rPr>
        <w:t>daljem</w:t>
      </w:r>
      <w:r w:rsidR="00D96082" w:rsidRPr="00E95BC4">
        <w:rPr>
          <w:rFonts w:eastAsia="Times New Roman"/>
          <w:color w:val="auto"/>
          <w:kern w:val="0"/>
          <w:lang w:val="sr-Cyrl-CS"/>
        </w:rPr>
        <w:t xml:space="preserve"> </w:t>
      </w:r>
      <w:r>
        <w:rPr>
          <w:rFonts w:eastAsia="Times New Roman"/>
          <w:color w:val="auto"/>
          <w:kern w:val="0"/>
          <w:lang w:val="sr-Cyrl-CS"/>
        </w:rPr>
        <w:t>tekstu</w:t>
      </w:r>
      <w:r w:rsidR="00D96082" w:rsidRPr="00E95BC4">
        <w:rPr>
          <w:rFonts w:eastAsia="Times New Roman"/>
          <w:color w:val="auto"/>
          <w:kern w:val="0"/>
          <w:lang w:val="sr-Cyrl-CS"/>
        </w:rPr>
        <w:t xml:space="preserve">: </w:t>
      </w:r>
      <w:r>
        <w:rPr>
          <w:rFonts w:eastAsia="Times New Roman"/>
          <w:color w:val="auto"/>
          <w:kern w:val="0"/>
          <w:lang w:val="sr-Cyrl-CS"/>
        </w:rPr>
        <w:t>FATF</w:t>
      </w:r>
      <w:r w:rsidR="00D96082" w:rsidRPr="00E95BC4">
        <w:rPr>
          <w:rFonts w:eastAsia="Times New Roman"/>
          <w:color w:val="auto"/>
          <w:kern w:val="0"/>
          <w:lang w:val="sr-Cyrl-CS"/>
        </w:rPr>
        <w:t>)</w:t>
      </w:r>
      <w:r w:rsidR="00D96082" w:rsidRPr="00E95BC4">
        <w:rPr>
          <w:rStyle w:val="FootnoteReference"/>
          <w:rFonts w:eastAsia="Times New Roman"/>
          <w:color w:val="auto"/>
          <w:kern w:val="0"/>
          <w:lang w:val="sr-Cyrl-CS"/>
        </w:rPr>
        <w:footnoteReference w:id="1"/>
      </w:r>
      <w:r w:rsidR="00D96082" w:rsidRPr="00E95BC4">
        <w:rPr>
          <w:rFonts w:eastAsia="Times New Roman"/>
          <w:color w:val="auto"/>
          <w:kern w:val="0"/>
          <w:lang w:val="sr-Cyrl-CS"/>
        </w:rPr>
        <w:t xml:space="preserve">, </w:t>
      </w:r>
      <w:r>
        <w:rPr>
          <w:rFonts w:eastAsia="Times New Roman"/>
          <w:color w:val="auto"/>
          <w:kern w:val="0"/>
          <w:lang w:val="sr-Cyrl-CS"/>
        </w:rPr>
        <w:t>međudržavno</w:t>
      </w:r>
      <w:r w:rsidR="00D96082" w:rsidRPr="00E95BC4">
        <w:rPr>
          <w:rFonts w:eastAsia="Times New Roman"/>
          <w:color w:val="auto"/>
          <w:kern w:val="0"/>
          <w:lang w:val="sr-Cyrl-CS"/>
        </w:rPr>
        <w:t xml:space="preserve"> </w:t>
      </w:r>
      <w:r>
        <w:rPr>
          <w:rFonts w:eastAsia="Times New Roman"/>
          <w:color w:val="auto"/>
          <w:kern w:val="0"/>
          <w:lang w:val="sr-Cyrl-CS"/>
        </w:rPr>
        <w:t>telo</w:t>
      </w:r>
      <w:r w:rsidR="00D96082" w:rsidRPr="00E95BC4">
        <w:rPr>
          <w:rFonts w:eastAsia="Times New Roman"/>
          <w:color w:val="auto"/>
          <w:kern w:val="0"/>
          <w:lang w:val="sr-Cyrl-CS"/>
        </w:rPr>
        <w:t xml:space="preserve"> </w:t>
      </w:r>
      <w:r>
        <w:rPr>
          <w:rFonts w:eastAsia="Times New Roman"/>
          <w:color w:val="auto"/>
          <w:kern w:val="0"/>
          <w:lang w:val="sr-Cyrl-CS"/>
        </w:rPr>
        <w:t>koje</w:t>
      </w:r>
      <w:r w:rsidR="00D96082" w:rsidRPr="00E95BC4">
        <w:rPr>
          <w:rFonts w:eastAsia="Times New Roman"/>
          <w:color w:val="auto"/>
          <w:kern w:val="0"/>
          <w:lang w:val="sr-Cyrl-CS"/>
        </w:rPr>
        <w:t xml:space="preserve"> </w:t>
      </w:r>
      <w:r>
        <w:rPr>
          <w:rFonts w:eastAsia="Times New Roman"/>
          <w:color w:val="auto"/>
          <w:kern w:val="0"/>
          <w:lang w:val="sr-Cyrl-CS"/>
        </w:rPr>
        <w:t>na</w:t>
      </w:r>
      <w:r w:rsidR="00D96082" w:rsidRPr="00E95BC4">
        <w:rPr>
          <w:rFonts w:eastAsia="Times New Roman"/>
          <w:color w:val="auto"/>
          <w:kern w:val="0"/>
          <w:lang w:val="sr-Cyrl-CS"/>
        </w:rPr>
        <w:t xml:space="preserve"> </w:t>
      </w:r>
      <w:r>
        <w:rPr>
          <w:rFonts w:eastAsia="Times New Roman"/>
          <w:color w:val="auto"/>
          <w:kern w:val="0"/>
          <w:lang w:val="sr-Cyrl-CS"/>
        </w:rPr>
        <w:t>međunarodnom</w:t>
      </w:r>
      <w:r w:rsidR="00D96082" w:rsidRPr="00E95BC4">
        <w:rPr>
          <w:rFonts w:eastAsia="Times New Roman"/>
          <w:color w:val="auto"/>
          <w:kern w:val="0"/>
          <w:lang w:val="sr-Cyrl-CS"/>
        </w:rPr>
        <w:t xml:space="preserve"> </w:t>
      </w:r>
      <w:r>
        <w:rPr>
          <w:rFonts w:eastAsia="Times New Roman"/>
          <w:color w:val="auto"/>
          <w:kern w:val="0"/>
          <w:lang w:val="sr-Cyrl-CS"/>
        </w:rPr>
        <w:t>nivou</w:t>
      </w:r>
      <w:r w:rsidR="00D96082" w:rsidRPr="00E95BC4">
        <w:rPr>
          <w:rFonts w:eastAsia="Times New Roman"/>
          <w:color w:val="auto"/>
          <w:kern w:val="0"/>
          <w:lang w:val="sr-Cyrl-CS"/>
        </w:rPr>
        <w:t xml:space="preserve"> </w:t>
      </w:r>
      <w:r>
        <w:rPr>
          <w:rFonts w:eastAsia="Times New Roman"/>
          <w:color w:val="auto"/>
          <w:kern w:val="0"/>
          <w:lang w:val="sr-Cyrl-CS"/>
        </w:rPr>
        <w:t>postavlja</w:t>
      </w:r>
      <w:r w:rsidR="00D96082" w:rsidRPr="00E95BC4">
        <w:rPr>
          <w:rFonts w:eastAsia="Times New Roman"/>
          <w:color w:val="auto"/>
          <w:kern w:val="0"/>
          <w:lang w:val="sr-Cyrl-CS"/>
        </w:rPr>
        <w:t xml:space="preserve"> </w:t>
      </w:r>
      <w:r>
        <w:rPr>
          <w:rFonts w:eastAsia="Times New Roman"/>
          <w:color w:val="auto"/>
          <w:kern w:val="0"/>
          <w:lang w:val="sr-Cyrl-CS"/>
        </w:rPr>
        <w:t>standarde</w:t>
      </w:r>
      <w:r w:rsidR="00D96082" w:rsidRPr="00E95BC4">
        <w:rPr>
          <w:rFonts w:eastAsia="Times New Roman"/>
          <w:color w:val="auto"/>
          <w:kern w:val="0"/>
          <w:lang w:val="sr-Cyrl-CS"/>
        </w:rPr>
        <w:t xml:space="preserve"> </w:t>
      </w:r>
      <w:r>
        <w:rPr>
          <w:rFonts w:eastAsia="Times New Roman"/>
          <w:color w:val="auto"/>
          <w:kern w:val="0"/>
          <w:lang w:val="sr-Cyrl-CS"/>
        </w:rPr>
        <w:t>u</w:t>
      </w:r>
      <w:r w:rsidR="00D96082" w:rsidRPr="00E95BC4">
        <w:rPr>
          <w:rFonts w:eastAsia="Times New Roman"/>
          <w:color w:val="auto"/>
          <w:kern w:val="0"/>
          <w:lang w:val="sr-Cyrl-CS"/>
        </w:rPr>
        <w:t xml:space="preserve"> </w:t>
      </w:r>
      <w:r>
        <w:rPr>
          <w:rFonts w:eastAsia="Times New Roman"/>
          <w:color w:val="auto"/>
          <w:kern w:val="0"/>
          <w:lang w:val="sr-Cyrl-CS"/>
        </w:rPr>
        <w:t>ovoj</w:t>
      </w:r>
      <w:r w:rsidR="00D96082" w:rsidRPr="00E95BC4">
        <w:rPr>
          <w:rFonts w:eastAsia="Times New Roman"/>
          <w:color w:val="auto"/>
          <w:kern w:val="0"/>
          <w:lang w:val="sr-Cyrl-CS"/>
        </w:rPr>
        <w:t xml:space="preserve"> </w:t>
      </w:r>
      <w:r>
        <w:rPr>
          <w:rFonts w:eastAsia="Times New Roman"/>
          <w:color w:val="auto"/>
          <w:kern w:val="0"/>
          <w:lang w:val="sr-Cyrl-CS"/>
        </w:rPr>
        <w:t>oblasti</w:t>
      </w:r>
      <w:r w:rsidR="00D96082" w:rsidRPr="00E95BC4">
        <w:rPr>
          <w:rFonts w:eastAsia="Times New Roman"/>
          <w:color w:val="auto"/>
          <w:kern w:val="0"/>
          <w:lang w:val="sr-Cyrl-CS"/>
        </w:rPr>
        <w:t>.</w:t>
      </w:r>
    </w:p>
    <w:p w:rsidR="00713C9A" w:rsidRPr="00E95BC4" w:rsidRDefault="005818C0" w:rsidP="00285FD7">
      <w:pPr>
        <w:ind w:firstLine="720"/>
        <w:jc w:val="both"/>
        <w:rPr>
          <w:rFonts w:eastAsia="Times New Roman"/>
          <w:color w:val="auto"/>
          <w:kern w:val="0"/>
          <w:lang w:val="sr-Cyrl-CS"/>
        </w:rPr>
      </w:pPr>
      <w:r>
        <w:rPr>
          <w:rFonts w:eastAsia="Times New Roman"/>
          <w:color w:val="auto"/>
          <w:kern w:val="0"/>
          <w:lang w:val="sr-Cyrl-CS"/>
        </w:rPr>
        <w:t>Prva</w:t>
      </w:r>
      <w:r w:rsidR="00DB0EA6" w:rsidRPr="00E95BC4">
        <w:rPr>
          <w:rFonts w:eastAsia="Times New Roman"/>
          <w:color w:val="auto"/>
          <w:kern w:val="0"/>
          <w:lang w:val="sr-Cyrl-CS"/>
        </w:rPr>
        <w:t xml:space="preserve"> </w:t>
      </w:r>
      <w:r>
        <w:rPr>
          <w:rFonts w:eastAsia="Times New Roman"/>
          <w:color w:val="auto"/>
          <w:kern w:val="0"/>
          <w:lang w:val="sr-Cyrl-CS"/>
        </w:rPr>
        <w:t>nacionalna</w:t>
      </w:r>
      <w:r w:rsidR="00DB0EA6" w:rsidRPr="00E95BC4">
        <w:rPr>
          <w:rFonts w:eastAsia="Times New Roman"/>
          <w:color w:val="auto"/>
          <w:kern w:val="0"/>
          <w:lang w:val="sr-Cyrl-CS"/>
        </w:rPr>
        <w:t xml:space="preserve"> </w:t>
      </w:r>
      <w:r>
        <w:rPr>
          <w:rFonts w:eastAsia="Times New Roman"/>
          <w:color w:val="auto"/>
          <w:kern w:val="0"/>
          <w:lang w:val="sr-Cyrl-CS"/>
        </w:rPr>
        <w:t>strategija</w:t>
      </w:r>
      <w:r w:rsidR="00DB0EA6" w:rsidRPr="00E95BC4">
        <w:rPr>
          <w:rFonts w:eastAsia="Times New Roman"/>
          <w:color w:val="auto"/>
          <w:kern w:val="0"/>
          <w:lang w:val="sr-Cyrl-CS"/>
        </w:rPr>
        <w:t xml:space="preserve"> (2008-2013) </w:t>
      </w:r>
      <w:r>
        <w:rPr>
          <w:rFonts w:eastAsia="Times New Roman"/>
          <w:color w:val="auto"/>
          <w:kern w:val="0"/>
          <w:lang w:val="sr-Cyrl-CS"/>
        </w:rPr>
        <w:t>doneta</w:t>
      </w:r>
      <w:r w:rsidR="00DB0EA6" w:rsidRPr="00E95BC4">
        <w:rPr>
          <w:rFonts w:eastAsia="Times New Roman"/>
          <w:color w:val="auto"/>
          <w:kern w:val="0"/>
          <w:lang w:val="sr-Cyrl-CS"/>
        </w:rPr>
        <w:t xml:space="preserve"> </w:t>
      </w:r>
      <w:r>
        <w:rPr>
          <w:rFonts w:eastAsia="Times New Roman"/>
          <w:color w:val="auto"/>
          <w:kern w:val="0"/>
          <w:lang w:val="sr-Cyrl-CS"/>
        </w:rPr>
        <w:t>je</w:t>
      </w:r>
      <w:r w:rsidR="00DB0EA6" w:rsidRPr="00E95BC4">
        <w:rPr>
          <w:rFonts w:eastAsia="Times New Roman"/>
          <w:color w:val="auto"/>
          <w:kern w:val="0"/>
          <w:lang w:val="sr-Cyrl-CS"/>
        </w:rPr>
        <w:t xml:space="preserve"> </w:t>
      </w:r>
      <w:r>
        <w:rPr>
          <w:rFonts w:eastAsia="Times New Roman"/>
          <w:color w:val="auto"/>
          <w:kern w:val="0"/>
          <w:lang w:val="sr-Cyrl-CS"/>
        </w:rPr>
        <w:t>sa</w:t>
      </w:r>
      <w:r w:rsidR="00DB0EA6" w:rsidRPr="00E95BC4">
        <w:rPr>
          <w:rFonts w:eastAsia="Times New Roman"/>
          <w:color w:val="auto"/>
          <w:kern w:val="0"/>
          <w:lang w:val="sr-Cyrl-CS"/>
        </w:rPr>
        <w:t xml:space="preserve"> </w:t>
      </w:r>
      <w:r>
        <w:rPr>
          <w:rFonts w:eastAsia="Times New Roman"/>
          <w:color w:val="auto"/>
          <w:kern w:val="0"/>
          <w:lang w:val="sr-Cyrl-CS"/>
        </w:rPr>
        <w:t>ciljem</w:t>
      </w:r>
      <w:r w:rsidR="00DB0EA6" w:rsidRPr="00E95BC4">
        <w:rPr>
          <w:rFonts w:eastAsia="Times New Roman"/>
          <w:color w:val="auto"/>
          <w:kern w:val="0"/>
          <w:lang w:val="sr-Cyrl-CS"/>
        </w:rPr>
        <w:t xml:space="preserve"> </w:t>
      </w:r>
      <w:r>
        <w:rPr>
          <w:rFonts w:eastAsia="Times New Roman"/>
          <w:color w:val="auto"/>
          <w:kern w:val="0"/>
          <w:lang w:val="sr-Cyrl-CS"/>
        </w:rPr>
        <w:t>da</w:t>
      </w:r>
      <w:r w:rsidR="00D93CED" w:rsidRPr="00E95BC4">
        <w:rPr>
          <w:rFonts w:eastAsia="Times New Roman"/>
          <w:color w:val="auto"/>
          <w:kern w:val="0"/>
          <w:lang w:val="sr-Cyrl-CS"/>
        </w:rPr>
        <w:t xml:space="preserve"> </w:t>
      </w:r>
      <w:r>
        <w:rPr>
          <w:rFonts w:eastAsia="Times New Roman"/>
          <w:color w:val="auto"/>
          <w:kern w:val="0"/>
          <w:lang w:val="sr-Cyrl-CS"/>
        </w:rPr>
        <w:t>se</w:t>
      </w:r>
      <w:r w:rsidR="00D93CED" w:rsidRPr="00E95BC4">
        <w:rPr>
          <w:rFonts w:eastAsia="Times New Roman"/>
          <w:color w:val="auto"/>
          <w:kern w:val="0"/>
          <w:lang w:val="sr-Cyrl-CS"/>
        </w:rPr>
        <w:t xml:space="preserve"> </w:t>
      </w:r>
      <w:r>
        <w:rPr>
          <w:rFonts w:eastAsia="Times New Roman"/>
          <w:color w:val="auto"/>
          <w:kern w:val="0"/>
          <w:lang w:val="sr-Cyrl-CS"/>
        </w:rPr>
        <w:t>efikasno</w:t>
      </w:r>
      <w:r w:rsidR="00DB0EA6" w:rsidRPr="00E95BC4">
        <w:rPr>
          <w:rFonts w:eastAsia="Times New Roman"/>
          <w:color w:val="auto"/>
          <w:kern w:val="0"/>
          <w:lang w:val="sr-Cyrl-CS"/>
        </w:rPr>
        <w:t xml:space="preserve"> </w:t>
      </w:r>
      <w:r>
        <w:rPr>
          <w:rFonts w:eastAsia="Times New Roman"/>
          <w:color w:val="auto"/>
          <w:kern w:val="0"/>
          <w:lang w:val="sr-Cyrl-CS"/>
        </w:rPr>
        <w:t>uspostavi</w:t>
      </w:r>
      <w:r w:rsidR="00DB0EA6" w:rsidRPr="00E95BC4">
        <w:rPr>
          <w:rFonts w:eastAsia="Times New Roman"/>
          <w:color w:val="auto"/>
          <w:kern w:val="0"/>
          <w:lang w:val="sr-Cyrl-CS"/>
        </w:rPr>
        <w:t xml:space="preserve"> </w:t>
      </w:r>
      <w:r>
        <w:rPr>
          <w:rFonts w:eastAsia="Times New Roman"/>
          <w:color w:val="auto"/>
          <w:kern w:val="0"/>
          <w:lang w:val="sr-Cyrl-CS"/>
        </w:rPr>
        <w:t>složeni</w:t>
      </w:r>
      <w:r w:rsidR="00DB0EA6" w:rsidRPr="00E95BC4">
        <w:rPr>
          <w:rFonts w:eastAsia="Times New Roman"/>
          <w:color w:val="auto"/>
          <w:kern w:val="0"/>
          <w:lang w:val="sr-Cyrl-CS"/>
        </w:rPr>
        <w:t xml:space="preserve"> </w:t>
      </w:r>
      <w:r>
        <w:rPr>
          <w:rFonts w:eastAsia="Times New Roman"/>
          <w:color w:val="auto"/>
          <w:kern w:val="0"/>
          <w:lang w:val="sr-Cyrl-CS"/>
        </w:rPr>
        <w:t>i</w:t>
      </w:r>
      <w:r w:rsidR="00DB0EA6" w:rsidRPr="00E95BC4">
        <w:rPr>
          <w:rFonts w:eastAsia="Times New Roman"/>
          <w:color w:val="auto"/>
          <w:kern w:val="0"/>
          <w:lang w:val="sr-Cyrl-CS"/>
        </w:rPr>
        <w:t xml:space="preserve"> </w:t>
      </w:r>
      <w:r>
        <w:rPr>
          <w:rFonts w:eastAsia="Times New Roman"/>
          <w:color w:val="auto"/>
          <w:kern w:val="0"/>
          <w:lang w:val="sr-Cyrl-CS"/>
        </w:rPr>
        <w:t>sveobuhvatan</w:t>
      </w:r>
      <w:r w:rsidR="00DB0EA6" w:rsidRPr="00E95BC4">
        <w:rPr>
          <w:rFonts w:eastAsia="Times New Roman"/>
          <w:color w:val="auto"/>
          <w:kern w:val="0"/>
          <w:lang w:val="sr-Cyrl-CS"/>
        </w:rPr>
        <w:t xml:space="preserve"> </w:t>
      </w:r>
      <w:r>
        <w:rPr>
          <w:rFonts w:eastAsia="Times New Roman"/>
          <w:color w:val="auto"/>
          <w:kern w:val="0"/>
          <w:lang w:val="sr-Cyrl-CS"/>
        </w:rPr>
        <w:t>sistem</w:t>
      </w:r>
      <w:r w:rsidR="00DB0EA6" w:rsidRPr="00E95BC4">
        <w:rPr>
          <w:rFonts w:eastAsia="Times New Roman"/>
          <w:color w:val="auto"/>
          <w:kern w:val="0"/>
          <w:lang w:val="sr-Cyrl-CS"/>
        </w:rPr>
        <w:t xml:space="preserve"> </w:t>
      </w:r>
      <w:r>
        <w:rPr>
          <w:rFonts w:eastAsia="Times New Roman"/>
          <w:color w:val="auto"/>
          <w:kern w:val="0"/>
          <w:lang w:val="sr-Cyrl-CS"/>
        </w:rPr>
        <w:t>za</w:t>
      </w:r>
      <w:r w:rsidR="00DB0EA6" w:rsidRPr="00E95BC4">
        <w:rPr>
          <w:rFonts w:eastAsia="Times New Roman"/>
          <w:color w:val="auto"/>
          <w:kern w:val="0"/>
          <w:lang w:val="sr-Cyrl-CS"/>
        </w:rPr>
        <w:t xml:space="preserve"> </w:t>
      </w:r>
      <w:r>
        <w:rPr>
          <w:rFonts w:eastAsia="Times New Roman"/>
          <w:color w:val="auto"/>
          <w:kern w:val="0"/>
          <w:lang w:val="sr-Cyrl-CS"/>
        </w:rPr>
        <w:t>borbu</w:t>
      </w:r>
      <w:r w:rsidR="00DB0EA6" w:rsidRPr="00E95BC4">
        <w:rPr>
          <w:rFonts w:eastAsia="Times New Roman"/>
          <w:color w:val="auto"/>
          <w:kern w:val="0"/>
          <w:lang w:val="sr-Cyrl-CS"/>
        </w:rPr>
        <w:t xml:space="preserve"> </w:t>
      </w:r>
      <w:r>
        <w:rPr>
          <w:rFonts w:eastAsia="Times New Roman"/>
          <w:color w:val="auto"/>
          <w:kern w:val="0"/>
          <w:lang w:val="sr-Cyrl-CS"/>
        </w:rPr>
        <w:t>protiv</w:t>
      </w:r>
      <w:r w:rsidR="00DB0EA6" w:rsidRPr="00E95BC4">
        <w:rPr>
          <w:rFonts w:eastAsia="Times New Roman"/>
          <w:color w:val="auto"/>
          <w:kern w:val="0"/>
          <w:lang w:val="sr-Cyrl-CS"/>
        </w:rPr>
        <w:t xml:space="preserve"> </w:t>
      </w:r>
      <w:r>
        <w:rPr>
          <w:rFonts w:eastAsia="Times New Roman"/>
          <w:color w:val="auto"/>
          <w:kern w:val="0"/>
          <w:lang w:val="sr-Cyrl-CS"/>
        </w:rPr>
        <w:t>pranja</w:t>
      </w:r>
      <w:r w:rsidR="00DB0EA6" w:rsidRPr="00E95BC4">
        <w:rPr>
          <w:rFonts w:eastAsia="Times New Roman"/>
          <w:color w:val="auto"/>
          <w:kern w:val="0"/>
          <w:lang w:val="sr-Cyrl-CS"/>
        </w:rPr>
        <w:t xml:space="preserve"> </w:t>
      </w:r>
      <w:r>
        <w:rPr>
          <w:rFonts w:eastAsia="Times New Roman"/>
          <w:color w:val="auto"/>
          <w:kern w:val="0"/>
          <w:lang w:val="sr-Cyrl-CS"/>
        </w:rPr>
        <w:t>novca</w:t>
      </w:r>
      <w:r w:rsidR="00DB0EA6" w:rsidRPr="00E95BC4">
        <w:rPr>
          <w:rFonts w:eastAsia="Times New Roman"/>
          <w:color w:val="auto"/>
          <w:kern w:val="0"/>
          <w:lang w:val="sr-Cyrl-CS"/>
        </w:rPr>
        <w:t xml:space="preserve"> </w:t>
      </w:r>
      <w:r>
        <w:rPr>
          <w:rFonts w:eastAsia="Times New Roman"/>
          <w:color w:val="auto"/>
          <w:kern w:val="0"/>
          <w:lang w:val="sr-Cyrl-CS"/>
        </w:rPr>
        <w:t>i</w:t>
      </w:r>
      <w:r w:rsidR="00DB0EA6" w:rsidRPr="00E95BC4">
        <w:rPr>
          <w:rFonts w:eastAsia="Times New Roman"/>
          <w:color w:val="auto"/>
          <w:kern w:val="0"/>
          <w:lang w:val="sr-Cyrl-CS"/>
        </w:rPr>
        <w:t xml:space="preserve"> </w:t>
      </w:r>
      <w:r>
        <w:rPr>
          <w:rFonts w:eastAsia="Times New Roman"/>
          <w:color w:val="auto"/>
          <w:kern w:val="0"/>
          <w:lang w:val="sr-Cyrl-CS"/>
        </w:rPr>
        <w:t>finansiranja</w:t>
      </w:r>
      <w:r w:rsidR="00DB0EA6" w:rsidRPr="00E95BC4">
        <w:rPr>
          <w:rFonts w:eastAsia="Times New Roman"/>
          <w:color w:val="auto"/>
          <w:kern w:val="0"/>
          <w:lang w:val="sr-Cyrl-CS"/>
        </w:rPr>
        <w:t xml:space="preserve"> </w:t>
      </w:r>
      <w:r>
        <w:rPr>
          <w:rFonts w:eastAsia="Times New Roman"/>
          <w:color w:val="auto"/>
          <w:kern w:val="0"/>
          <w:lang w:val="sr-Cyrl-CS"/>
        </w:rPr>
        <w:t>terorizma</w:t>
      </w:r>
      <w:r w:rsidR="00DB0EA6" w:rsidRPr="00E95BC4">
        <w:rPr>
          <w:rFonts w:eastAsia="Times New Roman"/>
          <w:color w:val="auto"/>
          <w:kern w:val="0"/>
          <w:lang w:val="sr-Cyrl-CS"/>
        </w:rPr>
        <w:t xml:space="preserve">, </w:t>
      </w:r>
      <w:r>
        <w:rPr>
          <w:rFonts w:eastAsia="Times New Roman"/>
          <w:color w:val="auto"/>
          <w:kern w:val="0"/>
          <w:lang w:val="sr-Cyrl-CS"/>
        </w:rPr>
        <w:t>a</w:t>
      </w:r>
      <w:r w:rsidR="00DB0EA6" w:rsidRPr="00E95BC4">
        <w:rPr>
          <w:rFonts w:eastAsia="Times New Roman"/>
          <w:color w:val="auto"/>
          <w:kern w:val="0"/>
          <w:lang w:val="sr-Cyrl-CS"/>
        </w:rPr>
        <w:t xml:space="preserve"> </w:t>
      </w:r>
      <w:r>
        <w:rPr>
          <w:rFonts w:eastAsia="Times New Roman"/>
          <w:color w:val="auto"/>
          <w:kern w:val="0"/>
          <w:lang w:val="sr-Cyrl-CS"/>
        </w:rPr>
        <w:t>druga</w:t>
      </w:r>
      <w:r w:rsidR="00DB0EA6" w:rsidRPr="00E95BC4">
        <w:rPr>
          <w:rFonts w:eastAsia="Times New Roman"/>
          <w:color w:val="auto"/>
          <w:kern w:val="0"/>
          <w:lang w:val="sr-Cyrl-CS"/>
        </w:rPr>
        <w:t xml:space="preserve"> </w:t>
      </w:r>
      <w:r>
        <w:rPr>
          <w:rFonts w:eastAsia="Times New Roman"/>
          <w:color w:val="auto"/>
          <w:kern w:val="0"/>
          <w:lang w:val="sr-Cyrl-CS"/>
        </w:rPr>
        <w:t>nacionalna</w:t>
      </w:r>
      <w:r w:rsidR="00DB0EA6" w:rsidRPr="00E95BC4">
        <w:rPr>
          <w:rFonts w:eastAsia="Times New Roman"/>
          <w:color w:val="auto"/>
          <w:kern w:val="0"/>
          <w:lang w:val="sr-Cyrl-CS"/>
        </w:rPr>
        <w:t xml:space="preserve"> </w:t>
      </w:r>
      <w:r>
        <w:rPr>
          <w:rFonts w:eastAsia="Times New Roman"/>
          <w:color w:val="auto"/>
          <w:kern w:val="0"/>
          <w:lang w:val="sr-Cyrl-CS"/>
        </w:rPr>
        <w:t>strategija</w:t>
      </w:r>
      <w:r w:rsidR="00DB0EA6" w:rsidRPr="00E95BC4">
        <w:rPr>
          <w:rFonts w:eastAsia="Times New Roman"/>
          <w:color w:val="auto"/>
          <w:kern w:val="0"/>
          <w:lang w:val="sr-Cyrl-CS"/>
        </w:rPr>
        <w:t xml:space="preserve"> </w:t>
      </w:r>
      <w:r>
        <w:rPr>
          <w:rFonts w:eastAsia="Times New Roman"/>
          <w:color w:val="auto"/>
          <w:kern w:val="0"/>
          <w:lang w:val="sr-Cyrl-CS"/>
        </w:rPr>
        <w:t>bila</w:t>
      </w:r>
      <w:r w:rsidR="00DB0EA6" w:rsidRPr="00E95BC4">
        <w:rPr>
          <w:rFonts w:eastAsia="Times New Roman"/>
          <w:color w:val="auto"/>
          <w:kern w:val="0"/>
          <w:lang w:val="sr-Cyrl-CS"/>
        </w:rPr>
        <w:t xml:space="preserve"> </w:t>
      </w:r>
      <w:r>
        <w:rPr>
          <w:rFonts w:eastAsia="Times New Roman"/>
          <w:color w:val="auto"/>
          <w:kern w:val="0"/>
          <w:lang w:val="sr-Cyrl-CS"/>
        </w:rPr>
        <w:t>je</w:t>
      </w:r>
      <w:r w:rsidR="00DB0EA6" w:rsidRPr="00E95BC4">
        <w:rPr>
          <w:rFonts w:eastAsia="Times New Roman"/>
          <w:color w:val="auto"/>
          <w:kern w:val="0"/>
          <w:lang w:val="sr-Cyrl-CS"/>
        </w:rPr>
        <w:t xml:space="preserve"> </w:t>
      </w:r>
      <w:r>
        <w:rPr>
          <w:rFonts w:eastAsia="Times New Roman"/>
          <w:color w:val="auto"/>
          <w:kern w:val="0"/>
          <w:lang w:val="sr-Cyrl-CS"/>
        </w:rPr>
        <w:t>logičan</w:t>
      </w:r>
      <w:r w:rsidR="00DB0EA6" w:rsidRPr="00E95BC4">
        <w:rPr>
          <w:rFonts w:eastAsia="Times New Roman"/>
          <w:color w:val="auto"/>
          <w:kern w:val="0"/>
          <w:lang w:val="sr-Cyrl-CS"/>
        </w:rPr>
        <w:t xml:space="preserve"> </w:t>
      </w:r>
      <w:r>
        <w:rPr>
          <w:rFonts w:eastAsia="Times New Roman"/>
          <w:color w:val="auto"/>
          <w:kern w:val="0"/>
          <w:lang w:val="sr-Cyrl-CS"/>
        </w:rPr>
        <w:t>nastavak</w:t>
      </w:r>
      <w:r w:rsidR="00DB0EA6" w:rsidRPr="00E95BC4">
        <w:rPr>
          <w:rFonts w:eastAsia="Times New Roman"/>
          <w:color w:val="auto"/>
          <w:kern w:val="0"/>
          <w:lang w:val="sr-Cyrl-CS"/>
        </w:rPr>
        <w:t xml:space="preserve"> </w:t>
      </w:r>
      <w:r>
        <w:rPr>
          <w:rFonts w:eastAsia="Times New Roman"/>
          <w:color w:val="auto"/>
          <w:kern w:val="0"/>
          <w:lang w:val="sr-Cyrl-CS"/>
        </w:rPr>
        <w:t>prve</w:t>
      </w:r>
      <w:r w:rsidR="00DB0EA6" w:rsidRPr="00E95BC4">
        <w:rPr>
          <w:rFonts w:eastAsia="Times New Roman"/>
          <w:color w:val="auto"/>
          <w:kern w:val="0"/>
          <w:lang w:val="sr-Cyrl-CS"/>
        </w:rPr>
        <w:t xml:space="preserve">, </w:t>
      </w:r>
      <w:r>
        <w:rPr>
          <w:rFonts w:eastAsia="Times New Roman"/>
          <w:color w:val="auto"/>
          <w:kern w:val="0"/>
          <w:lang w:val="sr-Cyrl-CS"/>
        </w:rPr>
        <w:t>i</w:t>
      </w:r>
      <w:r w:rsidR="00DB0EA6" w:rsidRPr="00E95BC4">
        <w:rPr>
          <w:rFonts w:eastAsia="Times New Roman"/>
          <w:color w:val="auto"/>
          <w:kern w:val="0"/>
          <w:lang w:val="sr-Cyrl-CS"/>
        </w:rPr>
        <w:t xml:space="preserve"> </w:t>
      </w:r>
      <w:r>
        <w:rPr>
          <w:rFonts w:eastAsia="Times New Roman"/>
          <w:color w:val="auto"/>
          <w:kern w:val="0"/>
          <w:lang w:val="sr-Cyrl-CS"/>
        </w:rPr>
        <w:t>za</w:t>
      </w:r>
      <w:r w:rsidR="00DB0EA6" w:rsidRPr="00E95BC4">
        <w:rPr>
          <w:rFonts w:eastAsia="Times New Roman"/>
          <w:color w:val="auto"/>
          <w:kern w:val="0"/>
          <w:lang w:val="sr-Cyrl-CS"/>
        </w:rPr>
        <w:t xml:space="preserve"> </w:t>
      </w:r>
      <w:r>
        <w:rPr>
          <w:rFonts w:eastAsia="Times New Roman"/>
          <w:color w:val="auto"/>
          <w:kern w:val="0"/>
          <w:lang w:val="sr-Cyrl-CS"/>
        </w:rPr>
        <w:t>cilj</w:t>
      </w:r>
      <w:r w:rsidR="00DB0EA6" w:rsidRPr="00E95BC4">
        <w:rPr>
          <w:rFonts w:eastAsia="Times New Roman"/>
          <w:color w:val="auto"/>
          <w:kern w:val="0"/>
          <w:lang w:val="sr-Cyrl-CS"/>
        </w:rPr>
        <w:t xml:space="preserve"> </w:t>
      </w:r>
      <w:r>
        <w:rPr>
          <w:rFonts w:eastAsia="Times New Roman"/>
          <w:color w:val="auto"/>
          <w:kern w:val="0"/>
          <w:lang w:val="sr-Cyrl-CS"/>
        </w:rPr>
        <w:t>je</w:t>
      </w:r>
      <w:r w:rsidR="00DB0EA6" w:rsidRPr="00E95BC4">
        <w:rPr>
          <w:rFonts w:eastAsia="Times New Roman"/>
          <w:color w:val="auto"/>
          <w:kern w:val="0"/>
          <w:lang w:val="sr-Cyrl-CS"/>
        </w:rPr>
        <w:t xml:space="preserve"> </w:t>
      </w:r>
      <w:r>
        <w:rPr>
          <w:rFonts w:eastAsia="Times New Roman"/>
          <w:color w:val="auto"/>
          <w:kern w:val="0"/>
          <w:lang w:val="sr-Cyrl-CS"/>
        </w:rPr>
        <w:t>imala</w:t>
      </w:r>
      <w:r w:rsidR="00DB0EA6" w:rsidRPr="00E95BC4">
        <w:rPr>
          <w:rFonts w:eastAsia="Times New Roman"/>
          <w:color w:val="auto"/>
          <w:kern w:val="0"/>
          <w:lang w:val="sr-Cyrl-CS"/>
        </w:rPr>
        <w:t xml:space="preserve"> </w:t>
      </w:r>
      <w:r>
        <w:rPr>
          <w:rFonts w:eastAsia="Times New Roman"/>
          <w:color w:val="auto"/>
          <w:kern w:val="0"/>
          <w:lang w:val="sr-Cyrl-CS"/>
        </w:rPr>
        <w:t>unapređenje</w:t>
      </w:r>
      <w:r w:rsidR="00DB0EA6" w:rsidRPr="00E95BC4">
        <w:rPr>
          <w:rFonts w:eastAsia="Times New Roman"/>
          <w:color w:val="auto"/>
          <w:kern w:val="0"/>
          <w:lang w:val="sr-Cyrl-CS"/>
        </w:rPr>
        <w:t xml:space="preserve"> </w:t>
      </w:r>
      <w:r>
        <w:rPr>
          <w:rFonts w:eastAsia="Times New Roman"/>
          <w:color w:val="auto"/>
          <w:kern w:val="0"/>
          <w:lang w:val="sr-Cyrl-CS"/>
        </w:rPr>
        <w:t>delotvornosti</w:t>
      </w:r>
      <w:r w:rsidR="00DB0EA6" w:rsidRPr="00E95BC4">
        <w:rPr>
          <w:rFonts w:eastAsia="Times New Roman"/>
          <w:color w:val="auto"/>
          <w:kern w:val="0"/>
          <w:lang w:val="sr-Cyrl-CS"/>
        </w:rPr>
        <w:t xml:space="preserve"> </w:t>
      </w:r>
      <w:r>
        <w:rPr>
          <w:rFonts w:eastAsia="Times New Roman"/>
          <w:color w:val="auto"/>
          <w:kern w:val="0"/>
          <w:lang w:val="sr-Cyrl-CS"/>
        </w:rPr>
        <w:t>sistema</w:t>
      </w:r>
      <w:r w:rsidR="00DB0EA6" w:rsidRPr="00E95BC4">
        <w:rPr>
          <w:rFonts w:eastAsia="Times New Roman"/>
          <w:color w:val="auto"/>
          <w:kern w:val="0"/>
          <w:lang w:val="sr-Cyrl-CS"/>
        </w:rPr>
        <w:t xml:space="preserve">. </w:t>
      </w:r>
      <w:r>
        <w:rPr>
          <w:rFonts w:eastAsia="Times New Roman"/>
          <w:color w:val="auto"/>
          <w:kern w:val="0"/>
          <w:lang w:val="sr-Cyrl-CS"/>
        </w:rPr>
        <w:t>Vlada</w:t>
      </w:r>
      <w:r w:rsidR="00713C9A" w:rsidRPr="00E95BC4">
        <w:rPr>
          <w:rFonts w:eastAsia="Times New Roman"/>
          <w:color w:val="auto"/>
          <w:kern w:val="0"/>
          <w:lang w:val="sr-Cyrl-CS"/>
        </w:rPr>
        <w:t xml:space="preserve"> </w:t>
      </w:r>
      <w:r>
        <w:rPr>
          <w:rFonts w:eastAsia="Times New Roman"/>
          <w:color w:val="auto"/>
          <w:kern w:val="0"/>
          <w:lang w:val="sr-Cyrl-CS"/>
        </w:rPr>
        <w:t>je</w:t>
      </w:r>
      <w:r w:rsidR="00713C9A" w:rsidRPr="00E95BC4">
        <w:rPr>
          <w:rFonts w:eastAsia="Times New Roman"/>
          <w:color w:val="auto"/>
          <w:kern w:val="0"/>
          <w:lang w:val="sr-Cyrl-CS"/>
        </w:rPr>
        <w:t xml:space="preserve"> </w:t>
      </w:r>
      <w:r>
        <w:rPr>
          <w:rFonts w:eastAsia="Times New Roman"/>
          <w:color w:val="auto"/>
          <w:kern w:val="0"/>
          <w:lang w:val="sr-Cyrl-CS"/>
        </w:rPr>
        <w:t>drugu</w:t>
      </w:r>
      <w:r w:rsidR="00713C9A" w:rsidRPr="00E95BC4">
        <w:rPr>
          <w:rFonts w:eastAsia="Times New Roman"/>
          <w:color w:val="auto"/>
          <w:kern w:val="0"/>
          <w:lang w:val="sr-Cyrl-CS"/>
        </w:rPr>
        <w:t xml:space="preserve"> </w:t>
      </w:r>
      <w:r>
        <w:rPr>
          <w:rFonts w:eastAsia="Times New Roman"/>
          <w:color w:val="auto"/>
          <w:kern w:val="0"/>
          <w:lang w:val="sr-Cyrl-CS"/>
        </w:rPr>
        <w:t>nacionalnu</w:t>
      </w:r>
      <w:r w:rsidR="00713C9A" w:rsidRPr="00E95BC4">
        <w:rPr>
          <w:rFonts w:eastAsia="Times New Roman"/>
          <w:color w:val="auto"/>
          <w:kern w:val="0"/>
          <w:lang w:val="sr-Cyrl-CS"/>
        </w:rPr>
        <w:t xml:space="preserve"> </w:t>
      </w:r>
      <w:r>
        <w:rPr>
          <w:rFonts w:eastAsia="Times New Roman"/>
          <w:color w:val="auto"/>
          <w:kern w:val="0"/>
          <w:lang w:val="sr-Cyrl-CS"/>
        </w:rPr>
        <w:t>strategiju</w:t>
      </w:r>
      <w:r w:rsidR="00713C9A" w:rsidRPr="00E95BC4">
        <w:rPr>
          <w:rFonts w:eastAsia="Times New Roman"/>
          <w:color w:val="auto"/>
          <w:kern w:val="0"/>
          <w:lang w:val="sr-Cyrl-CS"/>
        </w:rPr>
        <w:t xml:space="preserve"> </w:t>
      </w:r>
      <w:r>
        <w:rPr>
          <w:rFonts w:eastAsia="Times New Roman"/>
          <w:color w:val="auto"/>
          <w:kern w:val="0"/>
          <w:lang w:val="sr-Cyrl-CS"/>
        </w:rPr>
        <w:t>za</w:t>
      </w:r>
      <w:r w:rsidR="00713C9A" w:rsidRPr="00E95BC4">
        <w:rPr>
          <w:rFonts w:eastAsia="Times New Roman"/>
          <w:color w:val="auto"/>
          <w:kern w:val="0"/>
          <w:lang w:val="sr-Cyrl-CS"/>
        </w:rPr>
        <w:t xml:space="preserve"> </w:t>
      </w:r>
      <w:r>
        <w:rPr>
          <w:rFonts w:eastAsia="Times New Roman"/>
          <w:color w:val="auto"/>
          <w:kern w:val="0"/>
          <w:lang w:val="sr-Cyrl-CS"/>
        </w:rPr>
        <w:t>borbu</w:t>
      </w:r>
      <w:r w:rsidR="00713C9A" w:rsidRPr="00E95BC4">
        <w:rPr>
          <w:rFonts w:eastAsia="Times New Roman"/>
          <w:color w:val="auto"/>
          <w:kern w:val="0"/>
          <w:lang w:val="sr-Cyrl-CS"/>
        </w:rPr>
        <w:t xml:space="preserve"> </w:t>
      </w:r>
      <w:r>
        <w:rPr>
          <w:rFonts w:eastAsia="Times New Roman"/>
          <w:color w:val="auto"/>
          <w:kern w:val="0"/>
          <w:lang w:val="sr-Cyrl-CS"/>
        </w:rPr>
        <w:t>protiv</w:t>
      </w:r>
      <w:r w:rsidR="00713C9A" w:rsidRPr="00E95BC4">
        <w:rPr>
          <w:rFonts w:eastAsia="Times New Roman"/>
          <w:color w:val="auto"/>
          <w:kern w:val="0"/>
          <w:lang w:val="sr-Cyrl-CS"/>
        </w:rPr>
        <w:t xml:space="preserve"> </w:t>
      </w:r>
      <w:r>
        <w:rPr>
          <w:rFonts w:eastAsia="Times New Roman"/>
          <w:color w:val="auto"/>
          <w:kern w:val="0"/>
          <w:lang w:val="sr-Cyrl-CS"/>
        </w:rPr>
        <w:t>pranja</w:t>
      </w:r>
      <w:r w:rsidR="00713C9A" w:rsidRPr="00E95BC4">
        <w:rPr>
          <w:rFonts w:eastAsia="Times New Roman"/>
          <w:color w:val="auto"/>
          <w:kern w:val="0"/>
          <w:lang w:val="sr-Cyrl-CS"/>
        </w:rPr>
        <w:t xml:space="preserve"> </w:t>
      </w:r>
      <w:r>
        <w:rPr>
          <w:rFonts w:eastAsia="Times New Roman"/>
          <w:color w:val="auto"/>
          <w:kern w:val="0"/>
          <w:lang w:val="sr-Cyrl-CS"/>
        </w:rPr>
        <w:t>novca</w:t>
      </w:r>
      <w:r w:rsidR="00713C9A" w:rsidRPr="00E95BC4">
        <w:rPr>
          <w:rFonts w:eastAsia="Times New Roman"/>
          <w:color w:val="auto"/>
          <w:kern w:val="0"/>
          <w:lang w:val="sr-Cyrl-CS"/>
        </w:rPr>
        <w:t xml:space="preserve"> </w:t>
      </w:r>
      <w:r>
        <w:rPr>
          <w:rFonts w:eastAsia="Times New Roman"/>
          <w:color w:val="auto"/>
          <w:kern w:val="0"/>
          <w:lang w:val="sr-Cyrl-CS"/>
        </w:rPr>
        <w:t>i</w:t>
      </w:r>
      <w:r w:rsidR="00713C9A" w:rsidRPr="00E95BC4">
        <w:rPr>
          <w:rFonts w:eastAsia="Times New Roman"/>
          <w:color w:val="auto"/>
          <w:kern w:val="0"/>
          <w:lang w:val="sr-Cyrl-CS"/>
        </w:rPr>
        <w:t xml:space="preserve"> </w:t>
      </w:r>
      <w:r>
        <w:rPr>
          <w:rFonts w:eastAsia="Times New Roman"/>
          <w:color w:val="auto"/>
          <w:kern w:val="0"/>
          <w:lang w:val="sr-Cyrl-CS"/>
        </w:rPr>
        <w:t>finansiranja</w:t>
      </w:r>
      <w:r w:rsidR="00713C9A" w:rsidRPr="00E95BC4">
        <w:rPr>
          <w:rFonts w:eastAsia="Times New Roman"/>
          <w:color w:val="auto"/>
          <w:kern w:val="0"/>
          <w:lang w:val="sr-Cyrl-CS"/>
        </w:rPr>
        <w:t xml:space="preserve"> </w:t>
      </w:r>
      <w:r>
        <w:rPr>
          <w:rFonts w:eastAsia="Times New Roman"/>
          <w:color w:val="auto"/>
          <w:kern w:val="0"/>
          <w:lang w:val="sr-Cyrl-CS"/>
        </w:rPr>
        <w:t>terorizma</w:t>
      </w:r>
      <w:r w:rsidR="00BD0633" w:rsidRPr="00E95BC4">
        <w:rPr>
          <w:rFonts w:eastAsia="Times New Roman"/>
          <w:color w:val="auto"/>
          <w:kern w:val="0"/>
          <w:lang w:val="sr-Cyrl-CS"/>
        </w:rPr>
        <w:t xml:space="preserve"> </w:t>
      </w:r>
      <w:r>
        <w:rPr>
          <w:rFonts w:eastAsia="Times New Roman"/>
          <w:color w:val="auto"/>
          <w:kern w:val="0"/>
          <w:lang w:val="sr-Cyrl-CS"/>
        </w:rPr>
        <w:t>donela</w:t>
      </w:r>
      <w:r w:rsidR="00BD0633" w:rsidRPr="00E95BC4">
        <w:rPr>
          <w:rFonts w:eastAsia="Times New Roman"/>
          <w:color w:val="auto"/>
          <w:kern w:val="0"/>
          <w:lang w:val="sr-Cyrl-CS"/>
        </w:rPr>
        <w:t xml:space="preserve"> 31. </w:t>
      </w:r>
      <w:r>
        <w:rPr>
          <w:rFonts w:eastAsia="Times New Roman"/>
          <w:color w:val="auto"/>
          <w:kern w:val="0"/>
          <w:lang w:val="sr-Cyrl-CS"/>
        </w:rPr>
        <w:t>decembra</w:t>
      </w:r>
      <w:r w:rsidR="00BD0633" w:rsidRPr="00E95BC4">
        <w:rPr>
          <w:rFonts w:eastAsia="Times New Roman"/>
          <w:color w:val="auto"/>
          <w:kern w:val="0"/>
          <w:lang w:val="sr-Cyrl-CS"/>
        </w:rPr>
        <w:t xml:space="preserve"> 2014</w:t>
      </w:r>
      <w:r w:rsidR="00820ACB">
        <w:rPr>
          <w:rFonts w:eastAsia="Times New Roman"/>
          <w:color w:val="auto"/>
          <w:kern w:val="0"/>
          <w:lang w:val="sr-Cyrl-CS"/>
        </w:rPr>
        <w:t>.</w:t>
      </w:r>
      <w:r w:rsidR="00820ACB" w:rsidRPr="00820ACB">
        <w:rPr>
          <w:rFonts w:eastAsia="Times New Roman"/>
          <w:color w:val="auto"/>
          <w:kern w:val="0"/>
          <w:lang w:val="sr-Cyrl-CS"/>
        </w:rPr>
        <w:t xml:space="preserve"> </w:t>
      </w:r>
      <w:r>
        <w:rPr>
          <w:rFonts w:eastAsia="Times New Roman"/>
          <w:color w:val="auto"/>
          <w:kern w:val="0"/>
          <w:lang w:val="sr-Cyrl-CS"/>
        </w:rPr>
        <w:t>godine</w:t>
      </w:r>
      <w:r w:rsidR="00BD0633" w:rsidRPr="00E95BC4">
        <w:rPr>
          <w:rFonts w:eastAsia="Times New Roman"/>
          <w:color w:val="auto"/>
          <w:kern w:val="0"/>
          <w:lang w:val="sr-Cyrl-CS"/>
        </w:rPr>
        <w:t xml:space="preserve">, </w:t>
      </w:r>
      <w:r>
        <w:rPr>
          <w:rFonts w:eastAsia="Times New Roman"/>
          <w:color w:val="auto"/>
          <w:kern w:val="0"/>
          <w:lang w:val="sr-Cyrl-CS"/>
        </w:rPr>
        <w:t>sa</w:t>
      </w:r>
      <w:r w:rsidR="00BD0633" w:rsidRPr="00E95BC4">
        <w:rPr>
          <w:rFonts w:eastAsia="Times New Roman"/>
          <w:color w:val="auto"/>
          <w:kern w:val="0"/>
          <w:lang w:val="sr-Cyrl-CS"/>
        </w:rPr>
        <w:t xml:space="preserve"> </w:t>
      </w:r>
      <w:r>
        <w:rPr>
          <w:rFonts w:eastAsia="Times New Roman"/>
          <w:color w:val="auto"/>
          <w:kern w:val="0"/>
          <w:lang w:val="sr-Cyrl-CS"/>
        </w:rPr>
        <w:t>rokom</w:t>
      </w:r>
      <w:r w:rsidR="00BD0633" w:rsidRPr="00E95BC4">
        <w:rPr>
          <w:rFonts w:eastAsia="Times New Roman"/>
          <w:color w:val="auto"/>
          <w:kern w:val="0"/>
          <w:lang w:val="sr-Cyrl-CS"/>
        </w:rPr>
        <w:t xml:space="preserve"> </w:t>
      </w:r>
      <w:r>
        <w:rPr>
          <w:rFonts w:eastAsia="Times New Roman"/>
          <w:color w:val="auto"/>
          <w:kern w:val="0"/>
          <w:lang w:val="sr-Cyrl-CS"/>
        </w:rPr>
        <w:t>primene</w:t>
      </w:r>
      <w:r w:rsidR="00BD0633" w:rsidRPr="00E95BC4">
        <w:rPr>
          <w:rFonts w:eastAsia="Times New Roman"/>
          <w:color w:val="auto"/>
          <w:kern w:val="0"/>
          <w:lang w:val="sr-Cyrl-CS"/>
        </w:rPr>
        <w:t xml:space="preserve"> </w:t>
      </w:r>
      <w:r>
        <w:rPr>
          <w:rFonts w:eastAsia="Times New Roman"/>
          <w:color w:val="auto"/>
          <w:kern w:val="0"/>
          <w:lang w:val="sr-Cyrl-CS"/>
        </w:rPr>
        <w:t>do</w:t>
      </w:r>
      <w:r w:rsidR="00BD0633" w:rsidRPr="00E95BC4">
        <w:rPr>
          <w:rFonts w:eastAsia="Times New Roman"/>
          <w:color w:val="auto"/>
          <w:kern w:val="0"/>
          <w:lang w:val="sr-Cyrl-CS"/>
        </w:rPr>
        <w:t xml:space="preserve"> </w:t>
      </w:r>
      <w:r>
        <w:rPr>
          <w:rFonts w:eastAsia="Times New Roman"/>
          <w:color w:val="auto"/>
          <w:kern w:val="0"/>
          <w:lang w:val="sr-Cyrl-CS"/>
        </w:rPr>
        <w:t>kraja</w:t>
      </w:r>
      <w:r w:rsidR="00BD0633" w:rsidRPr="00E95BC4">
        <w:rPr>
          <w:rFonts w:eastAsia="Times New Roman"/>
          <w:color w:val="auto"/>
          <w:kern w:val="0"/>
          <w:lang w:val="sr-Cyrl-CS"/>
        </w:rPr>
        <w:t xml:space="preserve"> </w:t>
      </w:r>
      <w:r w:rsidR="00713C9A" w:rsidRPr="00E95BC4">
        <w:rPr>
          <w:rFonts w:eastAsia="Times New Roman"/>
          <w:color w:val="auto"/>
          <w:kern w:val="0"/>
          <w:lang w:val="sr-Cyrl-CS"/>
        </w:rPr>
        <w:t xml:space="preserve">2019. </w:t>
      </w:r>
      <w:r>
        <w:rPr>
          <w:rFonts w:eastAsia="Times New Roman"/>
          <w:color w:val="auto"/>
          <w:kern w:val="0"/>
          <w:lang w:val="sr-Cyrl-CS"/>
        </w:rPr>
        <w:t>godine</w:t>
      </w:r>
      <w:r w:rsidR="00713C9A" w:rsidRPr="00E95BC4">
        <w:rPr>
          <w:rFonts w:eastAsia="Times New Roman"/>
          <w:color w:val="auto"/>
          <w:kern w:val="0"/>
          <w:lang w:val="sr-Cyrl-CS"/>
        </w:rPr>
        <w:t>.</w:t>
      </w:r>
    </w:p>
    <w:p w:rsidR="00713C9A" w:rsidRPr="00E95BC4" w:rsidRDefault="005818C0" w:rsidP="00E041C8">
      <w:pPr>
        <w:ind w:firstLine="720"/>
        <w:jc w:val="both"/>
        <w:rPr>
          <w:rFonts w:eastAsia="Times New Roman"/>
          <w:color w:val="auto"/>
          <w:kern w:val="0"/>
          <w:lang w:val="sr-Cyrl-CS"/>
        </w:rPr>
      </w:pPr>
      <w:r>
        <w:rPr>
          <w:rFonts w:eastAsia="Times New Roman"/>
          <w:color w:val="auto"/>
          <w:kern w:val="0"/>
          <w:lang w:val="sr-Cyrl-CS"/>
        </w:rPr>
        <w:t>Treća</w:t>
      </w:r>
      <w:r w:rsidR="00BD0633" w:rsidRPr="00E95BC4">
        <w:rPr>
          <w:rFonts w:eastAsia="Times New Roman"/>
          <w:color w:val="auto"/>
          <w:kern w:val="0"/>
          <w:lang w:val="sr-Cyrl-CS"/>
        </w:rPr>
        <w:t xml:space="preserve"> </w:t>
      </w:r>
      <w:r>
        <w:rPr>
          <w:rFonts w:eastAsia="Times New Roman"/>
          <w:color w:val="auto"/>
          <w:kern w:val="0"/>
          <w:lang w:val="sr-Cyrl-CS"/>
        </w:rPr>
        <w:t>strategija</w:t>
      </w:r>
      <w:r w:rsidR="00DB0EA6" w:rsidRPr="00E95BC4">
        <w:rPr>
          <w:rFonts w:eastAsia="Times New Roman"/>
          <w:color w:val="auto"/>
          <w:kern w:val="0"/>
          <w:lang w:val="sr-Cyrl-CS"/>
        </w:rPr>
        <w:t xml:space="preserve"> </w:t>
      </w:r>
      <w:r>
        <w:rPr>
          <w:rFonts w:eastAsia="Times New Roman"/>
          <w:color w:val="auto"/>
          <w:kern w:val="0"/>
          <w:lang w:val="sr-Cyrl-CS"/>
        </w:rPr>
        <w:t>za</w:t>
      </w:r>
      <w:r w:rsidR="00DB0EA6" w:rsidRPr="00E95BC4">
        <w:rPr>
          <w:rFonts w:eastAsia="Times New Roman"/>
          <w:color w:val="auto"/>
          <w:kern w:val="0"/>
          <w:lang w:val="sr-Cyrl-CS"/>
        </w:rPr>
        <w:t xml:space="preserve"> </w:t>
      </w:r>
      <w:r>
        <w:rPr>
          <w:rFonts w:eastAsia="Times New Roman"/>
          <w:color w:val="auto"/>
          <w:kern w:val="0"/>
          <w:lang w:val="sr-Cyrl-CS"/>
        </w:rPr>
        <w:t>borbu</w:t>
      </w:r>
      <w:r w:rsidR="00DB0EA6" w:rsidRPr="00E95BC4">
        <w:rPr>
          <w:rFonts w:eastAsia="Times New Roman"/>
          <w:color w:val="auto"/>
          <w:kern w:val="0"/>
          <w:lang w:val="sr-Cyrl-CS"/>
        </w:rPr>
        <w:t xml:space="preserve"> </w:t>
      </w:r>
      <w:r>
        <w:rPr>
          <w:rFonts w:eastAsia="Times New Roman"/>
          <w:color w:val="auto"/>
          <w:kern w:val="0"/>
          <w:lang w:val="sr-Cyrl-CS"/>
        </w:rPr>
        <w:t>protiv</w:t>
      </w:r>
      <w:r w:rsidR="00DB0EA6" w:rsidRPr="00E95BC4">
        <w:rPr>
          <w:rFonts w:eastAsia="Times New Roman"/>
          <w:color w:val="auto"/>
          <w:kern w:val="0"/>
          <w:lang w:val="sr-Cyrl-CS"/>
        </w:rPr>
        <w:t xml:space="preserve"> </w:t>
      </w:r>
      <w:r>
        <w:rPr>
          <w:rFonts w:eastAsia="Times New Roman"/>
          <w:color w:val="auto"/>
          <w:kern w:val="0"/>
          <w:lang w:val="sr-Cyrl-CS"/>
        </w:rPr>
        <w:t>pranja</w:t>
      </w:r>
      <w:r w:rsidR="00DB0EA6" w:rsidRPr="00E95BC4">
        <w:rPr>
          <w:rFonts w:eastAsia="Times New Roman"/>
          <w:color w:val="auto"/>
          <w:kern w:val="0"/>
          <w:lang w:val="sr-Cyrl-CS"/>
        </w:rPr>
        <w:t xml:space="preserve"> </w:t>
      </w:r>
      <w:r>
        <w:rPr>
          <w:rFonts w:eastAsia="Times New Roman"/>
          <w:color w:val="auto"/>
          <w:kern w:val="0"/>
          <w:lang w:val="sr-Cyrl-CS"/>
        </w:rPr>
        <w:t>novca</w:t>
      </w:r>
      <w:r w:rsidR="00DB0EA6" w:rsidRPr="00E95BC4">
        <w:rPr>
          <w:rFonts w:eastAsia="Times New Roman"/>
          <w:color w:val="auto"/>
          <w:kern w:val="0"/>
          <w:lang w:val="sr-Cyrl-CS"/>
        </w:rPr>
        <w:t xml:space="preserve"> </w:t>
      </w:r>
      <w:r>
        <w:rPr>
          <w:rFonts w:eastAsia="Times New Roman"/>
          <w:color w:val="auto"/>
          <w:kern w:val="0"/>
          <w:lang w:val="sr-Cyrl-CS"/>
        </w:rPr>
        <w:t>i</w:t>
      </w:r>
      <w:r w:rsidR="00DB0EA6" w:rsidRPr="00E95BC4">
        <w:rPr>
          <w:rFonts w:eastAsia="Times New Roman"/>
          <w:color w:val="auto"/>
          <w:kern w:val="0"/>
          <w:lang w:val="sr-Cyrl-CS"/>
        </w:rPr>
        <w:t xml:space="preserve"> </w:t>
      </w:r>
      <w:r>
        <w:rPr>
          <w:rFonts w:eastAsia="Times New Roman"/>
          <w:color w:val="auto"/>
          <w:kern w:val="0"/>
          <w:lang w:val="sr-Cyrl-CS"/>
        </w:rPr>
        <w:t>finansiranja</w:t>
      </w:r>
      <w:r w:rsidR="00DB0EA6" w:rsidRPr="00E95BC4">
        <w:rPr>
          <w:rFonts w:eastAsia="Times New Roman"/>
          <w:color w:val="auto"/>
          <w:kern w:val="0"/>
          <w:lang w:val="sr-Cyrl-CS"/>
        </w:rPr>
        <w:t xml:space="preserve"> </w:t>
      </w:r>
      <w:r>
        <w:rPr>
          <w:rFonts w:eastAsia="Times New Roman"/>
          <w:color w:val="auto"/>
          <w:kern w:val="0"/>
          <w:lang w:val="sr-Cyrl-CS"/>
        </w:rPr>
        <w:t>terorizma</w:t>
      </w:r>
      <w:r w:rsidR="00DB0EA6" w:rsidRPr="00E95BC4">
        <w:rPr>
          <w:rFonts w:eastAsia="Times New Roman"/>
          <w:color w:val="auto"/>
          <w:kern w:val="0"/>
          <w:lang w:val="sr-Cyrl-CS"/>
        </w:rPr>
        <w:t xml:space="preserve"> (</w:t>
      </w:r>
      <w:r>
        <w:rPr>
          <w:rFonts w:eastAsia="Times New Roman"/>
          <w:color w:val="auto"/>
          <w:kern w:val="0"/>
          <w:lang w:val="sr-Cyrl-CS"/>
        </w:rPr>
        <w:t>u</w:t>
      </w:r>
      <w:r w:rsidR="00DB0EA6" w:rsidRPr="00E95BC4">
        <w:rPr>
          <w:rFonts w:eastAsia="Times New Roman"/>
          <w:color w:val="auto"/>
          <w:kern w:val="0"/>
          <w:lang w:val="sr-Cyrl-CS"/>
        </w:rPr>
        <w:t xml:space="preserve"> </w:t>
      </w:r>
      <w:r>
        <w:rPr>
          <w:rFonts w:eastAsia="Times New Roman"/>
          <w:color w:val="auto"/>
          <w:kern w:val="0"/>
          <w:lang w:val="sr-Cyrl-CS"/>
        </w:rPr>
        <w:t>daljem</w:t>
      </w:r>
      <w:r w:rsidR="00DB0EA6" w:rsidRPr="00E95BC4">
        <w:rPr>
          <w:rFonts w:eastAsia="Times New Roman"/>
          <w:color w:val="auto"/>
          <w:kern w:val="0"/>
          <w:lang w:val="sr-Cyrl-CS"/>
        </w:rPr>
        <w:t xml:space="preserve"> </w:t>
      </w:r>
      <w:r>
        <w:rPr>
          <w:rFonts w:eastAsia="Times New Roman"/>
          <w:color w:val="auto"/>
          <w:kern w:val="0"/>
          <w:lang w:val="sr-Cyrl-CS"/>
        </w:rPr>
        <w:t>tekstu</w:t>
      </w:r>
      <w:r w:rsidR="00DB0EA6" w:rsidRPr="00E95BC4">
        <w:rPr>
          <w:rFonts w:eastAsia="Times New Roman"/>
          <w:color w:val="auto"/>
          <w:kern w:val="0"/>
          <w:lang w:val="sr-Cyrl-CS"/>
        </w:rPr>
        <w:t xml:space="preserve">: </w:t>
      </w:r>
      <w:r>
        <w:rPr>
          <w:rFonts w:eastAsia="Times New Roman"/>
          <w:color w:val="auto"/>
          <w:kern w:val="0"/>
          <w:lang w:val="sr-Cyrl-CS"/>
        </w:rPr>
        <w:t>Strategija</w:t>
      </w:r>
      <w:r w:rsidR="00DB0EA6" w:rsidRPr="00E95BC4">
        <w:rPr>
          <w:rFonts w:eastAsia="Times New Roman"/>
          <w:color w:val="auto"/>
          <w:kern w:val="0"/>
          <w:lang w:val="sr-Cyrl-CS"/>
        </w:rPr>
        <w:t>)</w:t>
      </w:r>
      <w:r w:rsidR="00BD0633" w:rsidRPr="00E95BC4">
        <w:rPr>
          <w:rFonts w:eastAsia="Times New Roman"/>
          <w:color w:val="auto"/>
          <w:kern w:val="0"/>
          <w:lang w:val="sr-Cyrl-CS"/>
        </w:rPr>
        <w:t xml:space="preserve">, </w:t>
      </w:r>
      <w:r>
        <w:rPr>
          <w:rFonts w:eastAsia="Times New Roman"/>
          <w:color w:val="auto"/>
          <w:kern w:val="0"/>
          <w:lang w:val="sr-Cyrl-CS"/>
        </w:rPr>
        <w:t>koja</w:t>
      </w:r>
      <w:r w:rsidR="00BD0633" w:rsidRPr="00E95BC4">
        <w:rPr>
          <w:rFonts w:eastAsia="Times New Roman"/>
          <w:color w:val="auto"/>
          <w:kern w:val="0"/>
          <w:lang w:val="sr-Cyrl-CS"/>
        </w:rPr>
        <w:t xml:space="preserve"> </w:t>
      </w:r>
      <w:r>
        <w:rPr>
          <w:rFonts w:eastAsia="Times New Roman"/>
          <w:color w:val="auto"/>
          <w:kern w:val="0"/>
          <w:lang w:val="sr-Cyrl-CS"/>
        </w:rPr>
        <w:t>se</w:t>
      </w:r>
      <w:r w:rsidR="00BD0633" w:rsidRPr="00E95BC4">
        <w:rPr>
          <w:rFonts w:eastAsia="Times New Roman"/>
          <w:color w:val="auto"/>
          <w:kern w:val="0"/>
          <w:lang w:val="sr-Cyrl-CS"/>
        </w:rPr>
        <w:t xml:space="preserve"> </w:t>
      </w:r>
      <w:r>
        <w:rPr>
          <w:rFonts w:eastAsia="Times New Roman"/>
          <w:color w:val="auto"/>
          <w:kern w:val="0"/>
          <w:lang w:val="sr-Cyrl-CS"/>
        </w:rPr>
        <w:t>donosi</w:t>
      </w:r>
      <w:r w:rsidR="00BD0633" w:rsidRPr="00E95BC4">
        <w:rPr>
          <w:rFonts w:eastAsia="Times New Roman"/>
          <w:color w:val="auto"/>
          <w:kern w:val="0"/>
          <w:lang w:val="sr-Cyrl-CS"/>
        </w:rPr>
        <w:t xml:space="preserve"> </w:t>
      </w:r>
      <w:r>
        <w:rPr>
          <w:rFonts w:eastAsia="Times New Roman"/>
          <w:color w:val="auto"/>
          <w:kern w:val="0"/>
          <w:lang w:val="sr-Cyrl-CS"/>
        </w:rPr>
        <w:t>za</w:t>
      </w:r>
      <w:r w:rsidR="00BD0633" w:rsidRPr="00E95BC4">
        <w:rPr>
          <w:rFonts w:eastAsia="Times New Roman"/>
          <w:color w:val="auto"/>
          <w:kern w:val="0"/>
          <w:lang w:val="sr-Cyrl-CS"/>
        </w:rPr>
        <w:t xml:space="preserve"> </w:t>
      </w:r>
      <w:r>
        <w:rPr>
          <w:rFonts w:eastAsia="Times New Roman"/>
          <w:color w:val="auto"/>
          <w:kern w:val="0"/>
          <w:lang w:val="sr-Cyrl-CS"/>
        </w:rPr>
        <w:t>period</w:t>
      </w:r>
      <w:r w:rsidR="00BD0633" w:rsidRPr="00E95BC4">
        <w:rPr>
          <w:rFonts w:eastAsia="Times New Roman"/>
          <w:color w:val="auto"/>
          <w:kern w:val="0"/>
          <w:lang w:val="sr-Cyrl-CS"/>
        </w:rPr>
        <w:t xml:space="preserve"> 2020-2024,</w:t>
      </w:r>
      <w:r w:rsidR="00E041C8" w:rsidRPr="00E95BC4">
        <w:rPr>
          <w:rFonts w:eastAsia="Times New Roman"/>
          <w:color w:val="auto"/>
          <w:kern w:val="0"/>
          <w:lang w:val="sr-Cyrl-CS"/>
        </w:rPr>
        <w:t xml:space="preserve"> </w:t>
      </w:r>
      <w:r>
        <w:rPr>
          <w:rFonts w:eastAsia="Times New Roman"/>
          <w:color w:val="auto"/>
          <w:kern w:val="0"/>
          <w:lang w:val="sr-Cyrl-CS"/>
        </w:rPr>
        <w:t>po</w:t>
      </w:r>
      <w:r w:rsidR="00E041C8" w:rsidRPr="00E95BC4">
        <w:rPr>
          <w:rFonts w:eastAsia="Times New Roman"/>
          <w:color w:val="auto"/>
          <w:kern w:val="0"/>
          <w:lang w:val="sr-Cyrl-CS"/>
        </w:rPr>
        <w:t xml:space="preserve"> </w:t>
      </w:r>
      <w:r>
        <w:rPr>
          <w:rFonts w:eastAsia="Times New Roman"/>
          <w:color w:val="auto"/>
          <w:kern w:val="0"/>
          <w:lang w:val="sr-Cyrl-CS"/>
        </w:rPr>
        <w:t>obuhvatu</w:t>
      </w:r>
      <w:r w:rsidR="00E041C8" w:rsidRPr="00E95BC4">
        <w:rPr>
          <w:rFonts w:eastAsia="Times New Roman"/>
          <w:color w:val="auto"/>
          <w:kern w:val="0"/>
          <w:lang w:val="sr-Cyrl-CS"/>
        </w:rPr>
        <w:t xml:space="preserve"> </w:t>
      </w:r>
      <w:r>
        <w:rPr>
          <w:rFonts w:eastAsia="Times New Roman"/>
          <w:color w:val="auto"/>
          <w:kern w:val="0"/>
          <w:lang w:val="sr-Cyrl-CS"/>
        </w:rPr>
        <w:t>će</w:t>
      </w:r>
      <w:r w:rsidR="00E041C8" w:rsidRPr="00E95BC4">
        <w:rPr>
          <w:rFonts w:eastAsia="Times New Roman"/>
          <w:color w:val="auto"/>
          <w:kern w:val="0"/>
          <w:lang w:val="sr-Cyrl-CS"/>
        </w:rPr>
        <w:t xml:space="preserve"> </w:t>
      </w:r>
      <w:r>
        <w:rPr>
          <w:rFonts w:eastAsia="Times New Roman"/>
          <w:color w:val="auto"/>
          <w:kern w:val="0"/>
          <w:lang w:val="sr-Cyrl-CS"/>
        </w:rPr>
        <w:t>takođe</w:t>
      </w:r>
      <w:r w:rsidR="00E041C8" w:rsidRPr="00E95BC4">
        <w:rPr>
          <w:rFonts w:eastAsia="Times New Roman"/>
          <w:color w:val="auto"/>
          <w:kern w:val="0"/>
          <w:lang w:val="sr-Cyrl-CS"/>
        </w:rPr>
        <w:t xml:space="preserve"> </w:t>
      </w:r>
      <w:r>
        <w:rPr>
          <w:rFonts w:eastAsia="Times New Roman"/>
          <w:color w:val="auto"/>
          <w:kern w:val="0"/>
          <w:lang w:val="sr-Cyrl-CS"/>
        </w:rPr>
        <w:t>biti</w:t>
      </w:r>
      <w:r w:rsidR="00E041C8" w:rsidRPr="00E95BC4">
        <w:rPr>
          <w:rFonts w:eastAsia="Times New Roman"/>
          <w:color w:val="auto"/>
          <w:kern w:val="0"/>
          <w:lang w:val="sr-Cyrl-CS"/>
        </w:rPr>
        <w:t xml:space="preserve"> </w:t>
      </w:r>
      <w:r>
        <w:rPr>
          <w:rFonts w:eastAsia="Times New Roman"/>
          <w:color w:val="auto"/>
          <w:kern w:val="0"/>
          <w:lang w:val="sr-Cyrl-CS"/>
        </w:rPr>
        <w:t>nacionalna</w:t>
      </w:r>
      <w:r w:rsidR="002B23AB" w:rsidRPr="00E95BC4">
        <w:rPr>
          <w:rFonts w:eastAsia="Times New Roman"/>
          <w:color w:val="auto"/>
          <w:kern w:val="0"/>
          <w:lang w:val="sr-Cyrl-CS"/>
        </w:rPr>
        <w:t xml:space="preserve">, </w:t>
      </w:r>
      <w:r>
        <w:rPr>
          <w:rFonts w:eastAsia="Times New Roman"/>
          <w:color w:val="auto"/>
          <w:kern w:val="0"/>
          <w:lang w:val="sr-Cyrl-CS"/>
        </w:rPr>
        <w:t>u</w:t>
      </w:r>
      <w:r w:rsidR="002B23AB" w:rsidRPr="00E95BC4">
        <w:rPr>
          <w:rFonts w:eastAsia="Times New Roman"/>
          <w:color w:val="auto"/>
          <w:kern w:val="0"/>
          <w:lang w:val="sr-Cyrl-CS"/>
        </w:rPr>
        <w:t xml:space="preserve"> </w:t>
      </w:r>
      <w:r>
        <w:rPr>
          <w:rFonts w:eastAsia="Times New Roman"/>
          <w:color w:val="auto"/>
          <w:kern w:val="0"/>
          <w:lang w:val="sr-Cyrl-CS"/>
        </w:rPr>
        <w:t>skladu</w:t>
      </w:r>
      <w:r w:rsidR="002B23AB" w:rsidRPr="00E95BC4">
        <w:rPr>
          <w:rFonts w:eastAsia="Times New Roman"/>
          <w:color w:val="auto"/>
          <w:kern w:val="0"/>
          <w:lang w:val="sr-Cyrl-CS"/>
        </w:rPr>
        <w:t xml:space="preserve"> </w:t>
      </w:r>
      <w:r>
        <w:rPr>
          <w:rFonts w:eastAsia="Times New Roman"/>
          <w:color w:val="auto"/>
          <w:kern w:val="0"/>
          <w:lang w:val="sr-Cyrl-CS"/>
        </w:rPr>
        <w:t>sa</w:t>
      </w:r>
      <w:r w:rsidR="002B23AB" w:rsidRPr="00E95BC4">
        <w:rPr>
          <w:rFonts w:eastAsia="Times New Roman"/>
          <w:color w:val="auto"/>
          <w:kern w:val="0"/>
          <w:lang w:val="sr-Cyrl-CS"/>
        </w:rPr>
        <w:t xml:space="preserve"> </w:t>
      </w:r>
      <w:r>
        <w:rPr>
          <w:rFonts w:eastAsia="Times New Roman"/>
          <w:color w:val="auto"/>
          <w:kern w:val="0"/>
          <w:lang w:val="sr-Cyrl-CS"/>
        </w:rPr>
        <w:t>Zakonom</w:t>
      </w:r>
      <w:r w:rsidR="002B23AB" w:rsidRPr="00E95BC4">
        <w:rPr>
          <w:rFonts w:eastAsia="Times New Roman"/>
          <w:color w:val="auto"/>
          <w:kern w:val="0"/>
          <w:lang w:val="sr-Cyrl-CS"/>
        </w:rPr>
        <w:t xml:space="preserve"> </w:t>
      </w:r>
      <w:r>
        <w:rPr>
          <w:rFonts w:eastAsia="Times New Roman"/>
          <w:color w:val="auto"/>
          <w:kern w:val="0"/>
          <w:lang w:val="sr-Cyrl-CS"/>
        </w:rPr>
        <w:t>o</w:t>
      </w:r>
      <w:r w:rsidR="002B23AB" w:rsidRPr="00E95BC4">
        <w:rPr>
          <w:rFonts w:eastAsia="Times New Roman"/>
          <w:color w:val="auto"/>
          <w:kern w:val="0"/>
          <w:lang w:val="sr-Cyrl-CS"/>
        </w:rPr>
        <w:t xml:space="preserve"> </w:t>
      </w:r>
      <w:r>
        <w:rPr>
          <w:rFonts w:eastAsia="Times New Roman"/>
          <w:color w:val="auto"/>
          <w:kern w:val="0"/>
          <w:lang w:val="sr-Cyrl-CS"/>
        </w:rPr>
        <w:t>planskom</w:t>
      </w:r>
      <w:r w:rsidR="002B23AB" w:rsidRPr="00E95BC4">
        <w:rPr>
          <w:rFonts w:eastAsia="Times New Roman"/>
          <w:color w:val="auto"/>
          <w:kern w:val="0"/>
          <w:lang w:val="sr-Cyrl-CS"/>
        </w:rPr>
        <w:t xml:space="preserve"> </w:t>
      </w:r>
      <w:r>
        <w:rPr>
          <w:rFonts w:eastAsia="Times New Roman"/>
          <w:color w:val="auto"/>
          <w:kern w:val="0"/>
          <w:lang w:val="sr-Cyrl-CS"/>
        </w:rPr>
        <w:t>sistemu</w:t>
      </w:r>
      <w:r w:rsidR="00603DAA" w:rsidRPr="00E95BC4">
        <w:rPr>
          <w:rFonts w:eastAsia="Times New Roman"/>
          <w:color w:val="auto"/>
          <w:kern w:val="0"/>
          <w:lang w:val="sr-Cyrl-CS"/>
        </w:rPr>
        <w:t xml:space="preserve"> </w:t>
      </w:r>
      <w:r>
        <w:rPr>
          <w:rFonts w:eastAsia="Times New Roman"/>
          <w:color w:val="auto"/>
          <w:kern w:val="0"/>
          <w:lang w:val="sr-Cyrl-CS"/>
        </w:rPr>
        <w:t>Republike</w:t>
      </w:r>
      <w:r w:rsidR="00603DAA" w:rsidRPr="00E95BC4">
        <w:rPr>
          <w:rFonts w:eastAsia="Times New Roman"/>
          <w:color w:val="auto"/>
          <w:kern w:val="0"/>
          <w:lang w:val="sr-Cyrl-CS"/>
        </w:rPr>
        <w:t xml:space="preserve"> </w:t>
      </w:r>
      <w:r>
        <w:rPr>
          <w:rFonts w:eastAsia="Times New Roman"/>
          <w:color w:val="auto"/>
          <w:kern w:val="0"/>
          <w:lang w:val="sr-Cyrl-CS"/>
        </w:rPr>
        <w:t>Srbije</w:t>
      </w:r>
      <w:r w:rsidR="00E041C8" w:rsidRPr="00E95BC4">
        <w:rPr>
          <w:rFonts w:eastAsia="Times New Roman"/>
          <w:color w:val="auto"/>
          <w:kern w:val="0"/>
          <w:lang w:val="sr-Cyrl-CS"/>
        </w:rPr>
        <w:t xml:space="preserve">. </w:t>
      </w:r>
      <w:r>
        <w:rPr>
          <w:rFonts w:eastAsia="Times New Roman"/>
          <w:color w:val="auto"/>
          <w:kern w:val="0"/>
          <w:lang w:val="sr-Cyrl-CS"/>
        </w:rPr>
        <w:t>Strategija</w:t>
      </w:r>
      <w:r w:rsidR="00E041C8" w:rsidRPr="00E95BC4">
        <w:rPr>
          <w:rFonts w:eastAsia="Times New Roman"/>
          <w:color w:val="auto"/>
          <w:kern w:val="0"/>
          <w:lang w:val="sr-Cyrl-CS"/>
        </w:rPr>
        <w:t xml:space="preserve"> </w:t>
      </w:r>
      <w:r>
        <w:rPr>
          <w:rFonts w:eastAsia="Times New Roman"/>
          <w:color w:val="auto"/>
          <w:kern w:val="0"/>
          <w:lang w:val="sr-Cyrl-CS"/>
        </w:rPr>
        <w:t>se</w:t>
      </w:r>
      <w:r w:rsidR="00E041C8" w:rsidRPr="00E95BC4">
        <w:rPr>
          <w:rFonts w:eastAsia="Times New Roman"/>
          <w:color w:val="auto"/>
          <w:kern w:val="0"/>
          <w:lang w:val="sr-Cyrl-CS"/>
        </w:rPr>
        <w:t xml:space="preserve"> </w:t>
      </w:r>
      <w:r>
        <w:rPr>
          <w:rFonts w:eastAsia="Times New Roman"/>
          <w:color w:val="auto"/>
          <w:kern w:val="0"/>
          <w:lang w:val="sr-Cyrl-CS"/>
        </w:rPr>
        <w:t>nadovezuje</w:t>
      </w:r>
      <w:r w:rsidR="00713C9A" w:rsidRPr="00E95BC4">
        <w:rPr>
          <w:rFonts w:eastAsia="Times New Roman"/>
          <w:color w:val="auto"/>
          <w:kern w:val="0"/>
          <w:lang w:val="sr-Cyrl-CS"/>
        </w:rPr>
        <w:t xml:space="preserve"> </w:t>
      </w:r>
      <w:r>
        <w:rPr>
          <w:rFonts w:eastAsia="Times New Roman"/>
          <w:color w:val="auto"/>
          <w:kern w:val="0"/>
          <w:lang w:val="sr-Cyrl-CS"/>
        </w:rPr>
        <w:t>na</w:t>
      </w:r>
      <w:r w:rsidR="00713C9A" w:rsidRPr="00E95BC4">
        <w:rPr>
          <w:rFonts w:eastAsia="Times New Roman"/>
          <w:color w:val="auto"/>
          <w:kern w:val="0"/>
          <w:lang w:val="sr-Cyrl-CS"/>
        </w:rPr>
        <w:t xml:space="preserve"> </w:t>
      </w:r>
      <w:r>
        <w:rPr>
          <w:rFonts w:eastAsia="Times New Roman"/>
          <w:color w:val="auto"/>
          <w:kern w:val="0"/>
          <w:lang w:val="sr-Cyrl-CS"/>
        </w:rPr>
        <w:t>prethodne</w:t>
      </w:r>
      <w:r w:rsidR="00713C9A" w:rsidRPr="00E95BC4">
        <w:rPr>
          <w:rFonts w:eastAsia="Times New Roman"/>
          <w:color w:val="auto"/>
          <w:kern w:val="0"/>
          <w:lang w:val="sr-Cyrl-CS"/>
        </w:rPr>
        <w:t xml:space="preserve"> </w:t>
      </w:r>
      <w:r>
        <w:rPr>
          <w:rFonts w:eastAsia="Times New Roman"/>
          <w:color w:val="auto"/>
          <w:kern w:val="0"/>
          <w:lang w:val="sr-Cyrl-CS"/>
        </w:rPr>
        <w:t>dve</w:t>
      </w:r>
      <w:r w:rsidR="0004492D" w:rsidRPr="00E95BC4">
        <w:rPr>
          <w:rFonts w:eastAsia="Times New Roman"/>
          <w:color w:val="auto"/>
          <w:kern w:val="0"/>
          <w:lang w:val="sr-Cyrl-CS"/>
        </w:rPr>
        <w:t xml:space="preserve"> </w:t>
      </w:r>
      <w:r>
        <w:rPr>
          <w:rFonts w:eastAsia="Times New Roman"/>
          <w:color w:val="auto"/>
          <w:kern w:val="0"/>
          <w:lang w:val="sr-Cyrl-CS"/>
        </w:rPr>
        <w:t>strategije</w:t>
      </w:r>
      <w:r w:rsidR="0004492D" w:rsidRPr="00E95BC4">
        <w:rPr>
          <w:rFonts w:eastAsia="Times New Roman"/>
          <w:color w:val="auto"/>
          <w:kern w:val="0"/>
          <w:lang w:val="sr-Cyrl-CS"/>
        </w:rPr>
        <w:t xml:space="preserve"> </w:t>
      </w:r>
      <w:r>
        <w:rPr>
          <w:rFonts w:eastAsia="Times New Roman"/>
          <w:color w:val="auto"/>
          <w:kern w:val="0"/>
          <w:lang w:val="sr-Cyrl-CS"/>
        </w:rPr>
        <w:t>i</w:t>
      </w:r>
      <w:r w:rsidR="0004492D" w:rsidRPr="00E95BC4">
        <w:rPr>
          <w:rFonts w:eastAsia="Times New Roman"/>
          <w:color w:val="auto"/>
          <w:kern w:val="0"/>
          <w:lang w:val="sr-Cyrl-CS"/>
        </w:rPr>
        <w:t xml:space="preserve"> </w:t>
      </w:r>
      <w:r>
        <w:rPr>
          <w:rFonts w:eastAsia="Times New Roman"/>
          <w:color w:val="auto"/>
          <w:kern w:val="0"/>
          <w:lang w:val="sr-Cyrl-CS"/>
        </w:rPr>
        <w:t>ima</w:t>
      </w:r>
      <w:r w:rsidR="00713C9A" w:rsidRPr="00E95BC4">
        <w:rPr>
          <w:rFonts w:eastAsia="Times New Roman"/>
          <w:color w:val="auto"/>
          <w:kern w:val="0"/>
          <w:lang w:val="sr-Cyrl-CS"/>
        </w:rPr>
        <w:t xml:space="preserve"> </w:t>
      </w:r>
      <w:r>
        <w:rPr>
          <w:rFonts w:eastAsia="Times New Roman"/>
          <w:color w:val="auto"/>
          <w:kern w:val="0"/>
          <w:lang w:val="sr-Cyrl-CS"/>
        </w:rPr>
        <w:t>za</w:t>
      </w:r>
      <w:r w:rsidR="00713C9A" w:rsidRPr="00E95BC4">
        <w:rPr>
          <w:rFonts w:eastAsia="Times New Roman"/>
          <w:color w:val="auto"/>
          <w:kern w:val="0"/>
          <w:lang w:val="sr-Cyrl-CS"/>
        </w:rPr>
        <w:t xml:space="preserve"> </w:t>
      </w:r>
      <w:r>
        <w:rPr>
          <w:rFonts w:eastAsia="Times New Roman"/>
          <w:color w:val="auto"/>
          <w:kern w:val="0"/>
          <w:lang w:val="sr-Cyrl-CS"/>
        </w:rPr>
        <w:t>cilj</w:t>
      </w:r>
      <w:r w:rsidR="00713C9A" w:rsidRPr="00E95BC4">
        <w:rPr>
          <w:rFonts w:eastAsia="Times New Roman"/>
          <w:color w:val="auto"/>
          <w:kern w:val="0"/>
          <w:lang w:val="sr-Cyrl-CS"/>
        </w:rPr>
        <w:t xml:space="preserve"> </w:t>
      </w:r>
      <w:r>
        <w:rPr>
          <w:rFonts w:eastAsia="Times New Roman"/>
          <w:color w:val="auto"/>
          <w:kern w:val="0"/>
          <w:lang w:val="sr-Cyrl-CS"/>
        </w:rPr>
        <w:t>da</w:t>
      </w:r>
      <w:r w:rsidR="00713C9A" w:rsidRPr="00E95BC4">
        <w:rPr>
          <w:rFonts w:eastAsia="Times New Roman"/>
          <w:color w:val="auto"/>
          <w:kern w:val="0"/>
          <w:lang w:val="sr-Cyrl-CS"/>
        </w:rPr>
        <w:t xml:space="preserve"> </w:t>
      </w:r>
      <w:r>
        <w:rPr>
          <w:rFonts w:eastAsia="Times New Roman"/>
          <w:color w:val="auto"/>
          <w:kern w:val="0"/>
          <w:lang w:val="sr-Cyrl-CS"/>
        </w:rPr>
        <w:t>razradi</w:t>
      </w:r>
      <w:r w:rsidR="00713C9A" w:rsidRPr="00E95BC4">
        <w:rPr>
          <w:rFonts w:eastAsia="Times New Roman"/>
          <w:color w:val="auto"/>
          <w:kern w:val="0"/>
          <w:lang w:val="sr-Cyrl-CS"/>
        </w:rPr>
        <w:t xml:space="preserve"> </w:t>
      </w:r>
      <w:r>
        <w:rPr>
          <w:rFonts w:eastAsia="Times New Roman"/>
          <w:color w:val="auto"/>
          <w:kern w:val="0"/>
          <w:lang w:val="sr-Cyrl-CS"/>
        </w:rPr>
        <w:t>sistem</w:t>
      </w:r>
      <w:r w:rsidR="00713C9A" w:rsidRPr="00E95BC4">
        <w:rPr>
          <w:rFonts w:eastAsia="Times New Roman"/>
          <w:color w:val="auto"/>
          <w:kern w:val="0"/>
          <w:lang w:val="sr-Cyrl-CS"/>
        </w:rPr>
        <w:t xml:space="preserve"> </w:t>
      </w:r>
      <w:r>
        <w:rPr>
          <w:rFonts w:eastAsia="Times New Roman"/>
          <w:color w:val="auto"/>
          <w:kern w:val="0"/>
          <w:lang w:val="sr-Cyrl-CS"/>
        </w:rPr>
        <w:t>za</w:t>
      </w:r>
      <w:r w:rsidR="00713C9A" w:rsidRPr="00E95BC4">
        <w:rPr>
          <w:rFonts w:eastAsia="Times New Roman"/>
          <w:color w:val="auto"/>
          <w:kern w:val="0"/>
          <w:lang w:val="sr-Cyrl-CS"/>
        </w:rPr>
        <w:t xml:space="preserve"> </w:t>
      </w:r>
      <w:r>
        <w:rPr>
          <w:rFonts w:eastAsia="Times New Roman"/>
          <w:color w:val="auto"/>
          <w:kern w:val="0"/>
          <w:lang w:val="sr-Cyrl-CS"/>
        </w:rPr>
        <w:t>borbu</w:t>
      </w:r>
      <w:r w:rsidR="00713C9A" w:rsidRPr="00E95BC4">
        <w:rPr>
          <w:rFonts w:eastAsia="Times New Roman"/>
          <w:color w:val="auto"/>
          <w:kern w:val="0"/>
          <w:lang w:val="sr-Cyrl-CS"/>
        </w:rPr>
        <w:t xml:space="preserve"> </w:t>
      </w:r>
      <w:r>
        <w:rPr>
          <w:rFonts w:eastAsia="Times New Roman"/>
          <w:color w:val="auto"/>
          <w:kern w:val="0"/>
          <w:lang w:val="sr-Cyrl-CS"/>
        </w:rPr>
        <w:t>protiv</w:t>
      </w:r>
      <w:r w:rsidR="00713C9A" w:rsidRPr="00E95BC4">
        <w:rPr>
          <w:rFonts w:eastAsia="Times New Roman"/>
          <w:color w:val="auto"/>
          <w:kern w:val="0"/>
          <w:lang w:val="sr-Cyrl-CS"/>
        </w:rPr>
        <w:t xml:space="preserve"> </w:t>
      </w:r>
      <w:r>
        <w:rPr>
          <w:rFonts w:eastAsia="Times New Roman"/>
          <w:color w:val="auto"/>
          <w:kern w:val="0"/>
          <w:lang w:val="sr-Cyrl-CS"/>
        </w:rPr>
        <w:t>pranja</w:t>
      </w:r>
      <w:r w:rsidR="00713C9A" w:rsidRPr="00E95BC4">
        <w:rPr>
          <w:rFonts w:eastAsia="Times New Roman"/>
          <w:color w:val="auto"/>
          <w:kern w:val="0"/>
          <w:lang w:val="sr-Cyrl-CS"/>
        </w:rPr>
        <w:t xml:space="preserve"> </w:t>
      </w:r>
      <w:r>
        <w:rPr>
          <w:rFonts w:eastAsia="Times New Roman"/>
          <w:color w:val="auto"/>
          <w:kern w:val="0"/>
          <w:lang w:val="sr-Cyrl-CS"/>
        </w:rPr>
        <w:t>novca</w:t>
      </w:r>
      <w:r w:rsidR="00713C9A" w:rsidRPr="00E95BC4">
        <w:rPr>
          <w:rFonts w:eastAsia="Times New Roman"/>
          <w:color w:val="auto"/>
          <w:kern w:val="0"/>
          <w:lang w:val="sr-Cyrl-CS"/>
        </w:rPr>
        <w:t xml:space="preserve"> </w:t>
      </w:r>
      <w:r>
        <w:rPr>
          <w:rFonts w:eastAsia="Times New Roman"/>
          <w:color w:val="auto"/>
          <w:kern w:val="0"/>
          <w:lang w:val="sr-Cyrl-CS"/>
        </w:rPr>
        <w:t>i</w:t>
      </w:r>
      <w:r w:rsidR="00713C9A" w:rsidRPr="00E95BC4">
        <w:rPr>
          <w:rFonts w:eastAsia="Times New Roman"/>
          <w:color w:val="auto"/>
          <w:kern w:val="0"/>
          <w:lang w:val="sr-Cyrl-CS"/>
        </w:rPr>
        <w:t xml:space="preserve"> </w:t>
      </w:r>
      <w:r>
        <w:rPr>
          <w:rFonts w:eastAsia="Times New Roman"/>
          <w:color w:val="auto"/>
          <w:kern w:val="0"/>
          <w:lang w:val="sr-Cyrl-CS"/>
        </w:rPr>
        <w:t>finansiranja</w:t>
      </w:r>
      <w:r w:rsidR="00713C9A" w:rsidRPr="00E95BC4">
        <w:rPr>
          <w:rFonts w:eastAsia="Times New Roman"/>
          <w:color w:val="auto"/>
          <w:kern w:val="0"/>
          <w:lang w:val="sr-Cyrl-CS"/>
        </w:rPr>
        <w:t xml:space="preserve"> </w:t>
      </w:r>
      <w:r>
        <w:rPr>
          <w:rFonts w:eastAsia="Times New Roman"/>
          <w:color w:val="auto"/>
          <w:kern w:val="0"/>
          <w:lang w:val="sr-Cyrl-CS"/>
        </w:rPr>
        <w:t>terorizma</w:t>
      </w:r>
      <w:r w:rsidR="00713C9A" w:rsidRPr="00E95BC4">
        <w:rPr>
          <w:rFonts w:eastAsia="Times New Roman"/>
          <w:color w:val="auto"/>
          <w:kern w:val="0"/>
          <w:lang w:val="sr-Cyrl-CS"/>
        </w:rPr>
        <w:t xml:space="preserve"> </w:t>
      </w:r>
      <w:r>
        <w:rPr>
          <w:rFonts w:eastAsia="Times New Roman"/>
          <w:color w:val="auto"/>
          <w:kern w:val="0"/>
          <w:lang w:val="sr-Cyrl-CS"/>
        </w:rPr>
        <w:t>u</w:t>
      </w:r>
      <w:r w:rsidR="00713C9A" w:rsidRPr="00E95BC4">
        <w:rPr>
          <w:rFonts w:eastAsia="Times New Roman"/>
          <w:color w:val="auto"/>
          <w:kern w:val="0"/>
          <w:lang w:val="sr-Cyrl-CS"/>
        </w:rPr>
        <w:t xml:space="preserve"> </w:t>
      </w:r>
      <w:r>
        <w:rPr>
          <w:rFonts w:eastAsia="Times New Roman"/>
          <w:color w:val="auto"/>
          <w:kern w:val="0"/>
          <w:lang w:val="sr-Cyrl-CS"/>
        </w:rPr>
        <w:t>Republici</w:t>
      </w:r>
      <w:r w:rsidR="00713C9A" w:rsidRPr="00E95BC4">
        <w:rPr>
          <w:rFonts w:eastAsia="Times New Roman"/>
          <w:color w:val="auto"/>
          <w:kern w:val="0"/>
          <w:lang w:val="sr-Cyrl-CS"/>
        </w:rPr>
        <w:t xml:space="preserve"> </w:t>
      </w:r>
      <w:r>
        <w:rPr>
          <w:rFonts w:eastAsia="Times New Roman"/>
          <w:color w:val="auto"/>
          <w:kern w:val="0"/>
          <w:lang w:val="sr-Cyrl-CS"/>
        </w:rPr>
        <w:t>Srbiji</w:t>
      </w:r>
      <w:r w:rsidR="00713C9A" w:rsidRPr="00E95BC4">
        <w:rPr>
          <w:rFonts w:eastAsia="Times New Roman"/>
          <w:color w:val="auto"/>
          <w:kern w:val="0"/>
          <w:lang w:val="sr-Cyrl-CS"/>
        </w:rPr>
        <w:t xml:space="preserve"> </w:t>
      </w:r>
      <w:r>
        <w:rPr>
          <w:rFonts w:eastAsia="Times New Roman"/>
          <w:color w:val="auto"/>
          <w:kern w:val="0"/>
          <w:lang w:val="sr-Cyrl-CS"/>
        </w:rPr>
        <w:t>radi</w:t>
      </w:r>
      <w:r w:rsidR="00713C9A" w:rsidRPr="00E95BC4">
        <w:rPr>
          <w:rFonts w:eastAsia="Times New Roman"/>
          <w:color w:val="auto"/>
          <w:kern w:val="0"/>
          <w:lang w:val="sr-Cyrl-CS"/>
        </w:rPr>
        <w:t xml:space="preserve"> </w:t>
      </w:r>
      <w:r>
        <w:rPr>
          <w:rFonts w:eastAsia="Times New Roman"/>
          <w:color w:val="auto"/>
          <w:kern w:val="0"/>
          <w:lang w:val="sr-Cyrl-CS"/>
        </w:rPr>
        <w:t>uspešnog</w:t>
      </w:r>
      <w:r w:rsidR="00BD0633" w:rsidRPr="00E95BC4">
        <w:rPr>
          <w:rFonts w:eastAsia="Times New Roman"/>
          <w:color w:val="auto"/>
          <w:kern w:val="0"/>
          <w:lang w:val="sr-Cyrl-CS"/>
        </w:rPr>
        <w:t xml:space="preserve"> </w:t>
      </w:r>
      <w:r>
        <w:rPr>
          <w:rFonts w:eastAsia="Times New Roman"/>
          <w:color w:val="auto"/>
          <w:kern w:val="0"/>
          <w:lang w:val="sr-Cyrl-CS"/>
        </w:rPr>
        <w:t>suočavanja</w:t>
      </w:r>
      <w:r w:rsidR="00713C9A" w:rsidRPr="00E95BC4">
        <w:rPr>
          <w:rFonts w:eastAsia="Times New Roman"/>
          <w:color w:val="auto"/>
          <w:kern w:val="0"/>
          <w:lang w:val="sr-Cyrl-CS"/>
        </w:rPr>
        <w:t xml:space="preserve"> </w:t>
      </w:r>
      <w:r>
        <w:rPr>
          <w:rFonts w:eastAsia="Times New Roman"/>
          <w:color w:val="auto"/>
          <w:kern w:val="0"/>
          <w:lang w:val="sr-Cyrl-CS"/>
        </w:rPr>
        <w:t>sa</w:t>
      </w:r>
      <w:r w:rsidR="00713C9A" w:rsidRPr="00E95BC4">
        <w:rPr>
          <w:rFonts w:eastAsia="Times New Roman"/>
          <w:color w:val="auto"/>
          <w:kern w:val="0"/>
          <w:lang w:val="sr-Cyrl-CS"/>
        </w:rPr>
        <w:t xml:space="preserve"> </w:t>
      </w:r>
      <w:r>
        <w:rPr>
          <w:rFonts w:eastAsia="Times New Roman"/>
          <w:color w:val="auto"/>
          <w:kern w:val="0"/>
          <w:lang w:val="sr-Cyrl-CS"/>
        </w:rPr>
        <w:t>rizicima</w:t>
      </w:r>
      <w:r w:rsidR="00713C9A" w:rsidRPr="00E95BC4">
        <w:rPr>
          <w:rFonts w:eastAsia="Times New Roman"/>
          <w:color w:val="auto"/>
          <w:kern w:val="0"/>
          <w:lang w:val="sr-Cyrl-CS"/>
        </w:rPr>
        <w:t xml:space="preserve"> </w:t>
      </w:r>
      <w:r>
        <w:rPr>
          <w:rFonts w:eastAsia="Times New Roman"/>
          <w:color w:val="auto"/>
          <w:kern w:val="0"/>
          <w:lang w:val="sr-Cyrl-CS"/>
        </w:rPr>
        <w:t>utvrđenim</w:t>
      </w:r>
      <w:r w:rsidR="00713C9A" w:rsidRPr="00E95BC4">
        <w:rPr>
          <w:rFonts w:eastAsia="Times New Roman"/>
          <w:color w:val="auto"/>
          <w:kern w:val="0"/>
          <w:lang w:val="sr-Cyrl-CS"/>
        </w:rPr>
        <w:t xml:space="preserve"> </w:t>
      </w:r>
      <w:r w:rsidR="00BD0633" w:rsidRPr="00E95BC4">
        <w:rPr>
          <w:rFonts w:eastAsia="Times New Roman"/>
          <w:color w:val="auto"/>
          <w:kern w:val="0"/>
          <w:lang w:val="sr-Cyrl-CS"/>
        </w:rPr>
        <w:t xml:space="preserve">2018. </w:t>
      </w:r>
      <w:r>
        <w:rPr>
          <w:rFonts w:eastAsia="Times New Roman"/>
          <w:color w:val="auto"/>
          <w:kern w:val="0"/>
          <w:lang w:val="sr-Cyrl-CS"/>
        </w:rPr>
        <w:t>godine</w:t>
      </w:r>
      <w:r w:rsidR="00BD0633" w:rsidRPr="00E95BC4">
        <w:rPr>
          <w:rFonts w:eastAsia="Times New Roman"/>
          <w:color w:val="auto"/>
          <w:kern w:val="0"/>
          <w:lang w:val="sr-Cyrl-CS"/>
        </w:rPr>
        <w:t xml:space="preserve"> </w:t>
      </w:r>
      <w:r>
        <w:rPr>
          <w:rFonts w:eastAsia="Times New Roman"/>
          <w:color w:val="auto"/>
          <w:kern w:val="0"/>
          <w:lang w:val="sr-Cyrl-CS"/>
        </w:rPr>
        <w:t>u</w:t>
      </w:r>
      <w:r w:rsidR="00713C9A" w:rsidRPr="00E95BC4">
        <w:rPr>
          <w:rFonts w:eastAsia="Times New Roman"/>
          <w:color w:val="auto"/>
          <w:kern w:val="0"/>
          <w:lang w:val="sr-Cyrl-CS"/>
        </w:rPr>
        <w:t xml:space="preserve"> </w:t>
      </w:r>
      <w:r>
        <w:rPr>
          <w:rFonts w:eastAsia="Times New Roman"/>
          <w:color w:val="auto"/>
          <w:kern w:val="0"/>
          <w:lang w:val="sr-Cyrl-CS"/>
        </w:rPr>
        <w:t>Proceni</w:t>
      </w:r>
      <w:r w:rsidR="00713C9A" w:rsidRPr="00E95BC4">
        <w:rPr>
          <w:rFonts w:eastAsia="Times New Roman"/>
          <w:color w:val="auto"/>
          <w:kern w:val="0"/>
          <w:lang w:val="sr-Cyrl-CS"/>
        </w:rPr>
        <w:t xml:space="preserve"> </w:t>
      </w:r>
      <w:r>
        <w:rPr>
          <w:rFonts w:eastAsia="Times New Roman"/>
          <w:color w:val="auto"/>
          <w:kern w:val="0"/>
          <w:lang w:val="sr-Cyrl-CS"/>
        </w:rPr>
        <w:t>rizika</w:t>
      </w:r>
      <w:r w:rsidR="00713C9A" w:rsidRPr="00E95BC4">
        <w:rPr>
          <w:rFonts w:eastAsia="Times New Roman"/>
          <w:color w:val="auto"/>
          <w:kern w:val="0"/>
          <w:lang w:val="sr-Cyrl-CS"/>
        </w:rPr>
        <w:t xml:space="preserve"> </w:t>
      </w:r>
      <w:r>
        <w:rPr>
          <w:rFonts w:eastAsia="Times New Roman"/>
          <w:color w:val="auto"/>
          <w:kern w:val="0"/>
          <w:lang w:val="sr-Cyrl-CS"/>
        </w:rPr>
        <w:t>od</w:t>
      </w:r>
      <w:r w:rsidR="00713C9A" w:rsidRPr="00E95BC4">
        <w:rPr>
          <w:rFonts w:eastAsia="Times New Roman"/>
          <w:color w:val="auto"/>
          <w:kern w:val="0"/>
          <w:lang w:val="sr-Cyrl-CS"/>
        </w:rPr>
        <w:t xml:space="preserve"> </w:t>
      </w:r>
      <w:r>
        <w:rPr>
          <w:rFonts w:eastAsia="Times New Roman"/>
          <w:color w:val="auto"/>
          <w:kern w:val="0"/>
          <w:lang w:val="sr-Cyrl-CS"/>
        </w:rPr>
        <w:t>pranja</w:t>
      </w:r>
      <w:r w:rsidR="00713C9A" w:rsidRPr="00E95BC4">
        <w:rPr>
          <w:rFonts w:eastAsia="Times New Roman"/>
          <w:color w:val="auto"/>
          <w:kern w:val="0"/>
          <w:lang w:val="sr-Cyrl-CS"/>
        </w:rPr>
        <w:t xml:space="preserve"> </w:t>
      </w:r>
      <w:r>
        <w:rPr>
          <w:rFonts w:eastAsia="Times New Roman"/>
          <w:color w:val="auto"/>
          <w:kern w:val="0"/>
          <w:lang w:val="sr-Cyrl-CS"/>
        </w:rPr>
        <w:t>novca</w:t>
      </w:r>
      <w:r w:rsidR="00713C9A" w:rsidRPr="00E95BC4">
        <w:rPr>
          <w:rFonts w:eastAsia="Times New Roman"/>
          <w:color w:val="auto"/>
          <w:kern w:val="0"/>
          <w:lang w:val="sr-Cyrl-CS"/>
        </w:rPr>
        <w:t xml:space="preserve"> </w:t>
      </w:r>
      <w:r>
        <w:rPr>
          <w:rFonts w:eastAsia="Times New Roman"/>
          <w:color w:val="auto"/>
          <w:kern w:val="0"/>
          <w:lang w:val="sr-Cyrl-CS"/>
        </w:rPr>
        <w:t>i</w:t>
      </w:r>
      <w:r w:rsidR="00713C9A" w:rsidRPr="00E95BC4">
        <w:rPr>
          <w:rFonts w:eastAsia="Times New Roman"/>
          <w:color w:val="auto"/>
          <w:kern w:val="0"/>
          <w:lang w:val="sr-Cyrl-CS"/>
        </w:rPr>
        <w:t xml:space="preserve"> </w:t>
      </w:r>
      <w:r>
        <w:rPr>
          <w:rFonts w:eastAsia="Times New Roman"/>
          <w:color w:val="auto"/>
          <w:kern w:val="0"/>
          <w:lang w:val="sr-Cyrl-CS"/>
        </w:rPr>
        <w:t>Proceni</w:t>
      </w:r>
      <w:r w:rsidR="00713C9A" w:rsidRPr="00E95BC4">
        <w:rPr>
          <w:rFonts w:eastAsia="Times New Roman"/>
          <w:color w:val="auto"/>
          <w:kern w:val="0"/>
          <w:lang w:val="sr-Cyrl-CS"/>
        </w:rPr>
        <w:t xml:space="preserve"> </w:t>
      </w:r>
      <w:r>
        <w:rPr>
          <w:rFonts w:eastAsia="Times New Roman"/>
          <w:color w:val="auto"/>
          <w:kern w:val="0"/>
          <w:lang w:val="sr-Cyrl-CS"/>
        </w:rPr>
        <w:t>rizika</w:t>
      </w:r>
      <w:r w:rsidR="0004492D" w:rsidRPr="00E95BC4">
        <w:rPr>
          <w:rFonts w:eastAsia="Times New Roman"/>
          <w:color w:val="auto"/>
          <w:kern w:val="0"/>
          <w:lang w:val="sr-Cyrl-CS"/>
        </w:rPr>
        <w:t xml:space="preserve"> </w:t>
      </w:r>
      <w:r>
        <w:rPr>
          <w:rFonts w:eastAsia="Times New Roman"/>
          <w:color w:val="auto"/>
          <w:kern w:val="0"/>
          <w:lang w:val="sr-Cyrl-CS"/>
        </w:rPr>
        <w:t>od</w:t>
      </w:r>
      <w:r w:rsidR="0004492D" w:rsidRPr="00E95BC4">
        <w:rPr>
          <w:rFonts w:eastAsia="Times New Roman"/>
          <w:color w:val="auto"/>
          <w:kern w:val="0"/>
          <w:lang w:val="sr-Cyrl-CS"/>
        </w:rPr>
        <w:t xml:space="preserve"> </w:t>
      </w:r>
      <w:r>
        <w:rPr>
          <w:rFonts w:eastAsia="Times New Roman"/>
          <w:color w:val="auto"/>
          <w:kern w:val="0"/>
          <w:lang w:val="sr-Cyrl-CS"/>
        </w:rPr>
        <w:t>finansiranja</w:t>
      </w:r>
      <w:r w:rsidR="0004492D" w:rsidRPr="00E95BC4">
        <w:rPr>
          <w:rFonts w:eastAsia="Times New Roman"/>
          <w:color w:val="auto"/>
          <w:kern w:val="0"/>
          <w:lang w:val="sr-Cyrl-CS"/>
        </w:rPr>
        <w:t xml:space="preserve"> </w:t>
      </w:r>
      <w:r>
        <w:rPr>
          <w:rFonts w:eastAsia="Times New Roman"/>
          <w:color w:val="auto"/>
          <w:kern w:val="0"/>
          <w:lang w:val="sr-Cyrl-CS"/>
        </w:rPr>
        <w:t>terorizma</w:t>
      </w:r>
      <w:r w:rsidR="0004492D" w:rsidRPr="00E95BC4">
        <w:rPr>
          <w:rFonts w:eastAsia="Times New Roman"/>
          <w:color w:val="auto"/>
          <w:kern w:val="0"/>
          <w:lang w:val="sr-Cyrl-CS"/>
        </w:rPr>
        <w:t xml:space="preserve"> </w:t>
      </w:r>
      <w:r>
        <w:rPr>
          <w:rFonts w:eastAsia="Times New Roman"/>
          <w:color w:val="auto"/>
          <w:kern w:val="0"/>
          <w:lang w:val="sr-Cyrl-CS"/>
        </w:rPr>
        <w:t>i</w:t>
      </w:r>
      <w:r w:rsidR="0004492D" w:rsidRPr="00E95BC4">
        <w:rPr>
          <w:rFonts w:eastAsia="Times New Roman"/>
          <w:color w:val="auto"/>
          <w:kern w:val="0"/>
          <w:lang w:val="sr-Cyrl-CS"/>
        </w:rPr>
        <w:t xml:space="preserve"> </w:t>
      </w:r>
      <w:r>
        <w:rPr>
          <w:rFonts w:eastAsia="Times New Roman"/>
          <w:color w:val="auto"/>
          <w:kern w:val="0"/>
          <w:lang w:val="sr-Cyrl-CS"/>
        </w:rPr>
        <w:t>radi</w:t>
      </w:r>
      <w:r w:rsidR="0004492D" w:rsidRPr="00E95BC4">
        <w:rPr>
          <w:rFonts w:eastAsia="Times New Roman"/>
          <w:color w:val="auto"/>
          <w:kern w:val="0"/>
          <w:lang w:val="sr-Cyrl-CS"/>
        </w:rPr>
        <w:t xml:space="preserve"> </w:t>
      </w:r>
      <w:r>
        <w:rPr>
          <w:rFonts w:eastAsia="Times New Roman"/>
          <w:color w:val="auto"/>
          <w:kern w:val="0"/>
          <w:lang w:val="sr-Cyrl-CS"/>
        </w:rPr>
        <w:t>usvajanja</w:t>
      </w:r>
      <w:r w:rsidR="0004492D" w:rsidRPr="00E95BC4">
        <w:rPr>
          <w:rFonts w:eastAsia="Times New Roman"/>
          <w:color w:val="auto"/>
          <w:kern w:val="0"/>
          <w:lang w:val="sr-Cyrl-CS"/>
        </w:rPr>
        <w:t xml:space="preserve"> </w:t>
      </w:r>
      <w:r>
        <w:rPr>
          <w:rFonts w:eastAsia="Times New Roman"/>
          <w:color w:val="auto"/>
          <w:kern w:val="0"/>
          <w:lang w:val="sr-Cyrl-CS"/>
        </w:rPr>
        <w:t>mera</w:t>
      </w:r>
      <w:r w:rsidR="00713C9A" w:rsidRPr="00E95BC4">
        <w:rPr>
          <w:rFonts w:eastAsia="Times New Roman"/>
          <w:color w:val="auto"/>
          <w:kern w:val="0"/>
          <w:lang w:val="sr-Cyrl-CS"/>
        </w:rPr>
        <w:t xml:space="preserve"> </w:t>
      </w:r>
      <w:r>
        <w:rPr>
          <w:rFonts w:eastAsia="Times New Roman"/>
          <w:color w:val="auto"/>
          <w:kern w:val="0"/>
          <w:lang w:val="sr-Cyrl-CS"/>
        </w:rPr>
        <w:t>koje</w:t>
      </w:r>
      <w:r w:rsidR="00713C9A" w:rsidRPr="00E95BC4">
        <w:rPr>
          <w:rFonts w:eastAsia="Times New Roman"/>
          <w:color w:val="auto"/>
          <w:kern w:val="0"/>
          <w:lang w:val="sr-Cyrl-CS"/>
        </w:rPr>
        <w:t xml:space="preserve"> </w:t>
      </w:r>
      <w:r>
        <w:rPr>
          <w:rFonts w:eastAsia="Times New Roman"/>
          <w:color w:val="auto"/>
          <w:kern w:val="0"/>
          <w:lang w:val="sr-Cyrl-CS"/>
        </w:rPr>
        <w:t>će</w:t>
      </w:r>
      <w:r w:rsidR="003C2A92" w:rsidRPr="00E95BC4">
        <w:rPr>
          <w:rFonts w:eastAsia="Times New Roman"/>
          <w:color w:val="auto"/>
          <w:kern w:val="0"/>
          <w:lang w:val="sr-Cyrl-CS"/>
        </w:rPr>
        <w:t xml:space="preserve"> </w:t>
      </w:r>
      <w:r>
        <w:rPr>
          <w:rFonts w:eastAsia="Times New Roman"/>
          <w:color w:val="auto"/>
          <w:kern w:val="0"/>
          <w:lang w:val="sr-Cyrl-CS"/>
        </w:rPr>
        <w:t>biti</w:t>
      </w:r>
      <w:r w:rsidR="003C2A92" w:rsidRPr="00E95BC4">
        <w:rPr>
          <w:rFonts w:eastAsia="Times New Roman"/>
          <w:color w:val="auto"/>
          <w:kern w:val="0"/>
          <w:lang w:val="sr-Cyrl-CS"/>
        </w:rPr>
        <w:t xml:space="preserve"> </w:t>
      </w:r>
      <w:r>
        <w:rPr>
          <w:rFonts w:eastAsia="Times New Roman"/>
          <w:color w:val="auto"/>
          <w:kern w:val="0"/>
          <w:lang w:val="sr-Cyrl-CS"/>
        </w:rPr>
        <w:t>u</w:t>
      </w:r>
      <w:r w:rsidR="003C2A92" w:rsidRPr="00E95BC4">
        <w:rPr>
          <w:rFonts w:eastAsia="Times New Roman"/>
          <w:color w:val="auto"/>
          <w:kern w:val="0"/>
          <w:lang w:val="sr-Cyrl-CS"/>
        </w:rPr>
        <w:t xml:space="preserve"> </w:t>
      </w:r>
      <w:r>
        <w:rPr>
          <w:rFonts w:eastAsia="Times New Roman"/>
          <w:color w:val="auto"/>
          <w:kern w:val="0"/>
          <w:lang w:val="sr-Cyrl-CS"/>
        </w:rPr>
        <w:t>skladu</w:t>
      </w:r>
      <w:r w:rsidR="00713C9A" w:rsidRPr="00E95BC4">
        <w:rPr>
          <w:rFonts w:eastAsia="Times New Roman"/>
          <w:color w:val="auto"/>
          <w:kern w:val="0"/>
          <w:lang w:val="sr-Cyrl-CS"/>
        </w:rPr>
        <w:t xml:space="preserve"> </w:t>
      </w:r>
      <w:r>
        <w:rPr>
          <w:rFonts w:eastAsia="Times New Roman"/>
          <w:color w:val="auto"/>
          <w:kern w:val="0"/>
          <w:lang w:val="sr-Cyrl-CS"/>
        </w:rPr>
        <w:t>sa</w:t>
      </w:r>
      <w:r w:rsidR="00713C9A" w:rsidRPr="00E95BC4">
        <w:rPr>
          <w:rFonts w:eastAsia="Times New Roman"/>
          <w:color w:val="auto"/>
          <w:kern w:val="0"/>
          <w:lang w:val="sr-Cyrl-CS"/>
        </w:rPr>
        <w:t xml:space="preserve"> </w:t>
      </w:r>
      <w:r>
        <w:rPr>
          <w:rFonts w:eastAsia="Times New Roman"/>
          <w:color w:val="auto"/>
          <w:kern w:val="0"/>
          <w:lang w:val="sr-Cyrl-CS"/>
        </w:rPr>
        <w:t>standardima</w:t>
      </w:r>
      <w:r w:rsidR="00713C9A" w:rsidRPr="00E95BC4">
        <w:rPr>
          <w:rFonts w:eastAsia="Times New Roman"/>
          <w:color w:val="auto"/>
          <w:kern w:val="0"/>
          <w:lang w:val="sr-Cyrl-CS"/>
        </w:rPr>
        <w:t xml:space="preserve"> </w:t>
      </w:r>
      <w:r>
        <w:rPr>
          <w:rFonts w:eastAsia="Times New Roman"/>
          <w:color w:val="auto"/>
          <w:kern w:val="0"/>
          <w:lang w:val="sr-Cyrl-CS"/>
        </w:rPr>
        <w:t>FATF</w:t>
      </w:r>
      <w:r w:rsidR="003C2A92" w:rsidRPr="00E95BC4">
        <w:rPr>
          <w:rFonts w:eastAsia="Times New Roman"/>
          <w:color w:val="auto"/>
          <w:kern w:val="0"/>
          <w:lang w:val="sr-Cyrl-CS"/>
        </w:rPr>
        <w:t xml:space="preserve"> </w:t>
      </w:r>
      <w:r>
        <w:rPr>
          <w:rFonts w:eastAsia="Times New Roman"/>
          <w:color w:val="auto"/>
          <w:kern w:val="0"/>
          <w:lang w:val="sr-Cyrl-CS"/>
        </w:rPr>
        <w:t>i</w:t>
      </w:r>
      <w:r w:rsidR="00BD0633" w:rsidRPr="00E95BC4">
        <w:rPr>
          <w:rFonts w:eastAsia="Times New Roman"/>
          <w:color w:val="auto"/>
          <w:kern w:val="0"/>
          <w:lang w:val="sr-Cyrl-CS"/>
        </w:rPr>
        <w:t xml:space="preserve"> </w:t>
      </w:r>
      <w:r>
        <w:rPr>
          <w:rFonts w:eastAsia="Times New Roman"/>
          <w:color w:val="auto"/>
          <w:kern w:val="0"/>
          <w:lang w:val="sr-Cyrl-CS"/>
        </w:rPr>
        <w:t>koje</w:t>
      </w:r>
      <w:r w:rsidR="00BD0633" w:rsidRPr="00E95BC4">
        <w:rPr>
          <w:rFonts w:eastAsia="Times New Roman"/>
          <w:color w:val="auto"/>
          <w:kern w:val="0"/>
          <w:lang w:val="sr-Cyrl-CS"/>
        </w:rPr>
        <w:t xml:space="preserve"> </w:t>
      </w:r>
      <w:r>
        <w:rPr>
          <w:rFonts w:eastAsia="Times New Roman"/>
          <w:color w:val="auto"/>
          <w:kern w:val="0"/>
          <w:lang w:val="sr-Cyrl-CS"/>
        </w:rPr>
        <w:t>će</w:t>
      </w:r>
      <w:r w:rsidR="00BD0633" w:rsidRPr="00E95BC4">
        <w:rPr>
          <w:rFonts w:eastAsia="Times New Roman"/>
          <w:color w:val="auto"/>
          <w:kern w:val="0"/>
          <w:lang w:val="sr-Cyrl-CS"/>
        </w:rPr>
        <w:t xml:space="preserve"> </w:t>
      </w:r>
      <w:r>
        <w:rPr>
          <w:rFonts w:eastAsia="Times New Roman"/>
          <w:color w:val="auto"/>
          <w:kern w:val="0"/>
          <w:lang w:val="sr-Cyrl-CS"/>
        </w:rPr>
        <w:t>uspešno</w:t>
      </w:r>
      <w:r w:rsidR="00BD0633" w:rsidRPr="00E95BC4">
        <w:rPr>
          <w:rFonts w:eastAsia="Times New Roman"/>
          <w:color w:val="auto"/>
          <w:kern w:val="0"/>
          <w:lang w:val="sr-Cyrl-CS"/>
        </w:rPr>
        <w:t xml:space="preserve"> </w:t>
      </w:r>
      <w:r>
        <w:rPr>
          <w:rFonts w:eastAsia="Times New Roman"/>
          <w:color w:val="auto"/>
          <w:kern w:val="0"/>
          <w:lang w:val="sr-Cyrl-CS"/>
        </w:rPr>
        <w:t>doprinositi</w:t>
      </w:r>
      <w:r w:rsidR="00BD0633" w:rsidRPr="00E95BC4">
        <w:rPr>
          <w:rFonts w:eastAsia="Times New Roman"/>
          <w:color w:val="auto"/>
          <w:kern w:val="0"/>
          <w:lang w:val="sr-Cyrl-CS"/>
        </w:rPr>
        <w:t xml:space="preserve"> </w:t>
      </w:r>
      <w:r>
        <w:rPr>
          <w:rFonts w:eastAsia="Times New Roman"/>
          <w:color w:val="auto"/>
          <w:kern w:val="0"/>
          <w:lang w:val="sr-Cyrl-CS"/>
        </w:rPr>
        <w:t>postavljenim</w:t>
      </w:r>
      <w:r w:rsidR="00BD0633" w:rsidRPr="00E95BC4">
        <w:rPr>
          <w:rFonts w:eastAsia="Times New Roman"/>
          <w:color w:val="auto"/>
          <w:kern w:val="0"/>
          <w:lang w:val="sr-Cyrl-CS"/>
        </w:rPr>
        <w:t xml:space="preserve"> </w:t>
      </w:r>
      <w:r>
        <w:rPr>
          <w:rFonts w:eastAsia="Times New Roman"/>
          <w:color w:val="auto"/>
          <w:kern w:val="0"/>
          <w:lang w:val="sr-Cyrl-CS"/>
        </w:rPr>
        <w:t>ciljevima</w:t>
      </w:r>
      <w:r w:rsidR="00713C9A" w:rsidRPr="00E95BC4">
        <w:rPr>
          <w:rFonts w:eastAsia="Times New Roman"/>
          <w:color w:val="auto"/>
          <w:kern w:val="0"/>
          <w:lang w:val="sr-Cyrl-CS"/>
        </w:rPr>
        <w:t xml:space="preserve"> </w:t>
      </w:r>
      <w:r>
        <w:rPr>
          <w:rFonts w:eastAsia="Times New Roman"/>
          <w:color w:val="auto"/>
          <w:kern w:val="0"/>
          <w:lang w:val="sr-Cyrl-CS"/>
        </w:rPr>
        <w:t>u</w:t>
      </w:r>
      <w:r w:rsidR="00713C9A" w:rsidRPr="00E95BC4">
        <w:rPr>
          <w:rFonts w:eastAsia="Times New Roman"/>
          <w:color w:val="auto"/>
          <w:kern w:val="0"/>
          <w:lang w:val="sr-Cyrl-CS"/>
        </w:rPr>
        <w:t xml:space="preserve"> </w:t>
      </w:r>
      <w:r>
        <w:rPr>
          <w:rFonts w:eastAsia="Times New Roman"/>
          <w:color w:val="auto"/>
          <w:kern w:val="0"/>
          <w:lang w:val="sr-Cyrl-CS"/>
        </w:rPr>
        <w:t>borbi</w:t>
      </w:r>
      <w:r w:rsidR="00713C9A" w:rsidRPr="00E95BC4">
        <w:rPr>
          <w:rFonts w:eastAsia="Times New Roman"/>
          <w:color w:val="auto"/>
          <w:kern w:val="0"/>
          <w:lang w:val="sr-Cyrl-CS"/>
        </w:rPr>
        <w:t xml:space="preserve"> </w:t>
      </w:r>
      <w:r>
        <w:rPr>
          <w:rFonts w:eastAsia="Times New Roman"/>
          <w:color w:val="auto"/>
          <w:kern w:val="0"/>
          <w:lang w:val="sr-Cyrl-CS"/>
        </w:rPr>
        <w:t>protiv</w:t>
      </w:r>
      <w:r w:rsidR="00713C9A" w:rsidRPr="00E95BC4">
        <w:rPr>
          <w:rFonts w:eastAsia="Times New Roman"/>
          <w:color w:val="auto"/>
          <w:kern w:val="0"/>
          <w:lang w:val="sr-Cyrl-CS"/>
        </w:rPr>
        <w:t xml:space="preserve"> </w:t>
      </w:r>
      <w:r>
        <w:rPr>
          <w:rFonts w:eastAsia="Times New Roman"/>
          <w:color w:val="auto"/>
          <w:kern w:val="0"/>
          <w:lang w:val="sr-Cyrl-CS"/>
        </w:rPr>
        <w:t>pranja</w:t>
      </w:r>
      <w:r w:rsidR="00713C9A" w:rsidRPr="00E95BC4">
        <w:rPr>
          <w:rFonts w:eastAsia="Times New Roman"/>
          <w:color w:val="auto"/>
          <w:kern w:val="0"/>
          <w:lang w:val="sr-Cyrl-CS"/>
        </w:rPr>
        <w:t xml:space="preserve"> </w:t>
      </w:r>
      <w:r>
        <w:rPr>
          <w:rFonts w:eastAsia="Times New Roman"/>
          <w:color w:val="auto"/>
          <w:kern w:val="0"/>
          <w:lang w:val="sr-Cyrl-CS"/>
        </w:rPr>
        <w:t>novca</w:t>
      </w:r>
      <w:r w:rsidR="00713C9A" w:rsidRPr="00E95BC4">
        <w:rPr>
          <w:rFonts w:eastAsia="Times New Roman"/>
          <w:color w:val="auto"/>
          <w:kern w:val="0"/>
          <w:lang w:val="sr-Cyrl-CS"/>
        </w:rPr>
        <w:t xml:space="preserve"> </w:t>
      </w:r>
      <w:r>
        <w:rPr>
          <w:rFonts w:eastAsia="Times New Roman"/>
          <w:color w:val="auto"/>
          <w:kern w:val="0"/>
          <w:lang w:val="sr-Cyrl-CS"/>
        </w:rPr>
        <w:t>i</w:t>
      </w:r>
      <w:r w:rsidR="00713C9A" w:rsidRPr="00E95BC4">
        <w:rPr>
          <w:rFonts w:eastAsia="Times New Roman"/>
          <w:color w:val="auto"/>
          <w:kern w:val="0"/>
          <w:lang w:val="sr-Cyrl-CS"/>
        </w:rPr>
        <w:t xml:space="preserve"> </w:t>
      </w:r>
      <w:r>
        <w:rPr>
          <w:rFonts w:eastAsia="Times New Roman"/>
          <w:color w:val="auto"/>
          <w:kern w:val="0"/>
          <w:lang w:val="sr-Cyrl-CS"/>
        </w:rPr>
        <w:t>finansiranja</w:t>
      </w:r>
      <w:r w:rsidR="00713C9A" w:rsidRPr="00E95BC4">
        <w:rPr>
          <w:rFonts w:eastAsia="Times New Roman"/>
          <w:color w:val="auto"/>
          <w:kern w:val="0"/>
          <w:lang w:val="sr-Cyrl-CS"/>
        </w:rPr>
        <w:t xml:space="preserve"> </w:t>
      </w:r>
      <w:r>
        <w:rPr>
          <w:rFonts w:eastAsia="Times New Roman"/>
          <w:color w:val="auto"/>
          <w:kern w:val="0"/>
          <w:lang w:val="sr-Cyrl-CS"/>
        </w:rPr>
        <w:t>terorizma</w:t>
      </w:r>
      <w:r w:rsidR="00713C9A" w:rsidRPr="00E95BC4">
        <w:rPr>
          <w:rFonts w:eastAsia="Times New Roman"/>
          <w:color w:val="auto"/>
          <w:kern w:val="0"/>
          <w:lang w:val="sr-Cyrl-CS"/>
        </w:rPr>
        <w:t xml:space="preserve">. </w:t>
      </w:r>
    </w:p>
    <w:p w:rsidR="006244CE" w:rsidRPr="00E95BC4" w:rsidRDefault="006244CE" w:rsidP="00285FD7">
      <w:pPr>
        <w:pStyle w:val="Heading1"/>
        <w:spacing w:before="0"/>
        <w:rPr>
          <w:rFonts w:ascii="Times New Roman" w:hAnsi="Times New Roman" w:cs="Times New Roman"/>
          <w:sz w:val="24"/>
          <w:szCs w:val="24"/>
          <w:lang w:val="sr-Cyrl-CS"/>
        </w:rPr>
      </w:pPr>
    </w:p>
    <w:p w:rsidR="00FD0484" w:rsidRPr="00E95BC4" w:rsidRDefault="00FD0484">
      <w:pPr>
        <w:rPr>
          <w:lang w:val="sr-Cyrl-CS"/>
        </w:rPr>
      </w:pPr>
      <w:r w:rsidRPr="00E95BC4">
        <w:rPr>
          <w:lang w:val="sr-Cyrl-CS"/>
        </w:rPr>
        <w:br w:type="page"/>
      </w:r>
    </w:p>
    <w:p w:rsidR="00713C9A" w:rsidRPr="00E95BC4" w:rsidRDefault="005818C0" w:rsidP="00FD0484">
      <w:pPr>
        <w:pStyle w:val="Heading1"/>
        <w:spacing w:before="0"/>
        <w:ind w:firstLine="720"/>
        <w:rPr>
          <w:rFonts w:ascii="Times New Roman" w:hAnsi="Times New Roman" w:cs="Times New Roman"/>
          <w:color w:val="auto"/>
          <w:sz w:val="24"/>
          <w:szCs w:val="24"/>
          <w:lang w:val="sr-Cyrl-CS"/>
        </w:rPr>
      </w:pPr>
      <w:bookmarkStart w:id="1" w:name="_Toc32409892"/>
      <w:r>
        <w:rPr>
          <w:rFonts w:ascii="Times New Roman" w:hAnsi="Times New Roman" w:cs="Times New Roman"/>
          <w:color w:val="auto"/>
          <w:sz w:val="24"/>
          <w:szCs w:val="24"/>
          <w:lang w:val="sr-Cyrl-CS"/>
        </w:rPr>
        <w:lastRenderedPageBreak/>
        <w:t>Planski</w:t>
      </w:r>
      <w:r w:rsidR="00713C9A" w:rsidRPr="00E95BC4">
        <w:rPr>
          <w:rFonts w:ascii="Times New Roman" w:hAnsi="Times New Roman" w:cs="Times New Roman"/>
          <w:color w:val="auto"/>
          <w:sz w:val="24"/>
          <w:szCs w:val="24"/>
          <w:lang w:val="sr-Cyrl-CS"/>
        </w:rPr>
        <w:t xml:space="preserve"> </w:t>
      </w:r>
      <w:r>
        <w:rPr>
          <w:rFonts w:ascii="Times New Roman" w:hAnsi="Times New Roman" w:cs="Times New Roman"/>
          <w:color w:val="auto"/>
          <w:sz w:val="24"/>
          <w:szCs w:val="24"/>
          <w:lang w:val="sr-Cyrl-CS"/>
        </w:rPr>
        <w:t>dokumenti</w:t>
      </w:r>
      <w:r w:rsidR="00713C9A" w:rsidRPr="00E95BC4">
        <w:rPr>
          <w:rFonts w:ascii="Times New Roman" w:hAnsi="Times New Roman" w:cs="Times New Roman"/>
          <w:color w:val="auto"/>
          <w:sz w:val="24"/>
          <w:szCs w:val="24"/>
          <w:lang w:val="sr-Cyrl-CS"/>
        </w:rPr>
        <w:t xml:space="preserve"> </w:t>
      </w:r>
      <w:r>
        <w:rPr>
          <w:rFonts w:ascii="Times New Roman" w:hAnsi="Times New Roman" w:cs="Times New Roman"/>
          <w:color w:val="auto"/>
          <w:sz w:val="24"/>
          <w:szCs w:val="24"/>
          <w:lang w:val="sr-Cyrl-CS"/>
        </w:rPr>
        <w:t>i</w:t>
      </w:r>
      <w:r w:rsidR="00713C9A" w:rsidRPr="00E95BC4">
        <w:rPr>
          <w:rFonts w:ascii="Times New Roman" w:hAnsi="Times New Roman" w:cs="Times New Roman"/>
          <w:color w:val="auto"/>
          <w:sz w:val="24"/>
          <w:szCs w:val="24"/>
          <w:lang w:val="sr-Cyrl-CS"/>
        </w:rPr>
        <w:t xml:space="preserve"> </w:t>
      </w:r>
      <w:r>
        <w:rPr>
          <w:rFonts w:ascii="Times New Roman" w:hAnsi="Times New Roman" w:cs="Times New Roman"/>
          <w:color w:val="auto"/>
          <w:sz w:val="24"/>
          <w:szCs w:val="24"/>
          <w:lang w:val="sr-Cyrl-CS"/>
        </w:rPr>
        <w:t>pravni</w:t>
      </w:r>
      <w:r w:rsidR="00713C9A" w:rsidRPr="00E95BC4">
        <w:rPr>
          <w:rFonts w:ascii="Times New Roman" w:hAnsi="Times New Roman" w:cs="Times New Roman"/>
          <w:color w:val="auto"/>
          <w:sz w:val="24"/>
          <w:szCs w:val="24"/>
          <w:lang w:val="sr-Cyrl-CS"/>
        </w:rPr>
        <w:t xml:space="preserve"> </w:t>
      </w:r>
      <w:r>
        <w:rPr>
          <w:rFonts w:ascii="Times New Roman" w:hAnsi="Times New Roman" w:cs="Times New Roman"/>
          <w:color w:val="auto"/>
          <w:sz w:val="24"/>
          <w:szCs w:val="24"/>
          <w:lang w:val="sr-Cyrl-CS"/>
        </w:rPr>
        <w:t>okvir</w:t>
      </w:r>
      <w:r w:rsidR="00713C9A" w:rsidRPr="00E95BC4">
        <w:rPr>
          <w:rFonts w:ascii="Times New Roman" w:hAnsi="Times New Roman" w:cs="Times New Roman"/>
          <w:color w:val="auto"/>
          <w:sz w:val="24"/>
          <w:szCs w:val="24"/>
          <w:lang w:val="sr-Cyrl-CS"/>
        </w:rPr>
        <w:t xml:space="preserve"> </w:t>
      </w:r>
      <w:r>
        <w:rPr>
          <w:rFonts w:ascii="Times New Roman" w:hAnsi="Times New Roman" w:cs="Times New Roman"/>
          <w:color w:val="auto"/>
          <w:sz w:val="24"/>
          <w:szCs w:val="24"/>
          <w:lang w:val="sr-Cyrl-CS"/>
        </w:rPr>
        <w:t>relevantni</w:t>
      </w:r>
      <w:r w:rsidR="00713C9A" w:rsidRPr="00E95BC4">
        <w:rPr>
          <w:rFonts w:ascii="Times New Roman" w:hAnsi="Times New Roman" w:cs="Times New Roman"/>
          <w:color w:val="auto"/>
          <w:sz w:val="24"/>
          <w:szCs w:val="24"/>
          <w:lang w:val="sr-Cyrl-CS"/>
        </w:rPr>
        <w:t xml:space="preserve"> </w:t>
      </w:r>
      <w:r>
        <w:rPr>
          <w:rFonts w:ascii="Times New Roman" w:hAnsi="Times New Roman" w:cs="Times New Roman"/>
          <w:color w:val="auto"/>
          <w:sz w:val="24"/>
          <w:szCs w:val="24"/>
          <w:lang w:val="sr-Cyrl-CS"/>
        </w:rPr>
        <w:t>za</w:t>
      </w:r>
      <w:r w:rsidR="00713C9A" w:rsidRPr="00E95BC4">
        <w:rPr>
          <w:rFonts w:ascii="Times New Roman" w:hAnsi="Times New Roman" w:cs="Times New Roman"/>
          <w:color w:val="auto"/>
          <w:sz w:val="24"/>
          <w:szCs w:val="24"/>
          <w:lang w:val="sr-Cyrl-CS"/>
        </w:rPr>
        <w:t xml:space="preserve"> </w:t>
      </w:r>
      <w:r>
        <w:rPr>
          <w:rFonts w:ascii="Times New Roman" w:hAnsi="Times New Roman" w:cs="Times New Roman"/>
          <w:color w:val="auto"/>
          <w:sz w:val="24"/>
          <w:szCs w:val="24"/>
          <w:lang w:val="sr-Cyrl-CS"/>
        </w:rPr>
        <w:t>strategiju</w:t>
      </w:r>
      <w:bookmarkEnd w:id="1"/>
    </w:p>
    <w:p w:rsidR="00285FD7" w:rsidRPr="00E95BC4" w:rsidRDefault="00285FD7" w:rsidP="00285FD7">
      <w:pPr>
        <w:ind w:firstLine="720"/>
        <w:jc w:val="both"/>
        <w:rPr>
          <w:color w:val="auto"/>
          <w:lang w:val="sr-Cyrl-CS"/>
        </w:rPr>
      </w:pPr>
    </w:p>
    <w:p w:rsidR="00713C9A" w:rsidRPr="00E95BC4" w:rsidRDefault="005818C0" w:rsidP="00285FD7">
      <w:pPr>
        <w:ind w:firstLine="720"/>
        <w:jc w:val="both"/>
        <w:rPr>
          <w:lang w:val="sr-Cyrl-CS"/>
        </w:rPr>
      </w:pPr>
      <w:r>
        <w:rPr>
          <w:lang w:val="sr-Cyrl-CS"/>
        </w:rPr>
        <w:t>Veći</w:t>
      </w:r>
      <w:r w:rsidR="00FF094C" w:rsidRPr="00E95BC4">
        <w:rPr>
          <w:lang w:val="sr-Cyrl-CS"/>
        </w:rPr>
        <w:t xml:space="preserve"> </w:t>
      </w:r>
      <w:r>
        <w:rPr>
          <w:lang w:val="sr-Cyrl-CS"/>
        </w:rPr>
        <w:t>broj</w:t>
      </w:r>
      <w:r w:rsidR="00FF094C" w:rsidRPr="00E95BC4">
        <w:rPr>
          <w:lang w:val="sr-Cyrl-CS"/>
        </w:rPr>
        <w:t xml:space="preserve"> </w:t>
      </w:r>
      <w:r>
        <w:rPr>
          <w:lang w:val="sr-Cyrl-CS"/>
        </w:rPr>
        <w:t>zakona</w:t>
      </w:r>
      <w:r w:rsidR="00713C9A" w:rsidRPr="00E95BC4">
        <w:rPr>
          <w:lang w:val="sr-Cyrl-CS"/>
        </w:rPr>
        <w:t xml:space="preserve">, </w:t>
      </w:r>
      <w:r>
        <w:rPr>
          <w:lang w:val="sr-Cyrl-CS"/>
        </w:rPr>
        <w:t>drugih</w:t>
      </w:r>
      <w:r w:rsidR="00713C9A" w:rsidRPr="00E95BC4">
        <w:rPr>
          <w:lang w:val="sr-Cyrl-CS"/>
        </w:rPr>
        <w:t xml:space="preserve"> </w:t>
      </w:r>
      <w:r>
        <w:rPr>
          <w:lang w:val="sr-Cyrl-CS"/>
        </w:rPr>
        <w:t>propisa</w:t>
      </w:r>
      <w:r w:rsidR="00713C9A" w:rsidRPr="00E95BC4">
        <w:rPr>
          <w:lang w:val="sr-Cyrl-CS"/>
        </w:rPr>
        <w:t xml:space="preserve">, </w:t>
      </w:r>
      <w:r>
        <w:rPr>
          <w:lang w:val="sr-Cyrl-CS"/>
        </w:rPr>
        <w:t>opštih</w:t>
      </w:r>
      <w:r w:rsidR="00713C9A" w:rsidRPr="00E95BC4">
        <w:rPr>
          <w:lang w:val="sr-Cyrl-CS"/>
        </w:rPr>
        <w:t xml:space="preserve"> </w:t>
      </w:r>
      <w:r>
        <w:rPr>
          <w:lang w:val="sr-Cyrl-CS"/>
        </w:rPr>
        <w:t>i</w:t>
      </w:r>
      <w:r w:rsidR="00713C9A" w:rsidRPr="00E95BC4">
        <w:rPr>
          <w:lang w:val="sr-Cyrl-CS"/>
        </w:rPr>
        <w:t xml:space="preserve"> </w:t>
      </w:r>
      <w:r>
        <w:rPr>
          <w:lang w:val="sr-Cyrl-CS"/>
        </w:rPr>
        <w:t>pojedinačnih</w:t>
      </w:r>
      <w:r w:rsidR="00713C9A" w:rsidRPr="00E95BC4">
        <w:rPr>
          <w:lang w:val="sr-Cyrl-CS"/>
        </w:rPr>
        <w:t xml:space="preserve"> </w:t>
      </w:r>
      <w:r>
        <w:rPr>
          <w:lang w:val="sr-Cyrl-CS"/>
        </w:rPr>
        <w:t>akata</w:t>
      </w:r>
      <w:r w:rsidR="00713C9A" w:rsidRPr="00E95BC4">
        <w:rPr>
          <w:lang w:val="sr-Cyrl-CS"/>
        </w:rPr>
        <w:t xml:space="preserve"> </w:t>
      </w:r>
      <w:r>
        <w:rPr>
          <w:lang w:val="sr-Cyrl-CS"/>
        </w:rPr>
        <w:t>i</w:t>
      </w:r>
      <w:r w:rsidR="00713C9A" w:rsidRPr="00E95BC4">
        <w:rPr>
          <w:lang w:val="sr-Cyrl-CS"/>
        </w:rPr>
        <w:t xml:space="preserve"> </w:t>
      </w:r>
      <w:r>
        <w:rPr>
          <w:lang w:val="sr-Cyrl-CS"/>
        </w:rPr>
        <w:t>drugih</w:t>
      </w:r>
      <w:r w:rsidR="00713C9A" w:rsidRPr="00E95BC4">
        <w:rPr>
          <w:lang w:val="sr-Cyrl-CS"/>
        </w:rPr>
        <w:t xml:space="preserve"> </w:t>
      </w:r>
      <w:r>
        <w:rPr>
          <w:lang w:val="sr-Cyrl-CS"/>
        </w:rPr>
        <w:t>dokumenata</w:t>
      </w:r>
      <w:r w:rsidR="00713C9A" w:rsidRPr="00E95BC4">
        <w:rPr>
          <w:lang w:val="sr-Cyrl-CS"/>
        </w:rPr>
        <w:t xml:space="preserve"> </w:t>
      </w:r>
      <w:r>
        <w:rPr>
          <w:lang w:val="sr-Cyrl-CS"/>
        </w:rPr>
        <w:t>javne</w:t>
      </w:r>
      <w:r w:rsidR="00713C9A" w:rsidRPr="00E95BC4">
        <w:rPr>
          <w:lang w:val="sr-Cyrl-CS"/>
        </w:rPr>
        <w:t xml:space="preserve"> </w:t>
      </w:r>
      <w:r>
        <w:rPr>
          <w:lang w:val="sr-Cyrl-CS"/>
        </w:rPr>
        <w:t>politike</w:t>
      </w:r>
      <w:r w:rsidR="00713C9A" w:rsidRPr="00E95BC4">
        <w:rPr>
          <w:lang w:val="sr-Cyrl-CS"/>
        </w:rPr>
        <w:t xml:space="preserve"> </w:t>
      </w:r>
      <w:r>
        <w:rPr>
          <w:lang w:val="sr-Cyrl-CS"/>
        </w:rPr>
        <w:t>ima</w:t>
      </w:r>
      <w:r w:rsidR="00713C9A" w:rsidRPr="00E95BC4">
        <w:rPr>
          <w:lang w:val="sr-Cyrl-CS"/>
        </w:rPr>
        <w:t xml:space="preserve"> </w:t>
      </w:r>
      <w:r>
        <w:rPr>
          <w:lang w:val="sr-Cyrl-CS"/>
        </w:rPr>
        <w:t>direktan</w:t>
      </w:r>
      <w:r w:rsidR="00713C9A" w:rsidRPr="00E95BC4">
        <w:rPr>
          <w:lang w:val="sr-Cyrl-CS"/>
        </w:rPr>
        <w:t xml:space="preserve"> </w:t>
      </w:r>
      <w:r>
        <w:rPr>
          <w:lang w:val="sr-Cyrl-CS"/>
        </w:rPr>
        <w:t>uticaj</w:t>
      </w:r>
      <w:r w:rsidR="00713C9A" w:rsidRPr="00E95BC4">
        <w:rPr>
          <w:lang w:val="sr-Cyrl-CS"/>
        </w:rPr>
        <w:t xml:space="preserve"> </w:t>
      </w:r>
      <w:r>
        <w:rPr>
          <w:lang w:val="sr-Cyrl-CS"/>
        </w:rPr>
        <w:t>na</w:t>
      </w:r>
      <w:r w:rsidR="00713C9A" w:rsidRPr="00E95BC4">
        <w:rPr>
          <w:lang w:val="sr-Cyrl-CS"/>
        </w:rPr>
        <w:t xml:space="preserve"> </w:t>
      </w:r>
      <w:r>
        <w:rPr>
          <w:lang w:val="sr-Cyrl-CS"/>
        </w:rPr>
        <w:t>oblast</w:t>
      </w:r>
      <w:r w:rsidR="00713C9A" w:rsidRPr="00E95BC4">
        <w:rPr>
          <w:lang w:val="sr-Cyrl-CS"/>
        </w:rPr>
        <w:t xml:space="preserve"> </w:t>
      </w:r>
      <w:r>
        <w:rPr>
          <w:lang w:val="sr-Cyrl-CS"/>
        </w:rPr>
        <w:t>borbe</w:t>
      </w:r>
      <w:r w:rsidR="00713C9A" w:rsidRPr="00E95BC4">
        <w:rPr>
          <w:lang w:val="sr-Cyrl-CS"/>
        </w:rPr>
        <w:t xml:space="preserve"> </w:t>
      </w:r>
      <w:r>
        <w:rPr>
          <w:lang w:val="sr-Cyrl-CS"/>
        </w:rPr>
        <w:t>protiv</w:t>
      </w:r>
      <w:r w:rsidR="00713C9A" w:rsidRPr="00E95BC4">
        <w:rPr>
          <w:lang w:val="sr-Cyrl-CS"/>
        </w:rPr>
        <w:t xml:space="preserve"> </w:t>
      </w:r>
      <w:r>
        <w:rPr>
          <w:lang w:val="sr-Cyrl-CS"/>
        </w:rPr>
        <w:t>pranja</w:t>
      </w:r>
      <w:r w:rsidR="00713C9A" w:rsidRPr="00E95BC4">
        <w:rPr>
          <w:lang w:val="sr-Cyrl-CS"/>
        </w:rPr>
        <w:t xml:space="preserve"> </w:t>
      </w:r>
      <w:r>
        <w:rPr>
          <w:lang w:val="sr-Cyrl-CS"/>
        </w:rPr>
        <w:t>novca</w:t>
      </w:r>
      <w:r w:rsidR="00713C9A" w:rsidRPr="00E95BC4">
        <w:rPr>
          <w:lang w:val="sr-Cyrl-CS"/>
        </w:rPr>
        <w:t xml:space="preserve">, </w:t>
      </w:r>
      <w:r>
        <w:rPr>
          <w:lang w:val="sr-Cyrl-CS"/>
        </w:rPr>
        <w:t>finansiranja</w:t>
      </w:r>
      <w:r w:rsidR="00713C9A" w:rsidRPr="00E95BC4">
        <w:rPr>
          <w:lang w:val="sr-Cyrl-CS"/>
        </w:rPr>
        <w:t xml:space="preserve"> </w:t>
      </w:r>
      <w:r>
        <w:rPr>
          <w:lang w:val="sr-Cyrl-CS"/>
        </w:rPr>
        <w:t>terorizma</w:t>
      </w:r>
      <w:r w:rsidR="00713C9A" w:rsidRPr="00E95BC4">
        <w:rPr>
          <w:lang w:val="sr-Cyrl-CS"/>
        </w:rPr>
        <w:t xml:space="preserve"> </w:t>
      </w:r>
      <w:r>
        <w:rPr>
          <w:lang w:val="sr-Cyrl-CS"/>
        </w:rPr>
        <w:t>i</w:t>
      </w:r>
      <w:r w:rsidR="00713C9A" w:rsidRPr="00E95BC4">
        <w:rPr>
          <w:lang w:val="sr-Cyrl-CS"/>
        </w:rPr>
        <w:t xml:space="preserve"> </w:t>
      </w:r>
      <w:r>
        <w:rPr>
          <w:lang w:val="sr-Cyrl-CS"/>
        </w:rPr>
        <w:t>širenja</w:t>
      </w:r>
      <w:r w:rsidR="0004492D" w:rsidRPr="00E95BC4">
        <w:rPr>
          <w:lang w:val="sr-Cyrl-CS"/>
        </w:rPr>
        <w:t xml:space="preserve"> </w:t>
      </w:r>
      <w:r>
        <w:rPr>
          <w:lang w:val="sr-Cyrl-CS"/>
        </w:rPr>
        <w:t>oružja</w:t>
      </w:r>
      <w:r w:rsidR="0004492D" w:rsidRPr="00E95BC4">
        <w:rPr>
          <w:lang w:val="sr-Cyrl-CS"/>
        </w:rPr>
        <w:t xml:space="preserve"> </w:t>
      </w:r>
      <w:r>
        <w:rPr>
          <w:lang w:val="sr-Cyrl-CS"/>
        </w:rPr>
        <w:t>za</w:t>
      </w:r>
      <w:r w:rsidR="0004492D" w:rsidRPr="00E95BC4">
        <w:rPr>
          <w:lang w:val="sr-Cyrl-CS"/>
        </w:rPr>
        <w:t xml:space="preserve"> </w:t>
      </w:r>
      <w:r>
        <w:rPr>
          <w:lang w:val="sr-Cyrl-CS"/>
        </w:rPr>
        <w:t>masovno</w:t>
      </w:r>
      <w:r w:rsidR="0004492D" w:rsidRPr="00E95BC4">
        <w:rPr>
          <w:lang w:val="sr-Cyrl-CS"/>
        </w:rPr>
        <w:t xml:space="preserve"> </w:t>
      </w:r>
      <w:r>
        <w:rPr>
          <w:lang w:val="sr-Cyrl-CS"/>
        </w:rPr>
        <w:t>uništenje</w:t>
      </w:r>
      <w:r w:rsidR="0004492D" w:rsidRPr="00E95BC4">
        <w:rPr>
          <w:lang w:val="sr-Cyrl-CS"/>
        </w:rPr>
        <w:t xml:space="preserve">, </w:t>
      </w:r>
      <w:r>
        <w:rPr>
          <w:lang w:val="sr-Cyrl-CS"/>
        </w:rPr>
        <w:t>a</w:t>
      </w:r>
      <w:r w:rsidR="0004492D" w:rsidRPr="00E95BC4">
        <w:rPr>
          <w:lang w:val="sr-Cyrl-CS"/>
        </w:rPr>
        <w:t xml:space="preserve"> </w:t>
      </w:r>
      <w:r>
        <w:rPr>
          <w:lang w:val="sr-Cyrl-CS"/>
        </w:rPr>
        <w:t>među</w:t>
      </w:r>
      <w:r w:rsidR="0004492D" w:rsidRPr="00E95BC4">
        <w:rPr>
          <w:lang w:val="sr-Cyrl-CS"/>
        </w:rPr>
        <w:t xml:space="preserve"> </w:t>
      </w:r>
      <w:r>
        <w:rPr>
          <w:lang w:val="sr-Cyrl-CS"/>
        </w:rPr>
        <w:t>ključnim</w:t>
      </w:r>
      <w:r w:rsidR="0004492D" w:rsidRPr="00E95BC4">
        <w:rPr>
          <w:lang w:val="sr-Cyrl-CS"/>
        </w:rPr>
        <w:t xml:space="preserve"> </w:t>
      </w:r>
      <w:r>
        <w:rPr>
          <w:lang w:val="sr-Cyrl-CS"/>
        </w:rPr>
        <w:t>zakonima</w:t>
      </w:r>
      <w:r w:rsidR="0004492D" w:rsidRPr="00E95BC4">
        <w:rPr>
          <w:lang w:val="sr-Cyrl-CS"/>
        </w:rPr>
        <w:t xml:space="preserve"> </w:t>
      </w:r>
      <w:r>
        <w:rPr>
          <w:lang w:val="sr-Cyrl-CS"/>
        </w:rPr>
        <w:t>su</w:t>
      </w:r>
      <w:r w:rsidR="0004492D" w:rsidRPr="00E95BC4">
        <w:rPr>
          <w:lang w:val="sr-Cyrl-CS"/>
        </w:rPr>
        <w:t xml:space="preserve"> </w:t>
      </w:r>
      <w:r>
        <w:rPr>
          <w:lang w:val="sr-Cyrl-CS"/>
        </w:rPr>
        <w:t>sledeći</w:t>
      </w:r>
      <w:r w:rsidR="00713C9A" w:rsidRPr="00E95BC4">
        <w:rPr>
          <w:lang w:val="sr-Cyrl-CS"/>
        </w:rPr>
        <w:t>:</w:t>
      </w:r>
    </w:p>
    <w:p w:rsidR="00CC21F4" w:rsidRPr="00E95BC4" w:rsidRDefault="00934E82" w:rsidP="00745C54">
      <w:pPr>
        <w:ind w:firstLine="720"/>
        <w:jc w:val="both"/>
        <w:rPr>
          <w:noProof/>
          <w:color w:val="7030A0"/>
          <w:lang w:val="sr-Cyrl-CS"/>
        </w:rPr>
      </w:pPr>
      <w:r w:rsidRPr="00934E82">
        <w:rPr>
          <w:noProof/>
        </w:rPr>
        <w:pict>
          <v:shapetype id="_x0000_t202" coordsize="21600,21600" o:spt="202" path="m,l,21600r21600,l21600,xe">
            <v:stroke joinstyle="miter"/>
            <v:path gradientshapeok="t" o:connecttype="rect"/>
          </v:shapetype>
          <v:shape id="Text Box 13" o:spid="_x0000_s1026" type="#_x0000_t202" style="position:absolute;left:0;text-align:left;margin-left:-.7pt;margin-top:107.55pt;width:244.5pt;height:158.25pt;z-index:251666432;visibility:visible;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" fillcolor="#a5a5a5 [2092]" stroked="f" strokecolor="#f2f2f2 [3041]" strokeweight="3pt">
            <v:shadow color="#7f7f7f [1601]" opacity=".5" offset="1pt"/>
            <v:textbox>
              <w:txbxContent>
                <w:p w:rsidR="005818C0" w:rsidRPr="00C21C2C" w:rsidRDefault="005818C0" w:rsidP="00990F58">
                  <w:pPr>
                    <w:pStyle w:val="ListParagraph"/>
                    <w:numPr>
                      <w:ilvl w:val="0"/>
                      <w:numId w:val="9"/>
                    </w:numPr>
                    <w:ind w:left="284" w:hanging="284"/>
                    <w:rPr>
                      <w:color w:val="FFFFFF" w:themeColor="background1"/>
                      <w:sz w:val="20"/>
                      <w:szCs w:val="20"/>
                    </w:rPr>
                  </w:pPr>
                  <w:r w:rsidRPr="00C21C2C">
                    <w:rPr>
                      <w:b/>
                      <w:color w:val="FFFFFF" w:themeColor="background1"/>
                      <w:sz w:val="20"/>
                      <w:szCs w:val="20"/>
                    </w:rPr>
                    <w:t>Кривични законик</w:t>
                  </w:r>
                  <w:r w:rsidRPr="00C21C2C">
                    <w:rPr>
                      <w:color w:val="FFFFFF" w:themeColor="background1"/>
                      <w:sz w:val="20"/>
                      <w:szCs w:val="20"/>
                    </w:rPr>
                    <w:t xml:space="preserve"> („Службени гласник РС”, бр. 85/05, 88/05, 107/05, 72/09</w:t>
                  </w:r>
                  <w:r w:rsidRPr="00C21C2C">
                    <w:rPr>
                      <w:color w:val="FFFFFF" w:themeColor="background1"/>
                      <w:sz w:val="20"/>
                      <w:szCs w:val="20"/>
                      <w:lang/>
                    </w:rPr>
                    <w:t xml:space="preserve">, </w:t>
                  </w:r>
                  <w:r w:rsidRPr="00C21C2C">
                    <w:rPr>
                      <w:color w:val="FFFFFF" w:themeColor="background1"/>
                      <w:sz w:val="20"/>
                      <w:szCs w:val="20"/>
                    </w:rPr>
                    <w:t>111/09, 121/12, 104/13, 108/14, 94/16 и 35/19);</w:t>
                  </w:r>
                </w:p>
                <w:p w:rsidR="005818C0" w:rsidRPr="00C21C2C" w:rsidRDefault="005818C0" w:rsidP="00990F58">
                  <w:pPr>
                    <w:pStyle w:val="ListParagraph"/>
                    <w:numPr>
                      <w:ilvl w:val="0"/>
                      <w:numId w:val="9"/>
                    </w:numPr>
                    <w:ind w:left="284" w:hanging="284"/>
                    <w:rPr>
                      <w:color w:val="FFFFFF" w:themeColor="background1"/>
                      <w:sz w:val="20"/>
                      <w:szCs w:val="20"/>
                    </w:rPr>
                  </w:pPr>
                  <w:r>
                    <w:rPr>
                      <w:b/>
                      <w:color w:val="FFFFFF" w:themeColor="background1"/>
                      <w:sz w:val="20"/>
                      <w:szCs w:val="20"/>
                    </w:rPr>
                    <w:t>Закон</w:t>
                  </w:r>
                  <w:r w:rsidRPr="00C21C2C">
                    <w:rPr>
                      <w:b/>
                      <w:color w:val="FFFFFF" w:themeColor="background1"/>
                      <w:sz w:val="20"/>
                      <w:szCs w:val="20"/>
                    </w:rPr>
                    <w:t xml:space="preserve"> о кривичном поступку</w:t>
                  </w:r>
                  <w:r w:rsidRPr="00C21C2C">
                    <w:rPr>
                      <w:color w:val="FFFFFF" w:themeColor="background1"/>
                      <w:sz w:val="20"/>
                      <w:szCs w:val="20"/>
                    </w:rPr>
                    <w:t xml:space="preserve"> („Службени гласник РС”, бр. 72/11, 101/11, 121/12, 32/13, 45/13, 55/14 и 35/19);</w:t>
                  </w:r>
                </w:p>
                <w:p w:rsidR="005818C0" w:rsidRPr="00C21C2C" w:rsidRDefault="005818C0" w:rsidP="00990F58">
                  <w:pPr>
                    <w:pStyle w:val="ListParagraph"/>
                    <w:numPr>
                      <w:ilvl w:val="0"/>
                      <w:numId w:val="9"/>
                    </w:numPr>
                    <w:ind w:left="284" w:hanging="284"/>
                    <w:rPr>
                      <w:iCs/>
                      <w:color w:val="FFFFFF" w:themeColor="background1"/>
                      <w:sz w:val="20"/>
                      <w:szCs w:val="20"/>
                    </w:rPr>
                  </w:pPr>
                  <w:r w:rsidRPr="00C21C2C">
                    <w:rPr>
                      <w:b/>
                      <w:iCs/>
                      <w:color w:val="FFFFFF" w:themeColor="background1"/>
                      <w:sz w:val="20"/>
                      <w:szCs w:val="20"/>
                    </w:rPr>
                    <w:t>Закон о организацији и надлежности државних органа у сузбијању организованог криминала, тероризма и корупције</w:t>
                  </w:r>
                  <w:r w:rsidRPr="00C21C2C">
                    <w:rPr>
                      <w:iCs/>
                      <w:color w:val="FFFFFF" w:themeColor="background1"/>
                      <w:sz w:val="20"/>
                      <w:szCs w:val="20"/>
                    </w:rPr>
                    <w:t xml:space="preserve"> („Службени гласник РС</w:t>
                  </w:r>
                  <w:r w:rsidRPr="00C21C2C">
                    <w:rPr>
                      <w:color w:val="FFFFFF" w:themeColor="background1"/>
                      <w:sz w:val="20"/>
                      <w:szCs w:val="20"/>
                    </w:rPr>
                    <w:t>”</w:t>
                  </w:r>
                  <w:r w:rsidRPr="00C21C2C">
                    <w:rPr>
                      <w:iCs/>
                      <w:color w:val="FFFFFF" w:themeColor="background1"/>
                      <w:sz w:val="20"/>
                      <w:szCs w:val="20"/>
                    </w:rPr>
                    <w:t>, бр. 94/16 и 87/18 - др. закон);</w:t>
                  </w:r>
                </w:p>
                <w:p w:rsidR="005818C0" w:rsidRPr="00C21C2C" w:rsidRDefault="005818C0" w:rsidP="00990F58">
                  <w:pPr>
                    <w:pStyle w:val="ListParagraph"/>
                    <w:numPr>
                      <w:ilvl w:val="0"/>
                      <w:numId w:val="9"/>
                    </w:numPr>
                    <w:ind w:left="284" w:hanging="284"/>
                    <w:rPr>
                      <w:iCs/>
                      <w:color w:val="FFFFFF" w:themeColor="background1"/>
                      <w:sz w:val="20"/>
                      <w:szCs w:val="20"/>
                    </w:rPr>
                  </w:pPr>
                  <w:r w:rsidRPr="00C21C2C">
                    <w:rPr>
                      <w:b/>
                      <w:iCs/>
                      <w:color w:val="FFFFFF" w:themeColor="background1"/>
                      <w:sz w:val="20"/>
                      <w:szCs w:val="20"/>
                    </w:rPr>
                    <w:t>Закон о одузимању имовине проистекле из кривичног дела</w:t>
                  </w:r>
                  <w:r w:rsidRPr="00C21C2C">
                    <w:rPr>
                      <w:iCs/>
                      <w:color w:val="FFFFFF" w:themeColor="background1"/>
                      <w:sz w:val="20"/>
                      <w:szCs w:val="20"/>
                    </w:rPr>
                    <w:t xml:space="preserve"> („Службени гласник РС</w:t>
                  </w:r>
                  <w:r w:rsidRPr="00C21C2C">
                    <w:rPr>
                      <w:color w:val="FFFFFF" w:themeColor="background1"/>
                      <w:sz w:val="20"/>
                      <w:szCs w:val="20"/>
                    </w:rPr>
                    <w:t>”</w:t>
                  </w:r>
                  <w:r w:rsidRPr="00C21C2C">
                    <w:rPr>
                      <w:iCs/>
                      <w:color w:val="FFFFFF" w:themeColor="background1"/>
                      <w:sz w:val="20"/>
                      <w:szCs w:val="20"/>
                    </w:rPr>
                    <w:t xml:space="preserve">, бр. 32/13, 94/16 и </w:t>
                  </w:r>
                  <w:r>
                    <w:rPr>
                      <w:iCs/>
                      <w:color w:val="FFFFFF" w:themeColor="background1"/>
                      <w:sz w:val="20"/>
                      <w:szCs w:val="20"/>
                    </w:rPr>
                    <w:t>35/19)</w:t>
                  </w:r>
                  <w:r>
                    <w:rPr>
                      <w:iCs/>
                      <w:color w:val="FFFFFF" w:themeColor="background1"/>
                      <w:sz w:val="20"/>
                      <w:szCs w:val="20"/>
                      <w:lang/>
                    </w:rPr>
                    <w:t>;</w:t>
                  </w:r>
                </w:p>
                <w:p w:rsidR="005818C0" w:rsidRPr="00990F58" w:rsidRDefault="005818C0" w:rsidP="00990F58">
                  <w:pPr>
                    <w:ind w:left="284" w:hanging="284"/>
                    <w:rPr>
                      <w:color w:val="FFFFFF" w:themeColor="background1"/>
                      <w:sz w:val="12"/>
                      <w:szCs w:val="16"/>
                    </w:rPr>
                  </w:pPr>
                </w:p>
              </w:txbxContent>
            </v:textbox>
            <w10:wrap type="square" anchorx="margin" anchory="margin"/>
          </v:shape>
        </w:pict>
      </w:r>
      <w:r w:rsidR="005818C0">
        <w:rPr>
          <w:b/>
          <w:lang w:val="sr-Cyrl-CS"/>
        </w:rPr>
        <w:t>Krivični</w:t>
      </w:r>
      <w:r w:rsidR="00F21E30" w:rsidRPr="00E95BC4">
        <w:rPr>
          <w:b/>
          <w:lang w:val="sr-Cyrl-CS"/>
        </w:rPr>
        <w:t xml:space="preserve"> </w:t>
      </w:r>
      <w:r w:rsidR="005818C0">
        <w:rPr>
          <w:b/>
          <w:lang w:val="sr-Cyrl-CS"/>
        </w:rPr>
        <w:t>zakonik</w:t>
      </w:r>
      <w:r w:rsidR="00F21E30" w:rsidRPr="00E95BC4">
        <w:rPr>
          <w:lang w:val="sr-Cyrl-CS"/>
        </w:rPr>
        <w:t xml:space="preserve"> </w:t>
      </w:r>
      <w:r w:rsidR="005818C0">
        <w:rPr>
          <w:lang w:val="sr-Cyrl-CS"/>
        </w:rPr>
        <w:t>inkriminiše</w:t>
      </w:r>
      <w:r w:rsidR="00F21E30" w:rsidRPr="00E95BC4">
        <w:rPr>
          <w:lang w:val="sr-Cyrl-CS"/>
        </w:rPr>
        <w:t xml:space="preserve"> </w:t>
      </w:r>
      <w:r w:rsidR="005818C0">
        <w:rPr>
          <w:lang w:val="sr-Cyrl-CS"/>
        </w:rPr>
        <w:t>pranje</w:t>
      </w:r>
      <w:r w:rsidR="00F21E30" w:rsidRPr="00E95BC4">
        <w:rPr>
          <w:lang w:val="sr-Cyrl-CS"/>
        </w:rPr>
        <w:t xml:space="preserve"> </w:t>
      </w:r>
      <w:r w:rsidR="005818C0">
        <w:rPr>
          <w:lang w:val="sr-Cyrl-CS"/>
        </w:rPr>
        <w:t>novca</w:t>
      </w:r>
      <w:r w:rsidR="00F21E30" w:rsidRPr="00E95BC4">
        <w:rPr>
          <w:lang w:val="sr-Cyrl-CS"/>
        </w:rPr>
        <w:t xml:space="preserve"> </w:t>
      </w:r>
      <w:r w:rsidR="005818C0">
        <w:rPr>
          <w:lang w:val="sr-Cyrl-CS"/>
        </w:rPr>
        <w:t>i</w:t>
      </w:r>
      <w:r w:rsidR="00F21E30" w:rsidRPr="00E95BC4">
        <w:rPr>
          <w:lang w:val="sr-Cyrl-CS"/>
        </w:rPr>
        <w:t xml:space="preserve"> </w:t>
      </w:r>
      <w:r w:rsidR="005818C0">
        <w:rPr>
          <w:lang w:val="sr-Cyrl-CS"/>
        </w:rPr>
        <w:t>finansiranja</w:t>
      </w:r>
      <w:r w:rsidR="00F21E30" w:rsidRPr="00E95BC4">
        <w:rPr>
          <w:lang w:val="sr-Cyrl-CS"/>
        </w:rPr>
        <w:t xml:space="preserve"> </w:t>
      </w:r>
      <w:r w:rsidR="005818C0">
        <w:rPr>
          <w:lang w:val="sr-Cyrl-CS"/>
        </w:rPr>
        <w:t>terorizma</w:t>
      </w:r>
      <w:r w:rsidR="00E95BC4">
        <w:rPr>
          <w:lang w:val="sr-Cyrl-CS"/>
        </w:rPr>
        <w:t xml:space="preserve"> (</w:t>
      </w:r>
      <w:r w:rsidR="005818C0">
        <w:rPr>
          <w:lang w:val="sr-Cyrl-CS"/>
        </w:rPr>
        <w:t>član</w:t>
      </w:r>
      <w:r w:rsidR="00F21E30" w:rsidRPr="00E95BC4">
        <w:rPr>
          <w:lang w:val="sr-Cyrl-CS"/>
        </w:rPr>
        <w:t xml:space="preserve"> 245 - </w:t>
      </w:r>
      <w:r w:rsidR="005818C0">
        <w:rPr>
          <w:lang w:val="sr-Cyrl-CS"/>
        </w:rPr>
        <w:t>pranje</w:t>
      </w:r>
      <w:r w:rsidR="00F21E30" w:rsidRPr="00E95BC4">
        <w:rPr>
          <w:lang w:val="sr-Cyrl-CS"/>
        </w:rPr>
        <w:t xml:space="preserve"> </w:t>
      </w:r>
      <w:r w:rsidR="005818C0">
        <w:rPr>
          <w:lang w:val="sr-Cyrl-CS"/>
        </w:rPr>
        <w:t>novca</w:t>
      </w:r>
      <w:r w:rsidR="00F21E30" w:rsidRPr="00E95BC4">
        <w:rPr>
          <w:lang w:val="sr-Cyrl-CS"/>
        </w:rPr>
        <w:t xml:space="preserve"> </w:t>
      </w:r>
      <w:r w:rsidR="005818C0">
        <w:rPr>
          <w:lang w:val="sr-Cyrl-CS"/>
        </w:rPr>
        <w:t>i</w:t>
      </w:r>
      <w:r w:rsidR="00F21E30" w:rsidRPr="00E95BC4">
        <w:rPr>
          <w:lang w:val="sr-Cyrl-CS"/>
        </w:rPr>
        <w:t xml:space="preserve"> </w:t>
      </w:r>
      <w:r w:rsidR="005818C0">
        <w:rPr>
          <w:lang w:val="sr-Cyrl-CS"/>
        </w:rPr>
        <w:t>član</w:t>
      </w:r>
      <w:r w:rsidR="00E95BC4">
        <w:rPr>
          <w:lang w:val="sr-Cyrl-CS"/>
        </w:rPr>
        <w:t xml:space="preserve"> </w:t>
      </w:r>
      <w:r w:rsidR="00F21E30" w:rsidRPr="00E95BC4">
        <w:rPr>
          <w:lang w:val="sr-Cyrl-CS"/>
        </w:rPr>
        <w:t xml:space="preserve">393 - </w:t>
      </w:r>
      <w:r w:rsidR="005818C0">
        <w:rPr>
          <w:lang w:val="sr-Cyrl-CS"/>
        </w:rPr>
        <w:t>finansiranje</w:t>
      </w:r>
      <w:r w:rsidR="00F21E30" w:rsidRPr="00E95BC4">
        <w:rPr>
          <w:lang w:val="sr-Cyrl-CS"/>
        </w:rPr>
        <w:t xml:space="preserve"> </w:t>
      </w:r>
      <w:r w:rsidR="005818C0">
        <w:rPr>
          <w:lang w:val="sr-Cyrl-CS"/>
        </w:rPr>
        <w:t>terorizma</w:t>
      </w:r>
      <w:r w:rsidR="00F21E30" w:rsidRPr="00E95BC4">
        <w:rPr>
          <w:lang w:val="sr-Cyrl-CS"/>
        </w:rPr>
        <w:t>)</w:t>
      </w:r>
      <w:r w:rsidR="007F5C8D" w:rsidRPr="00E95BC4">
        <w:rPr>
          <w:lang w:val="sr-Cyrl-CS"/>
        </w:rPr>
        <w:t xml:space="preserve"> </w:t>
      </w:r>
      <w:r w:rsidR="005818C0">
        <w:rPr>
          <w:lang w:val="sr-Cyrl-CS"/>
        </w:rPr>
        <w:t>u</w:t>
      </w:r>
      <w:r w:rsidR="007F5C8D" w:rsidRPr="00E95BC4">
        <w:rPr>
          <w:lang w:val="sr-Cyrl-CS"/>
        </w:rPr>
        <w:t xml:space="preserve"> </w:t>
      </w:r>
      <w:r w:rsidR="005818C0">
        <w:rPr>
          <w:lang w:val="sr-Cyrl-CS"/>
        </w:rPr>
        <w:t>skladu</w:t>
      </w:r>
      <w:r w:rsidR="007F5C8D" w:rsidRPr="00E95BC4">
        <w:rPr>
          <w:lang w:val="sr-Cyrl-CS"/>
        </w:rPr>
        <w:t xml:space="preserve"> </w:t>
      </w:r>
      <w:r w:rsidR="005818C0">
        <w:rPr>
          <w:lang w:val="sr-Cyrl-CS"/>
        </w:rPr>
        <w:t>sa</w:t>
      </w:r>
      <w:r w:rsidR="007F5C8D" w:rsidRPr="00E95BC4">
        <w:rPr>
          <w:lang w:val="sr-Cyrl-CS"/>
        </w:rPr>
        <w:t xml:space="preserve"> </w:t>
      </w:r>
      <w:r w:rsidR="005818C0">
        <w:rPr>
          <w:lang w:val="sr-Cyrl-CS"/>
        </w:rPr>
        <w:t>međunarodnim</w:t>
      </w:r>
      <w:r w:rsidR="007F5C8D" w:rsidRPr="00E95BC4">
        <w:rPr>
          <w:lang w:val="sr-Cyrl-CS"/>
        </w:rPr>
        <w:t xml:space="preserve"> </w:t>
      </w:r>
      <w:r w:rsidR="005818C0">
        <w:rPr>
          <w:lang w:val="sr-Cyrl-CS"/>
        </w:rPr>
        <w:t>standardima</w:t>
      </w:r>
      <w:r w:rsidR="007F5C8D" w:rsidRPr="00E95BC4">
        <w:rPr>
          <w:lang w:val="sr-Cyrl-CS"/>
        </w:rPr>
        <w:t xml:space="preserve">. </w:t>
      </w:r>
    </w:p>
    <w:p w:rsidR="00CC21F4" w:rsidRPr="00E95BC4" w:rsidRDefault="005818C0" w:rsidP="00CC21F4">
      <w:pPr>
        <w:ind w:firstLine="708"/>
        <w:jc w:val="both"/>
        <w:rPr>
          <w:lang w:val="sr-Cyrl-CS"/>
        </w:rPr>
      </w:pPr>
      <w:r>
        <w:rPr>
          <w:lang w:val="sr-Cyrl-CS"/>
        </w:rPr>
        <w:t>Veći</w:t>
      </w:r>
      <w:r w:rsidR="00CC21F4" w:rsidRPr="00E95BC4">
        <w:rPr>
          <w:lang w:val="sr-Cyrl-CS"/>
        </w:rPr>
        <w:t xml:space="preserve"> </w:t>
      </w:r>
      <w:r>
        <w:rPr>
          <w:lang w:val="sr-Cyrl-CS"/>
        </w:rPr>
        <w:t>stepen</w:t>
      </w:r>
      <w:r w:rsidR="00CC21F4" w:rsidRPr="00E95BC4">
        <w:rPr>
          <w:lang w:val="sr-Cyrl-CS"/>
        </w:rPr>
        <w:t xml:space="preserve"> </w:t>
      </w:r>
      <w:r>
        <w:rPr>
          <w:lang w:val="sr-Cyrl-CS"/>
        </w:rPr>
        <w:t>delotvornosti</w:t>
      </w:r>
      <w:r w:rsidR="00CC21F4" w:rsidRPr="00E95BC4">
        <w:rPr>
          <w:lang w:val="sr-Cyrl-CS"/>
        </w:rPr>
        <w:t xml:space="preserve"> </w:t>
      </w:r>
      <w:r>
        <w:rPr>
          <w:lang w:val="sr-Cyrl-CS"/>
        </w:rPr>
        <w:t>sistema</w:t>
      </w:r>
      <w:r w:rsidR="00CC21F4" w:rsidRPr="00E95BC4">
        <w:rPr>
          <w:lang w:val="sr-Cyrl-CS"/>
        </w:rPr>
        <w:t xml:space="preserve"> </w:t>
      </w:r>
      <w:r>
        <w:rPr>
          <w:lang w:val="sr-Cyrl-CS"/>
        </w:rPr>
        <w:t>u</w:t>
      </w:r>
      <w:r w:rsidR="00CC21F4" w:rsidRPr="00E95BC4">
        <w:rPr>
          <w:lang w:val="sr-Cyrl-CS"/>
        </w:rPr>
        <w:t xml:space="preserve"> </w:t>
      </w:r>
      <w:r>
        <w:rPr>
          <w:lang w:val="sr-Cyrl-CS"/>
        </w:rPr>
        <w:t>pogledu</w:t>
      </w:r>
      <w:r w:rsidR="00CC21F4" w:rsidRPr="00E95BC4">
        <w:rPr>
          <w:lang w:val="sr-Cyrl-CS"/>
        </w:rPr>
        <w:t xml:space="preserve"> </w:t>
      </w:r>
      <w:r>
        <w:rPr>
          <w:lang w:val="sr-Cyrl-CS"/>
        </w:rPr>
        <w:t>postupaka</w:t>
      </w:r>
      <w:r w:rsidR="00CC21F4" w:rsidRPr="00E95BC4">
        <w:rPr>
          <w:lang w:val="sr-Cyrl-CS"/>
        </w:rPr>
        <w:t xml:space="preserve"> </w:t>
      </w:r>
      <w:r>
        <w:rPr>
          <w:lang w:val="sr-Cyrl-CS"/>
        </w:rPr>
        <w:t>i</w:t>
      </w:r>
      <w:r w:rsidR="00CC21F4" w:rsidRPr="00E95BC4">
        <w:rPr>
          <w:lang w:val="sr-Cyrl-CS"/>
        </w:rPr>
        <w:t xml:space="preserve"> </w:t>
      </w:r>
      <w:r>
        <w:rPr>
          <w:lang w:val="sr-Cyrl-CS"/>
        </w:rPr>
        <w:t>presuda</w:t>
      </w:r>
      <w:r w:rsidR="00CC21F4" w:rsidRPr="00E95BC4">
        <w:rPr>
          <w:lang w:val="sr-Cyrl-CS"/>
        </w:rPr>
        <w:t xml:space="preserve"> </w:t>
      </w:r>
      <w:r>
        <w:rPr>
          <w:lang w:val="sr-Cyrl-CS"/>
        </w:rPr>
        <w:t>za</w:t>
      </w:r>
      <w:r w:rsidR="00CC21F4" w:rsidRPr="00E95BC4">
        <w:rPr>
          <w:lang w:val="sr-Cyrl-CS"/>
        </w:rPr>
        <w:t xml:space="preserve"> </w:t>
      </w:r>
      <w:r>
        <w:rPr>
          <w:lang w:val="sr-Cyrl-CS"/>
        </w:rPr>
        <w:t>pranje</w:t>
      </w:r>
      <w:r w:rsidR="00CC21F4" w:rsidRPr="00E95BC4">
        <w:rPr>
          <w:lang w:val="sr-Cyrl-CS"/>
        </w:rPr>
        <w:t xml:space="preserve"> </w:t>
      </w:r>
      <w:r>
        <w:rPr>
          <w:lang w:val="sr-Cyrl-CS"/>
        </w:rPr>
        <w:t>novca</w:t>
      </w:r>
      <w:r w:rsidR="00CC21F4" w:rsidRPr="00E95BC4">
        <w:rPr>
          <w:lang w:val="sr-Cyrl-CS"/>
        </w:rPr>
        <w:t xml:space="preserve"> </w:t>
      </w:r>
      <w:r>
        <w:rPr>
          <w:lang w:val="sr-Cyrl-CS"/>
        </w:rPr>
        <w:t>u</w:t>
      </w:r>
      <w:r w:rsidR="00CC21F4" w:rsidRPr="00E95BC4">
        <w:rPr>
          <w:lang w:val="sr-Cyrl-CS"/>
        </w:rPr>
        <w:t xml:space="preserve"> </w:t>
      </w:r>
      <w:r>
        <w:rPr>
          <w:lang w:val="sr-Cyrl-CS"/>
        </w:rPr>
        <w:t>poslednje</w:t>
      </w:r>
      <w:r w:rsidR="00CC21F4" w:rsidRPr="00E95BC4">
        <w:rPr>
          <w:lang w:val="sr-Cyrl-CS"/>
        </w:rPr>
        <w:t xml:space="preserve"> </w:t>
      </w:r>
      <w:r>
        <w:rPr>
          <w:lang w:val="sr-Cyrl-CS"/>
        </w:rPr>
        <w:t>dve</w:t>
      </w:r>
      <w:r w:rsidR="00CC21F4" w:rsidRPr="00E95BC4">
        <w:rPr>
          <w:lang w:val="sr-Cyrl-CS"/>
        </w:rPr>
        <w:t xml:space="preserve"> </w:t>
      </w:r>
      <w:r>
        <w:rPr>
          <w:lang w:val="sr-Cyrl-CS"/>
        </w:rPr>
        <w:t>godine</w:t>
      </w:r>
      <w:r w:rsidR="00CC21F4" w:rsidRPr="00E95BC4">
        <w:rPr>
          <w:lang w:val="sr-Cyrl-CS"/>
        </w:rPr>
        <w:t xml:space="preserve"> </w:t>
      </w:r>
      <w:r>
        <w:rPr>
          <w:lang w:val="sr-Cyrl-CS"/>
        </w:rPr>
        <w:t>delimično</w:t>
      </w:r>
      <w:r w:rsidR="00CC21F4" w:rsidRPr="00E95BC4">
        <w:rPr>
          <w:lang w:val="sr-Cyrl-CS"/>
        </w:rPr>
        <w:t xml:space="preserve"> </w:t>
      </w:r>
      <w:r>
        <w:rPr>
          <w:lang w:val="sr-Cyrl-CS"/>
        </w:rPr>
        <w:t>je</w:t>
      </w:r>
      <w:r w:rsidR="004C76C3" w:rsidRPr="00E95BC4">
        <w:rPr>
          <w:lang w:val="sr-Cyrl-CS"/>
        </w:rPr>
        <w:t xml:space="preserve"> </w:t>
      </w:r>
      <w:r>
        <w:rPr>
          <w:lang w:val="sr-Cyrl-CS"/>
        </w:rPr>
        <w:t>i</w:t>
      </w:r>
      <w:r w:rsidR="00CC21F4" w:rsidRPr="00E95BC4">
        <w:rPr>
          <w:lang w:val="sr-Cyrl-CS"/>
        </w:rPr>
        <w:t xml:space="preserve"> </w:t>
      </w:r>
      <w:r>
        <w:rPr>
          <w:lang w:val="sr-Cyrl-CS"/>
        </w:rPr>
        <w:t>posledica</w:t>
      </w:r>
      <w:r w:rsidR="00CC21F4" w:rsidRPr="00E95BC4">
        <w:rPr>
          <w:lang w:val="sr-Cyrl-CS"/>
        </w:rPr>
        <w:t xml:space="preserve"> </w:t>
      </w:r>
      <w:r>
        <w:rPr>
          <w:lang w:val="sr-Cyrl-CS"/>
        </w:rPr>
        <w:t>izmena</w:t>
      </w:r>
      <w:r w:rsidR="00CC21F4" w:rsidRPr="00E95BC4">
        <w:rPr>
          <w:lang w:val="sr-Cyrl-CS"/>
        </w:rPr>
        <w:t xml:space="preserve"> </w:t>
      </w:r>
      <w:r>
        <w:rPr>
          <w:lang w:val="sr-Cyrl-CS"/>
        </w:rPr>
        <w:t>Krivičnog</w:t>
      </w:r>
      <w:r w:rsidR="00CC21F4" w:rsidRPr="00E95BC4">
        <w:rPr>
          <w:lang w:val="sr-Cyrl-CS"/>
        </w:rPr>
        <w:t xml:space="preserve"> </w:t>
      </w:r>
      <w:r>
        <w:rPr>
          <w:lang w:val="sr-Cyrl-CS"/>
        </w:rPr>
        <w:t>zakonika</w:t>
      </w:r>
      <w:r w:rsidR="00CC21F4" w:rsidRPr="00E95BC4">
        <w:rPr>
          <w:lang w:val="sr-Cyrl-CS"/>
        </w:rPr>
        <w:t xml:space="preserve"> (</w:t>
      </w:r>
      <w:r w:rsidR="00603DAA" w:rsidRPr="00E95BC4">
        <w:rPr>
          <w:lang w:val="sr-Cyrl-CS"/>
        </w:rPr>
        <w:t>„</w:t>
      </w:r>
      <w:r>
        <w:rPr>
          <w:lang w:val="sr-Cyrl-CS"/>
        </w:rPr>
        <w:t>Službeni</w:t>
      </w:r>
      <w:r w:rsidR="00CC21F4" w:rsidRPr="00E95BC4">
        <w:rPr>
          <w:lang w:val="sr-Cyrl-CS"/>
        </w:rPr>
        <w:t xml:space="preserve"> </w:t>
      </w:r>
      <w:r>
        <w:rPr>
          <w:lang w:val="sr-Cyrl-CS"/>
        </w:rPr>
        <w:t>glasnik</w:t>
      </w:r>
      <w:r w:rsidR="00CC21F4" w:rsidRPr="00E95BC4">
        <w:rPr>
          <w:lang w:val="sr-Cyrl-CS"/>
        </w:rPr>
        <w:t xml:space="preserve"> </w:t>
      </w:r>
      <w:r>
        <w:rPr>
          <w:lang w:val="sr-Cyrl-CS"/>
        </w:rPr>
        <w:t>RS</w:t>
      </w:r>
      <w:r w:rsidR="00603DAA" w:rsidRPr="00E95BC4">
        <w:rPr>
          <w:lang w:val="sr-Cyrl-CS"/>
        </w:rPr>
        <w:t>”,</w:t>
      </w:r>
      <w:r w:rsidR="00CC21F4" w:rsidRPr="00E95BC4">
        <w:rPr>
          <w:lang w:val="sr-Cyrl-CS"/>
        </w:rPr>
        <w:t xml:space="preserve"> </w:t>
      </w:r>
      <w:r>
        <w:rPr>
          <w:lang w:val="sr-Cyrl-CS"/>
        </w:rPr>
        <w:t>broj</w:t>
      </w:r>
      <w:r w:rsidR="00CC21F4" w:rsidRPr="00E95BC4">
        <w:rPr>
          <w:lang w:val="sr-Cyrl-CS"/>
        </w:rPr>
        <w:t xml:space="preserve"> 94/16), </w:t>
      </w:r>
      <w:r>
        <w:rPr>
          <w:lang w:val="sr-Cyrl-CS"/>
        </w:rPr>
        <w:t>koji</w:t>
      </w:r>
      <w:r w:rsidR="00465BE6" w:rsidRPr="00E95BC4">
        <w:rPr>
          <w:lang w:val="sr-Cyrl-CS"/>
        </w:rPr>
        <w:t xml:space="preserve"> </w:t>
      </w:r>
      <w:r>
        <w:rPr>
          <w:lang w:val="sr-Cyrl-CS"/>
        </w:rPr>
        <w:t>je</w:t>
      </w:r>
      <w:r w:rsidR="00465BE6" w:rsidRPr="00E95BC4">
        <w:rPr>
          <w:lang w:val="sr-Cyrl-CS"/>
        </w:rPr>
        <w:t xml:space="preserve"> </w:t>
      </w:r>
      <w:r>
        <w:rPr>
          <w:lang w:val="sr-Cyrl-CS"/>
        </w:rPr>
        <w:t>počeo</w:t>
      </w:r>
      <w:r w:rsidR="00465BE6" w:rsidRPr="00E95BC4">
        <w:rPr>
          <w:lang w:val="sr-Cyrl-CS"/>
        </w:rPr>
        <w:t xml:space="preserve"> </w:t>
      </w:r>
      <w:r>
        <w:rPr>
          <w:lang w:val="sr-Cyrl-CS"/>
        </w:rPr>
        <w:t>da</w:t>
      </w:r>
      <w:r w:rsidR="00465BE6" w:rsidRPr="00E95BC4">
        <w:rPr>
          <w:lang w:val="sr-Cyrl-CS"/>
        </w:rPr>
        <w:t xml:space="preserve"> </w:t>
      </w:r>
      <w:r>
        <w:rPr>
          <w:lang w:val="sr-Cyrl-CS"/>
        </w:rPr>
        <w:t>se</w:t>
      </w:r>
      <w:r w:rsidR="00465BE6" w:rsidRPr="00E95BC4">
        <w:rPr>
          <w:lang w:val="sr-Cyrl-CS"/>
        </w:rPr>
        <w:t xml:space="preserve"> </w:t>
      </w:r>
      <w:r>
        <w:rPr>
          <w:lang w:val="sr-Cyrl-CS"/>
        </w:rPr>
        <w:t>primenjuje</w:t>
      </w:r>
      <w:r w:rsidR="00465BE6" w:rsidRPr="00E95BC4">
        <w:rPr>
          <w:lang w:val="sr-Cyrl-CS"/>
        </w:rPr>
        <w:t xml:space="preserve"> </w:t>
      </w:r>
      <w:r>
        <w:rPr>
          <w:lang w:val="sr-Cyrl-CS"/>
        </w:rPr>
        <w:t>od</w:t>
      </w:r>
      <w:r w:rsidR="00465BE6" w:rsidRPr="00E95BC4">
        <w:rPr>
          <w:lang w:val="sr-Cyrl-CS"/>
        </w:rPr>
        <w:t xml:space="preserve"> </w:t>
      </w:r>
      <w:r w:rsidR="00CC21F4" w:rsidRPr="00E95BC4">
        <w:rPr>
          <w:lang w:val="sr-Cyrl-CS"/>
        </w:rPr>
        <w:t xml:space="preserve">1. </w:t>
      </w:r>
      <w:r>
        <w:rPr>
          <w:lang w:val="sr-Cyrl-CS"/>
        </w:rPr>
        <w:t>marta</w:t>
      </w:r>
      <w:r w:rsidR="00CC21F4" w:rsidRPr="00E95BC4">
        <w:rPr>
          <w:lang w:val="sr-Cyrl-CS"/>
        </w:rPr>
        <w:t xml:space="preserve"> 2018</w:t>
      </w:r>
      <w:r w:rsidR="00465BE6" w:rsidRPr="00E95BC4">
        <w:rPr>
          <w:lang w:val="sr-Cyrl-CS"/>
        </w:rPr>
        <w:t>.</w:t>
      </w:r>
      <w:r w:rsidR="00CC21F4" w:rsidRPr="00E95BC4">
        <w:rPr>
          <w:lang w:val="sr-Cyrl-CS"/>
        </w:rPr>
        <w:t xml:space="preserve"> </w:t>
      </w:r>
      <w:r>
        <w:rPr>
          <w:lang w:val="sr-Cyrl-CS"/>
        </w:rPr>
        <w:t>godine</w:t>
      </w:r>
      <w:r w:rsidR="00CC21F4" w:rsidRPr="00E95BC4">
        <w:rPr>
          <w:lang w:val="sr-Cyrl-CS"/>
        </w:rPr>
        <w:t xml:space="preserve">. </w:t>
      </w:r>
    </w:p>
    <w:p w:rsidR="00CC21F4" w:rsidRPr="00E95BC4" w:rsidRDefault="005818C0" w:rsidP="00CC21F4">
      <w:pPr>
        <w:ind w:firstLine="708"/>
        <w:jc w:val="both"/>
        <w:rPr>
          <w:noProof/>
          <w:lang w:val="sr-Cyrl-CS"/>
        </w:rPr>
      </w:pPr>
      <w:r>
        <w:rPr>
          <w:lang w:val="sr-Cyrl-CS"/>
        </w:rPr>
        <w:t>Pomenutim</w:t>
      </w:r>
      <w:r w:rsidR="00CC21F4" w:rsidRPr="00E95BC4">
        <w:rPr>
          <w:lang w:val="sr-Cyrl-CS"/>
        </w:rPr>
        <w:t xml:space="preserve"> </w:t>
      </w:r>
      <w:r>
        <w:rPr>
          <w:lang w:val="sr-Cyrl-CS"/>
        </w:rPr>
        <w:t>zakonom</w:t>
      </w:r>
      <w:r w:rsidR="00CC21F4" w:rsidRPr="00E95BC4">
        <w:rPr>
          <w:lang w:val="sr-Cyrl-CS"/>
        </w:rPr>
        <w:t xml:space="preserve"> </w:t>
      </w:r>
      <w:r>
        <w:rPr>
          <w:lang w:val="sr-Cyrl-CS"/>
        </w:rPr>
        <w:t>došlo</w:t>
      </w:r>
      <w:r w:rsidR="00CC21F4" w:rsidRPr="00E95BC4">
        <w:rPr>
          <w:lang w:val="sr-Cyrl-CS"/>
        </w:rPr>
        <w:t xml:space="preserve"> </w:t>
      </w:r>
      <w:r>
        <w:rPr>
          <w:lang w:val="sr-Cyrl-CS"/>
        </w:rPr>
        <w:t>je</w:t>
      </w:r>
      <w:r w:rsidR="00CC21F4" w:rsidRPr="00E95BC4">
        <w:rPr>
          <w:lang w:val="sr-Cyrl-CS"/>
        </w:rPr>
        <w:t xml:space="preserve"> </w:t>
      </w:r>
      <w:r>
        <w:rPr>
          <w:lang w:val="sr-Cyrl-CS"/>
        </w:rPr>
        <w:t>do</w:t>
      </w:r>
      <w:r w:rsidR="00CC21F4" w:rsidRPr="00E95BC4">
        <w:rPr>
          <w:lang w:val="sr-Cyrl-CS"/>
        </w:rPr>
        <w:t xml:space="preserve"> </w:t>
      </w:r>
      <w:r>
        <w:rPr>
          <w:lang w:val="sr-Cyrl-CS"/>
        </w:rPr>
        <w:t>izmene</w:t>
      </w:r>
      <w:r w:rsidR="00CC21F4" w:rsidRPr="00E95BC4">
        <w:rPr>
          <w:lang w:val="sr-Cyrl-CS"/>
        </w:rPr>
        <w:t xml:space="preserve"> </w:t>
      </w:r>
      <w:r>
        <w:rPr>
          <w:lang w:val="sr-Cyrl-CS"/>
        </w:rPr>
        <w:t>odredbe</w:t>
      </w:r>
      <w:r w:rsidR="00CC21F4" w:rsidRPr="00E95BC4">
        <w:rPr>
          <w:lang w:val="sr-Cyrl-CS"/>
        </w:rPr>
        <w:t xml:space="preserve"> </w:t>
      </w:r>
      <w:r>
        <w:rPr>
          <w:lang w:val="sr-Cyrl-CS"/>
        </w:rPr>
        <w:t>člana</w:t>
      </w:r>
      <w:r w:rsidR="00CC21F4" w:rsidRPr="00E95BC4">
        <w:rPr>
          <w:lang w:val="sr-Cyrl-CS"/>
        </w:rPr>
        <w:t xml:space="preserve"> 231</w:t>
      </w:r>
      <w:r w:rsidR="00603DAA" w:rsidRPr="00E95BC4">
        <w:rPr>
          <w:lang w:val="sr-Cyrl-CS"/>
        </w:rPr>
        <w:t>.</w:t>
      </w:r>
      <w:r w:rsidR="00CC21F4" w:rsidRPr="00E95BC4">
        <w:rPr>
          <w:lang w:val="sr-Cyrl-CS"/>
        </w:rPr>
        <w:t xml:space="preserve"> </w:t>
      </w:r>
      <w:r>
        <w:rPr>
          <w:lang w:val="sr-Cyrl-CS"/>
        </w:rPr>
        <w:t>Krivičnog</w:t>
      </w:r>
      <w:r w:rsidR="00820ACB" w:rsidRPr="00E95BC4">
        <w:rPr>
          <w:lang w:val="sr-Cyrl-CS"/>
        </w:rPr>
        <w:t xml:space="preserve"> </w:t>
      </w:r>
      <w:r>
        <w:rPr>
          <w:lang w:val="sr-Cyrl-CS"/>
        </w:rPr>
        <w:t>zakonika</w:t>
      </w:r>
      <w:r w:rsidR="00CC21F4" w:rsidRPr="00E95BC4">
        <w:rPr>
          <w:lang w:val="sr-Cyrl-CS"/>
        </w:rPr>
        <w:t xml:space="preserve"> (</w:t>
      </w:r>
      <w:r>
        <w:rPr>
          <w:lang w:val="sr-Cyrl-CS"/>
        </w:rPr>
        <w:t>sada</w:t>
      </w:r>
      <w:r w:rsidR="00CC21F4" w:rsidRPr="00E95BC4">
        <w:rPr>
          <w:lang w:val="sr-Cyrl-CS"/>
        </w:rPr>
        <w:t xml:space="preserve"> </w:t>
      </w:r>
      <w:r>
        <w:rPr>
          <w:lang w:val="sr-Cyrl-CS"/>
        </w:rPr>
        <w:t>član</w:t>
      </w:r>
      <w:r w:rsidR="00CC21F4" w:rsidRPr="00E95BC4">
        <w:rPr>
          <w:lang w:val="sr-Cyrl-CS"/>
        </w:rPr>
        <w:t xml:space="preserve"> 245</w:t>
      </w:r>
      <w:r w:rsidR="00820ACB">
        <w:rPr>
          <w:lang w:val="sr-Cyrl-CS"/>
        </w:rPr>
        <w:t>.</w:t>
      </w:r>
      <w:r w:rsidR="00CC21F4" w:rsidRPr="00E95BC4">
        <w:rPr>
          <w:lang w:val="sr-Cyrl-CS"/>
        </w:rPr>
        <w:t xml:space="preserve">), </w:t>
      </w:r>
      <w:r>
        <w:rPr>
          <w:lang w:val="sr-Cyrl-CS"/>
        </w:rPr>
        <w:t>koja</w:t>
      </w:r>
      <w:r w:rsidR="00CC21F4" w:rsidRPr="00E95BC4">
        <w:rPr>
          <w:lang w:val="sr-Cyrl-CS"/>
        </w:rPr>
        <w:t xml:space="preserve"> </w:t>
      </w:r>
      <w:r>
        <w:rPr>
          <w:lang w:val="sr-Cyrl-CS"/>
        </w:rPr>
        <w:t>je</w:t>
      </w:r>
      <w:r w:rsidR="00CC21F4" w:rsidRPr="00E95BC4">
        <w:rPr>
          <w:lang w:val="sr-Cyrl-CS"/>
        </w:rPr>
        <w:t xml:space="preserve"> </w:t>
      </w:r>
      <w:r>
        <w:rPr>
          <w:lang w:val="sr-Cyrl-CS"/>
        </w:rPr>
        <w:t>propisivala</w:t>
      </w:r>
      <w:r w:rsidR="00CC21F4" w:rsidRPr="00E95BC4">
        <w:rPr>
          <w:lang w:val="sr-Cyrl-CS"/>
        </w:rPr>
        <w:t xml:space="preserve"> </w:t>
      </w:r>
      <w:r>
        <w:rPr>
          <w:lang w:val="sr-Cyrl-CS"/>
        </w:rPr>
        <w:t>krivično</w:t>
      </w:r>
      <w:r w:rsidR="00CC21F4" w:rsidRPr="00E95BC4">
        <w:rPr>
          <w:lang w:val="sr-Cyrl-CS"/>
        </w:rPr>
        <w:t xml:space="preserve"> </w:t>
      </w:r>
      <w:r>
        <w:rPr>
          <w:lang w:val="sr-Cyrl-CS"/>
        </w:rPr>
        <w:t>delo</w:t>
      </w:r>
      <w:r w:rsidR="00CC21F4" w:rsidRPr="00E95BC4">
        <w:rPr>
          <w:lang w:val="sr-Cyrl-CS"/>
        </w:rPr>
        <w:t xml:space="preserve"> </w:t>
      </w:r>
      <w:r>
        <w:rPr>
          <w:lang w:val="sr-Cyrl-CS"/>
        </w:rPr>
        <w:t>pranje</w:t>
      </w:r>
      <w:r w:rsidR="00CC21F4" w:rsidRPr="00E95BC4">
        <w:rPr>
          <w:lang w:val="sr-Cyrl-CS"/>
        </w:rPr>
        <w:t xml:space="preserve"> </w:t>
      </w:r>
      <w:r>
        <w:rPr>
          <w:lang w:val="sr-Cyrl-CS"/>
        </w:rPr>
        <w:t>novca</w:t>
      </w:r>
      <w:r w:rsidR="00CC21F4" w:rsidRPr="00E95BC4">
        <w:rPr>
          <w:lang w:val="sr-Cyrl-CS"/>
        </w:rPr>
        <w:t xml:space="preserve">. </w:t>
      </w:r>
      <w:r>
        <w:rPr>
          <w:lang w:val="sr-Cyrl-CS"/>
        </w:rPr>
        <w:t>Naime</w:t>
      </w:r>
      <w:r w:rsidR="00CC21F4" w:rsidRPr="00E95BC4">
        <w:rPr>
          <w:lang w:val="sr-Cyrl-CS"/>
        </w:rPr>
        <w:t xml:space="preserve">, </w:t>
      </w:r>
      <w:r>
        <w:rPr>
          <w:lang w:val="sr-Cyrl-CS"/>
        </w:rPr>
        <w:t>izmenama</w:t>
      </w:r>
      <w:r w:rsidR="00CC21F4" w:rsidRPr="00E95BC4">
        <w:rPr>
          <w:lang w:val="sr-Cyrl-CS"/>
        </w:rPr>
        <w:t xml:space="preserve"> </w:t>
      </w:r>
      <w:r>
        <w:rPr>
          <w:lang w:val="sr-Cyrl-CS"/>
        </w:rPr>
        <w:t>Krivičnog</w:t>
      </w:r>
      <w:r w:rsidR="00CC21F4" w:rsidRPr="00E95BC4">
        <w:rPr>
          <w:lang w:val="sr-Cyrl-CS"/>
        </w:rPr>
        <w:t xml:space="preserve"> </w:t>
      </w:r>
      <w:r>
        <w:rPr>
          <w:lang w:val="sr-Cyrl-CS"/>
        </w:rPr>
        <w:t>zakonika</w:t>
      </w:r>
      <w:r w:rsidR="00CC21F4" w:rsidRPr="00E95BC4">
        <w:rPr>
          <w:lang w:val="sr-Cyrl-CS"/>
        </w:rPr>
        <w:t xml:space="preserve"> </w:t>
      </w:r>
      <w:r>
        <w:rPr>
          <w:lang w:val="sr-Cyrl-CS"/>
        </w:rPr>
        <w:t>propisano</w:t>
      </w:r>
      <w:r w:rsidR="00CC21F4" w:rsidRPr="00E95BC4">
        <w:rPr>
          <w:lang w:val="sr-Cyrl-CS"/>
        </w:rPr>
        <w:t xml:space="preserve"> </w:t>
      </w:r>
      <w:r>
        <w:rPr>
          <w:lang w:val="sr-Cyrl-CS"/>
        </w:rPr>
        <w:t>je</w:t>
      </w:r>
      <w:r w:rsidR="00CC21F4" w:rsidRPr="00E95BC4">
        <w:rPr>
          <w:lang w:val="sr-Cyrl-CS"/>
        </w:rPr>
        <w:t xml:space="preserve"> </w:t>
      </w:r>
      <w:r>
        <w:rPr>
          <w:lang w:val="sr-Cyrl-CS"/>
        </w:rPr>
        <w:t>da</w:t>
      </w:r>
      <w:r w:rsidR="00CC21F4" w:rsidRPr="00E95BC4">
        <w:rPr>
          <w:lang w:val="sr-Cyrl-CS"/>
        </w:rPr>
        <w:t xml:space="preserve"> </w:t>
      </w:r>
      <w:r>
        <w:rPr>
          <w:lang w:val="sr-Cyrl-CS"/>
        </w:rPr>
        <w:t>imovina</w:t>
      </w:r>
      <w:r w:rsidR="00CC21F4" w:rsidRPr="00E95BC4">
        <w:rPr>
          <w:lang w:val="sr-Cyrl-CS"/>
        </w:rPr>
        <w:t xml:space="preserve"> </w:t>
      </w:r>
      <w:r>
        <w:rPr>
          <w:lang w:val="sr-Cyrl-CS"/>
        </w:rPr>
        <w:t>koja</w:t>
      </w:r>
      <w:r w:rsidR="00CC21F4" w:rsidRPr="00E95BC4">
        <w:rPr>
          <w:lang w:val="sr-Cyrl-CS"/>
        </w:rPr>
        <w:t xml:space="preserve"> </w:t>
      </w:r>
      <w:r>
        <w:rPr>
          <w:lang w:val="sr-Cyrl-CS"/>
        </w:rPr>
        <w:t>je</w:t>
      </w:r>
      <w:r w:rsidR="00CC21F4" w:rsidRPr="00E95BC4">
        <w:rPr>
          <w:lang w:val="sr-Cyrl-CS"/>
        </w:rPr>
        <w:t xml:space="preserve"> </w:t>
      </w:r>
      <w:r>
        <w:rPr>
          <w:lang w:val="sr-Cyrl-CS"/>
        </w:rPr>
        <w:t>predmet</w:t>
      </w:r>
      <w:r w:rsidR="00CC21F4" w:rsidRPr="00E95BC4">
        <w:rPr>
          <w:lang w:val="sr-Cyrl-CS"/>
        </w:rPr>
        <w:t xml:space="preserve"> </w:t>
      </w:r>
      <w:r>
        <w:rPr>
          <w:lang w:val="sr-Cyrl-CS"/>
        </w:rPr>
        <w:t>pranja</w:t>
      </w:r>
      <w:r w:rsidR="00CC21F4" w:rsidRPr="00E95BC4">
        <w:rPr>
          <w:lang w:val="sr-Cyrl-CS"/>
        </w:rPr>
        <w:t xml:space="preserve"> </w:t>
      </w:r>
      <w:r>
        <w:rPr>
          <w:lang w:val="sr-Cyrl-CS"/>
        </w:rPr>
        <w:t>novca</w:t>
      </w:r>
      <w:r w:rsidR="00CC21F4" w:rsidRPr="00E95BC4">
        <w:rPr>
          <w:lang w:val="sr-Cyrl-CS"/>
        </w:rPr>
        <w:t xml:space="preserve"> </w:t>
      </w:r>
      <w:r>
        <w:rPr>
          <w:lang w:val="sr-Cyrl-CS"/>
        </w:rPr>
        <w:t>ne</w:t>
      </w:r>
      <w:r w:rsidR="00CC21F4" w:rsidRPr="00E95BC4">
        <w:rPr>
          <w:lang w:val="sr-Cyrl-CS"/>
        </w:rPr>
        <w:t xml:space="preserve"> </w:t>
      </w:r>
      <w:r>
        <w:rPr>
          <w:lang w:val="sr-Cyrl-CS"/>
        </w:rPr>
        <w:t>mora</w:t>
      </w:r>
      <w:r w:rsidR="00CC21F4" w:rsidRPr="00E95BC4">
        <w:rPr>
          <w:lang w:val="sr-Cyrl-CS"/>
        </w:rPr>
        <w:t xml:space="preserve"> </w:t>
      </w:r>
      <w:r>
        <w:rPr>
          <w:lang w:val="sr-Cyrl-CS"/>
        </w:rPr>
        <w:t>da</w:t>
      </w:r>
      <w:r w:rsidR="00CC21F4" w:rsidRPr="00E95BC4">
        <w:rPr>
          <w:lang w:val="sr-Cyrl-CS"/>
        </w:rPr>
        <w:t xml:space="preserve"> </w:t>
      </w:r>
      <w:r>
        <w:rPr>
          <w:lang w:val="sr-Cyrl-CS"/>
        </w:rPr>
        <w:t>potiče</w:t>
      </w:r>
      <w:r w:rsidR="00CC21F4" w:rsidRPr="00E95BC4">
        <w:rPr>
          <w:lang w:val="sr-Cyrl-CS"/>
        </w:rPr>
        <w:t xml:space="preserve"> </w:t>
      </w:r>
      <w:r>
        <w:rPr>
          <w:lang w:val="sr-Cyrl-CS"/>
        </w:rPr>
        <w:t>iz</w:t>
      </w:r>
      <w:r w:rsidR="00CC21F4" w:rsidRPr="00E95BC4">
        <w:rPr>
          <w:lang w:val="sr-Cyrl-CS"/>
        </w:rPr>
        <w:t xml:space="preserve"> </w:t>
      </w:r>
      <w:r>
        <w:rPr>
          <w:lang w:val="sr-Cyrl-CS"/>
        </w:rPr>
        <w:t>predikatnog</w:t>
      </w:r>
      <w:r w:rsidR="00CC21F4" w:rsidRPr="00E95BC4">
        <w:rPr>
          <w:lang w:val="sr-Cyrl-CS"/>
        </w:rPr>
        <w:t xml:space="preserve"> </w:t>
      </w:r>
      <w:r>
        <w:rPr>
          <w:i/>
          <w:lang w:val="sr-Cyrl-CS"/>
        </w:rPr>
        <w:t>krivičnog</w:t>
      </w:r>
      <w:r w:rsidR="00CC21F4" w:rsidRPr="00E95BC4">
        <w:rPr>
          <w:i/>
          <w:lang w:val="sr-Cyrl-CS"/>
        </w:rPr>
        <w:t xml:space="preserve"> </w:t>
      </w:r>
      <w:r>
        <w:rPr>
          <w:i/>
          <w:lang w:val="sr-Cyrl-CS"/>
        </w:rPr>
        <w:t>dela</w:t>
      </w:r>
      <w:r w:rsidR="00CC21F4" w:rsidRPr="00E95BC4">
        <w:rPr>
          <w:lang w:val="sr-Cyrl-CS"/>
        </w:rPr>
        <w:t xml:space="preserve">. </w:t>
      </w:r>
      <w:r>
        <w:rPr>
          <w:lang w:val="sr-Cyrl-CS"/>
        </w:rPr>
        <w:t>Zakon</w:t>
      </w:r>
      <w:r w:rsidR="00CC21F4" w:rsidRPr="00E95BC4">
        <w:rPr>
          <w:lang w:val="sr-Cyrl-CS"/>
        </w:rPr>
        <w:t xml:space="preserve"> </w:t>
      </w:r>
      <w:r>
        <w:rPr>
          <w:lang w:val="sr-Cyrl-CS"/>
        </w:rPr>
        <w:t>je</w:t>
      </w:r>
      <w:r w:rsidR="00CC21F4" w:rsidRPr="00E95BC4">
        <w:rPr>
          <w:lang w:val="sr-Cyrl-CS"/>
        </w:rPr>
        <w:t xml:space="preserve"> </w:t>
      </w:r>
      <w:r>
        <w:rPr>
          <w:lang w:val="sr-Cyrl-CS"/>
        </w:rPr>
        <w:t>preuzeo</w:t>
      </w:r>
      <w:r w:rsidR="00CC21F4" w:rsidRPr="00E95BC4">
        <w:rPr>
          <w:lang w:val="sr-Cyrl-CS"/>
        </w:rPr>
        <w:t xml:space="preserve"> </w:t>
      </w:r>
      <w:r>
        <w:rPr>
          <w:lang w:val="sr-Cyrl-CS"/>
        </w:rPr>
        <w:t>rešenje</w:t>
      </w:r>
      <w:r w:rsidR="00CC21F4" w:rsidRPr="00E95BC4">
        <w:rPr>
          <w:lang w:val="sr-Cyrl-CS"/>
        </w:rPr>
        <w:t xml:space="preserve"> </w:t>
      </w:r>
      <w:r>
        <w:rPr>
          <w:lang w:val="sr-Cyrl-CS"/>
        </w:rPr>
        <w:t>iz</w:t>
      </w:r>
      <w:r w:rsidR="00CC21F4" w:rsidRPr="00E95BC4">
        <w:rPr>
          <w:lang w:val="sr-Cyrl-CS"/>
        </w:rPr>
        <w:t xml:space="preserve"> </w:t>
      </w:r>
      <w:r>
        <w:rPr>
          <w:lang w:val="sr-Cyrl-CS"/>
        </w:rPr>
        <w:t>međunarodnih</w:t>
      </w:r>
      <w:r w:rsidR="00CC21F4" w:rsidRPr="00E95BC4">
        <w:rPr>
          <w:lang w:val="sr-Cyrl-CS"/>
        </w:rPr>
        <w:t xml:space="preserve"> </w:t>
      </w:r>
      <w:r>
        <w:rPr>
          <w:lang w:val="sr-Cyrl-CS"/>
        </w:rPr>
        <w:t>konvencija</w:t>
      </w:r>
      <w:r w:rsidR="00CC21F4" w:rsidRPr="00E95BC4">
        <w:rPr>
          <w:lang w:val="sr-Cyrl-CS"/>
        </w:rPr>
        <w:t xml:space="preserve"> </w:t>
      </w:r>
      <w:r>
        <w:rPr>
          <w:lang w:val="sr-Cyrl-CS"/>
        </w:rPr>
        <w:t>koje</w:t>
      </w:r>
      <w:r w:rsidR="00CC21F4" w:rsidRPr="00E95BC4">
        <w:rPr>
          <w:lang w:val="sr-Cyrl-CS"/>
        </w:rPr>
        <w:t xml:space="preserve"> </w:t>
      </w:r>
      <w:r>
        <w:rPr>
          <w:lang w:val="sr-Cyrl-CS"/>
        </w:rPr>
        <w:t>je</w:t>
      </w:r>
      <w:r w:rsidR="00CC21F4" w:rsidRPr="00E95BC4">
        <w:rPr>
          <w:lang w:val="sr-Cyrl-CS"/>
        </w:rPr>
        <w:t xml:space="preserve"> </w:t>
      </w:r>
      <w:r>
        <w:rPr>
          <w:lang w:val="sr-Cyrl-CS"/>
        </w:rPr>
        <w:t>potpisala</w:t>
      </w:r>
      <w:r w:rsidR="00CC21F4" w:rsidRPr="00E95BC4">
        <w:rPr>
          <w:lang w:val="sr-Cyrl-CS"/>
        </w:rPr>
        <w:t xml:space="preserve"> </w:t>
      </w:r>
      <w:r>
        <w:rPr>
          <w:lang w:val="sr-Cyrl-CS"/>
        </w:rPr>
        <w:t>i</w:t>
      </w:r>
      <w:r w:rsidR="00CC21F4" w:rsidRPr="00E95BC4">
        <w:rPr>
          <w:lang w:val="sr-Cyrl-CS"/>
        </w:rPr>
        <w:t xml:space="preserve"> </w:t>
      </w:r>
      <w:r>
        <w:rPr>
          <w:lang w:val="sr-Cyrl-CS"/>
        </w:rPr>
        <w:t>potvrdila</w:t>
      </w:r>
      <w:r w:rsidR="00CC21F4" w:rsidRPr="00E95BC4">
        <w:rPr>
          <w:lang w:val="sr-Cyrl-CS"/>
        </w:rPr>
        <w:t xml:space="preserve"> </w:t>
      </w:r>
      <w:r>
        <w:rPr>
          <w:lang w:val="sr-Cyrl-CS"/>
        </w:rPr>
        <w:t>Republika</w:t>
      </w:r>
      <w:r w:rsidR="00CC21F4" w:rsidRPr="00E95BC4">
        <w:rPr>
          <w:lang w:val="sr-Cyrl-CS"/>
        </w:rPr>
        <w:t xml:space="preserve"> </w:t>
      </w:r>
      <w:r>
        <w:rPr>
          <w:lang w:val="sr-Cyrl-CS"/>
        </w:rPr>
        <w:t>Srbija</w:t>
      </w:r>
      <w:r w:rsidR="00CC21F4" w:rsidRPr="00E95BC4">
        <w:rPr>
          <w:lang w:val="sr-Cyrl-CS"/>
        </w:rPr>
        <w:t xml:space="preserve">, </w:t>
      </w:r>
      <w:r>
        <w:rPr>
          <w:lang w:val="sr-Cyrl-CS"/>
        </w:rPr>
        <w:t>pa</w:t>
      </w:r>
      <w:r w:rsidR="00CC21F4" w:rsidRPr="00E95BC4">
        <w:rPr>
          <w:lang w:val="sr-Cyrl-CS"/>
        </w:rPr>
        <w:t xml:space="preserve"> </w:t>
      </w:r>
      <w:r>
        <w:rPr>
          <w:lang w:val="sr-Cyrl-CS"/>
        </w:rPr>
        <w:t>je</w:t>
      </w:r>
      <w:r w:rsidR="00CC21F4" w:rsidRPr="00E95BC4">
        <w:rPr>
          <w:lang w:val="sr-Cyrl-CS"/>
        </w:rPr>
        <w:t xml:space="preserve"> </w:t>
      </w:r>
      <w:r>
        <w:rPr>
          <w:lang w:val="sr-Cyrl-CS"/>
        </w:rPr>
        <w:t>sada</w:t>
      </w:r>
      <w:r w:rsidR="00CC21F4" w:rsidRPr="00E95BC4">
        <w:rPr>
          <w:lang w:val="sr-Cyrl-CS"/>
        </w:rPr>
        <w:t xml:space="preserve"> </w:t>
      </w:r>
      <w:r>
        <w:rPr>
          <w:lang w:val="sr-Cyrl-CS"/>
        </w:rPr>
        <w:t>propisano</w:t>
      </w:r>
      <w:r w:rsidR="00CC21F4" w:rsidRPr="00E95BC4">
        <w:rPr>
          <w:lang w:val="sr-Cyrl-CS"/>
        </w:rPr>
        <w:t xml:space="preserve"> </w:t>
      </w:r>
      <w:r>
        <w:rPr>
          <w:lang w:val="sr-Cyrl-CS"/>
        </w:rPr>
        <w:t>da</w:t>
      </w:r>
      <w:r w:rsidR="00CC21F4" w:rsidRPr="00E95BC4">
        <w:rPr>
          <w:lang w:val="sr-Cyrl-CS"/>
        </w:rPr>
        <w:t xml:space="preserve"> </w:t>
      </w:r>
      <w:r>
        <w:rPr>
          <w:lang w:val="sr-Cyrl-CS"/>
        </w:rPr>
        <w:t>imovina</w:t>
      </w:r>
      <w:r w:rsidR="00CC21F4" w:rsidRPr="00E95BC4">
        <w:rPr>
          <w:lang w:val="sr-Cyrl-CS"/>
        </w:rPr>
        <w:t xml:space="preserve"> </w:t>
      </w:r>
      <w:r>
        <w:rPr>
          <w:lang w:val="sr-Cyrl-CS"/>
        </w:rPr>
        <w:t>koja</w:t>
      </w:r>
      <w:r w:rsidR="00CC21F4" w:rsidRPr="00E95BC4">
        <w:rPr>
          <w:lang w:val="sr-Cyrl-CS"/>
        </w:rPr>
        <w:t xml:space="preserve"> </w:t>
      </w:r>
      <w:r>
        <w:rPr>
          <w:lang w:val="sr-Cyrl-CS"/>
        </w:rPr>
        <w:t>je</w:t>
      </w:r>
      <w:r w:rsidR="00CC21F4" w:rsidRPr="00E95BC4">
        <w:rPr>
          <w:lang w:val="sr-Cyrl-CS"/>
        </w:rPr>
        <w:t xml:space="preserve"> </w:t>
      </w:r>
      <w:r>
        <w:rPr>
          <w:lang w:val="sr-Cyrl-CS"/>
        </w:rPr>
        <w:t>predmet</w:t>
      </w:r>
      <w:r w:rsidR="00CC21F4" w:rsidRPr="00E95BC4">
        <w:rPr>
          <w:lang w:val="sr-Cyrl-CS"/>
        </w:rPr>
        <w:t xml:space="preserve"> </w:t>
      </w:r>
      <w:r>
        <w:rPr>
          <w:lang w:val="sr-Cyrl-CS"/>
        </w:rPr>
        <w:t>pranja</w:t>
      </w:r>
      <w:r w:rsidR="00CC21F4" w:rsidRPr="00E95BC4">
        <w:rPr>
          <w:lang w:val="sr-Cyrl-CS"/>
        </w:rPr>
        <w:t xml:space="preserve"> </w:t>
      </w:r>
      <w:r>
        <w:rPr>
          <w:lang w:val="sr-Cyrl-CS"/>
        </w:rPr>
        <w:t>novca</w:t>
      </w:r>
      <w:r w:rsidR="00CC21F4" w:rsidRPr="00E95BC4">
        <w:rPr>
          <w:lang w:val="sr-Cyrl-CS"/>
        </w:rPr>
        <w:t xml:space="preserve"> </w:t>
      </w:r>
      <w:r>
        <w:rPr>
          <w:lang w:val="sr-Cyrl-CS"/>
        </w:rPr>
        <w:t>treba</w:t>
      </w:r>
      <w:r w:rsidR="00CC21F4" w:rsidRPr="00E95BC4">
        <w:rPr>
          <w:lang w:val="sr-Cyrl-CS"/>
        </w:rPr>
        <w:t xml:space="preserve"> </w:t>
      </w:r>
      <w:r>
        <w:rPr>
          <w:lang w:val="sr-Cyrl-CS"/>
        </w:rPr>
        <w:t>da</w:t>
      </w:r>
      <w:r w:rsidR="00CC21F4" w:rsidRPr="00E95BC4">
        <w:rPr>
          <w:lang w:val="sr-Cyrl-CS"/>
        </w:rPr>
        <w:t xml:space="preserve"> </w:t>
      </w:r>
      <w:r>
        <w:rPr>
          <w:lang w:val="sr-Cyrl-CS"/>
        </w:rPr>
        <w:t>potiče</w:t>
      </w:r>
      <w:r w:rsidR="00CC21F4" w:rsidRPr="00E95BC4">
        <w:rPr>
          <w:lang w:val="sr-Cyrl-CS"/>
        </w:rPr>
        <w:t xml:space="preserve"> </w:t>
      </w:r>
      <w:r>
        <w:rPr>
          <w:lang w:val="sr-Cyrl-CS"/>
        </w:rPr>
        <w:t>iz</w:t>
      </w:r>
      <w:r w:rsidR="00CC21F4" w:rsidRPr="00E95BC4">
        <w:rPr>
          <w:lang w:val="sr-Cyrl-CS"/>
        </w:rPr>
        <w:t xml:space="preserve"> </w:t>
      </w:r>
      <w:r>
        <w:rPr>
          <w:i/>
          <w:lang w:val="sr-Cyrl-CS"/>
        </w:rPr>
        <w:t>kriminalne</w:t>
      </w:r>
      <w:r w:rsidR="00CC21F4" w:rsidRPr="00E95BC4">
        <w:rPr>
          <w:i/>
          <w:lang w:val="sr-Cyrl-CS"/>
        </w:rPr>
        <w:t xml:space="preserve"> </w:t>
      </w:r>
      <w:r>
        <w:rPr>
          <w:i/>
          <w:lang w:val="sr-Cyrl-CS"/>
        </w:rPr>
        <w:t>delatnosti</w:t>
      </w:r>
      <w:r w:rsidR="00CC21F4" w:rsidRPr="00E95BC4">
        <w:rPr>
          <w:lang w:val="sr-Cyrl-CS"/>
        </w:rPr>
        <w:t xml:space="preserve">. </w:t>
      </w:r>
      <w:r>
        <w:rPr>
          <w:lang w:val="sr-Cyrl-CS"/>
        </w:rPr>
        <w:t>Ovakvim</w:t>
      </w:r>
      <w:r w:rsidR="00CC21F4" w:rsidRPr="00E95BC4">
        <w:rPr>
          <w:lang w:val="sr-Cyrl-CS"/>
        </w:rPr>
        <w:t xml:space="preserve"> </w:t>
      </w:r>
      <w:r>
        <w:rPr>
          <w:lang w:val="sr-Cyrl-CS"/>
        </w:rPr>
        <w:t>načinom</w:t>
      </w:r>
      <w:r w:rsidR="00CC21F4" w:rsidRPr="00E95BC4">
        <w:rPr>
          <w:lang w:val="sr-Cyrl-CS"/>
        </w:rPr>
        <w:t xml:space="preserve"> </w:t>
      </w:r>
      <w:r>
        <w:rPr>
          <w:lang w:val="sr-Cyrl-CS"/>
        </w:rPr>
        <w:t>inkriminisanja</w:t>
      </w:r>
      <w:r w:rsidR="00CC21F4" w:rsidRPr="00E95BC4">
        <w:rPr>
          <w:lang w:val="sr-Cyrl-CS"/>
        </w:rPr>
        <w:t xml:space="preserve"> </w:t>
      </w:r>
      <w:r>
        <w:rPr>
          <w:lang w:val="sr-Cyrl-CS"/>
        </w:rPr>
        <w:t>radnji</w:t>
      </w:r>
      <w:r w:rsidR="00CC21F4" w:rsidRPr="00E95BC4">
        <w:rPr>
          <w:lang w:val="sr-Cyrl-CS"/>
        </w:rPr>
        <w:t xml:space="preserve"> </w:t>
      </w:r>
      <w:r>
        <w:rPr>
          <w:lang w:val="sr-Cyrl-CS"/>
        </w:rPr>
        <w:t>izvršenja</w:t>
      </w:r>
      <w:r w:rsidR="00CC21F4" w:rsidRPr="00E95BC4">
        <w:rPr>
          <w:lang w:val="sr-Cyrl-CS"/>
        </w:rPr>
        <w:t xml:space="preserve"> </w:t>
      </w:r>
      <w:r>
        <w:rPr>
          <w:lang w:val="sr-Cyrl-CS"/>
        </w:rPr>
        <w:t>krivičnog</w:t>
      </w:r>
      <w:r w:rsidR="00CC21F4" w:rsidRPr="00E95BC4">
        <w:rPr>
          <w:lang w:val="sr-Cyrl-CS"/>
        </w:rPr>
        <w:t xml:space="preserve"> </w:t>
      </w:r>
      <w:r>
        <w:rPr>
          <w:lang w:val="sr-Cyrl-CS"/>
        </w:rPr>
        <w:t>dela</w:t>
      </w:r>
      <w:r w:rsidR="00CC21F4" w:rsidRPr="00E95BC4">
        <w:rPr>
          <w:lang w:val="sr-Cyrl-CS"/>
        </w:rPr>
        <w:t xml:space="preserve"> </w:t>
      </w:r>
      <w:r>
        <w:rPr>
          <w:lang w:val="sr-Cyrl-CS"/>
        </w:rPr>
        <w:t>pranja</w:t>
      </w:r>
      <w:r w:rsidR="00CC21F4" w:rsidRPr="00E95BC4">
        <w:rPr>
          <w:lang w:val="sr-Cyrl-CS"/>
        </w:rPr>
        <w:t xml:space="preserve"> </w:t>
      </w:r>
      <w:r>
        <w:rPr>
          <w:lang w:val="sr-Cyrl-CS"/>
        </w:rPr>
        <w:t>novca</w:t>
      </w:r>
      <w:r w:rsidR="00CC21F4" w:rsidRPr="00E95BC4">
        <w:rPr>
          <w:lang w:val="sr-Cyrl-CS"/>
        </w:rPr>
        <w:t xml:space="preserve">, </w:t>
      </w:r>
      <w:r>
        <w:rPr>
          <w:lang w:val="sr-Cyrl-CS"/>
        </w:rPr>
        <w:t>proširen</w:t>
      </w:r>
      <w:r w:rsidR="00CC21F4" w:rsidRPr="00E95BC4">
        <w:rPr>
          <w:lang w:val="sr-Cyrl-CS"/>
        </w:rPr>
        <w:t xml:space="preserve"> </w:t>
      </w:r>
      <w:r>
        <w:rPr>
          <w:lang w:val="sr-Cyrl-CS"/>
        </w:rPr>
        <w:t>je</w:t>
      </w:r>
      <w:r w:rsidR="00CC21F4" w:rsidRPr="00E95BC4">
        <w:rPr>
          <w:lang w:val="sr-Cyrl-CS"/>
        </w:rPr>
        <w:t xml:space="preserve"> </w:t>
      </w:r>
      <w:r>
        <w:rPr>
          <w:lang w:val="sr-Cyrl-CS"/>
        </w:rPr>
        <w:t>prostor</w:t>
      </w:r>
      <w:r w:rsidR="00CC21F4" w:rsidRPr="00E95BC4">
        <w:rPr>
          <w:lang w:val="sr-Cyrl-CS"/>
        </w:rPr>
        <w:t xml:space="preserve"> </w:t>
      </w:r>
      <w:r>
        <w:rPr>
          <w:lang w:val="sr-Cyrl-CS"/>
        </w:rPr>
        <w:t>njegove</w:t>
      </w:r>
      <w:r w:rsidR="00CC21F4" w:rsidRPr="00E95BC4">
        <w:rPr>
          <w:lang w:val="sr-Cyrl-CS"/>
        </w:rPr>
        <w:t xml:space="preserve"> </w:t>
      </w:r>
      <w:r>
        <w:rPr>
          <w:lang w:val="sr-Cyrl-CS"/>
        </w:rPr>
        <w:t>primene</w:t>
      </w:r>
      <w:r w:rsidR="00CC21F4" w:rsidRPr="00E95BC4">
        <w:rPr>
          <w:lang w:val="sr-Cyrl-CS"/>
        </w:rPr>
        <w:t xml:space="preserve"> </w:t>
      </w:r>
      <w:r>
        <w:rPr>
          <w:lang w:val="sr-Cyrl-CS"/>
        </w:rPr>
        <w:t>i</w:t>
      </w:r>
      <w:r w:rsidR="00CC21F4" w:rsidRPr="00E95BC4">
        <w:rPr>
          <w:lang w:val="sr-Cyrl-CS"/>
        </w:rPr>
        <w:t xml:space="preserve"> </w:t>
      </w:r>
      <w:r>
        <w:rPr>
          <w:lang w:val="sr-Cyrl-CS"/>
        </w:rPr>
        <w:t>stvorena</w:t>
      </w:r>
      <w:r w:rsidR="00CC21F4" w:rsidRPr="00E95BC4">
        <w:rPr>
          <w:lang w:val="sr-Cyrl-CS"/>
        </w:rPr>
        <w:t xml:space="preserve"> </w:t>
      </w:r>
      <w:r>
        <w:rPr>
          <w:lang w:val="sr-Cyrl-CS"/>
        </w:rPr>
        <w:t>mogućnost</w:t>
      </w:r>
      <w:r w:rsidR="00CC21F4" w:rsidRPr="00E95BC4">
        <w:rPr>
          <w:lang w:val="sr-Cyrl-CS"/>
        </w:rPr>
        <w:t xml:space="preserve"> </w:t>
      </w:r>
      <w:r>
        <w:rPr>
          <w:lang w:val="sr-Cyrl-CS"/>
        </w:rPr>
        <w:t>krivičnog</w:t>
      </w:r>
      <w:r w:rsidR="00CC21F4" w:rsidRPr="00E95BC4">
        <w:rPr>
          <w:lang w:val="sr-Cyrl-CS"/>
        </w:rPr>
        <w:t xml:space="preserve"> </w:t>
      </w:r>
      <w:r>
        <w:rPr>
          <w:lang w:val="sr-Cyrl-CS"/>
        </w:rPr>
        <w:t>gonjenja</w:t>
      </w:r>
      <w:r w:rsidR="00CC21F4" w:rsidRPr="00E95BC4">
        <w:rPr>
          <w:lang w:val="sr-Cyrl-CS"/>
        </w:rPr>
        <w:t xml:space="preserve"> </w:t>
      </w:r>
      <w:r>
        <w:rPr>
          <w:lang w:val="sr-Cyrl-CS"/>
        </w:rPr>
        <w:t>bez</w:t>
      </w:r>
      <w:r w:rsidR="00CC21F4" w:rsidRPr="00E95BC4">
        <w:rPr>
          <w:lang w:val="sr-Cyrl-CS"/>
        </w:rPr>
        <w:t xml:space="preserve"> </w:t>
      </w:r>
      <w:r>
        <w:rPr>
          <w:lang w:val="sr-Cyrl-CS"/>
        </w:rPr>
        <w:t>prethodne</w:t>
      </w:r>
      <w:r w:rsidR="00CC21F4" w:rsidRPr="00E95BC4">
        <w:rPr>
          <w:lang w:val="sr-Cyrl-CS"/>
        </w:rPr>
        <w:t xml:space="preserve"> </w:t>
      </w:r>
      <w:r>
        <w:rPr>
          <w:lang w:val="sr-Cyrl-CS"/>
        </w:rPr>
        <w:t>osude</w:t>
      </w:r>
      <w:r w:rsidR="00CC21F4" w:rsidRPr="00E95BC4">
        <w:rPr>
          <w:lang w:val="sr-Cyrl-CS"/>
        </w:rPr>
        <w:t xml:space="preserve"> </w:t>
      </w:r>
      <w:r>
        <w:rPr>
          <w:lang w:val="sr-Cyrl-CS"/>
        </w:rPr>
        <w:t>za</w:t>
      </w:r>
      <w:r w:rsidR="00CC21F4" w:rsidRPr="00E95BC4">
        <w:rPr>
          <w:lang w:val="sr-Cyrl-CS"/>
        </w:rPr>
        <w:t xml:space="preserve"> </w:t>
      </w:r>
      <w:r>
        <w:rPr>
          <w:lang w:val="sr-Cyrl-CS"/>
        </w:rPr>
        <w:t>predikatno</w:t>
      </w:r>
      <w:r w:rsidR="00CC21F4" w:rsidRPr="00E95BC4">
        <w:rPr>
          <w:lang w:val="sr-Cyrl-CS"/>
        </w:rPr>
        <w:t xml:space="preserve"> </w:t>
      </w:r>
      <w:r>
        <w:rPr>
          <w:lang w:val="sr-Cyrl-CS"/>
        </w:rPr>
        <w:t>krivično</w:t>
      </w:r>
      <w:r w:rsidR="00CC21F4" w:rsidRPr="00E95BC4">
        <w:rPr>
          <w:lang w:val="sr-Cyrl-CS"/>
        </w:rPr>
        <w:t xml:space="preserve"> </w:t>
      </w:r>
      <w:r>
        <w:rPr>
          <w:lang w:val="sr-Cyrl-CS"/>
        </w:rPr>
        <w:t>delo</w:t>
      </w:r>
      <w:r w:rsidR="00CC21F4" w:rsidRPr="00E95BC4">
        <w:rPr>
          <w:lang w:val="sr-Cyrl-CS"/>
        </w:rPr>
        <w:t xml:space="preserve">. </w:t>
      </w:r>
      <w:r>
        <w:rPr>
          <w:lang w:val="sr-Cyrl-CS"/>
        </w:rPr>
        <w:t>Štaviše</w:t>
      </w:r>
      <w:r w:rsidR="00CC21F4" w:rsidRPr="00E95BC4">
        <w:rPr>
          <w:lang w:val="sr-Cyrl-CS"/>
        </w:rPr>
        <w:t xml:space="preserve">, </w:t>
      </w:r>
      <w:r>
        <w:rPr>
          <w:lang w:val="sr-Cyrl-CS"/>
        </w:rPr>
        <w:t>k</w:t>
      </w:r>
      <w:r>
        <w:rPr>
          <w:noProof/>
          <w:lang w:val="sr-Cyrl-CS"/>
        </w:rPr>
        <w:t>orišćenje</w:t>
      </w:r>
      <w:r w:rsidR="00603DAA" w:rsidRPr="00E95BC4">
        <w:rPr>
          <w:noProof/>
          <w:lang w:val="sr-Cyrl-CS"/>
        </w:rPr>
        <w:t xml:space="preserve"> </w:t>
      </w:r>
      <w:r>
        <w:rPr>
          <w:noProof/>
          <w:lang w:val="sr-Cyrl-CS"/>
        </w:rPr>
        <w:t>pojma</w:t>
      </w:r>
      <w:r w:rsidR="00603DAA" w:rsidRPr="00E95BC4">
        <w:rPr>
          <w:noProof/>
          <w:lang w:val="sr-Cyrl-CS"/>
        </w:rPr>
        <w:t xml:space="preserve"> „</w:t>
      </w:r>
      <w:r>
        <w:rPr>
          <w:noProof/>
          <w:lang w:val="sr-Cyrl-CS"/>
        </w:rPr>
        <w:t>kriminalna</w:t>
      </w:r>
      <w:r w:rsidR="00CC21F4" w:rsidRPr="00E95BC4">
        <w:rPr>
          <w:noProof/>
          <w:lang w:val="sr-Cyrl-CS"/>
        </w:rPr>
        <w:t xml:space="preserve"> </w:t>
      </w:r>
      <w:r>
        <w:rPr>
          <w:noProof/>
          <w:lang w:val="sr-Cyrl-CS"/>
        </w:rPr>
        <w:t>delatnost</w:t>
      </w:r>
      <w:r w:rsidR="00CC21F4" w:rsidRPr="00E95BC4">
        <w:rPr>
          <w:noProof/>
          <w:lang w:val="sr-Cyrl-CS"/>
        </w:rPr>
        <w:t xml:space="preserve">” </w:t>
      </w:r>
      <w:r>
        <w:rPr>
          <w:noProof/>
          <w:lang w:val="sr-Cyrl-CS"/>
        </w:rPr>
        <w:t>u</w:t>
      </w:r>
      <w:r w:rsidR="00CC21F4" w:rsidRPr="00E95BC4">
        <w:rPr>
          <w:noProof/>
          <w:lang w:val="sr-Cyrl-CS"/>
        </w:rPr>
        <w:t xml:space="preserve"> </w:t>
      </w:r>
      <w:r>
        <w:rPr>
          <w:noProof/>
          <w:lang w:val="sr-Cyrl-CS"/>
        </w:rPr>
        <w:t>zakonskoj</w:t>
      </w:r>
      <w:r w:rsidR="00CC21F4" w:rsidRPr="00E95BC4">
        <w:rPr>
          <w:noProof/>
          <w:lang w:val="sr-Cyrl-CS"/>
        </w:rPr>
        <w:t xml:space="preserve"> </w:t>
      </w:r>
      <w:r>
        <w:rPr>
          <w:noProof/>
          <w:lang w:val="sr-Cyrl-CS"/>
        </w:rPr>
        <w:t>definiciji</w:t>
      </w:r>
      <w:r w:rsidR="00CC21F4" w:rsidRPr="00E95BC4">
        <w:rPr>
          <w:noProof/>
          <w:lang w:val="sr-Cyrl-CS"/>
        </w:rPr>
        <w:t xml:space="preserve"> </w:t>
      </w:r>
      <w:r>
        <w:rPr>
          <w:noProof/>
          <w:lang w:val="sr-Cyrl-CS"/>
        </w:rPr>
        <w:t>pranja</w:t>
      </w:r>
      <w:r w:rsidR="00CC21F4" w:rsidRPr="00E95BC4">
        <w:rPr>
          <w:noProof/>
          <w:lang w:val="sr-Cyrl-CS"/>
        </w:rPr>
        <w:t xml:space="preserve"> </w:t>
      </w:r>
      <w:r>
        <w:rPr>
          <w:noProof/>
          <w:lang w:val="sr-Cyrl-CS"/>
        </w:rPr>
        <w:t>novca</w:t>
      </w:r>
      <w:r w:rsidR="00CC21F4" w:rsidRPr="00E95BC4">
        <w:rPr>
          <w:noProof/>
          <w:lang w:val="sr-Cyrl-CS"/>
        </w:rPr>
        <w:t xml:space="preserve">, </w:t>
      </w:r>
      <w:r>
        <w:rPr>
          <w:noProof/>
          <w:lang w:val="sr-Cyrl-CS"/>
        </w:rPr>
        <w:t>kao</w:t>
      </w:r>
      <w:r w:rsidR="00CC21F4" w:rsidRPr="00E95BC4">
        <w:rPr>
          <w:noProof/>
          <w:lang w:val="sr-Cyrl-CS"/>
        </w:rPr>
        <w:t xml:space="preserve"> </w:t>
      </w:r>
      <w:r>
        <w:rPr>
          <w:noProof/>
          <w:lang w:val="sr-Cyrl-CS"/>
        </w:rPr>
        <w:t>krivičnog</w:t>
      </w:r>
      <w:r w:rsidR="00CC21F4" w:rsidRPr="00E95BC4">
        <w:rPr>
          <w:noProof/>
          <w:lang w:val="sr-Cyrl-CS"/>
        </w:rPr>
        <w:t xml:space="preserve"> </w:t>
      </w:r>
      <w:r>
        <w:rPr>
          <w:noProof/>
          <w:lang w:val="sr-Cyrl-CS"/>
        </w:rPr>
        <w:t>dela</w:t>
      </w:r>
      <w:r w:rsidR="00CC21F4" w:rsidRPr="00E95BC4">
        <w:rPr>
          <w:noProof/>
          <w:lang w:val="sr-Cyrl-CS"/>
        </w:rPr>
        <w:t xml:space="preserve">, </w:t>
      </w:r>
      <w:r>
        <w:rPr>
          <w:noProof/>
          <w:lang w:val="sr-Cyrl-CS"/>
        </w:rPr>
        <w:t>dozvoljava</w:t>
      </w:r>
      <w:r w:rsidR="00CC21F4" w:rsidRPr="00E95BC4">
        <w:rPr>
          <w:noProof/>
          <w:lang w:val="sr-Cyrl-CS"/>
        </w:rPr>
        <w:t xml:space="preserve"> </w:t>
      </w:r>
      <w:r>
        <w:rPr>
          <w:noProof/>
          <w:lang w:val="sr-Cyrl-CS"/>
        </w:rPr>
        <w:t>da</w:t>
      </w:r>
      <w:r w:rsidR="00CC21F4" w:rsidRPr="00E95BC4">
        <w:rPr>
          <w:noProof/>
          <w:lang w:val="sr-Cyrl-CS"/>
        </w:rPr>
        <w:t xml:space="preserve"> </w:t>
      </w:r>
      <w:r>
        <w:rPr>
          <w:noProof/>
          <w:lang w:val="sr-Cyrl-CS"/>
        </w:rPr>
        <w:t>prethodno</w:t>
      </w:r>
      <w:r w:rsidR="00CC21F4" w:rsidRPr="00E95BC4">
        <w:rPr>
          <w:noProof/>
          <w:lang w:val="sr-Cyrl-CS"/>
        </w:rPr>
        <w:t xml:space="preserve"> (</w:t>
      </w:r>
      <w:r>
        <w:rPr>
          <w:noProof/>
          <w:lang w:val="sr-Cyrl-CS"/>
        </w:rPr>
        <w:t>predikatno</w:t>
      </w:r>
      <w:r w:rsidR="00CC21F4" w:rsidRPr="00E95BC4">
        <w:rPr>
          <w:noProof/>
          <w:lang w:val="sr-Cyrl-CS"/>
        </w:rPr>
        <w:t xml:space="preserve">) </w:t>
      </w:r>
      <w:r>
        <w:rPr>
          <w:noProof/>
          <w:lang w:val="sr-Cyrl-CS"/>
        </w:rPr>
        <w:t>delo</w:t>
      </w:r>
      <w:r w:rsidR="00CC21F4" w:rsidRPr="00E95BC4">
        <w:rPr>
          <w:noProof/>
          <w:lang w:val="sr-Cyrl-CS"/>
        </w:rPr>
        <w:t xml:space="preserve"> </w:t>
      </w:r>
      <w:r>
        <w:rPr>
          <w:noProof/>
          <w:lang w:val="sr-Cyrl-CS"/>
        </w:rPr>
        <w:t>ne</w:t>
      </w:r>
      <w:r w:rsidR="00CC21F4" w:rsidRPr="00E95BC4">
        <w:rPr>
          <w:noProof/>
          <w:lang w:val="sr-Cyrl-CS"/>
        </w:rPr>
        <w:t xml:space="preserve"> </w:t>
      </w:r>
      <w:r>
        <w:rPr>
          <w:noProof/>
          <w:lang w:val="sr-Cyrl-CS"/>
        </w:rPr>
        <w:t>mora</w:t>
      </w:r>
      <w:r w:rsidR="00CC21F4" w:rsidRPr="00E95BC4">
        <w:rPr>
          <w:noProof/>
          <w:lang w:val="sr-Cyrl-CS"/>
        </w:rPr>
        <w:t xml:space="preserve"> </w:t>
      </w:r>
      <w:r>
        <w:rPr>
          <w:noProof/>
          <w:lang w:val="sr-Cyrl-CS"/>
        </w:rPr>
        <w:t>biti</w:t>
      </w:r>
      <w:r w:rsidR="00CC21F4" w:rsidRPr="00E95BC4">
        <w:rPr>
          <w:noProof/>
          <w:lang w:val="sr-Cyrl-CS"/>
        </w:rPr>
        <w:t xml:space="preserve"> </w:t>
      </w:r>
      <w:r>
        <w:rPr>
          <w:noProof/>
          <w:lang w:val="sr-Cyrl-CS"/>
        </w:rPr>
        <w:t>pojedinačno</w:t>
      </w:r>
      <w:r w:rsidR="00CC21F4" w:rsidRPr="00E95BC4">
        <w:rPr>
          <w:noProof/>
          <w:lang w:val="sr-Cyrl-CS"/>
        </w:rPr>
        <w:t xml:space="preserve"> </w:t>
      </w:r>
      <w:r>
        <w:rPr>
          <w:noProof/>
          <w:lang w:val="sr-Cyrl-CS"/>
        </w:rPr>
        <w:t>utvrđeno</w:t>
      </w:r>
      <w:r w:rsidR="00CC21F4" w:rsidRPr="00E95BC4">
        <w:rPr>
          <w:noProof/>
          <w:lang w:val="sr-Cyrl-CS"/>
        </w:rPr>
        <w:t xml:space="preserve">, </w:t>
      </w:r>
      <w:r>
        <w:rPr>
          <w:noProof/>
          <w:lang w:val="sr-Cyrl-CS"/>
        </w:rPr>
        <w:t>a</w:t>
      </w:r>
      <w:r w:rsidR="00CC21F4" w:rsidRPr="00E95BC4">
        <w:rPr>
          <w:noProof/>
          <w:lang w:val="sr-Cyrl-CS"/>
        </w:rPr>
        <w:t xml:space="preserve"> </w:t>
      </w:r>
      <w:r>
        <w:rPr>
          <w:noProof/>
          <w:lang w:val="sr-Cyrl-CS"/>
        </w:rPr>
        <w:t>još</w:t>
      </w:r>
      <w:r w:rsidR="00CC21F4" w:rsidRPr="00E95BC4">
        <w:rPr>
          <w:noProof/>
          <w:lang w:val="sr-Cyrl-CS"/>
        </w:rPr>
        <w:t xml:space="preserve"> </w:t>
      </w:r>
      <w:r>
        <w:rPr>
          <w:noProof/>
          <w:lang w:val="sr-Cyrl-CS"/>
        </w:rPr>
        <w:t>manje</w:t>
      </w:r>
      <w:r w:rsidR="00CC21F4" w:rsidRPr="00E95BC4">
        <w:rPr>
          <w:noProof/>
          <w:lang w:val="sr-Cyrl-CS"/>
        </w:rPr>
        <w:t xml:space="preserve"> </w:t>
      </w:r>
      <w:r>
        <w:rPr>
          <w:noProof/>
          <w:lang w:val="sr-Cyrl-CS"/>
        </w:rPr>
        <w:t>je</w:t>
      </w:r>
      <w:r w:rsidR="00CC21F4" w:rsidRPr="00E95BC4">
        <w:rPr>
          <w:noProof/>
          <w:lang w:val="sr-Cyrl-CS"/>
        </w:rPr>
        <w:t xml:space="preserve"> </w:t>
      </w:r>
      <w:r>
        <w:rPr>
          <w:noProof/>
          <w:lang w:val="sr-Cyrl-CS"/>
        </w:rPr>
        <w:t>potrebno</w:t>
      </w:r>
      <w:r w:rsidR="00CC21F4" w:rsidRPr="00E95BC4">
        <w:rPr>
          <w:noProof/>
          <w:lang w:val="sr-Cyrl-CS"/>
        </w:rPr>
        <w:t xml:space="preserve"> </w:t>
      </w:r>
      <w:r>
        <w:rPr>
          <w:noProof/>
          <w:lang w:val="sr-Cyrl-CS"/>
        </w:rPr>
        <w:t>da</w:t>
      </w:r>
      <w:r w:rsidR="00CC21F4" w:rsidRPr="00E95BC4">
        <w:rPr>
          <w:noProof/>
          <w:lang w:val="sr-Cyrl-CS"/>
        </w:rPr>
        <w:t xml:space="preserve"> </w:t>
      </w:r>
      <w:r>
        <w:rPr>
          <w:noProof/>
          <w:lang w:val="sr-Cyrl-CS"/>
        </w:rPr>
        <w:t>prethodno</w:t>
      </w:r>
      <w:r w:rsidR="00CC21F4" w:rsidRPr="00E95BC4">
        <w:rPr>
          <w:noProof/>
          <w:lang w:val="sr-Cyrl-CS"/>
        </w:rPr>
        <w:t xml:space="preserve"> </w:t>
      </w:r>
      <w:r>
        <w:rPr>
          <w:noProof/>
          <w:lang w:val="sr-Cyrl-CS"/>
        </w:rPr>
        <w:t>postoji</w:t>
      </w:r>
      <w:r w:rsidR="00CC21F4" w:rsidRPr="00E95BC4">
        <w:rPr>
          <w:noProof/>
          <w:lang w:val="sr-Cyrl-CS"/>
        </w:rPr>
        <w:t xml:space="preserve"> </w:t>
      </w:r>
      <w:r>
        <w:rPr>
          <w:noProof/>
          <w:lang w:val="sr-Cyrl-CS"/>
        </w:rPr>
        <w:t>pravosnažna</w:t>
      </w:r>
      <w:r w:rsidR="00CC21F4" w:rsidRPr="00E95BC4">
        <w:rPr>
          <w:noProof/>
          <w:lang w:val="sr-Cyrl-CS"/>
        </w:rPr>
        <w:t xml:space="preserve"> </w:t>
      </w:r>
      <w:r>
        <w:rPr>
          <w:noProof/>
          <w:lang w:val="sr-Cyrl-CS"/>
        </w:rPr>
        <w:t>presuda</w:t>
      </w:r>
      <w:r w:rsidR="00CC21F4" w:rsidRPr="00E95BC4">
        <w:rPr>
          <w:noProof/>
          <w:lang w:val="sr-Cyrl-CS"/>
        </w:rPr>
        <w:t xml:space="preserve"> </w:t>
      </w:r>
      <w:r>
        <w:rPr>
          <w:noProof/>
          <w:lang w:val="sr-Cyrl-CS"/>
        </w:rPr>
        <w:t>za</w:t>
      </w:r>
      <w:r w:rsidR="00CC21F4" w:rsidRPr="00E95BC4">
        <w:rPr>
          <w:noProof/>
          <w:lang w:val="sr-Cyrl-CS"/>
        </w:rPr>
        <w:t xml:space="preserve"> </w:t>
      </w:r>
      <w:r>
        <w:rPr>
          <w:noProof/>
          <w:lang w:val="sr-Cyrl-CS"/>
        </w:rPr>
        <w:t>to</w:t>
      </w:r>
      <w:r w:rsidR="00CC21F4" w:rsidRPr="00E95BC4">
        <w:rPr>
          <w:noProof/>
          <w:lang w:val="sr-Cyrl-CS"/>
        </w:rPr>
        <w:t xml:space="preserve"> </w:t>
      </w:r>
      <w:r>
        <w:rPr>
          <w:noProof/>
          <w:lang w:val="sr-Cyrl-CS"/>
        </w:rPr>
        <w:t>delo</w:t>
      </w:r>
      <w:r w:rsidR="00CC21F4" w:rsidRPr="00E95BC4">
        <w:rPr>
          <w:noProof/>
          <w:lang w:val="sr-Cyrl-CS"/>
        </w:rPr>
        <w:t xml:space="preserve">. </w:t>
      </w:r>
      <w:r>
        <w:rPr>
          <w:noProof/>
          <w:lang w:val="sr-Cyrl-CS"/>
        </w:rPr>
        <w:t>Dovoljno</w:t>
      </w:r>
      <w:r w:rsidR="00CC21F4" w:rsidRPr="00E95BC4">
        <w:rPr>
          <w:noProof/>
          <w:lang w:val="sr-Cyrl-CS"/>
        </w:rPr>
        <w:t xml:space="preserve"> </w:t>
      </w:r>
      <w:r>
        <w:rPr>
          <w:noProof/>
          <w:lang w:val="sr-Cyrl-CS"/>
        </w:rPr>
        <w:t>je</w:t>
      </w:r>
      <w:r w:rsidR="00CC21F4" w:rsidRPr="00E95BC4">
        <w:rPr>
          <w:noProof/>
          <w:lang w:val="sr-Cyrl-CS"/>
        </w:rPr>
        <w:t xml:space="preserve"> </w:t>
      </w:r>
      <w:r>
        <w:rPr>
          <w:noProof/>
          <w:lang w:val="sr-Cyrl-CS"/>
        </w:rPr>
        <w:t>za</w:t>
      </w:r>
      <w:r w:rsidR="00CC21F4" w:rsidRPr="00E95BC4">
        <w:rPr>
          <w:noProof/>
          <w:lang w:val="sr-Cyrl-CS"/>
        </w:rPr>
        <w:t xml:space="preserve"> </w:t>
      </w:r>
      <w:r>
        <w:rPr>
          <w:noProof/>
          <w:lang w:val="sr-Cyrl-CS"/>
        </w:rPr>
        <w:t>potrebe</w:t>
      </w:r>
      <w:r w:rsidR="00CC21F4" w:rsidRPr="00E95BC4">
        <w:rPr>
          <w:noProof/>
          <w:lang w:val="sr-Cyrl-CS"/>
        </w:rPr>
        <w:t xml:space="preserve"> </w:t>
      </w:r>
      <w:r>
        <w:rPr>
          <w:noProof/>
          <w:lang w:val="sr-Cyrl-CS"/>
        </w:rPr>
        <w:t>konkretnog</w:t>
      </w:r>
      <w:r w:rsidR="00CC21F4" w:rsidRPr="00E95BC4">
        <w:rPr>
          <w:noProof/>
          <w:lang w:val="sr-Cyrl-CS"/>
        </w:rPr>
        <w:t xml:space="preserve"> </w:t>
      </w:r>
      <w:r>
        <w:rPr>
          <w:noProof/>
          <w:lang w:val="sr-Cyrl-CS"/>
        </w:rPr>
        <w:t>slučaja</w:t>
      </w:r>
      <w:r w:rsidR="00CC21F4" w:rsidRPr="00E95BC4">
        <w:rPr>
          <w:noProof/>
          <w:lang w:val="sr-Cyrl-CS"/>
        </w:rPr>
        <w:t xml:space="preserve"> </w:t>
      </w:r>
      <w:r>
        <w:rPr>
          <w:noProof/>
          <w:lang w:val="sr-Cyrl-CS"/>
        </w:rPr>
        <w:t>utvrditi</w:t>
      </w:r>
      <w:r w:rsidR="00CC21F4" w:rsidRPr="00E95BC4">
        <w:rPr>
          <w:noProof/>
          <w:lang w:val="sr-Cyrl-CS"/>
        </w:rPr>
        <w:t xml:space="preserve"> </w:t>
      </w:r>
      <w:r>
        <w:rPr>
          <w:noProof/>
          <w:lang w:val="sr-Cyrl-CS"/>
        </w:rPr>
        <w:t>da</w:t>
      </w:r>
      <w:r w:rsidR="00CC21F4" w:rsidRPr="00E95BC4">
        <w:rPr>
          <w:noProof/>
          <w:lang w:val="sr-Cyrl-CS"/>
        </w:rPr>
        <w:t xml:space="preserve"> </w:t>
      </w:r>
      <w:r>
        <w:rPr>
          <w:noProof/>
          <w:lang w:val="sr-Cyrl-CS"/>
        </w:rPr>
        <w:t>su</w:t>
      </w:r>
      <w:r w:rsidR="00D93CED" w:rsidRPr="00E95BC4">
        <w:rPr>
          <w:noProof/>
          <w:lang w:val="sr-Cyrl-CS"/>
        </w:rPr>
        <w:t xml:space="preserve"> </w:t>
      </w:r>
      <w:r>
        <w:rPr>
          <w:noProof/>
          <w:lang w:val="sr-Cyrl-CS"/>
        </w:rPr>
        <w:t>novac</w:t>
      </w:r>
      <w:r w:rsidR="00D93CED" w:rsidRPr="00E95BC4">
        <w:rPr>
          <w:noProof/>
          <w:lang w:val="sr-Cyrl-CS"/>
        </w:rPr>
        <w:t xml:space="preserve"> </w:t>
      </w:r>
      <w:r>
        <w:rPr>
          <w:noProof/>
          <w:lang w:val="sr-Cyrl-CS"/>
        </w:rPr>
        <w:t>ili</w:t>
      </w:r>
      <w:r w:rsidR="00D93CED" w:rsidRPr="00E95BC4">
        <w:rPr>
          <w:noProof/>
          <w:lang w:val="sr-Cyrl-CS"/>
        </w:rPr>
        <w:t xml:space="preserve"> </w:t>
      </w:r>
      <w:r>
        <w:rPr>
          <w:noProof/>
          <w:lang w:val="sr-Cyrl-CS"/>
        </w:rPr>
        <w:t>imovina</w:t>
      </w:r>
      <w:r w:rsidR="00D93CED" w:rsidRPr="00E95BC4">
        <w:rPr>
          <w:noProof/>
          <w:lang w:val="sr-Cyrl-CS"/>
        </w:rPr>
        <w:t xml:space="preserve"> </w:t>
      </w:r>
      <w:r>
        <w:rPr>
          <w:noProof/>
          <w:lang w:val="sr-Cyrl-CS"/>
        </w:rPr>
        <w:t>pribavljeni</w:t>
      </w:r>
      <w:r w:rsidR="00CC21F4" w:rsidRPr="00E95BC4">
        <w:rPr>
          <w:noProof/>
          <w:lang w:val="sr-Cyrl-CS"/>
        </w:rPr>
        <w:t xml:space="preserve"> </w:t>
      </w:r>
      <w:r>
        <w:rPr>
          <w:noProof/>
          <w:lang w:val="sr-Cyrl-CS"/>
        </w:rPr>
        <w:t>takvom</w:t>
      </w:r>
      <w:r w:rsidR="00CC21F4" w:rsidRPr="00E95BC4">
        <w:rPr>
          <w:noProof/>
          <w:lang w:val="sr-Cyrl-CS"/>
        </w:rPr>
        <w:t xml:space="preserve"> </w:t>
      </w:r>
      <w:r>
        <w:rPr>
          <w:noProof/>
          <w:lang w:val="sr-Cyrl-CS"/>
        </w:rPr>
        <w:t>delatnošću</w:t>
      </w:r>
      <w:r w:rsidR="00D93CED" w:rsidRPr="00E95BC4">
        <w:rPr>
          <w:noProof/>
          <w:lang w:val="sr-Cyrl-CS"/>
        </w:rPr>
        <w:t xml:space="preserve">, </w:t>
      </w:r>
      <w:r>
        <w:rPr>
          <w:noProof/>
          <w:lang w:val="sr-Cyrl-CS"/>
        </w:rPr>
        <w:t>a</w:t>
      </w:r>
      <w:r w:rsidR="00CC21F4" w:rsidRPr="00E95BC4">
        <w:rPr>
          <w:noProof/>
          <w:lang w:val="sr-Cyrl-CS"/>
        </w:rPr>
        <w:t xml:space="preserve"> </w:t>
      </w:r>
      <w:r>
        <w:rPr>
          <w:noProof/>
          <w:lang w:val="sr-Cyrl-CS"/>
        </w:rPr>
        <w:t>čijim</w:t>
      </w:r>
      <w:r w:rsidR="00CC21F4" w:rsidRPr="00E95BC4">
        <w:rPr>
          <w:noProof/>
          <w:lang w:val="sr-Cyrl-CS"/>
        </w:rPr>
        <w:t xml:space="preserve"> </w:t>
      </w:r>
      <w:r>
        <w:rPr>
          <w:noProof/>
          <w:lang w:val="sr-Cyrl-CS"/>
        </w:rPr>
        <w:t>vršenjem</w:t>
      </w:r>
      <w:r w:rsidR="00CC21F4" w:rsidRPr="00E95BC4">
        <w:rPr>
          <w:noProof/>
          <w:lang w:val="sr-Cyrl-CS"/>
        </w:rPr>
        <w:t xml:space="preserve"> </w:t>
      </w:r>
      <w:r>
        <w:rPr>
          <w:noProof/>
          <w:lang w:val="sr-Cyrl-CS"/>
        </w:rPr>
        <w:t>se</w:t>
      </w:r>
      <w:r w:rsidR="00CC21F4" w:rsidRPr="00E95BC4">
        <w:rPr>
          <w:noProof/>
          <w:lang w:val="sr-Cyrl-CS"/>
        </w:rPr>
        <w:t xml:space="preserve"> </w:t>
      </w:r>
      <w:r>
        <w:rPr>
          <w:noProof/>
          <w:lang w:val="sr-Cyrl-CS"/>
        </w:rPr>
        <w:t>ostvaruje</w:t>
      </w:r>
      <w:r w:rsidR="00CC21F4" w:rsidRPr="00E95BC4">
        <w:rPr>
          <w:noProof/>
          <w:lang w:val="sr-Cyrl-CS"/>
        </w:rPr>
        <w:t xml:space="preserve"> </w:t>
      </w:r>
      <w:r>
        <w:rPr>
          <w:noProof/>
          <w:lang w:val="sr-Cyrl-CS"/>
        </w:rPr>
        <w:t>biće</w:t>
      </w:r>
      <w:r w:rsidR="00CC21F4" w:rsidRPr="00E95BC4">
        <w:rPr>
          <w:noProof/>
          <w:lang w:val="sr-Cyrl-CS"/>
        </w:rPr>
        <w:t xml:space="preserve"> </w:t>
      </w:r>
      <w:r>
        <w:rPr>
          <w:noProof/>
          <w:lang w:val="sr-Cyrl-CS"/>
        </w:rPr>
        <w:t>nekog</w:t>
      </w:r>
      <w:r w:rsidR="00CC21F4" w:rsidRPr="00E95BC4">
        <w:rPr>
          <w:noProof/>
          <w:lang w:val="sr-Cyrl-CS"/>
        </w:rPr>
        <w:t xml:space="preserve"> </w:t>
      </w:r>
      <w:r>
        <w:rPr>
          <w:noProof/>
          <w:lang w:val="sr-Cyrl-CS"/>
        </w:rPr>
        <w:t>protivpravnog</w:t>
      </w:r>
      <w:r w:rsidR="00CC21F4" w:rsidRPr="00E95BC4">
        <w:rPr>
          <w:noProof/>
          <w:lang w:val="sr-Cyrl-CS"/>
        </w:rPr>
        <w:t xml:space="preserve"> </w:t>
      </w:r>
      <w:r>
        <w:rPr>
          <w:noProof/>
          <w:lang w:val="sr-Cyrl-CS"/>
        </w:rPr>
        <w:t>dela</w:t>
      </w:r>
      <w:r w:rsidR="00CC21F4" w:rsidRPr="00E95BC4">
        <w:rPr>
          <w:noProof/>
          <w:lang w:val="sr-Cyrl-CS"/>
        </w:rPr>
        <w:t xml:space="preserve">. </w:t>
      </w:r>
      <w:r>
        <w:rPr>
          <w:noProof/>
          <w:lang w:val="sr-Cyrl-CS"/>
        </w:rPr>
        <w:t>To</w:t>
      </w:r>
      <w:r w:rsidR="00CC21F4" w:rsidRPr="00E95BC4">
        <w:rPr>
          <w:noProof/>
          <w:lang w:val="sr-Cyrl-CS"/>
        </w:rPr>
        <w:t xml:space="preserve"> </w:t>
      </w:r>
      <w:r>
        <w:rPr>
          <w:noProof/>
          <w:lang w:val="sr-Cyrl-CS"/>
        </w:rPr>
        <w:t>se</w:t>
      </w:r>
      <w:r w:rsidR="00CC21F4" w:rsidRPr="00E95BC4">
        <w:rPr>
          <w:noProof/>
          <w:lang w:val="sr-Cyrl-CS"/>
        </w:rPr>
        <w:t xml:space="preserve">, </w:t>
      </w:r>
      <w:r>
        <w:rPr>
          <w:noProof/>
          <w:lang w:val="sr-Cyrl-CS"/>
        </w:rPr>
        <w:t>kao</w:t>
      </w:r>
      <w:r w:rsidR="00CC21F4" w:rsidRPr="00E95BC4">
        <w:rPr>
          <w:noProof/>
          <w:lang w:val="sr-Cyrl-CS"/>
        </w:rPr>
        <w:t xml:space="preserve"> </w:t>
      </w:r>
      <w:r>
        <w:rPr>
          <w:noProof/>
          <w:lang w:val="sr-Cyrl-CS"/>
        </w:rPr>
        <w:t>i</w:t>
      </w:r>
      <w:r w:rsidR="00CC21F4" w:rsidRPr="00E95BC4">
        <w:rPr>
          <w:noProof/>
          <w:lang w:val="sr-Cyrl-CS"/>
        </w:rPr>
        <w:t xml:space="preserve"> </w:t>
      </w:r>
      <w:r>
        <w:rPr>
          <w:noProof/>
          <w:lang w:val="sr-Cyrl-CS"/>
        </w:rPr>
        <w:t>svaka</w:t>
      </w:r>
      <w:r w:rsidR="00CC21F4" w:rsidRPr="00E95BC4">
        <w:rPr>
          <w:noProof/>
          <w:lang w:val="sr-Cyrl-CS"/>
        </w:rPr>
        <w:t xml:space="preserve"> </w:t>
      </w:r>
      <w:r>
        <w:rPr>
          <w:noProof/>
          <w:lang w:val="sr-Cyrl-CS"/>
        </w:rPr>
        <w:t>druga</w:t>
      </w:r>
      <w:r w:rsidR="00CC21F4" w:rsidRPr="00E95BC4">
        <w:rPr>
          <w:noProof/>
          <w:lang w:val="sr-Cyrl-CS"/>
        </w:rPr>
        <w:t xml:space="preserve"> </w:t>
      </w:r>
      <w:r>
        <w:rPr>
          <w:noProof/>
          <w:lang w:val="sr-Cyrl-CS"/>
        </w:rPr>
        <w:t>činjenica</w:t>
      </w:r>
      <w:r w:rsidR="00CC21F4" w:rsidRPr="00E95BC4">
        <w:rPr>
          <w:noProof/>
          <w:lang w:val="sr-Cyrl-CS"/>
        </w:rPr>
        <w:t xml:space="preserve">, </w:t>
      </w:r>
      <w:r>
        <w:rPr>
          <w:noProof/>
          <w:lang w:val="sr-Cyrl-CS"/>
        </w:rPr>
        <w:t>utvrđuje</w:t>
      </w:r>
      <w:r w:rsidR="00CC21F4" w:rsidRPr="00E95BC4">
        <w:rPr>
          <w:noProof/>
          <w:lang w:val="sr-Cyrl-CS"/>
        </w:rPr>
        <w:t xml:space="preserve"> </w:t>
      </w:r>
      <w:r>
        <w:rPr>
          <w:noProof/>
          <w:lang w:val="sr-Cyrl-CS"/>
        </w:rPr>
        <w:t>u</w:t>
      </w:r>
      <w:r w:rsidR="00CC21F4" w:rsidRPr="00E95BC4">
        <w:rPr>
          <w:noProof/>
          <w:lang w:val="sr-Cyrl-CS"/>
        </w:rPr>
        <w:t xml:space="preserve"> </w:t>
      </w:r>
      <w:r>
        <w:rPr>
          <w:noProof/>
          <w:lang w:val="sr-Cyrl-CS"/>
        </w:rPr>
        <w:t>toku</w:t>
      </w:r>
      <w:r w:rsidR="00CC21F4" w:rsidRPr="00E95BC4">
        <w:rPr>
          <w:noProof/>
          <w:lang w:val="sr-Cyrl-CS"/>
        </w:rPr>
        <w:t xml:space="preserve"> </w:t>
      </w:r>
      <w:r>
        <w:rPr>
          <w:noProof/>
          <w:lang w:val="sr-Cyrl-CS"/>
        </w:rPr>
        <w:t>postupka</w:t>
      </w:r>
      <w:r w:rsidR="00CC21F4" w:rsidRPr="00E95BC4">
        <w:rPr>
          <w:noProof/>
          <w:lang w:val="sr-Cyrl-CS"/>
        </w:rPr>
        <w:t xml:space="preserve">, </w:t>
      </w:r>
      <w:r>
        <w:rPr>
          <w:noProof/>
          <w:lang w:val="sr-Cyrl-CS"/>
        </w:rPr>
        <w:t>kada</w:t>
      </w:r>
      <w:r w:rsidR="00CC21F4" w:rsidRPr="00E95BC4">
        <w:rPr>
          <w:noProof/>
          <w:lang w:val="sr-Cyrl-CS"/>
        </w:rPr>
        <w:t xml:space="preserve"> </w:t>
      </w:r>
      <w:r>
        <w:rPr>
          <w:noProof/>
          <w:lang w:val="sr-Cyrl-CS"/>
        </w:rPr>
        <w:t>se</w:t>
      </w:r>
      <w:r w:rsidR="00CC21F4" w:rsidRPr="00E95BC4">
        <w:rPr>
          <w:noProof/>
          <w:lang w:val="sr-Cyrl-CS"/>
        </w:rPr>
        <w:t xml:space="preserve"> </w:t>
      </w:r>
      <w:r>
        <w:rPr>
          <w:noProof/>
          <w:lang w:val="sr-Cyrl-CS"/>
        </w:rPr>
        <w:t>rešava</w:t>
      </w:r>
      <w:r w:rsidR="00CC21F4" w:rsidRPr="00E95BC4">
        <w:rPr>
          <w:noProof/>
          <w:lang w:val="sr-Cyrl-CS"/>
        </w:rPr>
        <w:t xml:space="preserve"> </w:t>
      </w:r>
      <w:r>
        <w:rPr>
          <w:noProof/>
          <w:lang w:val="sr-Cyrl-CS"/>
        </w:rPr>
        <w:t>i</w:t>
      </w:r>
      <w:r w:rsidR="00CC21F4" w:rsidRPr="00E95BC4">
        <w:rPr>
          <w:noProof/>
          <w:lang w:val="sr-Cyrl-CS"/>
        </w:rPr>
        <w:t xml:space="preserve"> </w:t>
      </w:r>
      <w:r>
        <w:rPr>
          <w:noProof/>
          <w:lang w:val="sr-Cyrl-CS"/>
        </w:rPr>
        <w:t>pitanje</w:t>
      </w:r>
      <w:r w:rsidR="00CC21F4" w:rsidRPr="00E95BC4">
        <w:rPr>
          <w:noProof/>
          <w:lang w:val="sr-Cyrl-CS"/>
        </w:rPr>
        <w:t xml:space="preserve"> </w:t>
      </w:r>
      <w:r>
        <w:rPr>
          <w:noProof/>
          <w:lang w:val="sr-Cyrl-CS"/>
        </w:rPr>
        <w:t>postojanja</w:t>
      </w:r>
      <w:r w:rsidR="00CC21F4" w:rsidRPr="00E95BC4">
        <w:rPr>
          <w:noProof/>
          <w:lang w:val="sr-Cyrl-CS"/>
        </w:rPr>
        <w:t xml:space="preserve"> </w:t>
      </w:r>
      <w:r>
        <w:rPr>
          <w:noProof/>
          <w:lang w:val="sr-Cyrl-CS"/>
        </w:rPr>
        <w:t>drugih</w:t>
      </w:r>
      <w:r w:rsidR="00CC21F4" w:rsidRPr="00E95BC4">
        <w:rPr>
          <w:noProof/>
          <w:lang w:val="sr-Cyrl-CS"/>
        </w:rPr>
        <w:t xml:space="preserve"> </w:t>
      </w:r>
      <w:r>
        <w:rPr>
          <w:noProof/>
          <w:lang w:val="sr-Cyrl-CS"/>
        </w:rPr>
        <w:t>bitnih</w:t>
      </w:r>
      <w:r w:rsidR="00CC21F4" w:rsidRPr="00E95BC4">
        <w:rPr>
          <w:noProof/>
          <w:lang w:val="sr-Cyrl-CS"/>
        </w:rPr>
        <w:t xml:space="preserve"> </w:t>
      </w:r>
      <w:r>
        <w:rPr>
          <w:noProof/>
          <w:lang w:val="sr-Cyrl-CS"/>
        </w:rPr>
        <w:t>elemenata</w:t>
      </w:r>
      <w:r w:rsidR="00CC21F4" w:rsidRPr="00E95BC4">
        <w:rPr>
          <w:noProof/>
          <w:lang w:val="sr-Cyrl-CS"/>
        </w:rPr>
        <w:t xml:space="preserve"> </w:t>
      </w:r>
      <w:r>
        <w:rPr>
          <w:noProof/>
          <w:lang w:val="sr-Cyrl-CS"/>
        </w:rPr>
        <w:t>krivičnog</w:t>
      </w:r>
      <w:r w:rsidR="00CC21F4" w:rsidRPr="00E95BC4">
        <w:rPr>
          <w:noProof/>
          <w:lang w:val="sr-Cyrl-CS"/>
        </w:rPr>
        <w:t xml:space="preserve"> </w:t>
      </w:r>
      <w:r>
        <w:rPr>
          <w:noProof/>
          <w:lang w:val="sr-Cyrl-CS"/>
        </w:rPr>
        <w:t>dela</w:t>
      </w:r>
      <w:r w:rsidR="00CC21F4" w:rsidRPr="00E95BC4">
        <w:rPr>
          <w:noProof/>
          <w:lang w:val="sr-Cyrl-CS"/>
        </w:rPr>
        <w:t xml:space="preserve"> </w:t>
      </w:r>
      <w:r>
        <w:rPr>
          <w:noProof/>
          <w:lang w:val="sr-Cyrl-CS"/>
        </w:rPr>
        <w:t>pranja</w:t>
      </w:r>
      <w:r w:rsidR="00CC21F4" w:rsidRPr="00E95BC4">
        <w:rPr>
          <w:noProof/>
          <w:lang w:val="sr-Cyrl-CS"/>
        </w:rPr>
        <w:t xml:space="preserve"> </w:t>
      </w:r>
      <w:r>
        <w:rPr>
          <w:noProof/>
          <w:lang w:val="sr-Cyrl-CS"/>
        </w:rPr>
        <w:t>novca</w:t>
      </w:r>
      <w:r w:rsidR="00CC21F4" w:rsidRPr="00E95BC4">
        <w:rPr>
          <w:noProof/>
          <w:lang w:val="sr-Cyrl-CS"/>
        </w:rPr>
        <w:t xml:space="preserve">. </w:t>
      </w:r>
      <w:r>
        <w:rPr>
          <w:noProof/>
          <w:lang w:val="sr-Cyrl-CS"/>
        </w:rPr>
        <w:t>Dakle</w:t>
      </w:r>
      <w:r w:rsidR="00CC21F4" w:rsidRPr="00E95BC4">
        <w:rPr>
          <w:noProof/>
          <w:lang w:val="sr-Cyrl-CS"/>
        </w:rPr>
        <w:t xml:space="preserve">, </w:t>
      </w:r>
      <w:r>
        <w:rPr>
          <w:noProof/>
          <w:lang w:val="sr-Cyrl-CS"/>
        </w:rPr>
        <w:t>može</w:t>
      </w:r>
      <w:r w:rsidR="00CC21F4" w:rsidRPr="00E95BC4">
        <w:rPr>
          <w:noProof/>
          <w:lang w:val="sr-Cyrl-CS"/>
        </w:rPr>
        <w:t xml:space="preserve"> </w:t>
      </w:r>
      <w:r>
        <w:rPr>
          <w:noProof/>
          <w:lang w:val="sr-Cyrl-CS"/>
        </w:rPr>
        <w:t>se</w:t>
      </w:r>
      <w:r w:rsidR="00CC21F4" w:rsidRPr="00E95BC4">
        <w:rPr>
          <w:noProof/>
          <w:lang w:val="sr-Cyrl-CS"/>
        </w:rPr>
        <w:t xml:space="preserve"> </w:t>
      </w:r>
      <w:r>
        <w:rPr>
          <w:noProof/>
          <w:lang w:val="sr-Cyrl-CS"/>
        </w:rPr>
        <w:t>samo</w:t>
      </w:r>
      <w:r w:rsidR="00CC21F4" w:rsidRPr="00E95BC4">
        <w:rPr>
          <w:noProof/>
          <w:lang w:val="sr-Cyrl-CS"/>
        </w:rPr>
        <w:t xml:space="preserve"> </w:t>
      </w:r>
      <w:r>
        <w:rPr>
          <w:noProof/>
          <w:lang w:val="sr-Cyrl-CS"/>
        </w:rPr>
        <w:t>za</w:t>
      </w:r>
      <w:r w:rsidR="00CC21F4" w:rsidRPr="00E95BC4">
        <w:rPr>
          <w:noProof/>
          <w:lang w:val="sr-Cyrl-CS"/>
        </w:rPr>
        <w:t xml:space="preserve"> </w:t>
      </w:r>
      <w:r>
        <w:rPr>
          <w:noProof/>
          <w:lang w:val="sr-Cyrl-CS"/>
        </w:rPr>
        <w:t>potrebe</w:t>
      </w:r>
      <w:r w:rsidR="00CC21F4" w:rsidRPr="00E95BC4">
        <w:rPr>
          <w:noProof/>
          <w:lang w:val="sr-Cyrl-CS"/>
        </w:rPr>
        <w:t xml:space="preserve"> </w:t>
      </w:r>
      <w:r>
        <w:rPr>
          <w:noProof/>
          <w:lang w:val="sr-Cyrl-CS"/>
        </w:rPr>
        <w:t>konkretnog</w:t>
      </w:r>
      <w:r w:rsidR="00CC21F4" w:rsidRPr="00E95BC4">
        <w:rPr>
          <w:noProof/>
          <w:lang w:val="sr-Cyrl-CS"/>
        </w:rPr>
        <w:t xml:space="preserve"> </w:t>
      </w:r>
      <w:r>
        <w:rPr>
          <w:noProof/>
          <w:lang w:val="sr-Cyrl-CS"/>
        </w:rPr>
        <w:t>slučaja</w:t>
      </w:r>
      <w:r w:rsidR="00CC21F4" w:rsidRPr="00E95BC4">
        <w:rPr>
          <w:noProof/>
          <w:lang w:val="sr-Cyrl-CS"/>
        </w:rPr>
        <w:t xml:space="preserve"> </w:t>
      </w:r>
      <w:r>
        <w:rPr>
          <w:noProof/>
          <w:lang w:val="sr-Cyrl-CS"/>
        </w:rPr>
        <w:t>pranja</w:t>
      </w:r>
      <w:r w:rsidR="00CC21F4" w:rsidRPr="00E95BC4">
        <w:rPr>
          <w:noProof/>
          <w:lang w:val="sr-Cyrl-CS"/>
        </w:rPr>
        <w:t xml:space="preserve"> </w:t>
      </w:r>
      <w:r>
        <w:rPr>
          <w:noProof/>
          <w:lang w:val="sr-Cyrl-CS"/>
        </w:rPr>
        <w:t>novca</w:t>
      </w:r>
      <w:r w:rsidR="00CC21F4" w:rsidRPr="00E95BC4">
        <w:rPr>
          <w:noProof/>
          <w:lang w:val="sr-Cyrl-CS"/>
        </w:rPr>
        <w:t xml:space="preserve"> </w:t>
      </w:r>
      <w:r>
        <w:rPr>
          <w:noProof/>
          <w:lang w:val="sr-Cyrl-CS"/>
        </w:rPr>
        <w:t>utvrđivati</w:t>
      </w:r>
      <w:r w:rsidR="00CC21F4" w:rsidRPr="00E95BC4">
        <w:rPr>
          <w:noProof/>
          <w:lang w:val="sr-Cyrl-CS"/>
        </w:rPr>
        <w:t xml:space="preserve"> </w:t>
      </w:r>
      <w:r>
        <w:rPr>
          <w:noProof/>
          <w:lang w:val="sr-Cyrl-CS"/>
        </w:rPr>
        <w:t>da</w:t>
      </w:r>
      <w:r w:rsidR="00CC21F4" w:rsidRPr="00E95BC4">
        <w:rPr>
          <w:noProof/>
          <w:lang w:val="sr-Cyrl-CS"/>
        </w:rPr>
        <w:t xml:space="preserve"> </w:t>
      </w:r>
      <w:r>
        <w:rPr>
          <w:noProof/>
          <w:lang w:val="sr-Cyrl-CS"/>
        </w:rPr>
        <w:t>imovina</w:t>
      </w:r>
      <w:r w:rsidR="00CC21F4" w:rsidRPr="00E95BC4">
        <w:rPr>
          <w:noProof/>
          <w:lang w:val="sr-Cyrl-CS"/>
        </w:rPr>
        <w:t xml:space="preserve"> </w:t>
      </w:r>
      <w:r>
        <w:rPr>
          <w:noProof/>
          <w:lang w:val="sr-Cyrl-CS"/>
        </w:rPr>
        <w:t>potiče</w:t>
      </w:r>
      <w:r w:rsidR="00CC21F4" w:rsidRPr="00E95BC4">
        <w:rPr>
          <w:noProof/>
          <w:lang w:val="sr-Cyrl-CS"/>
        </w:rPr>
        <w:t xml:space="preserve"> </w:t>
      </w:r>
      <w:r>
        <w:rPr>
          <w:noProof/>
          <w:lang w:val="sr-Cyrl-CS"/>
        </w:rPr>
        <w:t>od</w:t>
      </w:r>
      <w:r w:rsidR="00CC21F4" w:rsidRPr="00E95BC4">
        <w:rPr>
          <w:noProof/>
          <w:lang w:val="sr-Cyrl-CS"/>
        </w:rPr>
        <w:t xml:space="preserve"> </w:t>
      </w:r>
      <w:r>
        <w:rPr>
          <w:noProof/>
          <w:lang w:val="sr-Cyrl-CS"/>
        </w:rPr>
        <w:t>kriminalne</w:t>
      </w:r>
      <w:r w:rsidR="00CC21F4" w:rsidRPr="00E95BC4">
        <w:rPr>
          <w:noProof/>
          <w:lang w:val="sr-Cyrl-CS"/>
        </w:rPr>
        <w:t xml:space="preserve"> </w:t>
      </w:r>
      <w:r>
        <w:rPr>
          <w:noProof/>
          <w:lang w:val="sr-Cyrl-CS"/>
        </w:rPr>
        <w:t>delatnosti</w:t>
      </w:r>
      <w:r w:rsidR="00CC21F4" w:rsidRPr="00E95BC4">
        <w:rPr>
          <w:noProof/>
          <w:lang w:val="sr-Cyrl-CS"/>
        </w:rPr>
        <w:t xml:space="preserve">. </w:t>
      </w:r>
      <w:r>
        <w:rPr>
          <w:noProof/>
          <w:lang w:val="sr-Cyrl-CS"/>
        </w:rPr>
        <w:t>Pri</w:t>
      </w:r>
      <w:r w:rsidR="00CC21F4" w:rsidRPr="00E95BC4">
        <w:rPr>
          <w:noProof/>
          <w:lang w:val="sr-Cyrl-CS"/>
        </w:rPr>
        <w:t xml:space="preserve"> </w:t>
      </w:r>
      <w:r>
        <w:rPr>
          <w:noProof/>
          <w:lang w:val="sr-Cyrl-CS"/>
        </w:rPr>
        <w:t>tome</w:t>
      </w:r>
      <w:r w:rsidR="00CC21F4" w:rsidRPr="00E95BC4">
        <w:rPr>
          <w:noProof/>
          <w:lang w:val="sr-Cyrl-CS"/>
        </w:rPr>
        <w:t xml:space="preserve"> </w:t>
      </w:r>
      <w:r>
        <w:rPr>
          <w:noProof/>
          <w:lang w:val="sr-Cyrl-CS"/>
        </w:rPr>
        <w:t>je</w:t>
      </w:r>
      <w:r w:rsidR="00CC21F4" w:rsidRPr="00E95BC4">
        <w:rPr>
          <w:noProof/>
          <w:lang w:val="sr-Cyrl-CS"/>
        </w:rPr>
        <w:t xml:space="preserve"> </w:t>
      </w:r>
      <w:r>
        <w:rPr>
          <w:noProof/>
          <w:lang w:val="sr-Cyrl-CS"/>
        </w:rPr>
        <w:t>irelevantno</w:t>
      </w:r>
      <w:r w:rsidR="003A648B" w:rsidRPr="00E95BC4">
        <w:rPr>
          <w:noProof/>
          <w:lang w:val="sr-Cyrl-CS"/>
        </w:rPr>
        <w:t xml:space="preserve"> </w:t>
      </w:r>
      <w:r>
        <w:rPr>
          <w:noProof/>
          <w:lang w:val="sr-Cyrl-CS"/>
        </w:rPr>
        <w:t>da</w:t>
      </w:r>
      <w:r w:rsidR="003A648B" w:rsidRPr="00E95BC4">
        <w:rPr>
          <w:noProof/>
          <w:lang w:val="sr-Cyrl-CS"/>
        </w:rPr>
        <w:t xml:space="preserve"> </w:t>
      </w:r>
      <w:r>
        <w:rPr>
          <w:noProof/>
          <w:lang w:val="sr-Cyrl-CS"/>
        </w:rPr>
        <w:t>li</w:t>
      </w:r>
      <w:r w:rsidR="003A648B" w:rsidRPr="00E95BC4">
        <w:rPr>
          <w:noProof/>
          <w:lang w:val="sr-Cyrl-CS"/>
        </w:rPr>
        <w:t xml:space="preserve"> </w:t>
      </w:r>
      <w:r>
        <w:rPr>
          <w:noProof/>
          <w:lang w:val="sr-Cyrl-CS"/>
        </w:rPr>
        <w:t>je</w:t>
      </w:r>
      <w:r w:rsidR="003A648B" w:rsidRPr="00E95BC4">
        <w:rPr>
          <w:noProof/>
          <w:lang w:val="sr-Cyrl-CS"/>
        </w:rPr>
        <w:t xml:space="preserve"> </w:t>
      </w:r>
      <w:r>
        <w:rPr>
          <w:noProof/>
          <w:lang w:val="sr-Cyrl-CS"/>
        </w:rPr>
        <w:t>u</w:t>
      </w:r>
      <w:r w:rsidR="003A648B" w:rsidRPr="00E95BC4">
        <w:rPr>
          <w:noProof/>
          <w:lang w:val="sr-Cyrl-CS"/>
        </w:rPr>
        <w:t xml:space="preserve"> </w:t>
      </w:r>
      <w:r>
        <w:rPr>
          <w:noProof/>
          <w:lang w:val="sr-Cyrl-CS"/>
        </w:rPr>
        <w:t>pitanju</w:t>
      </w:r>
      <w:r w:rsidR="003A648B" w:rsidRPr="00E95BC4">
        <w:rPr>
          <w:noProof/>
          <w:lang w:val="sr-Cyrl-CS"/>
        </w:rPr>
        <w:t xml:space="preserve"> </w:t>
      </w:r>
      <w:r>
        <w:rPr>
          <w:noProof/>
          <w:lang w:val="sr-Cyrl-CS"/>
        </w:rPr>
        <w:t>krivično</w:t>
      </w:r>
      <w:r w:rsidR="00CC21F4" w:rsidRPr="00E95BC4">
        <w:rPr>
          <w:noProof/>
          <w:lang w:val="sr-Cyrl-CS"/>
        </w:rPr>
        <w:t xml:space="preserve"> </w:t>
      </w:r>
      <w:r>
        <w:rPr>
          <w:noProof/>
          <w:lang w:val="sr-Cyrl-CS"/>
        </w:rPr>
        <w:t>delo</w:t>
      </w:r>
      <w:r w:rsidR="00CC21F4" w:rsidRPr="00E95BC4">
        <w:rPr>
          <w:noProof/>
          <w:lang w:val="sr-Cyrl-CS"/>
        </w:rPr>
        <w:t xml:space="preserve">, </w:t>
      </w:r>
      <w:r>
        <w:rPr>
          <w:noProof/>
          <w:lang w:val="sr-Cyrl-CS"/>
        </w:rPr>
        <w:t>ili</w:t>
      </w:r>
      <w:r w:rsidR="00CC21F4" w:rsidRPr="00E95BC4">
        <w:rPr>
          <w:noProof/>
          <w:lang w:val="sr-Cyrl-CS"/>
        </w:rPr>
        <w:t xml:space="preserve"> </w:t>
      </w:r>
      <w:r>
        <w:rPr>
          <w:noProof/>
          <w:lang w:val="sr-Cyrl-CS"/>
        </w:rPr>
        <w:t>je</w:t>
      </w:r>
      <w:r w:rsidR="00CC21F4" w:rsidRPr="00E95BC4">
        <w:rPr>
          <w:noProof/>
          <w:lang w:val="sr-Cyrl-CS"/>
        </w:rPr>
        <w:t xml:space="preserve"> </w:t>
      </w:r>
      <w:r>
        <w:rPr>
          <w:noProof/>
          <w:lang w:val="sr-Cyrl-CS"/>
        </w:rPr>
        <w:t>u</w:t>
      </w:r>
      <w:r w:rsidR="00CC21F4" w:rsidRPr="00E95BC4">
        <w:rPr>
          <w:noProof/>
          <w:lang w:val="sr-Cyrl-CS"/>
        </w:rPr>
        <w:t xml:space="preserve"> </w:t>
      </w:r>
      <w:r>
        <w:rPr>
          <w:noProof/>
          <w:lang w:val="sr-Cyrl-CS"/>
        </w:rPr>
        <w:t>pitanju</w:t>
      </w:r>
      <w:r w:rsidR="00CC21F4" w:rsidRPr="00E95BC4">
        <w:rPr>
          <w:noProof/>
          <w:lang w:val="sr-Cyrl-CS"/>
        </w:rPr>
        <w:t xml:space="preserve"> </w:t>
      </w:r>
      <w:r>
        <w:rPr>
          <w:noProof/>
          <w:lang w:val="sr-Cyrl-CS"/>
        </w:rPr>
        <w:t>neki</w:t>
      </w:r>
      <w:r w:rsidR="00CC21F4" w:rsidRPr="00E95BC4">
        <w:rPr>
          <w:noProof/>
          <w:lang w:val="sr-Cyrl-CS"/>
        </w:rPr>
        <w:t xml:space="preserve"> </w:t>
      </w:r>
      <w:r>
        <w:rPr>
          <w:noProof/>
          <w:lang w:val="sr-Cyrl-CS"/>
        </w:rPr>
        <w:t>drugi</w:t>
      </w:r>
      <w:r w:rsidR="00CC21F4" w:rsidRPr="00E95BC4">
        <w:rPr>
          <w:noProof/>
          <w:lang w:val="sr-Cyrl-CS"/>
        </w:rPr>
        <w:t xml:space="preserve"> </w:t>
      </w:r>
      <w:r>
        <w:rPr>
          <w:noProof/>
          <w:lang w:val="sr-Cyrl-CS"/>
        </w:rPr>
        <w:t>oblik</w:t>
      </w:r>
      <w:r w:rsidR="00CC21F4" w:rsidRPr="00E95BC4">
        <w:rPr>
          <w:noProof/>
          <w:lang w:val="sr-Cyrl-CS"/>
        </w:rPr>
        <w:t xml:space="preserve"> </w:t>
      </w:r>
      <w:r>
        <w:rPr>
          <w:noProof/>
          <w:lang w:val="sr-Cyrl-CS"/>
        </w:rPr>
        <w:t>protivpravne</w:t>
      </w:r>
      <w:r w:rsidR="00CC21F4" w:rsidRPr="00E95BC4">
        <w:rPr>
          <w:noProof/>
          <w:lang w:val="sr-Cyrl-CS"/>
        </w:rPr>
        <w:t xml:space="preserve"> </w:t>
      </w:r>
      <w:r>
        <w:rPr>
          <w:noProof/>
          <w:lang w:val="sr-Cyrl-CS"/>
        </w:rPr>
        <w:t>aktivnosti</w:t>
      </w:r>
      <w:r w:rsidR="00CC21F4" w:rsidRPr="00E95BC4">
        <w:rPr>
          <w:noProof/>
          <w:lang w:val="sr-Cyrl-CS"/>
        </w:rPr>
        <w:t>.</w:t>
      </w:r>
    </w:p>
    <w:p w:rsidR="00745C54" w:rsidRPr="00E95BC4" w:rsidRDefault="005818C0" w:rsidP="002424EB">
      <w:pPr>
        <w:ind w:firstLine="708"/>
        <w:jc w:val="both"/>
        <w:rPr>
          <w:color w:val="000000" w:themeColor="text1"/>
          <w:lang w:val="sr-Cyrl-CS"/>
        </w:rPr>
      </w:pPr>
      <w:r>
        <w:rPr>
          <w:color w:val="000000" w:themeColor="text1"/>
          <w:lang w:val="sr-Cyrl-CS"/>
        </w:rPr>
        <w:t>Republika</w:t>
      </w:r>
      <w:r w:rsidR="00745C54" w:rsidRPr="00E95BC4">
        <w:rPr>
          <w:color w:val="000000" w:themeColor="text1"/>
          <w:lang w:val="sr-Cyrl-CS"/>
        </w:rPr>
        <w:t xml:space="preserve"> </w:t>
      </w:r>
      <w:r>
        <w:rPr>
          <w:color w:val="000000" w:themeColor="text1"/>
          <w:lang w:val="sr-Cyrl-CS"/>
        </w:rPr>
        <w:t>Srbija</w:t>
      </w:r>
      <w:r w:rsidR="00745C54" w:rsidRPr="00E95BC4">
        <w:rPr>
          <w:color w:val="000000" w:themeColor="text1"/>
          <w:lang w:val="sr-Cyrl-CS"/>
        </w:rPr>
        <w:t xml:space="preserve"> </w:t>
      </w:r>
      <w:r>
        <w:rPr>
          <w:color w:val="000000" w:themeColor="text1"/>
          <w:lang w:val="sr-Cyrl-CS"/>
        </w:rPr>
        <w:t>je</w:t>
      </w:r>
      <w:r w:rsidR="00745C54" w:rsidRPr="00E95BC4">
        <w:rPr>
          <w:color w:val="000000" w:themeColor="text1"/>
          <w:lang w:val="sr-Cyrl-CS"/>
        </w:rPr>
        <w:t xml:space="preserve"> </w:t>
      </w:r>
      <w:r>
        <w:rPr>
          <w:color w:val="000000" w:themeColor="text1"/>
          <w:lang w:val="sr-Cyrl-CS"/>
        </w:rPr>
        <w:t>donela</w:t>
      </w:r>
      <w:r w:rsidR="00745C54" w:rsidRPr="00E95BC4">
        <w:rPr>
          <w:color w:val="000000" w:themeColor="text1"/>
          <w:lang w:val="sr-Cyrl-CS"/>
        </w:rPr>
        <w:t xml:space="preserve"> </w:t>
      </w:r>
      <w:r>
        <w:rPr>
          <w:color w:val="000000" w:themeColor="text1"/>
          <w:lang w:val="sr-Cyrl-CS"/>
        </w:rPr>
        <w:t>novi</w:t>
      </w:r>
      <w:r w:rsidR="00745C54" w:rsidRPr="00E95BC4">
        <w:rPr>
          <w:color w:val="000000" w:themeColor="text1"/>
          <w:lang w:val="sr-Cyrl-CS"/>
        </w:rPr>
        <w:t xml:space="preserve"> </w:t>
      </w:r>
      <w:r>
        <w:rPr>
          <w:b/>
          <w:color w:val="000000" w:themeColor="text1"/>
          <w:lang w:val="sr-Cyrl-CS"/>
        </w:rPr>
        <w:t>Zakon</w:t>
      </w:r>
      <w:r w:rsidR="00745C54" w:rsidRPr="00E95BC4">
        <w:rPr>
          <w:b/>
          <w:color w:val="000000" w:themeColor="text1"/>
          <w:lang w:val="sr-Cyrl-CS"/>
        </w:rPr>
        <w:t xml:space="preserve"> </w:t>
      </w:r>
      <w:r>
        <w:rPr>
          <w:b/>
          <w:color w:val="000000" w:themeColor="text1"/>
          <w:lang w:val="sr-Cyrl-CS"/>
        </w:rPr>
        <w:t>o</w:t>
      </w:r>
      <w:r w:rsidR="00745C54" w:rsidRPr="00E95BC4">
        <w:rPr>
          <w:b/>
          <w:color w:val="000000" w:themeColor="text1"/>
          <w:lang w:val="sr-Cyrl-CS"/>
        </w:rPr>
        <w:t xml:space="preserve"> </w:t>
      </w:r>
      <w:r>
        <w:rPr>
          <w:b/>
          <w:color w:val="000000" w:themeColor="text1"/>
          <w:lang w:val="sr-Cyrl-CS"/>
        </w:rPr>
        <w:t>organizaciji</w:t>
      </w:r>
      <w:r w:rsidR="00745C54" w:rsidRPr="00E95BC4">
        <w:rPr>
          <w:b/>
          <w:color w:val="000000" w:themeColor="text1"/>
          <w:lang w:val="sr-Cyrl-CS"/>
        </w:rPr>
        <w:t xml:space="preserve"> </w:t>
      </w:r>
      <w:r>
        <w:rPr>
          <w:b/>
          <w:color w:val="000000" w:themeColor="text1"/>
          <w:lang w:val="sr-Cyrl-CS"/>
        </w:rPr>
        <w:t>i</w:t>
      </w:r>
      <w:r w:rsidR="00745C54" w:rsidRPr="00E95BC4">
        <w:rPr>
          <w:b/>
          <w:color w:val="000000" w:themeColor="text1"/>
          <w:lang w:val="sr-Cyrl-CS"/>
        </w:rPr>
        <w:t xml:space="preserve"> </w:t>
      </w:r>
      <w:r>
        <w:rPr>
          <w:b/>
          <w:color w:val="000000" w:themeColor="text1"/>
          <w:lang w:val="sr-Cyrl-CS"/>
        </w:rPr>
        <w:t>nadležnosti</w:t>
      </w:r>
      <w:r w:rsidR="00745C54" w:rsidRPr="00E95BC4">
        <w:rPr>
          <w:b/>
          <w:color w:val="000000" w:themeColor="text1"/>
          <w:lang w:val="sr-Cyrl-CS"/>
        </w:rPr>
        <w:t xml:space="preserve"> </w:t>
      </w:r>
      <w:r>
        <w:rPr>
          <w:b/>
          <w:color w:val="000000" w:themeColor="text1"/>
          <w:lang w:val="sr-Cyrl-CS"/>
        </w:rPr>
        <w:t>državnih</w:t>
      </w:r>
      <w:r w:rsidR="00745C54" w:rsidRPr="00E95BC4">
        <w:rPr>
          <w:b/>
          <w:color w:val="000000" w:themeColor="text1"/>
          <w:lang w:val="sr-Cyrl-CS"/>
        </w:rPr>
        <w:t xml:space="preserve"> </w:t>
      </w:r>
      <w:r>
        <w:rPr>
          <w:b/>
          <w:color w:val="000000" w:themeColor="text1"/>
          <w:lang w:val="sr-Cyrl-CS"/>
        </w:rPr>
        <w:t>organa</w:t>
      </w:r>
      <w:r w:rsidR="00745C54" w:rsidRPr="00E95BC4">
        <w:rPr>
          <w:b/>
          <w:color w:val="000000" w:themeColor="text1"/>
          <w:lang w:val="sr-Cyrl-CS"/>
        </w:rPr>
        <w:t xml:space="preserve"> </w:t>
      </w:r>
      <w:r>
        <w:rPr>
          <w:b/>
          <w:color w:val="000000" w:themeColor="text1"/>
          <w:lang w:val="sr-Cyrl-CS"/>
        </w:rPr>
        <w:t>u</w:t>
      </w:r>
      <w:r w:rsidR="00745C54" w:rsidRPr="00E95BC4">
        <w:rPr>
          <w:b/>
          <w:color w:val="000000" w:themeColor="text1"/>
          <w:lang w:val="sr-Cyrl-CS"/>
        </w:rPr>
        <w:t xml:space="preserve"> </w:t>
      </w:r>
      <w:r>
        <w:rPr>
          <w:b/>
          <w:color w:val="000000" w:themeColor="text1"/>
          <w:lang w:val="sr-Cyrl-CS"/>
        </w:rPr>
        <w:t>suzbijanju</w:t>
      </w:r>
      <w:r w:rsidR="00745C54" w:rsidRPr="00E95BC4">
        <w:rPr>
          <w:b/>
          <w:color w:val="000000" w:themeColor="text1"/>
          <w:lang w:val="sr-Cyrl-CS"/>
        </w:rPr>
        <w:t xml:space="preserve"> </w:t>
      </w:r>
      <w:r>
        <w:rPr>
          <w:b/>
          <w:color w:val="000000" w:themeColor="text1"/>
          <w:lang w:val="sr-Cyrl-CS"/>
        </w:rPr>
        <w:t>organizovanog</w:t>
      </w:r>
      <w:r w:rsidR="00745C54" w:rsidRPr="00E95BC4">
        <w:rPr>
          <w:b/>
          <w:color w:val="000000" w:themeColor="text1"/>
          <w:lang w:val="sr-Cyrl-CS"/>
        </w:rPr>
        <w:t xml:space="preserve"> </w:t>
      </w:r>
      <w:r>
        <w:rPr>
          <w:b/>
          <w:color w:val="000000" w:themeColor="text1"/>
          <w:lang w:val="sr-Cyrl-CS"/>
        </w:rPr>
        <w:t>kriminala</w:t>
      </w:r>
      <w:r w:rsidR="00745C54" w:rsidRPr="00E95BC4">
        <w:rPr>
          <w:b/>
          <w:color w:val="000000" w:themeColor="text1"/>
          <w:lang w:val="sr-Cyrl-CS"/>
        </w:rPr>
        <w:t xml:space="preserve">, </w:t>
      </w:r>
      <w:r>
        <w:rPr>
          <w:b/>
          <w:color w:val="000000" w:themeColor="text1"/>
          <w:lang w:val="sr-Cyrl-CS"/>
        </w:rPr>
        <w:t>terorizma</w:t>
      </w:r>
      <w:r w:rsidR="00745C54" w:rsidRPr="00E95BC4">
        <w:rPr>
          <w:b/>
          <w:color w:val="000000" w:themeColor="text1"/>
          <w:lang w:val="sr-Cyrl-CS"/>
        </w:rPr>
        <w:t xml:space="preserve"> </w:t>
      </w:r>
      <w:r>
        <w:rPr>
          <w:b/>
          <w:color w:val="000000" w:themeColor="text1"/>
          <w:lang w:val="sr-Cyrl-CS"/>
        </w:rPr>
        <w:t>i</w:t>
      </w:r>
      <w:r w:rsidR="00745C54" w:rsidRPr="00E95BC4">
        <w:rPr>
          <w:b/>
          <w:color w:val="000000" w:themeColor="text1"/>
          <w:lang w:val="sr-Cyrl-CS"/>
        </w:rPr>
        <w:t xml:space="preserve"> </w:t>
      </w:r>
      <w:r>
        <w:rPr>
          <w:b/>
          <w:color w:val="000000" w:themeColor="text1"/>
          <w:lang w:val="sr-Cyrl-CS"/>
        </w:rPr>
        <w:t>korupcije</w:t>
      </w:r>
      <w:r w:rsidR="00745C54" w:rsidRPr="00E95BC4">
        <w:rPr>
          <w:color w:val="000000" w:themeColor="text1"/>
          <w:lang w:val="sr-Cyrl-CS"/>
        </w:rPr>
        <w:t xml:space="preserve"> </w:t>
      </w:r>
      <w:r>
        <w:rPr>
          <w:color w:val="000000" w:themeColor="text1"/>
          <w:lang w:val="sr-Cyrl-CS"/>
        </w:rPr>
        <w:t>koji</w:t>
      </w:r>
      <w:r w:rsidR="00745C54" w:rsidRPr="00E95BC4">
        <w:rPr>
          <w:color w:val="000000" w:themeColor="text1"/>
          <w:lang w:val="sr-Cyrl-CS"/>
        </w:rPr>
        <w:t xml:space="preserve"> </w:t>
      </w:r>
      <w:r>
        <w:rPr>
          <w:color w:val="000000" w:themeColor="text1"/>
          <w:lang w:val="sr-Cyrl-CS"/>
        </w:rPr>
        <w:t>se</w:t>
      </w:r>
      <w:r w:rsidR="00745C54" w:rsidRPr="00E95BC4">
        <w:rPr>
          <w:color w:val="000000" w:themeColor="text1"/>
          <w:lang w:val="sr-Cyrl-CS"/>
        </w:rPr>
        <w:t xml:space="preserve"> </w:t>
      </w:r>
      <w:r>
        <w:rPr>
          <w:color w:val="000000" w:themeColor="text1"/>
          <w:lang w:val="sr-Cyrl-CS"/>
        </w:rPr>
        <w:t>primenjuje</w:t>
      </w:r>
      <w:r w:rsidR="00745C54" w:rsidRPr="00E95BC4">
        <w:rPr>
          <w:color w:val="000000" w:themeColor="text1"/>
          <w:lang w:val="sr-Cyrl-CS"/>
        </w:rPr>
        <w:t xml:space="preserve"> </w:t>
      </w:r>
      <w:r>
        <w:rPr>
          <w:color w:val="000000" w:themeColor="text1"/>
          <w:lang w:val="sr-Cyrl-CS"/>
        </w:rPr>
        <w:t>od</w:t>
      </w:r>
      <w:r w:rsidR="00745C54" w:rsidRPr="00E95BC4">
        <w:rPr>
          <w:color w:val="000000" w:themeColor="text1"/>
          <w:lang w:val="sr-Cyrl-CS"/>
        </w:rPr>
        <w:t xml:space="preserve"> 1. </w:t>
      </w:r>
      <w:r>
        <w:rPr>
          <w:color w:val="000000" w:themeColor="text1"/>
          <w:lang w:val="sr-Cyrl-CS"/>
        </w:rPr>
        <w:t>marta</w:t>
      </w:r>
      <w:r w:rsidR="00745C54" w:rsidRPr="00E95BC4">
        <w:rPr>
          <w:color w:val="000000" w:themeColor="text1"/>
          <w:lang w:val="sr-Cyrl-CS"/>
        </w:rPr>
        <w:t xml:space="preserve"> 2018. </w:t>
      </w:r>
      <w:r>
        <w:rPr>
          <w:color w:val="000000" w:themeColor="text1"/>
          <w:lang w:val="sr-Cyrl-CS"/>
        </w:rPr>
        <w:t>godine</w:t>
      </w:r>
      <w:r w:rsidR="00745C54" w:rsidRPr="00E95BC4">
        <w:rPr>
          <w:color w:val="000000" w:themeColor="text1"/>
          <w:lang w:val="sr-Cyrl-CS"/>
        </w:rPr>
        <w:t xml:space="preserve">. </w:t>
      </w:r>
      <w:r>
        <w:rPr>
          <w:color w:val="000000" w:themeColor="text1"/>
          <w:lang w:val="sr-Cyrl-CS"/>
        </w:rPr>
        <w:t>Pomenutim</w:t>
      </w:r>
      <w:r w:rsidR="00745C54" w:rsidRPr="00E95BC4">
        <w:rPr>
          <w:color w:val="000000" w:themeColor="text1"/>
          <w:lang w:val="sr-Cyrl-CS"/>
        </w:rPr>
        <w:t xml:space="preserve"> </w:t>
      </w:r>
      <w:r>
        <w:rPr>
          <w:color w:val="000000" w:themeColor="text1"/>
          <w:lang w:val="sr-Cyrl-CS"/>
        </w:rPr>
        <w:t>zakonom</w:t>
      </w:r>
      <w:r w:rsidR="00745C54" w:rsidRPr="00E95BC4">
        <w:rPr>
          <w:color w:val="000000" w:themeColor="text1"/>
          <w:lang w:val="sr-Cyrl-CS"/>
        </w:rPr>
        <w:t xml:space="preserve"> </w:t>
      </w:r>
      <w:r>
        <w:rPr>
          <w:color w:val="000000" w:themeColor="text1"/>
          <w:lang w:val="sr-Cyrl-CS"/>
        </w:rPr>
        <w:t>uređeno</w:t>
      </w:r>
      <w:r w:rsidR="00745C54" w:rsidRPr="00E95BC4">
        <w:rPr>
          <w:color w:val="000000" w:themeColor="text1"/>
          <w:lang w:val="sr-Cyrl-CS"/>
        </w:rPr>
        <w:t xml:space="preserve"> </w:t>
      </w:r>
      <w:r>
        <w:rPr>
          <w:color w:val="000000" w:themeColor="text1"/>
          <w:lang w:val="sr-Cyrl-CS"/>
        </w:rPr>
        <w:t>je</w:t>
      </w:r>
      <w:r w:rsidR="00745C54" w:rsidRPr="00E95BC4">
        <w:rPr>
          <w:color w:val="000000" w:themeColor="text1"/>
          <w:lang w:val="sr-Cyrl-CS"/>
        </w:rPr>
        <w:t xml:space="preserve"> </w:t>
      </w:r>
      <w:r>
        <w:rPr>
          <w:color w:val="000000" w:themeColor="text1"/>
          <w:lang w:val="sr-Cyrl-CS"/>
        </w:rPr>
        <w:t>osnivanje</w:t>
      </w:r>
      <w:r w:rsidR="00745C54" w:rsidRPr="00E95BC4">
        <w:rPr>
          <w:color w:val="000000" w:themeColor="text1"/>
          <w:lang w:val="sr-Cyrl-CS"/>
        </w:rPr>
        <w:t xml:space="preserve">, </w:t>
      </w:r>
      <w:r>
        <w:rPr>
          <w:color w:val="000000" w:themeColor="text1"/>
          <w:lang w:val="sr-Cyrl-CS"/>
        </w:rPr>
        <w:t>organizacija</w:t>
      </w:r>
      <w:r w:rsidR="00745C54" w:rsidRPr="00E95BC4">
        <w:rPr>
          <w:color w:val="000000" w:themeColor="text1"/>
          <w:lang w:val="sr-Cyrl-CS"/>
        </w:rPr>
        <w:t xml:space="preserve">, </w:t>
      </w:r>
      <w:r>
        <w:rPr>
          <w:color w:val="000000" w:themeColor="text1"/>
          <w:lang w:val="sr-Cyrl-CS"/>
        </w:rPr>
        <w:t>nadležnost</w:t>
      </w:r>
      <w:r w:rsidR="00745C54" w:rsidRPr="00E95BC4">
        <w:rPr>
          <w:color w:val="000000" w:themeColor="text1"/>
          <w:lang w:val="sr-Cyrl-CS"/>
        </w:rPr>
        <w:t xml:space="preserve"> </w:t>
      </w:r>
      <w:r>
        <w:rPr>
          <w:color w:val="000000" w:themeColor="text1"/>
          <w:lang w:val="sr-Cyrl-CS"/>
        </w:rPr>
        <w:t>i</w:t>
      </w:r>
      <w:r w:rsidR="00745C54" w:rsidRPr="00E95BC4">
        <w:rPr>
          <w:color w:val="000000" w:themeColor="text1"/>
          <w:lang w:val="sr-Cyrl-CS"/>
        </w:rPr>
        <w:t xml:space="preserve"> </w:t>
      </w:r>
      <w:r>
        <w:rPr>
          <w:color w:val="000000" w:themeColor="text1"/>
          <w:lang w:val="sr-Cyrl-CS"/>
        </w:rPr>
        <w:t>ovlašćenja</w:t>
      </w:r>
      <w:r w:rsidR="00745C54" w:rsidRPr="00E95BC4">
        <w:rPr>
          <w:color w:val="000000" w:themeColor="text1"/>
          <w:lang w:val="sr-Cyrl-CS"/>
        </w:rPr>
        <w:t xml:space="preserve"> </w:t>
      </w:r>
      <w:r>
        <w:rPr>
          <w:color w:val="000000" w:themeColor="text1"/>
          <w:lang w:val="sr-Cyrl-CS"/>
        </w:rPr>
        <w:t>državnih</w:t>
      </w:r>
      <w:r w:rsidR="00745C54" w:rsidRPr="00E95BC4">
        <w:rPr>
          <w:color w:val="000000" w:themeColor="text1"/>
          <w:lang w:val="sr-Cyrl-CS"/>
        </w:rPr>
        <w:t xml:space="preserve"> </w:t>
      </w:r>
      <w:r>
        <w:rPr>
          <w:color w:val="000000" w:themeColor="text1"/>
          <w:lang w:val="sr-Cyrl-CS"/>
        </w:rPr>
        <w:t>organa</w:t>
      </w:r>
      <w:r w:rsidR="00745C54" w:rsidRPr="00E95BC4">
        <w:rPr>
          <w:color w:val="000000" w:themeColor="text1"/>
          <w:lang w:val="sr-Cyrl-CS"/>
        </w:rPr>
        <w:t xml:space="preserve"> </w:t>
      </w:r>
      <w:r>
        <w:rPr>
          <w:color w:val="000000" w:themeColor="text1"/>
          <w:lang w:val="sr-Cyrl-CS"/>
        </w:rPr>
        <w:t>i</w:t>
      </w:r>
      <w:r w:rsidR="00745C54" w:rsidRPr="00E95BC4">
        <w:rPr>
          <w:color w:val="000000" w:themeColor="text1"/>
          <w:lang w:val="sr-Cyrl-CS"/>
        </w:rPr>
        <w:t xml:space="preserve"> </w:t>
      </w:r>
      <w:r>
        <w:rPr>
          <w:color w:val="000000" w:themeColor="text1"/>
          <w:lang w:val="sr-Cyrl-CS"/>
        </w:rPr>
        <w:t>posebnih</w:t>
      </w:r>
      <w:r w:rsidR="00745C54" w:rsidRPr="00E95BC4">
        <w:rPr>
          <w:color w:val="000000" w:themeColor="text1"/>
          <w:lang w:val="sr-Cyrl-CS"/>
        </w:rPr>
        <w:t xml:space="preserve"> </w:t>
      </w:r>
      <w:r>
        <w:rPr>
          <w:color w:val="000000" w:themeColor="text1"/>
          <w:lang w:val="sr-Cyrl-CS"/>
        </w:rPr>
        <w:t>organizacionih</w:t>
      </w:r>
      <w:r w:rsidR="00745C54" w:rsidRPr="00E95BC4">
        <w:rPr>
          <w:color w:val="000000" w:themeColor="text1"/>
          <w:lang w:val="sr-Cyrl-CS"/>
        </w:rPr>
        <w:t xml:space="preserve"> </w:t>
      </w:r>
      <w:r>
        <w:rPr>
          <w:color w:val="000000" w:themeColor="text1"/>
          <w:lang w:val="sr-Cyrl-CS"/>
        </w:rPr>
        <w:t>jedinica</w:t>
      </w:r>
      <w:r w:rsidR="00745C54" w:rsidRPr="00E95BC4">
        <w:rPr>
          <w:color w:val="000000" w:themeColor="text1"/>
          <w:lang w:val="sr-Cyrl-CS"/>
        </w:rPr>
        <w:t xml:space="preserve"> </w:t>
      </w:r>
      <w:r>
        <w:rPr>
          <w:color w:val="000000" w:themeColor="text1"/>
          <w:lang w:val="sr-Cyrl-CS"/>
        </w:rPr>
        <w:t>državnih</w:t>
      </w:r>
      <w:r w:rsidR="00745C54" w:rsidRPr="00E95BC4">
        <w:rPr>
          <w:color w:val="000000" w:themeColor="text1"/>
          <w:lang w:val="sr-Cyrl-CS"/>
        </w:rPr>
        <w:t xml:space="preserve"> </w:t>
      </w:r>
      <w:r>
        <w:rPr>
          <w:color w:val="000000" w:themeColor="text1"/>
          <w:lang w:val="sr-Cyrl-CS"/>
        </w:rPr>
        <w:t>organa</w:t>
      </w:r>
      <w:r w:rsidR="00745C54" w:rsidRPr="00E95BC4">
        <w:rPr>
          <w:color w:val="000000" w:themeColor="text1"/>
          <w:lang w:val="sr-Cyrl-CS"/>
        </w:rPr>
        <w:t xml:space="preserve"> </w:t>
      </w:r>
      <w:r>
        <w:rPr>
          <w:color w:val="000000" w:themeColor="text1"/>
          <w:lang w:val="sr-Cyrl-CS"/>
        </w:rPr>
        <w:t>radi</w:t>
      </w:r>
      <w:r w:rsidR="00745C54" w:rsidRPr="00E95BC4">
        <w:rPr>
          <w:color w:val="000000" w:themeColor="text1"/>
          <w:lang w:val="sr-Cyrl-CS"/>
        </w:rPr>
        <w:t xml:space="preserve"> </w:t>
      </w:r>
      <w:r>
        <w:rPr>
          <w:color w:val="000000" w:themeColor="text1"/>
          <w:lang w:val="sr-Cyrl-CS"/>
        </w:rPr>
        <w:t>otkrivanja</w:t>
      </w:r>
      <w:r w:rsidR="00745C54" w:rsidRPr="00E95BC4">
        <w:rPr>
          <w:color w:val="000000" w:themeColor="text1"/>
          <w:lang w:val="sr-Cyrl-CS"/>
        </w:rPr>
        <w:t xml:space="preserve">, </w:t>
      </w:r>
      <w:r>
        <w:rPr>
          <w:color w:val="000000" w:themeColor="text1"/>
          <w:lang w:val="sr-Cyrl-CS"/>
        </w:rPr>
        <w:t>krivičnog</w:t>
      </w:r>
      <w:r w:rsidR="00745C54" w:rsidRPr="00E95BC4">
        <w:rPr>
          <w:color w:val="000000" w:themeColor="text1"/>
          <w:lang w:val="sr-Cyrl-CS"/>
        </w:rPr>
        <w:t xml:space="preserve"> </w:t>
      </w:r>
      <w:r>
        <w:rPr>
          <w:color w:val="000000" w:themeColor="text1"/>
          <w:lang w:val="sr-Cyrl-CS"/>
        </w:rPr>
        <w:t>gonjenja</w:t>
      </w:r>
      <w:r w:rsidR="00745C54" w:rsidRPr="00E95BC4">
        <w:rPr>
          <w:color w:val="000000" w:themeColor="text1"/>
          <w:lang w:val="sr-Cyrl-CS"/>
        </w:rPr>
        <w:t xml:space="preserve"> </w:t>
      </w:r>
      <w:r>
        <w:rPr>
          <w:color w:val="000000" w:themeColor="text1"/>
          <w:lang w:val="sr-Cyrl-CS"/>
        </w:rPr>
        <w:t>i</w:t>
      </w:r>
      <w:r w:rsidR="00745C54" w:rsidRPr="00E95BC4">
        <w:rPr>
          <w:color w:val="000000" w:themeColor="text1"/>
          <w:lang w:val="sr-Cyrl-CS"/>
        </w:rPr>
        <w:t xml:space="preserve"> </w:t>
      </w:r>
      <w:r>
        <w:rPr>
          <w:color w:val="000000" w:themeColor="text1"/>
          <w:lang w:val="sr-Cyrl-CS"/>
        </w:rPr>
        <w:t>suđenja</w:t>
      </w:r>
      <w:r w:rsidR="00745C54" w:rsidRPr="00E95BC4">
        <w:rPr>
          <w:color w:val="000000" w:themeColor="text1"/>
          <w:lang w:val="sr-Cyrl-CS"/>
        </w:rPr>
        <w:t xml:space="preserve"> </w:t>
      </w:r>
      <w:r>
        <w:rPr>
          <w:color w:val="000000" w:themeColor="text1"/>
          <w:lang w:val="sr-Cyrl-CS"/>
        </w:rPr>
        <w:t>za</w:t>
      </w:r>
      <w:r w:rsidR="00745C54" w:rsidRPr="00E95BC4">
        <w:rPr>
          <w:color w:val="000000" w:themeColor="text1"/>
          <w:lang w:val="sr-Cyrl-CS"/>
        </w:rPr>
        <w:t xml:space="preserve"> </w:t>
      </w:r>
      <w:r>
        <w:rPr>
          <w:color w:val="000000" w:themeColor="text1"/>
          <w:lang w:val="sr-Cyrl-CS"/>
        </w:rPr>
        <w:t>određena</w:t>
      </w:r>
      <w:r w:rsidR="00745C54" w:rsidRPr="00E95BC4">
        <w:rPr>
          <w:color w:val="000000" w:themeColor="text1"/>
          <w:lang w:val="sr-Cyrl-CS"/>
        </w:rPr>
        <w:t xml:space="preserve"> </w:t>
      </w:r>
      <w:r>
        <w:rPr>
          <w:color w:val="000000" w:themeColor="text1"/>
          <w:lang w:val="sr-Cyrl-CS"/>
        </w:rPr>
        <w:t>krivična</w:t>
      </w:r>
      <w:r w:rsidR="00745C54" w:rsidRPr="00E95BC4">
        <w:rPr>
          <w:color w:val="000000" w:themeColor="text1"/>
          <w:lang w:val="sr-Cyrl-CS"/>
        </w:rPr>
        <w:t xml:space="preserve"> </w:t>
      </w:r>
      <w:r>
        <w:rPr>
          <w:color w:val="000000" w:themeColor="text1"/>
          <w:lang w:val="sr-Cyrl-CS"/>
        </w:rPr>
        <w:t>dela</w:t>
      </w:r>
      <w:r w:rsidR="00745C54" w:rsidRPr="00E95BC4">
        <w:rPr>
          <w:color w:val="000000" w:themeColor="text1"/>
          <w:lang w:val="sr-Cyrl-CS"/>
        </w:rPr>
        <w:t xml:space="preserve"> </w:t>
      </w:r>
      <w:r>
        <w:rPr>
          <w:color w:val="000000" w:themeColor="text1"/>
          <w:lang w:val="sr-Cyrl-CS"/>
        </w:rPr>
        <w:t>među</w:t>
      </w:r>
      <w:r w:rsidR="00745C54" w:rsidRPr="00E95BC4">
        <w:rPr>
          <w:color w:val="000000" w:themeColor="text1"/>
          <w:lang w:val="sr-Cyrl-CS"/>
        </w:rPr>
        <w:t xml:space="preserve"> </w:t>
      </w:r>
      <w:r>
        <w:rPr>
          <w:color w:val="000000" w:themeColor="text1"/>
          <w:lang w:val="sr-Cyrl-CS"/>
        </w:rPr>
        <w:t>kojima</w:t>
      </w:r>
      <w:r w:rsidR="00745C54" w:rsidRPr="00E95BC4">
        <w:rPr>
          <w:color w:val="000000" w:themeColor="text1"/>
          <w:lang w:val="sr-Cyrl-CS"/>
        </w:rPr>
        <w:t xml:space="preserve"> </w:t>
      </w:r>
      <w:r>
        <w:rPr>
          <w:color w:val="000000" w:themeColor="text1"/>
          <w:lang w:val="sr-Cyrl-CS"/>
        </w:rPr>
        <w:t>je</w:t>
      </w:r>
      <w:r w:rsidR="00745C54" w:rsidRPr="00E95BC4">
        <w:rPr>
          <w:color w:val="000000" w:themeColor="text1"/>
          <w:lang w:val="sr-Cyrl-CS"/>
        </w:rPr>
        <w:t xml:space="preserve"> </w:t>
      </w:r>
      <w:r>
        <w:rPr>
          <w:color w:val="000000" w:themeColor="text1"/>
          <w:lang w:val="sr-Cyrl-CS"/>
        </w:rPr>
        <w:t>i</w:t>
      </w:r>
      <w:r w:rsidR="00745C54" w:rsidRPr="00E95BC4">
        <w:rPr>
          <w:color w:val="000000" w:themeColor="text1"/>
          <w:lang w:val="sr-Cyrl-CS"/>
        </w:rPr>
        <w:t xml:space="preserve"> </w:t>
      </w:r>
      <w:r>
        <w:rPr>
          <w:color w:val="000000" w:themeColor="text1"/>
          <w:lang w:val="sr-Cyrl-CS"/>
        </w:rPr>
        <w:t>krivično</w:t>
      </w:r>
      <w:r w:rsidR="00745C54" w:rsidRPr="00E95BC4">
        <w:rPr>
          <w:color w:val="000000" w:themeColor="text1"/>
          <w:lang w:val="sr-Cyrl-CS"/>
        </w:rPr>
        <w:t xml:space="preserve"> </w:t>
      </w:r>
      <w:r>
        <w:rPr>
          <w:color w:val="000000" w:themeColor="text1"/>
          <w:lang w:val="sr-Cyrl-CS"/>
        </w:rPr>
        <w:t>delo</w:t>
      </w:r>
      <w:r w:rsidR="00745C54" w:rsidRPr="00E95BC4">
        <w:rPr>
          <w:color w:val="000000" w:themeColor="text1"/>
          <w:lang w:val="sr-Cyrl-CS"/>
        </w:rPr>
        <w:t xml:space="preserve"> </w:t>
      </w:r>
      <w:r>
        <w:rPr>
          <w:color w:val="000000" w:themeColor="text1"/>
          <w:lang w:val="sr-Cyrl-CS"/>
        </w:rPr>
        <w:t>pranje</w:t>
      </w:r>
      <w:r w:rsidR="00745C54" w:rsidRPr="00E95BC4">
        <w:rPr>
          <w:color w:val="000000" w:themeColor="text1"/>
          <w:lang w:val="sr-Cyrl-CS"/>
        </w:rPr>
        <w:t xml:space="preserve"> </w:t>
      </w:r>
      <w:r>
        <w:rPr>
          <w:color w:val="000000" w:themeColor="text1"/>
          <w:lang w:val="sr-Cyrl-CS"/>
        </w:rPr>
        <w:t>novca</w:t>
      </w:r>
      <w:r w:rsidR="00745C54" w:rsidRPr="00E95BC4">
        <w:rPr>
          <w:color w:val="000000" w:themeColor="text1"/>
          <w:lang w:val="sr-Cyrl-CS"/>
        </w:rPr>
        <w:t>.</w:t>
      </w:r>
      <w:r w:rsidR="002424EB" w:rsidRPr="00E95BC4">
        <w:rPr>
          <w:color w:val="000000" w:themeColor="text1"/>
          <w:lang w:val="sr-Cyrl-CS"/>
        </w:rPr>
        <w:t xml:space="preserve"> </w:t>
      </w:r>
      <w:r>
        <w:rPr>
          <w:color w:val="000000" w:themeColor="text1"/>
          <w:lang w:val="sr-Cyrl-CS"/>
        </w:rPr>
        <w:t>Na</w:t>
      </w:r>
      <w:r w:rsidR="00745C54" w:rsidRPr="00E95BC4">
        <w:rPr>
          <w:color w:val="000000" w:themeColor="text1"/>
          <w:lang w:val="sr-Cyrl-CS"/>
        </w:rPr>
        <w:t xml:space="preserve"> </w:t>
      </w:r>
      <w:r>
        <w:rPr>
          <w:color w:val="000000" w:themeColor="text1"/>
          <w:lang w:val="sr-Cyrl-CS"/>
        </w:rPr>
        <w:t>taj</w:t>
      </w:r>
      <w:r w:rsidR="00745C54" w:rsidRPr="00E95BC4">
        <w:rPr>
          <w:color w:val="000000" w:themeColor="text1"/>
          <w:lang w:val="sr-Cyrl-CS"/>
        </w:rPr>
        <w:t xml:space="preserve"> </w:t>
      </w:r>
      <w:r>
        <w:rPr>
          <w:color w:val="000000" w:themeColor="text1"/>
          <w:lang w:val="sr-Cyrl-CS"/>
        </w:rPr>
        <w:t>način</w:t>
      </w:r>
      <w:r w:rsidR="00745C54" w:rsidRPr="00E95BC4">
        <w:rPr>
          <w:color w:val="000000" w:themeColor="text1"/>
          <w:lang w:val="sr-Cyrl-CS"/>
        </w:rPr>
        <w:t xml:space="preserve"> </w:t>
      </w:r>
      <w:r>
        <w:rPr>
          <w:color w:val="000000" w:themeColor="text1"/>
          <w:lang w:val="sr-Cyrl-CS"/>
        </w:rPr>
        <w:t>je</w:t>
      </w:r>
      <w:r w:rsidR="00745C54" w:rsidRPr="00E95BC4">
        <w:rPr>
          <w:color w:val="000000" w:themeColor="text1"/>
          <w:lang w:val="sr-Cyrl-CS"/>
        </w:rPr>
        <w:t xml:space="preserve"> </w:t>
      </w:r>
      <w:r>
        <w:rPr>
          <w:color w:val="000000" w:themeColor="text1"/>
          <w:lang w:val="sr-Cyrl-CS"/>
        </w:rPr>
        <w:t>izvršena</w:t>
      </w:r>
      <w:r w:rsidR="00745C54" w:rsidRPr="00E95BC4">
        <w:rPr>
          <w:color w:val="000000" w:themeColor="text1"/>
          <w:lang w:val="sr-Cyrl-CS"/>
        </w:rPr>
        <w:t xml:space="preserve"> </w:t>
      </w:r>
      <w:r>
        <w:rPr>
          <w:color w:val="000000" w:themeColor="text1"/>
          <w:lang w:val="sr-Cyrl-CS"/>
        </w:rPr>
        <w:t>specijalizacija</w:t>
      </w:r>
      <w:r w:rsidR="004313D4">
        <w:rPr>
          <w:color w:val="000000" w:themeColor="text1"/>
          <w:lang w:val="sr-Cyrl-CS"/>
        </w:rPr>
        <w:t>,</w:t>
      </w:r>
      <w:r w:rsidR="00745C54" w:rsidRPr="00E95BC4">
        <w:rPr>
          <w:color w:val="000000" w:themeColor="text1"/>
          <w:lang w:val="sr-Cyrl-CS"/>
        </w:rPr>
        <w:t xml:space="preserve"> </w:t>
      </w:r>
      <w:r>
        <w:rPr>
          <w:color w:val="000000" w:themeColor="text1"/>
          <w:lang w:val="sr-Cyrl-CS"/>
        </w:rPr>
        <w:t>a</w:t>
      </w:r>
      <w:r w:rsidR="00745C54" w:rsidRPr="00E95BC4">
        <w:rPr>
          <w:color w:val="000000" w:themeColor="text1"/>
          <w:lang w:val="sr-Cyrl-CS"/>
        </w:rPr>
        <w:t xml:space="preserve"> </w:t>
      </w:r>
      <w:r>
        <w:rPr>
          <w:color w:val="000000" w:themeColor="text1"/>
          <w:lang w:val="sr-Cyrl-CS"/>
        </w:rPr>
        <w:t>samim</w:t>
      </w:r>
      <w:r w:rsidR="00745C54" w:rsidRPr="00E95BC4">
        <w:rPr>
          <w:color w:val="000000" w:themeColor="text1"/>
          <w:lang w:val="sr-Cyrl-CS"/>
        </w:rPr>
        <w:t xml:space="preserve"> </w:t>
      </w:r>
      <w:r>
        <w:rPr>
          <w:color w:val="000000" w:themeColor="text1"/>
          <w:lang w:val="sr-Cyrl-CS"/>
        </w:rPr>
        <w:t>tim</w:t>
      </w:r>
      <w:r w:rsidR="00745C54" w:rsidRPr="00E95BC4">
        <w:rPr>
          <w:color w:val="000000" w:themeColor="text1"/>
          <w:lang w:val="sr-Cyrl-CS"/>
        </w:rPr>
        <w:t xml:space="preserve"> </w:t>
      </w:r>
      <w:r>
        <w:rPr>
          <w:color w:val="000000" w:themeColor="text1"/>
          <w:lang w:val="sr-Cyrl-CS"/>
        </w:rPr>
        <w:t>i</w:t>
      </w:r>
      <w:r w:rsidR="00745C54" w:rsidRPr="00E95BC4">
        <w:rPr>
          <w:color w:val="000000" w:themeColor="text1"/>
          <w:lang w:val="sr-Cyrl-CS"/>
        </w:rPr>
        <w:t xml:space="preserve"> </w:t>
      </w:r>
      <w:r>
        <w:rPr>
          <w:color w:val="000000" w:themeColor="text1"/>
          <w:lang w:val="sr-Cyrl-CS"/>
        </w:rPr>
        <w:t>koncentracija</w:t>
      </w:r>
      <w:r w:rsidR="00745C54" w:rsidRPr="00E95BC4">
        <w:rPr>
          <w:color w:val="000000" w:themeColor="text1"/>
          <w:lang w:val="sr-Cyrl-CS"/>
        </w:rPr>
        <w:t xml:space="preserve"> </w:t>
      </w:r>
      <w:r>
        <w:rPr>
          <w:color w:val="000000" w:themeColor="text1"/>
          <w:lang w:val="sr-Cyrl-CS"/>
        </w:rPr>
        <w:t>stvarne</w:t>
      </w:r>
      <w:r w:rsidR="00745C54" w:rsidRPr="00E95BC4">
        <w:rPr>
          <w:color w:val="000000" w:themeColor="text1"/>
          <w:lang w:val="sr-Cyrl-CS"/>
        </w:rPr>
        <w:t xml:space="preserve"> </w:t>
      </w:r>
      <w:r>
        <w:rPr>
          <w:color w:val="000000" w:themeColor="text1"/>
          <w:lang w:val="sr-Cyrl-CS"/>
        </w:rPr>
        <w:t>nadležnosti</w:t>
      </w:r>
      <w:r w:rsidR="00745C54" w:rsidRPr="00E95BC4">
        <w:rPr>
          <w:color w:val="000000" w:themeColor="text1"/>
          <w:lang w:val="sr-Cyrl-CS"/>
        </w:rPr>
        <w:t xml:space="preserve"> </w:t>
      </w:r>
      <w:r>
        <w:rPr>
          <w:color w:val="000000" w:themeColor="text1"/>
          <w:lang w:val="sr-Cyrl-CS"/>
        </w:rPr>
        <w:t>za</w:t>
      </w:r>
      <w:r w:rsidR="00745C54" w:rsidRPr="00E95BC4">
        <w:rPr>
          <w:color w:val="000000" w:themeColor="text1"/>
          <w:lang w:val="sr-Cyrl-CS"/>
        </w:rPr>
        <w:t xml:space="preserve"> </w:t>
      </w:r>
      <w:r>
        <w:rPr>
          <w:color w:val="000000" w:themeColor="text1"/>
          <w:lang w:val="sr-Cyrl-CS"/>
        </w:rPr>
        <w:t>otkrivanje</w:t>
      </w:r>
      <w:r w:rsidR="00745C54" w:rsidRPr="00E95BC4">
        <w:rPr>
          <w:color w:val="000000" w:themeColor="text1"/>
          <w:lang w:val="sr-Cyrl-CS"/>
        </w:rPr>
        <w:t xml:space="preserve"> </w:t>
      </w:r>
      <w:r>
        <w:rPr>
          <w:color w:val="000000" w:themeColor="text1"/>
          <w:lang w:val="sr-Cyrl-CS"/>
        </w:rPr>
        <w:t>i</w:t>
      </w:r>
      <w:r w:rsidR="00745C54" w:rsidRPr="00E95BC4">
        <w:rPr>
          <w:color w:val="000000" w:themeColor="text1"/>
          <w:lang w:val="sr-Cyrl-CS"/>
        </w:rPr>
        <w:t xml:space="preserve"> </w:t>
      </w:r>
      <w:r>
        <w:rPr>
          <w:color w:val="000000" w:themeColor="text1"/>
          <w:lang w:val="sr-Cyrl-CS"/>
        </w:rPr>
        <w:t>vođenje</w:t>
      </w:r>
      <w:r w:rsidR="00745C54" w:rsidRPr="00E95BC4">
        <w:rPr>
          <w:color w:val="000000" w:themeColor="text1"/>
          <w:lang w:val="sr-Cyrl-CS"/>
        </w:rPr>
        <w:t xml:space="preserve"> </w:t>
      </w:r>
      <w:r>
        <w:rPr>
          <w:color w:val="000000" w:themeColor="text1"/>
          <w:lang w:val="sr-Cyrl-CS"/>
        </w:rPr>
        <w:t>postupka</w:t>
      </w:r>
      <w:r w:rsidR="00745C54" w:rsidRPr="00E95BC4">
        <w:rPr>
          <w:color w:val="000000" w:themeColor="text1"/>
          <w:lang w:val="sr-Cyrl-CS"/>
        </w:rPr>
        <w:t xml:space="preserve"> </w:t>
      </w:r>
      <w:r>
        <w:rPr>
          <w:color w:val="000000" w:themeColor="text1"/>
          <w:lang w:val="sr-Cyrl-CS"/>
        </w:rPr>
        <w:t>zbog</w:t>
      </w:r>
      <w:r w:rsidR="00745C54" w:rsidRPr="00E95BC4">
        <w:rPr>
          <w:color w:val="000000" w:themeColor="text1"/>
          <w:lang w:val="sr-Cyrl-CS"/>
        </w:rPr>
        <w:t xml:space="preserve"> </w:t>
      </w:r>
      <w:r>
        <w:rPr>
          <w:color w:val="000000" w:themeColor="text1"/>
          <w:lang w:val="sr-Cyrl-CS"/>
        </w:rPr>
        <w:t>krivičnog</w:t>
      </w:r>
      <w:r w:rsidR="00745C54" w:rsidRPr="00E95BC4">
        <w:rPr>
          <w:color w:val="000000" w:themeColor="text1"/>
          <w:lang w:val="sr-Cyrl-CS"/>
        </w:rPr>
        <w:t xml:space="preserve"> </w:t>
      </w:r>
      <w:r>
        <w:rPr>
          <w:color w:val="000000" w:themeColor="text1"/>
          <w:lang w:val="sr-Cyrl-CS"/>
        </w:rPr>
        <w:t>dela</w:t>
      </w:r>
      <w:r w:rsidR="00745C54" w:rsidRPr="00E95BC4">
        <w:rPr>
          <w:color w:val="000000" w:themeColor="text1"/>
          <w:lang w:val="sr-Cyrl-CS"/>
        </w:rPr>
        <w:t xml:space="preserve"> </w:t>
      </w:r>
      <w:r>
        <w:rPr>
          <w:color w:val="000000" w:themeColor="text1"/>
          <w:lang w:val="sr-Cyrl-CS"/>
        </w:rPr>
        <w:t>pranje</w:t>
      </w:r>
      <w:r w:rsidR="00745C54" w:rsidRPr="00E95BC4">
        <w:rPr>
          <w:color w:val="000000" w:themeColor="text1"/>
          <w:lang w:val="sr-Cyrl-CS"/>
        </w:rPr>
        <w:t xml:space="preserve"> </w:t>
      </w:r>
      <w:r>
        <w:rPr>
          <w:color w:val="000000" w:themeColor="text1"/>
          <w:lang w:val="sr-Cyrl-CS"/>
        </w:rPr>
        <w:t>novca</w:t>
      </w:r>
      <w:r w:rsidR="00745C54" w:rsidRPr="00E95BC4">
        <w:rPr>
          <w:color w:val="000000" w:themeColor="text1"/>
          <w:lang w:val="sr-Cyrl-CS"/>
        </w:rPr>
        <w:t xml:space="preserve"> </w:t>
      </w:r>
      <w:r>
        <w:rPr>
          <w:color w:val="000000" w:themeColor="text1"/>
          <w:lang w:val="sr-Cyrl-CS"/>
        </w:rPr>
        <w:t>na</w:t>
      </w:r>
      <w:r w:rsidR="00745C54" w:rsidRPr="00E95BC4">
        <w:rPr>
          <w:color w:val="000000" w:themeColor="text1"/>
          <w:lang w:val="sr-Cyrl-CS"/>
        </w:rPr>
        <w:t xml:space="preserve"> </w:t>
      </w:r>
      <w:r>
        <w:rPr>
          <w:color w:val="000000" w:themeColor="text1"/>
          <w:lang w:val="sr-Cyrl-CS"/>
        </w:rPr>
        <w:t>državne</w:t>
      </w:r>
      <w:r w:rsidR="00745C54" w:rsidRPr="00E95BC4">
        <w:rPr>
          <w:color w:val="000000" w:themeColor="text1"/>
          <w:lang w:val="sr-Cyrl-CS"/>
        </w:rPr>
        <w:t xml:space="preserve"> </w:t>
      </w:r>
      <w:r>
        <w:rPr>
          <w:color w:val="000000" w:themeColor="text1"/>
          <w:lang w:val="sr-Cyrl-CS"/>
        </w:rPr>
        <w:t>organe</w:t>
      </w:r>
      <w:r w:rsidR="00745C54" w:rsidRPr="00E95BC4">
        <w:rPr>
          <w:color w:val="000000" w:themeColor="text1"/>
          <w:lang w:val="sr-Cyrl-CS"/>
        </w:rPr>
        <w:t xml:space="preserve"> </w:t>
      </w:r>
      <w:r>
        <w:rPr>
          <w:color w:val="000000" w:themeColor="text1"/>
          <w:lang w:val="sr-Cyrl-CS"/>
        </w:rPr>
        <w:t>nadležne</w:t>
      </w:r>
      <w:r w:rsidR="00745C54" w:rsidRPr="00E95BC4">
        <w:rPr>
          <w:color w:val="000000" w:themeColor="text1"/>
          <w:lang w:val="sr-Cyrl-CS"/>
        </w:rPr>
        <w:t xml:space="preserve"> </w:t>
      </w:r>
      <w:r>
        <w:rPr>
          <w:color w:val="000000" w:themeColor="text1"/>
          <w:lang w:val="sr-Cyrl-CS"/>
        </w:rPr>
        <w:t>za</w:t>
      </w:r>
      <w:r w:rsidR="00745C54" w:rsidRPr="00E95BC4">
        <w:rPr>
          <w:color w:val="000000" w:themeColor="text1"/>
          <w:lang w:val="sr-Cyrl-CS"/>
        </w:rPr>
        <w:t xml:space="preserve"> </w:t>
      </w:r>
      <w:r>
        <w:rPr>
          <w:color w:val="000000" w:themeColor="text1"/>
          <w:lang w:val="sr-Cyrl-CS"/>
        </w:rPr>
        <w:t>postupanje</w:t>
      </w:r>
      <w:r w:rsidR="00745C54" w:rsidRPr="00E95BC4">
        <w:rPr>
          <w:color w:val="000000" w:themeColor="text1"/>
          <w:lang w:val="sr-Cyrl-CS"/>
        </w:rPr>
        <w:t xml:space="preserve"> </w:t>
      </w:r>
      <w:r>
        <w:rPr>
          <w:color w:val="000000" w:themeColor="text1"/>
          <w:lang w:val="sr-Cyrl-CS"/>
        </w:rPr>
        <w:t>u</w:t>
      </w:r>
      <w:r w:rsidR="00745C54" w:rsidRPr="00E95BC4">
        <w:rPr>
          <w:color w:val="000000" w:themeColor="text1"/>
          <w:lang w:val="sr-Cyrl-CS"/>
        </w:rPr>
        <w:t xml:space="preserve"> </w:t>
      </w:r>
      <w:r>
        <w:rPr>
          <w:color w:val="000000" w:themeColor="text1"/>
          <w:lang w:val="sr-Cyrl-CS"/>
        </w:rPr>
        <w:t>predmetima</w:t>
      </w:r>
      <w:r w:rsidR="00745C54" w:rsidRPr="00E95BC4">
        <w:rPr>
          <w:color w:val="000000" w:themeColor="text1"/>
          <w:lang w:val="sr-Cyrl-CS"/>
        </w:rPr>
        <w:t xml:space="preserve"> </w:t>
      </w:r>
      <w:r>
        <w:rPr>
          <w:color w:val="000000" w:themeColor="text1"/>
          <w:lang w:val="sr-Cyrl-CS"/>
        </w:rPr>
        <w:t>krivičnih</w:t>
      </w:r>
      <w:r w:rsidR="00745C54" w:rsidRPr="00E95BC4">
        <w:rPr>
          <w:color w:val="000000" w:themeColor="text1"/>
          <w:lang w:val="sr-Cyrl-CS"/>
        </w:rPr>
        <w:t xml:space="preserve"> </w:t>
      </w:r>
      <w:r>
        <w:rPr>
          <w:color w:val="000000" w:themeColor="text1"/>
          <w:lang w:val="sr-Cyrl-CS"/>
        </w:rPr>
        <w:t>dela</w:t>
      </w:r>
      <w:r w:rsidR="00745C54" w:rsidRPr="00E95BC4">
        <w:rPr>
          <w:color w:val="000000" w:themeColor="text1"/>
          <w:lang w:val="sr-Cyrl-CS"/>
        </w:rPr>
        <w:t xml:space="preserve"> </w:t>
      </w:r>
      <w:r>
        <w:rPr>
          <w:color w:val="000000" w:themeColor="text1"/>
          <w:lang w:val="sr-Cyrl-CS"/>
        </w:rPr>
        <w:t>organizovanog</w:t>
      </w:r>
      <w:r w:rsidR="00745C54" w:rsidRPr="00E95BC4">
        <w:rPr>
          <w:color w:val="000000" w:themeColor="text1"/>
          <w:lang w:val="sr-Cyrl-CS"/>
        </w:rPr>
        <w:t xml:space="preserve"> </w:t>
      </w:r>
      <w:r>
        <w:rPr>
          <w:color w:val="000000" w:themeColor="text1"/>
          <w:lang w:val="sr-Cyrl-CS"/>
        </w:rPr>
        <w:t>kriminala</w:t>
      </w:r>
      <w:r w:rsidR="00745C54" w:rsidRPr="00E95BC4">
        <w:rPr>
          <w:color w:val="000000" w:themeColor="text1"/>
          <w:lang w:val="sr-Cyrl-CS"/>
        </w:rPr>
        <w:t xml:space="preserve"> </w:t>
      </w:r>
      <w:r>
        <w:rPr>
          <w:color w:val="000000" w:themeColor="text1"/>
          <w:lang w:val="sr-Cyrl-CS"/>
        </w:rPr>
        <w:t>i</w:t>
      </w:r>
      <w:r w:rsidR="00745C54" w:rsidRPr="00E95BC4">
        <w:rPr>
          <w:color w:val="000000" w:themeColor="text1"/>
          <w:lang w:val="sr-Cyrl-CS"/>
        </w:rPr>
        <w:t xml:space="preserve"> </w:t>
      </w:r>
      <w:r>
        <w:rPr>
          <w:color w:val="000000" w:themeColor="text1"/>
          <w:lang w:val="sr-Cyrl-CS"/>
        </w:rPr>
        <w:t>državne</w:t>
      </w:r>
      <w:r w:rsidR="00745C54" w:rsidRPr="00E95BC4">
        <w:rPr>
          <w:color w:val="000000" w:themeColor="text1"/>
          <w:lang w:val="sr-Cyrl-CS"/>
        </w:rPr>
        <w:t xml:space="preserve"> </w:t>
      </w:r>
      <w:r>
        <w:rPr>
          <w:color w:val="000000" w:themeColor="text1"/>
          <w:lang w:val="sr-Cyrl-CS"/>
        </w:rPr>
        <w:t>organe</w:t>
      </w:r>
      <w:r w:rsidR="00745C54" w:rsidRPr="00E95BC4">
        <w:rPr>
          <w:color w:val="000000" w:themeColor="text1"/>
          <w:lang w:val="sr-Cyrl-CS"/>
        </w:rPr>
        <w:t xml:space="preserve"> </w:t>
      </w:r>
      <w:r>
        <w:rPr>
          <w:color w:val="000000" w:themeColor="text1"/>
          <w:lang w:val="sr-Cyrl-CS"/>
        </w:rPr>
        <w:t>nadležne</w:t>
      </w:r>
      <w:r w:rsidR="00745C54" w:rsidRPr="00E95BC4">
        <w:rPr>
          <w:color w:val="000000" w:themeColor="text1"/>
          <w:lang w:val="sr-Cyrl-CS"/>
        </w:rPr>
        <w:t xml:space="preserve"> </w:t>
      </w:r>
      <w:r>
        <w:rPr>
          <w:color w:val="000000" w:themeColor="text1"/>
          <w:lang w:val="sr-Cyrl-CS"/>
        </w:rPr>
        <w:t>za</w:t>
      </w:r>
      <w:r w:rsidR="00745C54" w:rsidRPr="00E95BC4">
        <w:rPr>
          <w:color w:val="000000" w:themeColor="text1"/>
          <w:lang w:val="sr-Cyrl-CS"/>
        </w:rPr>
        <w:t xml:space="preserve"> </w:t>
      </w:r>
      <w:r>
        <w:rPr>
          <w:color w:val="000000" w:themeColor="text1"/>
          <w:lang w:val="sr-Cyrl-CS"/>
        </w:rPr>
        <w:t>postupanje</w:t>
      </w:r>
      <w:r w:rsidR="00745C54" w:rsidRPr="00E95BC4">
        <w:rPr>
          <w:color w:val="000000" w:themeColor="text1"/>
          <w:lang w:val="sr-Cyrl-CS"/>
        </w:rPr>
        <w:t xml:space="preserve"> </w:t>
      </w:r>
      <w:r>
        <w:rPr>
          <w:color w:val="000000" w:themeColor="text1"/>
          <w:lang w:val="sr-Cyrl-CS"/>
        </w:rPr>
        <w:t>u</w:t>
      </w:r>
      <w:r w:rsidR="00745C54" w:rsidRPr="00E95BC4">
        <w:rPr>
          <w:color w:val="000000" w:themeColor="text1"/>
          <w:lang w:val="sr-Cyrl-CS"/>
        </w:rPr>
        <w:t xml:space="preserve"> </w:t>
      </w:r>
      <w:r>
        <w:rPr>
          <w:color w:val="000000" w:themeColor="text1"/>
          <w:lang w:val="sr-Cyrl-CS"/>
        </w:rPr>
        <w:t>predmetima</w:t>
      </w:r>
      <w:r w:rsidR="00745C54" w:rsidRPr="00E95BC4">
        <w:rPr>
          <w:color w:val="000000" w:themeColor="text1"/>
          <w:lang w:val="sr-Cyrl-CS"/>
        </w:rPr>
        <w:t xml:space="preserve"> </w:t>
      </w:r>
      <w:r>
        <w:rPr>
          <w:color w:val="000000" w:themeColor="text1"/>
          <w:lang w:val="sr-Cyrl-CS"/>
        </w:rPr>
        <w:t>korupcije</w:t>
      </w:r>
      <w:r w:rsidR="00745C54" w:rsidRPr="00E95BC4">
        <w:rPr>
          <w:color w:val="000000" w:themeColor="text1"/>
          <w:lang w:val="sr-Cyrl-CS"/>
        </w:rPr>
        <w:t xml:space="preserve">. </w:t>
      </w:r>
    </w:p>
    <w:p w:rsidR="00745C54" w:rsidRPr="00E95BC4" w:rsidRDefault="00745C54" w:rsidP="00FB1798">
      <w:pPr>
        <w:jc w:val="both"/>
        <w:rPr>
          <w:color w:val="000000" w:themeColor="text1"/>
          <w:lang w:val="sr-Cyrl-CS"/>
        </w:rPr>
      </w:pPr>
      <w:r w:rsidRPr="00E95BC4">
        <w:rPr>
          <w:color w:val="000000" w:themeColor="text1"/>
          <w:lang w:val="sr-Cyrl-CS"/>
        </w:rPr>
        <w:tab/>
      </w:r>
      <w:r w:rsidR="005818C0">
        <w:rPr>
          <w:color w:val="000000" w:themeColor="text1"/>
          <w:lang w:val="sr-Cyrl-CS"/>
        </w:rPr>
        <w:t>U</w:t>
      </w:r>
      <w:r w:rsidRPr="00E95BC4">
        <w:rPr>
          <w:color w:val="000000" w:themeColor="text1"/>
          <w:lang w:val="sr-Cyrl-CS"/>
        </w:rPr>
        <w:t xml:space="preserve"> </w:t>
      </w:r>
      <w:r w:rsidR="005818C0">
        <w:rPr>
          <w:color w:val="000000" w:themeColor="text1"/>
          <w:lang w:val="sr-Cyrl-CS"/>
        </w:rPr>
        <w:t>skladu</w:t>
      </w:r>
      <w:r w:rsidRPr="00E95BC4">
        <w:rPr>
          <w:color w:val="000000" w:themeColor="text1"/>
          <w:lang w:val="sr-Cyrl-CS"/>
        </w:rPr>
        <w:t xml:space="preserve"> </w:t>
      </w:r>
      <w:r w:rsidR="005818C0">
        <w:rPr>
          <w:color w:val="000000" w:themeColor="text1"/>
          <w:lang w:val="sr-Cyrl-CS"/>
        </w:rPr>
        <w:t>sa</w:t>
      </w:r>
      <w:r w:rsidRPr="00E95BC4">
        <w:rPr>
          <w:color w:val="000000" w:themeColor="text1"/>
          <w:lang w:val="sr-Cyrl-CS"/>
        </w:rPr>
        <w:t xml:space="preserve"> </w:t>
      </w:r>
      <w:r w:rsidR="005818C0">
        <w:rPr>
          <w:color w:val="000000" w:themeColor="text1"/>
          <w:lang w:val="sr-Cyrl-CS"/>
        </w:rPr>
        <w:t>rešenjem</w:t>
      </w:r>
      <w:r w:rsidRPr="00E95BC4">
        <w:rPr>
          <w:color w:val="000000" w:themeColor="text1"/>
          <w:lang w:val="sr-Cyrl-CS"/>
        </w:rPr>
        <w:t xml:space="preserve"> </w:t>
      </w:r>
      <w:r w:rsidR="005818C0">
        <w:rPr>
          <w:color w:val="000000" w:themeColor="text1"/>
          <w:lang w:val="sr-Cyrl-CS"/>
        </w:rPr>
        <w:t>u</w:t>
      </w:r>
      <w:r w:rsidRPr="00E95BC4">
        <w:rPr>
          <w:color w:val="000000" w:themeColor="text1"/>
          <w:lang w:val="sr-Cyrl-CS"/>
        </w:rPr>
        <w:t xml:space="preserve"> </w:t>
      </w:r>
      <w:r w:rsidR="005818C0">
        <w:rPr>
          <w:color w:val="000000" w:themeColor="text1"/>
          <w:lang w:val="sr-Cyrl-CS"/>
        </w:rPr>
        <w:t>pomenutom</w:t>
      </w:r>
      <w:r w:rsidRPr="00E95BC4">
        <w:rPr>
          <w:color w:val="000000" w:themeColor="text1"/>
          <w:lang w:val="sr-Cyrl-CS"/>
        </w:rPr>
        <w:t xml:space="preserve"> </w:t>
      </w:r>
      <w:r w:rsidR="005818C0">
        <w:rPr>
          <w:color w:val="000000" w:themeColor="text1"/>
          <w:lang w:val="sr-Cyrl-CS"/>
        </w:rPr>
        <w:t>zakonu</w:t>
      </w:r>
      <w:r w:rsidRPr="00E95BC4">
        <w:rPr>
          <w:color w:val="000000" w:themeColor="text1"/>
          <w:lang w:val="sr-Cyrl-CS"/>
        </w:rPr>
        <w:t xml:space="preserve">, </w:t>
      </w:r>
      <w:r w:rsidR="005818C0">
        <w:rPr>
          <w:color w:val="000000" w:themeColor="text1"/>
          <w:lang w:val="sr-Cyrl-CS"/>
        </w:rPr>
        <w:t>postupanje</w:t>
      </w:r>
      <w:r w:rsidRPr="00E95BC4">
        <w:rPr>
          <w:color w:val="000000" w:themeColor="text1"/>
          <w:lang w:val="sr-Cyrl-CS"/>
        </w:rPr>
        <w:t xml:space="preserve"> </w:t>
      </w:r>
      <w:r w:rsidR="005818C0">
        <w:rPr>
          <w:color w:val="000000" w:themeColor="text1"/>
          <w:lang w:val="sr-Cyrl-CS"/>
        </w:rPr>
        <w:t>protiv</w:t>
      </w:r>
      <w:r w:rsidRPr="00E95BC4">
        <w:rPr>
          <w:color w:val="000000" w:themeColor="text1"/>
          <w:lang w:val="sr-Cyrl-CS"/>
        </w:rPr>
        <w:t xml:space="preserve"> </w:t>
      </w:r>
      <w:r w:rsidR="005818C0">
        <w:rPr>
          <w:color w:val="000000" w:themeColor="text1"/>
          <w:lang w:val="sr-Cyrl-CS"/>
        </w:rPr>
        <w:t>učinilaca</w:t>
      </w:r>
      <w:r w:rsidRPr="00E95BC4">
        <w:rPr>
          <w:color w:val="000000" w:themeColor="text1"/>
          <w:lang w:val="sr-Cyrl-CS"/>
        </w:rPr>
        <w:t xml:space="preserve"> </w:t>
      </w:r>
      <w:r w:rsidR="005818C0">
        <w:rPr>
          <w:color w:val="000000" w:themeColor="text1"/>
          <w:lang w:val="sr-Cyrl-CS"/>
        </w:rPr>
        <w:t>krivičnog</w:t>
      </w:r>
      <w:r w:rsidRPr="00E95BC4">
        <w:rPr>
          <w:color w:val="000000" w:themeColor="text1"/>
          <w:lang w:val="sr-Cyrl-CS"/>
        </w:rPr>
        <w:t xml:space="preserve"> </w:t>
      </w:r>
      <w:r w:rsidR="005818C0">
        <w:rPr>
          <w:color w:val="000000" w:themeColor="text1"/>
          <w:lang w:val="sr-Cyrl-CS"/>
        </w:rPr>
        <w:t>dela</w:t>
      </w:r>
      <w:r w:rsidRPr="00E95BC4">
        <w:rPr>
          <w:color w:val="000000" w:themeColor="text1"/>
          <w:lang w:val="sr-Cyrl-CS"/>
        </w:rPr>
        <w:t xml:space="preserve"> </w:t>
      </w:r>
      <w:r w:rsidR="005818C0">
        <w:rPr>
          <w:i/>
          <w:color w:val="000000" w:themeColor="text1"/>
          <w:lang w:val="sr-Cyrl-CS"/>
        </w:rPr>
        <w:t>pranje</w:t>
      </w:r>
      <w:r w:rsidRPr="00E95BC4">
        <w:rPr>
          <w:i/>
          <w:color w:val="000000" w:themeColor="text1"/>
          <w:lang w:val="sr-Cyrl-CS"/>
        </w:rPr>
        <w:t xml:space="preserve"> </w:t>
      </w:r>
      <w:r w:rsidR="005818C0">
        <w:rPr>
          <w:i/>
          <w:color w:val="000000" w:themeColor="text1"/>
          <w:lang w:val="sr-Cyrl-CS"/>
        </w:rPr>
        <w:t>novca</w:t>
      </w:r>
      <w:r w:rsidRPr="00E95BC4">
        <w:rPr>
          <w:color w:val="000000" w:themeColor="text1"/>
          <w:lang w:val="sr-Cyrl-CS"/>
        </w:rPr>
        <w:t xml:space="preserve"> </w:t>
      </w:r>
      <w:r w:rsidR="005818C0">
        <w:rPr>
          <w:color w:val="000000" w:themeColor="text1"/>
          <w:lang w:val="sr-Cyrl-CS"/>
        </w:rPr>
        <w:t>u</w:t>
      </w:r>
      <w:r w:rsidRPr="00E95BC4">
        <w:rPr>
          <w:color w:val="000000" w:themeColor="text1"/>
          <w:lang w:val="sr-Cyrl-CS"/>
        </w:rPr>
        <w:t xml:space="preserve"> </w:t>
      </w:r>
      <w:r w:rsidR="005818C0">
        <w:rPr>
          <w:color w:val="000000" w:themeColor="text1"/>
          <w:lang w:val="sr-Cyrl-CS"/>
        </w:rPr>
        <w:t>nadležnosti</w:t>
      </w:r>
      <w:r w:rsidRPr="00E95BC4">
        <w:rPr>
          <w:color w:val="000000" w:themeColor="text1"/>
          <w:lang w:val="sr-Cyrl-CS"/>
        </w:rPr>
        <w:t xml:space="preserve"> </w:t>
      </w:r>
      <w:r w:rsidR="005818C0">
        <w:rPr>
          <w:color w:val="000000" w:themeColor="text1"/>
          <w:lang w:val="sr-Cyrl-CS"/>
        </w:rPr>
        <w:t>je</w:t>
      </w:r>
      <w:r w:rsidRPr="00E95BC4">
        <w:rPr>
          <w:color w:val="000000" w:themeColor="text1"/>
          <w:lang w:val="sr-Cyrl-CS"/>
        </w:rPr>
        <w:t xml:space="preserve"> </w:t>
      </w:r>
      <w:r w:rsidR="005818C0">
        <w:rPr>
          <w:color w:val="000000" w:themeColor="text1"/>
          <w:lang w:val="sr-Cyrl-CS"/>
        </w:rPr>
        <w:t>Tužilaštva</w:t>
      </w:r>
      <w:r w:rsidRPr="00E95BC4">
        <w:rPr>
          <w:color w:val="000000" w:themeColor="text1"/>
          <w:lang w:val="sr-Cyrl-CS"/>
        </w:rPr>
        <w:t xml:space="preserve"> </w:t>
      </w:r>
      <w:r w:rsidR="005818C0">
        <w:rPr>
          <w:color w:val="000000" w:themeColor="text1"/>
          <w:lang w:val="sr-Cyrl-CS"/>
        </w:rPr>
        <w:t>za</w:t>
      </w:r>
      <w:r w:rsidRPr="00E95BC4">
        <w:rPr>
          <w:color w:val="000000" w:themeColor="text1"/>
          <w:lang w:val="sr-Cyrl-CS"/>
        </w:rPr>
        <w:t xml:space="preserve"> </w:t>
      </w:r>
      <w:r w:rsidR="005818C0">
        <w:rPr>
          <w:color w:val="000000" w:themeColor="text1"/>
          <w:lang w:val="sr-Cyrl-CS"/>
        </w:rPr>
        <w:t>organizovani</w:t>
      </w:r>
      <w:r w:rsidRPr="00E95BC4">
        <w:rPr>
          <w:color w:val="000000" w:themeColor="text1"/>
          <w:lang w:val="sr-Cyrl-CS"/>
        </w:rPr>
        <w:t xml:space="preserve"> </w:t>
      </w:r>
      <w:r w:rsidR="005818C0">
        <w:rPr>
          <w:color w:val="000000" w:themeColor="text1"/>
          <w:lang w:val="sr-Cyrl-CS"/>
        </w:rPr>
        <w:t>kriminal</w:t>
      </w:r>
      <w:r w:rsidRPr="00E95BC4">
        <w:rPr>
          <w:color w:val="000000" w:themeColor="text1"/>
          <w:lang w:val="sr-Cyrl-CS"/>
        </w:rPr>
        <w:t xml:space="preserve">, </w:t>
      </w:r>
      <w:r w:rsidR="005818C0">
        <w:rPr>
          <w:color w:val="000000" w:themeColor="text1"/>
          <w:lang w:val="sr-Cyrl-CS"/>
        </w:rPr>
        <w:t>Ministarstva</w:t>
      </w:r>
      <w:r w:rsidRPr="00E95BC4">
        <w:rPr>
          <w:color w:val="000000" w:themeColor="text1"/>
          <w:lang w:val="sr-Cyrl-CS"/>
        </w:rPr>
        <w:t xml:space="preserve"> </w:t>
      </w:r>
      <w:r w:rsidR="005818C0">
        <w:rPr>
          <w:color w:val="000000" w:themeColor="text1"/>
          <w:lang w:val="sr-Cyrl-CS"/>
        </w:rPr>
        <w:t>unutrašnjih</w:t>
      </w:r>
      <w:r w:rsidRPr="00E95BC4">
        <w:rPr>
          <w:color w:val="000000" w:themeColor="text1"/>
          <w:lang w:val="sr-Cyrl-CS"/>
        </w:rPr>
        <w:t xml:space="preserve"> </w:t>
      </w:r>
      <w:r w:rsidR="005818C0">
        <w:rPr>
          <w:color w:val="000000" w:themeColor="text1"/>
          <w:lang w:val="sr-Cyrl-CS"/>
        </w:rPr>
        <w:t>poslova</w:t>
      </w:r>
      <w:r w:rsidR="00DF3B3E">
        <w:rPr>
          <w:color w:val="000000" w:themeColor="text1"/>
          <w:lang w:val="sr-Cyrl-CS"/>
        </w:rPr>
        <w:t xml:space="preserve"> – </w:t>
      </w:r>
      <w:r w:rsidR="005818C0">
        <w:rPr>
          <w:color w:val="000000" w:themeColor="text1"/>
          <w:lang w:val="sr-Cyrl-CS"/>
        </w:rPr>
        <w:t>organizacione</w:t>
      </w:r>
      <w:r w:rsidRPr="00E95BC4">
        <w:rPr>
          <w:color w:val="000000" w:themeColor="text1"/>
          <w:lang w:val="sr-Cyrl-CS"/>
        </w:rPr>
        <w:t xml:space="preserve"> </w:t>
      </w:r>
      <w:r w:rsidR="005818C0">
        <w:rPr>
          <w:color w:val="000000" w:themeColor="text1"/>
          <w:lang w:val="sr-Cyrl-CS"/>
        </w:rPr>
        <w:t>jedinice</w:t>
      </w:r>
      <w:r w:rsidRPr="00E95BC4">
        <w:rPr>
          <w:color w:val="000000" w:themeColor="text1"/>
          <w:lang w:val="sr-Cyrl-CS"/>
        </w:rPr>
        <w:t xml:space="preserve"> </w:t>
      </w:r>
      <w:r w:rsidR="005818C0">
        <w:rPr>
          <w:color w:val="000000" w:themeColor="text1"/>
          <w:lang w:val="sr-Cyrl-CS"/>
        </w:rPr>
        <w:t>policije</w:t>
      </w:r>
      <w:r w:rsidRPr="00E95BC4">
        <w:rPr>
          <w:color w:val="000000" w:themeColor="text1"/>
          <w:lang w:val="sr-Cyrl-CS"/>
        </w:rPr>
        <w:t xml:space="preserve"> </w:t>
      </w:r>
      <w:r w:rsidR="005818C0">
        <w:rPr>
          <w:color w:val="000000" w:themeColor="text1"/>
          <w:lang w:val="sr-Cyrl-CS"/>
        </w:rPr>
        <w:t>nadležne</w:t>
      </w:r>
      <w:r w:rsidRPr="00E95BC4">
        <w:rPr>
          <w:color w:val="000000" w:themeColor="text1"/>
          <w:lang w:val="sr-Cyrl-CS"/>
        </w:rPr>
        <w:t xml:space="preserve"> </w:t>
      </w:r>
      <w:r w:rsidR="005818C0">
        <w:rPr>
          <w:color w:val="000000" w:themeColor="text1"/>
          <w:lang w:val="sr-Cyrl-CS"/>
        </w:rPr>
        <w:t>za</w:t>
      </w:r>
      <w:r w:rsidRPr="00E95BC4">
        <w:rPr>
          <w:color w:val="000000" w:themeColor="text1"/>
          <w:lang w:val="sr-Cyrl-CS"/>
        </w:rPr>
        <w:t xml:space="preserve"> </w:t>
      </w:r>
      <w:r w:rsidR="005818C0">
        <w:rPr>
          <w:color w:val="000000" w:themeColor="text1"/>
          <w:lang w:val="sr-Cyrl-CS"/>
        </w:rPr>
        <w:t>suzbijanje</w:t>
      </w:r>
      <w:r w:rsidRPr="00E95BC4">
        <w:rPr>
          <w:color w:val="000000" w:themeColor="text1"/>
          <w:lang w:val="sr-Cyrl-CS"/>
        </w:rPr>
        <w:t xml:space="preserve"> </w:t>
      </w:r>
      <w:r w:rsidR="005818C0">
        <w:rPr>
          <w:color w:val="000000" w:themeColor="text1"/>
          <w:lang w:val="sr-Cyrl-CS"/>
        </w:rPr>
        <w:t>organizovanog</w:t>
      </w:r>
      <w:r w:rsidRPr="00E95BC4">
        <w:rPr>
          <w:color w:val="000000" w:themeColor="text1"/>
          <w:lang w:val="sr-Cyrl-CS"/>
        </w:rPr>
        <w:t xml:space="preserve"> </w:t>
      </w:r>
      <w:r w:rsidR="005818C0">
        <w:rPr>
          <w:color w:val="000000" w:themeColor="text1"/>
          <w:lang w:val="sr-Cyrl-CS"/>
        </w:rPr>
        <w:t>kriminala</w:t>
      </w:r>
      <w:r w:rsidRPr="00E95BC4">
        <w:rPr>
          <w:color w:val="000000" w:themeColor="text1"/>
          <w:lang w:val="sr-Cyrl-CS"/>
        </w:rPr>
        <w:t xml:space="preserve">, </w:t>
      </w:r>
      <w:r w:rsidR="005818C0">
        <w:rPr>
          <w:color w:val="000000" w:themeColor="text1"/>
          <w:lang w:val="sr-Cyrl-CS"/>
        </w:rPr>
        <w:lastRenderedPageBreak/>
        <w:t>Posebnog</w:t>
      </w:r>
      <w:r w:rsidRPr="00E95BC4">
        <w:rPr>
          <w:color w:val="000000" w:themeColor="text1"/>
          <w:lang w:val="sr-Cyrl-CS"/>
        </w:rPr>
        <w:t xml:space="preserve"> </w:t>
      </w:r>
      <w:r w:rsidR="005818C0">
        <w:rPr>
          <w:color w:val="000000" w:themeColor="text1"/>
          <w:lang w:val="sr-Cyrl-CS"/>
        </w:rPr>
        <w:t>odeljenja</w:t>
      </w:r>
      <w:r w:rsidRPr="00E95BC4">
        <w:rPr>
          <w:color w:val="000000" w:themeColor="text1"/>
          <w:lang w:val="sr-Cyrl-CS"/>
        </w:rPr>
        <w:t xml:space="preserve"> </w:t>
      </w:r>
      <w:r w:rsidR="005818C0">
        <w:rPr>
          <w:color w:val="000000" w:themeColor="text1"/>
          <w:lang w:val="sr-Cyrl-CS"/>
        </w:rPr>
        <w:t>Višeg</w:t>
      </w:r>
      <w:r w:rsidRPr="00E95BC4">
        <w:rPr>
          <w:color w:val="000000" w:themeColor="text1"/>
          <w:lang w:val="sr-Cyrl-CS"/>
        </w:rPr>
        <w:t xml:space="preserve"> </w:t>
      </w:r>
      <w:r w:rsidR="005818C0">
        <w:rPr>
          <w:color w:val="000000" w:themeColor="text1"/>
          <w:lang w:val="sr-Cyrl-CS"/>
        </w:rPr>
        <w:t>suda</w:t>
      </w:r>
      <w:r w:rsidRPr="00E95BC4">
        <w:rPr>
          <w:color w:val="000000" w:themeColor="text1"/>
          <w:lang w:val="sr-Cyrl-CS"/>
        </w:rPr>
        <w:t xml:space="preserve"> </w:t>
      </w:r>
      <w:r w:rsidR="005818C0">
        <w:rPr>
          <w:color w:val="000000" w:themeColor="text1"/>
          <w:lang w:val="sr-Cyrl-CS"/>
        </w:rPr>
        <w:t>u</w:t>
      </w:r>
      <w:r w:rsidRPr="00E95BC4">
        <w:rPr>
          <w:color w:val="000000" w:themeColor="text1"/>
          <w:lang w:val="sr-Cyrl-CS"/>
        </w:rPr>
        <w:t xml:space="preserve"> </w:t>
      </w:r>
      <w:r w:rsidR="005818C0">
        <w:rPr>
          <w:color w:val="000000" w:themeColor="text1"/>
          <w:lang w:val="sr-Cyrl-CS"/>
        </w:rPr>
        <w:t>Beogradu</w:t>
      </w:r>
      <w:r w:rsidRPr="00E95BC4">
        <w:rPr>
          <w:color w:val="000000" w:themeColor="text1"/>
          <w:lang w:val="sr-Cyrl-CS"/>
        </w:rPr>
        <w:t xml:space="preserve"> </w:t>
      </w:r>
      <w:r w:rsidR="005818C0">
        <w:rPr>
          <w:color w:val="000000" w:themeColor="text1"/>
          <w:lang w:val="sr-Cyrl-CS"/>
        </w:rPr>
        <w:t>za</w:t>
      </w:r>
      <w:r w:rsidRPr="00E95BC4">
        <w:rPr>
          <w:color w:val="000000" w:themeColor="text1"/>
          <w:lang w:val="sr-Cyrl-CS"/>
        </w:rPr>
        <w:t xml:space="preserve"> </w:t>
      </w:r>
      <w:r w:rsidR="005818C0">
        <w:rPr>
          <w:color w:val="000000" w:themeColor="text1"/>
          <w:lang w:val="sr-Cyrl-CS"/>
        </w:rPr>
        <w:t>organizovani</w:t>
      </w:r>
      <w:r w:rsidRPr="00E95BC4">
        <w:rPr>
          <w:color w:val="000000" w:themeColor="text1"/>
          <w:lang w:val="sr-Cyrl-CS"/>
        </w:rPr>
        <w:t xml:space="preserve"> </w:t>
      </w:r>
      <w:r w:rsidR="005818C0">
        <w:rPr>
          <w:color w:val="000000" w:themeColor="text1"/>
          <w:lang w:val="sr-Cyrl-CS"/>
        </w:rPr>
        <w:t>kriminal</w:t>
      </w:r>
      <w:r w:rsidRPr="00E95BC4">
        <w:rPr>
          <w:color w:val="000000" w:themeColor="text1"/>
          <w:lang w:val="sr-Cyrl-CS"/>
        </w:rPr>
        <w:t xml:space="preserve">, </w:t>
      </w:r>
      <w:r w:rsidR="005818C0">
        <w:rPr>
          <w:color w:val="000000" w:themeColor="text1"/>
          <w:lang w:val="sr-Cyrl-CS"/>
        </w:rPr>
        <w:t>Posebnog</w:t>
      </w:r>
      <w:r w:rsidRPr="00E95BC4">
        <w:rPr>
          <w:color w:val="000000" w:themeColor="text1"/>
          <w:lang w:val="sr-Cyrl-CS"/>
        </w:rPr>
        <w:t xml:space="preserve"> </w:t>
      </w:r>
      <w:r w:rsidR="005818C0">
        <w:rPr>
          <w:color w:val="000000" w:themeColor="text1"/>
          <w:lang w:val="sr-Cyrl-CS"/>
        </w:rPr>
        <w:t>odeljenja</w:t>
      </w:r>
      <w:r w:rsidRPr="00E95BC4">
        <w:rPr>
          <w:color w:val="000000" w:themeColor="text1"/>
          <w:lang w:val="sr-Cyrl-CS"/>
        </w:rPr>
        <w:t xml:space="preserve"> </w:t>
      </w:r>
      <w:r w:rsidR="005818C0">
        <w:rPr>
          <w:color w:val="000000" w:themeColor="text1"/>
          <w:lang w:val="sr-Cyrl-CS"/>
        </w:rPr>
        <w:t>Apelacionog</w:t>
      </w:r>
      <w:r w:rsidRPr="00E95BC4">
        <w:rPr>
          <w:color w:val="000000" w:themeColor="text1"/>
          <w:lang w:val="sr-Cyrl-CS"/>
        </w:rPr>
        <w:t xml:space="preserve"> </w:t>
      </w:r>
      <w:r w:rsidR="005818C0">
        <w:rPr>
          <w:color w:val="000000" w:themeColor="text1"/>
          <w:lang w:val="sr-Cyrl-CS"/>
        </w:rPr>
        <w:t>suda</w:t>
      </w:r>
      <w:r w:rsidRPr="00E95BC4">
        <w:rPr>
          <w:color w:val="000000" w:themeColor="text1"/>
          <w:lang w:val="sr-Cyrl-CS"/>
        </w:rPr>
        <w:t xml:space="preserve"> </w:t>
      </w:r>
      <w:r w:rsidR="005818C0">
        <w:rPr>
          <w:color w:val="000000" w:themeColor="text1"/>
          <w:lang w:val="sr-Cyrl-CS"/>
        </w:rPr>
        <w:t>u</w:t>
      </w:r>
      <w:r w:rsidRPr="00E95BC4">
        <w:rPr>
          <w:color w:val="000000" w:themeColor="text1"/>
          <w:lang w:val="sr-Cyrl-CS"/>
        </w:rPr>
        <w:t xml:space="preserve"> </w:t>
      </w:r>
      <w:r w:rsidR="005818C0">
        <w:rPr>
          <w:color w:val="000000" w:themeColor="text1"/>
          <w:lang w:val="sr-Cyrl-CS"/>
        </w:rPr>
        <w:t>Beogradu</w:t>
      </w:r>
      <w:r w:rsidRPr="00E95BC4">
        <w:rPr>
          <w:color w:val="000000" w:themeColor="text1"/>
          <w:lang w:val="sr-Cyrl-CS"/>
        </w:rPr>
        <w:t xml:space="preserve"> </w:t>
      </w:r>
      <w:r w:rsidR="005818C0">
        <w:rPr>
          <w:color w:val="000000" w:themeColor="text1"/>
          <w:lang w:val="sr-Cyrl-CS"/>
        </w:rPr>
        <w:t>za</w:t>
      </w:r>
      <w:r w:rsidRPr="00E95BC4">
        <w:rPr>
          <w:color w:val="000000" w:themeColor="text1"/>
          <w:lang w:val="sr-Cyrl-CS"/>
        </w:rPr>
        <w:t xml:space="preserve"> </w:t>
      </w:r>
      <w:r w:rsidR="005818C0">
        <w:rPr>
          <w:color w:val="000000" w:themeColor="text1"/>
          <w:lang w:val="sr-Cyrl-CS"/>
        </w:rPr>
        <w:t>organizovani</w:t>
      </w:r>
      <w:r w:rsidR="007D61F7" w:rsidRPr="00E95BC4">
        <w:rPr>
          <w:color w:val="000000" w:themeColor="text1"/>
          <w:lang w:val="sr-Cyrl-CS"/>
        </w:rPr>
        <w:t xml:space="preserve"> </w:t>
      </w:r>
      <w:r w:rsidR="005818C0">
        <w:rPr>
          <w:color w:val="000000" w:themeColor="text1"/>
          <w:lang w:val="sr-Cyrl-CS"/>
        </w:rPr>
        <w:t>kriminal</w:t>
      </w:r>
      <w:r w:rsidR="007D61F7" w:rsidRPr="00E95BC4">
        <w:rPr>
          <w:color w:val="000000" w:themeColor="text1"/>
          <w:lang w:val="sr-Cyrl-CS"/>
        </w:rPr>
        <w:t xml:space="preserve">, </w:t>
      </w:r>
      <w:r w:rsidR="005818C0">
        <w:rPr>
          <w:color w:val="000000" w:themeColor="text1"/>
          <w:lang w:val="sr-Cyrl-CS"/>
        </w:rPr>
        <w:t>u</w:t>
      </w:r>
      <w:r w:rsidR="007D61F7" w:rsidRPr="00E95BC4">
        <w:rPr>
          <w:color w:val="000000" w:themeColor="text1"/>
          <w:lang w:val="sr-Cyrl-CS"/>
        </w:rPr>
        <w:t xml:space="preserve"> </w:t>
      </w:r>
      <w:r w:rsidR="005818C0">
        <w:rPr>
          <w:color w:val="000000" w:themeColor="text1"/>
          <w:lang w:val="sr-Cyrl-CS"/>
        </w:rPr>
        <w:t>slučaju</w:t>
      </w:r>
      <w:r w:rsidR="007D61F7" w:rsidRPr="00E95BC4">
        <w:rPr>
          <w:color w:val="000000" w:themeColor="text1"/>
          <w:lang w:val="sr-Cyrl-CS"/>
        </w:rPr>
        <w:t xml:space="preserve"> </w:t>
      </w:r>
      <w:r w:rsidR="005818C0">
        <w:rPr>
          <w:color w:val="000000" w:themeColor="text1"/>
          <w:lang w:val="sr-Cyrl-CS"/>
        </w:rPr>
        <w:t>kada</w:t>
      </w:r>
      <w:r w:rsidRPr="00E95BC4">
        <w:rPr>
          <w:color w:val="000000" w:themeColor="text1"/>
          <w:lang w:val="sr-Cyrl-CS"/>
        </w:rPr>
        <w:t xml:space="preserve"> </w:t>
      </w:r>
      <w:r w:rsidR="005818C0">
        <w:rPr>
          <w:color w:val="000000" w:themeColor="text1"/>
          <w:lang w:val="sr-Cyrl-CS"/>
        </w:rPr>
        <w:t>imovina</w:t>
      </w:r>
      <w:r w:rsidRPr="00E95BC4">
        <w:rPr>
          <w:color w:val="000000" w:themeColor="text1"/>
          <w:lang w:val="sr-Cyrl-CS"/>
        </w:rPr>
        <w:t xml:space="preserve"> </w:t>
      </w:r>
      <w:r w:rsidR="005818C0">
        <w:rPr>
          <w:color w:val="000000" w:themeColor="text1"/>
          <w:lang w:val="sr-Cyrl-CS"/>
        </w:rPr>
        <w:t>koja</w:t>
      </w:r>
      <w:r w:rsidRPr="00E95BC4">
        <w:rPr>
          <w:color w:val="000000" w:themeColor="text1"/>
          <w:lang w:val="sr-Cyrl-CS"/>
        </w:rPr>
        <w:t xml:space="preserve"> </w:t>
      </w:r>
      <w:r w:rsidR="005818C0">
        <w:rPr>
          <w:color w:val="000000" w:themeColor="text1"/>
          <w:lang w:val="sr-Cyrl-CS"/>
        </w:rPr>
        <w:t>je</w:t>
      </w:r>
      <w:r w:rsidRPr="00E95BC4">
        <w:rPr>
          <w:color w:val="000000" w:themeColor="text1"/>
          <w:lang w:val="sr-Cyrl-CS"/>
        </w:rPr>
        <w:t xml:space="preserve"> </w:t>
      </w:r>
      <w:r w:rsidR="005818C0">
        <w:rPr>
          <w:color w:val="000000" w:themeColor="text1"/>
          <w:lang w:val="sr-Cyrl-CS"/>
        </w:rPr>
        <w:t>predmet</w:t>
      </w:r>
      <w:r w:rsidRPr="00E95BC4">
        <w:rPr>
          <w:color w:val="000000" w:themeColor="text1"/>
          <w:lang w:val="sr-Cyrl-CS"/>
        </w:rPr>
        <w:t xml:space="preserve"> </w:t>
      </w:r>
      <w:r w:rsidR="005818C0">
        <w:rPr>
          <w:color w:val="000000" w:themeColor="text1"/>
          <w:lang w:val="sr-Cyrl-CS"/>
        </w:rPr>
        <w:t>pranja</w:t>
      </w:r>
      <w:r w:rsidRPr="00E95BC4">
        <w:rPr>
          <w:color w:val="000000" w:themeColor="text1"/>
          <w:lang w:val="sr-Cyrl-CS"/>
        </w:rPr>
        <w:t xml:space="preserve"> </w:t>
      </w:r>
      <w:r w:rsidR="005818C0">
        <w:rPr>
          <w:color w:val="000000" w:themeColor="text1"/>
          <w:lang w:val="sr-Cyrl-CS"/>
        </w:rPr>
        <w:t>novca</w:t>
      </w:r>
      <w:r w:rsidRPr="00E95BC4">
        <w:rPr>
          <w:color w:val="000000" w:themeColor="text1"/>
          <w:lang w:val="sr-Cyrl-CS"/>
        </w:rPr>
        <w:t xml:space="preserve"> </w:t>
      </w:r>
      <w:r w:rsidR="005818C0">
        <w:rPr>
          <w:color w:val="000000" w:themeColor="text1"/>
          <w:lang w:val="sr-Cyrl-CS"/>
        </w:rPr>
        <w:t>potiče</w:t>
      </w:r>
      <w:r w:rsidRPr="00E95BC4">
        <w:rPr>
          <w:color w:val="000000" w:themeColor="text1"/>
          <w:lang w:val="sr-Cyrl-CS"/>
        </w:rPr>
        <w:t xml:space="preserve"> </w:t>
      </w:r>
      <w:r w:rsidR="005818C0">
        <w:rPr>
          <w:color w:val="000000" w:themeColor="text1"/>
          <w:lang w:val="sr-Cyrl-CS"/>
        </w:rPr>
        <w:t>iz</w:t>
      </w:r>
      <w:r w:rsidRPr="00E95BC4">
        <w:rPr>
          <w:color w:val="000000" w:themeColor="text1"/>
          <w:lang w:val="sr-Cyrl-CS"/>
        </w:rPr>
        <w:t xml:space="preserve"> </w:t>
      </w:r>
      <w:r w:rsidR="005818C0">
        <w:rPr>
          <w:color w:val="000000" w:themeColor="text1"/>
          <w:lang w:val="sr-Cyrl-CS"/>
        </w:rPr>
        <w:t>krivičnih</w:t>
      </w:r>
      <w:r w:rsidRPr="00E95BC4">
        <w:rPr>
          <w:color w:val="000000" w:themeColor="text1"/>
          <w:lang w:val="sr-Cyrl-CS"/>
        </w:rPr>
        <w:t xml:space="preserve"> </w:t>
      </w:r>
      <w:r w:rsidR="005818C0">
        <w:rPr>
          <w:color w:val="000000" w:themeColor="text1"/>
          <w:lang w:val="sr-Cyrl-CS"/>
        </w:rPr>
        <w:t>dela</w:t>
      </w:r>
      <w:r w:rsidRPr="00E95BC4">
        <w:rPr>
          <w:color w:val="000000" w:themeColor="text1"/>
          <w:lang w:val="sr-Cyrl-CS"/>
        </w:rPr>
        <w:t xml:space="preserve"> o</w:t>
      </w:r>
      <w:r w:rsidR="005818C0">
        <w:rPr>
          <w:color w:val="000000" w:themeColor="text1"/>
          <w:lang w:val="sr-Cyrl-CS"/>
        </w:rPr>
        <w:t>rganizovanog</w:t>
      </w:r>
      <w:r w:rsidRPr="00E95BC4">
        <w:rPr>
          <w:color w:val="000000" w:themeColor="text1"/>
          <w:lang w:val="sr-Cyrl-CS"/>
        </w:rPr>
        <w:t xml:space="preserve"> </w:t>
      </w:r>
      <w:r w:rsidR="005818C0">
        <w:rPr>
          <w:color w:val="000000" w:themeColor="text1"/>
          <w:lang w:val="sr-Cyrl-CS"/>
        </w:rPr>
        <w:t>kriminala</w:t>
      </w:r>
      <w:r w:rsidRPr="00E95BC4">
        <w:rPr>
          <w:color w:val="000000" w:themeColor="text1"/>
          <w:lang w:val="sr-Cyrl-CS"/>
        </w:rPr>
        <w:t xml:space="preserve">, </w:t>
      </w:r>
      <w:r w:rsidR="005818C0">
        <w:rPr>
          <w:color w:val="000000" w:themeColor="text1"/>
          <w:lang w:val="sr-Cyrl-CS"/>
        </w:rPr>
        <w:t>krivičnih</w:t>
      </w:r>
      <w:r w:rsidRPr="00E95BC4">
        <w:rPr>
          <w:color w:val="000000" w:themeColor="text1"/>
          <w:lang w:val="sr-Cyrl-CS"/>
        </w:rPr>
        <w:t xml:space="preserve"> </w:t>
      </w:r>
      <w:r w:rsidR="005818C0">
        <w:rPr>
          <w:color w:val="000000" w:themeColor="text1"/>
          <w:lang w:val="sr-Cyrl-CS"/>
        </w:rPr>
        <w:t>dela</w:t>
      </w:r>
      <w:r w:rsidRPr="00E95BC4">
        <w:rPr>
          <w:color w:val="000000" w:themeColor="text1"/>
          <w:lang w:val="sr-Cyrl-CS"/>
        </w:rPr>
        <w:t xml:space="preserve"> </w:t>
      </w:r>
      <w:r w:rsidR="005818C0">
        <w:rPr>
          <w:color w:val="000000" w:themeColor="text1"/>
          <w:lang w:val="sr-Cyrl-CS"/>
        </w:rPr>
        <w:t>protiv</w:t>
      </w:r>
      <w:r w:rsidRPr="00E95BC4">
        <w:rPr>
          <w:color w:val="000000" w:themeColor="text1"/>
          <w:lang w:val="sr-Cyrl-CS"/>
        </w:rPr>
        <w:t xml:space="preserve"> </w:t>
      </w:r>
      <w:r w:rsidR="005818C0">
        <w:rPr>
          <w:color w:val="000000" w:themeColor="text1"/>
          <w:lang w:val="sr-Cyrl-CS"/>
        </w:rPr>
        <w:t>službene</w:t>
      </w:r>
      <w:r w:rsidRPr="00E95BC4">
        <w:rPr>
          <w:color w:val="000000" w:themeColor="text1"/>
          <w:lang w:val="sr-Cyrl-CS"/>
        </w:rPr>
        <w:t xml:space="preserve"> </w:t>
      </w:r>
      <w:r w:rsidR="005818C0">
        <w:rPr>
          <w:color w:val="000000" w:themeColor="text1"/>
          <w:lang w:val="sr-Cyrl-CS"/>
        </w:rPr>
        <w:t>dužnosti</w:t>
      </w:r>
      <w:r w:rsidRPr="00E95BC4">
        <w:rPr>
          <w:color w:val="000000" w:themeColor="text1"/>
          <w:lang w:val="sr-Cyrl-CS"/>
        </w:rPr>
        <w:t xml:space="preserve"> (</w:t>
      </w:r>
      <w:r w:rsidR="005818C0">
        <w:rPr>
          <w:color w:val="000000" w:themeColor="text1"/>
          <w:lang w:val="sr-Cyrl-CS"/>
        </w:rPr>
        <w:t>čl</w:t>
      </w:r>
      <w:r w:rsidRPr="00E95BC4">
        <w:rPr>
          <w:color w:val="000000" w:themeColor="text1"/>
          <w:lang w:val="sr-Cyrl-CS"/>
        </w:rPr>
        <w:t xml:space="preserve">. 359, 366, 367. </w:t>
      </w:r>
      <w:r w:rsidR="005818C0">
        <w:rPr>
          <w:color w:val="000000" w:themeColor="text1"/>
          <w:lang w:val="sr-Cyrl-CS"/>
        </w:rPr>
        <w:t>i</w:t>
      </w:r>
      <w:r w:rsidRPr="00E95BC4">
        <w:rPr>
          <w:color w:val="000000" w:themeColor="text1"/>
          <w:lang w:val="sr-Cyrl-CS"/>
        </w:rPr>
        <w:t xml:space="preserve"> 368. </w:t>
      </w:r>
      <w:r w:rsidR="005818C0">
        <w:rPr>
          <w:color w:val="000000" w:themeColor="text1"/>
          <w:lang w:val="sr-Cyrl-CS"/>
        </w:rPr>
        <w:t>Krivičnog</w:t>
      </w:r>
      <w:r w:rsidRPr="00E95BC4">
        <w:rPr>
          <w:color w:val="000000" w:themeColor="text1"/>
          <w:lang w:val="sr-Cyrl-CS"/>
        </w:rPr>
        <w:t xml:space="preserve"> </w:t>
      </w:r>
      <w:r w:rsidR="005818C0">
        <w:rPr>
          <w:color w:val="000000" w:themeColor="text1"/>
          <w:lang w:val="sr-Cyrl-CS"/>
        </w:rPr>
        <w:t>zakonika</w:t>
      </w:r>
      <w:r w:rsidRPr="00E95BC4">
        <w:rPr>
          <w:color w:val="000000" w:themeColor="text1"/>
          <w:lang w:val="sr-Cyrl-CS"/>
        </w:rPr>
        <w:t xml:space="preserve">), </w:t>
      </w:r>
      <w:r w:rsidR="005818C0">
        <w:rPr>
          <w:color w:val="000000" w:themeColor="text1"/>
          <w:lang w:val="sr-Cyrl-CS"/>
        </w:rPr>
        <w:t>kada</w:t>
      </w:r>
      <w:r w:rsidRPr="00E95BC4">
        <w:rPr>
          <w:color w:val="000000" w:themeColor="text1"/>
          <w:lang w:val="sr-Cyrl-CS"/>
        </w:rPr>
        <w:t xml:space="preserve"> </w:t>
      </w:r>
      <w:r w:rsidR="005818C0">
        <w:rPr>
          <w:color w:val="000000" w:themeColor="text1"/>
          <w:lang w:val="sr-Cyrl-CS"/>
        </w:rPr>
        <w:t>je</w:t>
      </w:r>
      <w:r w:rsidRPr="00E95BC4">
        <w:rPr>
          <w:color w:val="000000" w:themeColor="text1"/>
          <w:lang w:val="sr-Cyrl-CS"/>
        </w:rPr>
        <w:t xml:space="preserve"> </w:t>
      </w:r>
      <w:r w:rsidR="005818C0">
        <w:rPr>
          <w:color w:val="000000" w:themeColor="text1"/>
          <w:lang w:val="sr-Cyrl-CS"/>
        </w:rPr>
        <w:t>okrivljeni</w:t>
      </w:r>
      <w:r w:rsidRPr="00E95BC4">
        <w:rPr>
          <w:color w:val="000000" w:themeColor="text1"/>
          <w:lang w:val="sr-Cyrl-CS"/>
        </w:rPr>
        <w:t xml:space="preserve">, </w:t>
      </w:r>
      <w:r w:rsidR="005818C0">
        <w:rPr>
          <w:color w:val="000000" w:themeColor="text1"/>
          <w:lang w:val="sr-Cyrl-CS"/>
        </w:rPr>
        <w:t>odnosno</w:t>
      </w:r>
      <w:r w:rsidRPr="00E95BC4">
        <w:rPr>
          <w:color w:val="000000" w:themeColor="text1"/>
          <w:lang w:val="sr-Cyrl-CS"/>
        </w:rPr>
        <w:t xml:space="preserve"> </w:t>
      </w:r>
      <w:r w:rsidR="005818C0">
        <w:rPr>
          <w:color w:val="000000" w:themeColor="text1"/>
          <w:lang w:val="sr-Cyrl-CS"/>
        </w:rPr>
        <w:t>lice</w:t>
      </w:r>
      <w:r w:rsidRPr="00E95BC4">
        <w:rPr>
          <w:color w:val="000000" w:themeColor="text1"/>
          <w:lang w:val="sr-Cyrl-CS"/>
        </w:rPr>
        <w:t xml:space="preserve"> </w:t>
      </w:r>
      <w:r w:rsidR="005818C0">
        <w:rPr>
          <w:color w:val="000000" w:themeColor="text1"/>
          <w:lang w:val="sr-Cyrl-CS"/>
        </w:rPr>
        <w:t>kojem</w:t>
      </w:r>
      <w:r w:rsidRPr="00E95BC4">
        <w:rPr>
          <w:color w:val="000000" w:themeColor="text1"/>
          <w:lang w:val="sr-Cyrl-CS"/>
        </w:rPr>
        <w:t xml:space="preserve"> </w:t>
      </w:r>
      <w:r w:rsidR="005818C0">
        <w:rPr>
          <w:color w:val="000000" w:themeColor="text1"/>
          <w:lang w:val="sr-Cyrl-CS"/>
        </w:rPr>
        <w:t>se</w:t>
      </w:r>
      <w:r w:rsidRPr="00E95BC4">
        <w:rPr>
          <w:color w:val="000000" w:themeColor="text1"/>
          <w:lang w:val="sr-Cyrl-CS"/>
        </w:rPr>
        <w:t xml:space="preserve"> </w:t>
      </w:r>
      <w:r w:rsidR="005818C0">
        <w:rPr>
          <w:color w:val="000000" w:themeColor="text1"/>
          <w:lang w:val="sr-Cyrl-CS"/>
        </w:rPr>
        <w:t>daje</w:t>
      </w:r>
      <w:r w:rsidRPr="00E95BC4">
        <w:rPr>
          <w:color w:val="000000" w:themeColor="text1"/>
          <w:lang w:val="sr-Cyrl-CS"/>
        </w:rPr>
        <w:t xml:space="preserve"> </w:t>
      </w:r>
      <w:r w:rsidR="005818C0">
        <w:rPr>
          <w:color w:val="000000" w:themeColor="text1"/>
          <w:lang w:val="sr-Cyrl-CS"/>
        </w:rPr>
        <w:t>mito</w:t>
      </w:r>
      <w:r w:rsidRPr="00E95BC4">
        <w:rPr>
          <w:color w:val="000000" w:themeColor="text1"/>
          <w:lang w:val="sr-Cyrl-CS"/>
        </w:rPr>
        <w:t xml:space="preserve">, </w:t>
      </w:r>
      <w:r w:rsidR="005818C0">
        <w:rPr>
          <w:color w:val="000000" w:themeColor="text1"/>
          <w:lang w:val="sr-Cyrl-CS"/>
        </w:rPr>
        <w:t>službeno</w:t>
      </w:r>
      <w:r w:rsidRPr="00E95BC4">
        <w:rPr>
          <w:color w:val="000000" w:themeColor="text1"/>
          <w:lang w:val="sr-Cyrl-CS"/>
        </w:rPr>
        <w:t xml:space="preserve"> </w:t>
      </w:r>
      <w:r w:rsidR="005818C0">
        <w:rPr>
          <w:color w:val="000000" w:themeColor="text1"/>
          <w:lang w:val="sr-Cyrl-CS"/>
        </w:rPr>
        <w:t>ili</w:t>
      </w:r>
      <w:r w:rsidRPr="00E95BC4">
        <w:rPr>
          <w:color w:val="000000" w:themeColor="text1"/>
          <w:lang w:val="sr-Cyrl-CS"/>
        </w:rPr>
        <w:t xml:space="preserve"> </w:t>
      </w:r>
      <w:r w:rsidR="005818C0">
        <w:rPr>
          <w:color w:val="000000" w:themeColor="text1"/>
          <w:lang w:val="sr-Cyrl-CS"/>
        </w:rPr>
        <w:t>odgovorno</w:t>
      </w:r>
      <w:r w:rsidRPr="00E95BC4">
        <w:rPr>
          <w:color w:val="000000" w:themeColor="text1"/>
          <w:lang w:val="sr-Cyrl-CS"/>
        </w:rPr>
        <w:t xml:space="preserve"> </w:t>
      </w:r>
      <w:r w:rsidR="005818C0">
        <w:rPr>
          <w:color w:val="000000" w:themeColor="text1"/>
          <w:lang w:val="sr-Cyrl-CS"/>
        </w:rPr>
        <w:t>lice</w:t>
      </w:r>
      <w:r w:rsidRPr="00E95BC4">
        <w:rPr>
          <w:color w:val="000000" w:themeColor="text1"/>
          <w:lang w:val="sr-Cyrl-CS"/>
        </w:rPr>
        <w:t xml:space="preserve"> </w:t>
      </w:r>
      <w:r w:rsidR="005818C0">
        <w:rPr>
          <w:color w:val="000000" w:themeColor="text1"/>
          <w:lang w:val="sr-Cyrl-CS"/>
        </w:rPr>
        <w:t>koje</w:t>
      </w:r>
      <w:r w:rsidRPr="00E95BC4">
        <w:rPr>
          <w:color w:val="000000" w:themeColor="text1"/>
          <w:lang w:val="sr-Cyrl-CS"/>
        </w:rPr>
        <w:t xml:space="preserve"> </w:t>
      </w:r>
      <w:r w:rsidR="005818C0">
        <w:rPr>
          <w:color w:val="000000" w:themeColor="text1"/>
          <w:lang w:val="sr-Cyrl-CS"/>
        </w:rPr>
        <w:t>vrši</w:t>
      </w:r>
      <w:r w:rsidRPr="00E95BC4">
        <w:rPr>
          <w:color w:val="000000" w:themeColor="text1"/>
          <w:lang w:val="sr-Cyrl-CS"/>
        </w:rPr>
        <w:t xml:space="preserve"> </w:t>
      </w:r>
      <w:r w:rsidR="005818C0">
        <w:rPr>
          <w:color w:val="000000" w:themeColor="text1"/>
          <w:lang w:val="sr-Cyrl-CS"/>
        </w:rPr>
        <w:t>javnu</w:t>
      </w:r>
      <w:r w:rsidRPr="00E95BC4">
        <w:rPr>
          <w:color w:val="000000" w:themeColor="text1"/>
          <w:lang w:val="sr-Cyrl-CS"/>
        </w:rPr>
        <w:t xml:space="preserve"> </w:t>
      </w:r>
      <w:r w:rsidR="005818C0">
        <w:rPr>
          <w:color w:val="000000" w:themeColor="text1"/>
          <w:lang w:val="sr-Cyrl-CS"/>
        </w:rPr>
        <w:t>funkciju</w:t>
      </w:r>
      <w:r w:rsidRPr="00E95BC4">
        <w:rPr>
          <w:color w:val="000000" w:themeColor="text1"/>
          <w:lang w:val="sr-Cyrl-CS"/>
        </w:rPr>
        <w:t xml:space="preserve"> </w:t>
      </w:r>
      <w:r w:rsidR="005818C0">
        <w:rPr>
          <w:color w:val="000000" w:themeColor="text1"/>
          <w:lang w:val="sr-Cyrl-CS"/>
        </w:rPr>
        <w:t>na</w:t>
      </w:r>
      <w:r w:rsidRPr="00E95BC4">
        <w:rPr>
          <w:color w:val="000000" w:themeColor="text1"/>
          <w:lang w:val="sr-Cyrl-CS"/>
        </w:rPr>
        <w:t xml:space="preserve"> </w:t>
      </w:r>
      <w:r w:rsidR="005818C0">
        <w:rPr>
          <w:color w:val="000000" w:themeColor="text1"/>
          <w:lang w:val="sr-Cyrl-CS"/>
        </w:rPr>
        <w:t>osnovu</w:t>
      </w:r>
      <w:r w:rsidRPr="00E95BC4">
        <w:rPr>
          <w:color w:val="000000" w:themeColor="text1"/>
          <w:lang w:val="sr-Cyrl-CS"/>
        </w:rPr>
        <w:t xml:space="preserve"> </w:t>
      </w:r>
      <w:r w:rsidR="005818C0">
        <w:rPr>
          <w:color w:val="000000" w:themeColor="text1"/>
          <w:lang w:val="sr-Cyrl-CS"/>
        </w:rPr>
        <w:t>izbora</w:t>
      </w:r>
      <w:r w:rsidRPr="00E95BC4">
        <w:rPr>
          <w:color w:val="000000" w:themeColor="text1"/>
          <w:lang w:val="sr-Cyrl-CS"/>
        </w:rPr>
        <w:t xml:space="preserve">, </w:t>
      </w:r>
      <w:r w:rsidR="005818C0">
        <w:rPr>
          <w:color w:val="000000" w:themeColor="text1"/>
          <w:lang w:val="sr-Cyrl-CS"/>
        </w:rPr>
        <w:t>imenovanja</w:t>
      </w:r>
      <w:r w:rsidRPr="00E95BC4">
        <w:rPr>
          <w:color w:val="000000" w:themeColor="text1"/>
          <w:lang w:val="sr-Cyrl-CS"/>
        </w:rPr>
        <w:t xml:space="preserve"> </w:t>
      </w:r>
      <w:r w:rsidR="005818C0">
        <w:rPr>
          <w:color w:val="000000" w:themeColor="text1"/>
          <w:lang w:val="sr-Cyrl-CS"/>
        </w:rPr>
        <w:t>ili</w:t>
      </w:r>
      <w:r w:rsidRPr="00E95BC4">
        <w:rPr>
          <w:color w:val="000000" w:themeColor="text1"/>
          <w:lang w:val="sr-Cyrl-CS"/>
        </w:rPr>
        <w:t xml:space="preserve"> </w:t>
      </w:r>
      <w:r w:rsidR="005818C0">
        <w:rPr>
          <w:color w:val="000000" w:themeColor="text1"/>
          <w:lang w:val="sr-Cyrl-CS"/>
        </w:rPr>
        <w:t>postavljenja</w:t>
      </w:r>
      <w:r w:rsidRPr="00E95BC4">
        <w:rPr>
          <w:color w:val="000000" w:themeColor="text1"/>
          <w:lang w:val="sr-Cyrl-CS"/>
        </w:rPr>
        <w:t xml:space="preserve"> </w:t>
      </w:r>
      <w:r w:rsidR="005818C0">
        <w:rPr>
          <w:color w:val="000000" w:themeColor="text1"/>
          <w:lang w:val="sr-Cyrl-CS"/>
        </w:rPr>
        <w:t>od</w:t>
      </w:r>
      <w:r w:rsidRPr="00E95BC4">
        <w:rPr>
          <w:color w:val="000000" w:themeColor="text1"/>
          <w:lang w:val="sr-Cyrl-CS"/>
        </w:rPr>
        <w:t xml:space="preserve"> </w:t>
      </w:r>
      <w:r w:rsidR="005818C0">
        <w:rPr>
          <w:color w:val="000000" w:themeColor="text1"/>
          <w:lang w:val="sr-Cyrl-CS"/>
        </w:rPr>
        <w:t>strane</w:t>
      </w:r>
      <w:r w:rsidRPr="00E95BC4">
        <w:rPr>
          <w:color w:val="000000" w:themeColor="text1"/>
          <w:lang w:val="sr-Cyrl-CS"/>
        </w:rPr>
        <w:t xml:space="preserve"> </w:t>
      </w:r>
      <w:r w:rsidR="005818C0">
        <w:rPr>
          <w:color w:val="000000" w:themeColor="text1"/>
          <w:lang w:val="sr-Cyrl-CS"/>
        </w:rPr>
        <w:t>Narodne</w:t>
      </w:r>
      <w:r w:rsidRPr="00E95BC4">
        <w:rPr>
          <w:color w:val="000000" w:themeColor="text1"/>
          <w:lang w:val="sr-Cyrl-CS"/>
        </w:rPr>
        <w:t xml:space="preserve"> </w:t>
      </w:r>
      <w:r w:rsidR="005818C0">
        <w:rPr>
          <w:color w:val="000000" w:themeColor="text1"/>
          <w:lang w:val="sr-Cyrl-CS"/>
        </w:rPr>
        <w:t>skupštine</w:t>
      </w:r>
      <w:r w:rsidRPr="00E95BC4">
        <w:rPr>
          <w:color w:val="000000" w:themeColor="text1"/>
          <w:lang w:val="sr-Cyrl-CS"/>
        </w:rPr>
        <w:t xml:space="preserve">, </w:t>
      </w:r>
      <w:r w:rsidR="005818C0">
        <w:rPr>
          <w:color w:val="000000" w:themeColor="text1"/>
          <w:lang w:val="sr-Cyrl-CS"/>
        </w:rPr>
        <w:t>predsednika</w:t>
      </w:r>
      <w:r w:rsidRPr="00E95BC4">
        <w:rPr>
          <w:color w:val="000000" w:themeColor="text1"/>
          <w:lang w:val="sr-Cyrl-CS"/>
        </w:rPr>
        <w:t xml:space="preserve"> </w:t>
      </w:r>
      <w:r w:rsidR="005818C0">
        <w:rPr>
          <w:color w:val="000000" w:themeColor="text1"/>
          <w:lang w:val="sr-Cyrl-CS"/>
        </w:rPr>
        <w:t>Republike</w:t>
      </w:r>
      <w:r w:rsidRPr="00E95BC4">
        <w:rPr>
          <w:color w:val="000000" w:themeColor="text1"/>
          <w:lang w:val="sr-Cyrl-CS"/>
        </w:rPr>
        <w:t xml:space="preserve">, </w:t>
      </w:r>
      <w:r w:rsidR="005818C0">
        <w:rPr>
          <w:color w:val="000000" w:themeColor="text1"/>
          <w:lang w:val="sr-Cyrl-CS"/>
        </w:rPr>
        <w:t>Vlade</w:t>
      </w:r>
      <w:r w:rsidRPr="00E95BC4">
        <w:rPr>
          <w:color w:val="000000" w:themeColor="text1"/>
          <w:lang w:val="sr-Cyrl-CS"/>
        </w:rPr>
        <w:t xml:space="preserve">, </w:t>
      </w:r>
      <w:r w:rsidR="005818C0">
        <w:rPr>
          <w:color w:val="000000" w:themeColor="text1"/>
          <w:lang w:val="sr-Cyrl-CS"/>
        </w:rPr>
        <w:t>opšte</w:t>
      </w:r>
      <w:r w:rsidRPr="00E95BC4">
        <w:rPr>
          <w:color w:val="000000" w:themeColor="text1"/>
          <w:lang w:val="sr-Cyrl-CS"/>
        </w:rPr>
        <w:t xml:space="preserve"> </w:t>
      </w:r>
      <w:r w:rsidR="005818C0">
        <w:rPr>
          <w:color w:val="000000" w:themeColor="text1"/>
          <w:lang w:val="sr-Cyrl-CS"/>
        </w:rPr>
        <w:t>sednice</w:t>
      </w:r>
      <w:r w:rsidRPr="00E95BC4">
        <w:rPr>
          <w:color w:val="000000" w:themeColor="text1"/>
          <w:lang w:val="sr-Cyrl-CS"/>
        </w:rPr>
        <w:t xml:space="preserve"> </w:t>
      </w:r>
      <w:r w:rsidR="005818C0">
        <w:rPr>
          <w:color w:val="000000" w:themeColor="text1"/>
          <w:lang w:val="sr-Cyrl-CS"/>
        </w:rPr>
        <w:t>Vrhovnog</w:t>
      </w:r>
      <w:r w:rsidRPr="00E95BC4">
        <w:rPr>
          <w:color w:val="000000" w:themeColor="text1"/>
          <w:lang w:val="sr-Cyrl-CS"/>
        </w:rPr>
        <w:t xml:space="preserve"> </w:t>
      </w:r>
      <w:r w:rsidR="005818C0">
        <w:rPr>
          <w:color w:val="000000" w:themeColor="text1"/>
          <w:lang w:val="sr-Cyrl-CS"/>
        </w:rPr>
        <w:t>kasacionog</w:t>
      </w:r>
      <w:r w:rsidRPr="00E95BC4">
        <w:rPr>
          <w:color w:val="000000" w:themeColor="text1"/>
          <w:lang w:val="sr-Cyrl-CS"/>
        </w:rPr>
        <w:t xml:space="preserve"> </w:t>
      </w:r>
      <w:r w:rsidR="005818C0">
        <w:rPr>
          <w:color w:val="000000" w:themeColor="text1"/>
          <w:lang w:val="sr-Cyrl-CS"/>
        </w:rPr>
        <w:t>suda</w:t>
      </w:r>
      <w:r w:rsidRPr="00E95BC4">
        <w:rPr>
          <w:color w:val="000000" w:themeColor="text1"/>
          <w:lang w:val="sr-Cyrl-CS"/>
        </w:rPr>
        <w:t xml:space="preserve">, </w:t>
      </w:r>
      <w:r w:rsidR="005818C0">
        <w:rPr>
          <w:color w:val="000000" w:themeColor="text1"/>
          <w:lang w:val="sr-Cyrl-CS"/>
        </w:rPr>
        <w:t>Visokog</w:t>
      </w:r>
      <w:r w:rsidRPr="00E95BC4">
        <w:rPr>
          <w:color w:val="000000" w:themeColor="text1"/>
          <w:lang w:val="sr-Cyrl-CS"/>
        </w:rPr>
        <w:t xml:space="preserve"> </w:t>
      </w:r>
      <w:r w:rsidR="005818C0">
        <w:rPr>
          <w:color w:val="000000" w:themeColor="text1"/>
          <w:lang w:val="sr-Cyrl-CS"/>
        </w:rPr>
        <w:t>saveta</w:t>
      </w:r>
      <w:r w:rsidRPr="00E95BC4">
        <w:rPr>
          <w:color w:val="000000" w:themeColor="text1"/>
          <w:lang w:val="sr-Cyrl-CS"/>
        </w:rPr>
        <w:t xml:space="preserve"> </w:t>
      </w:r>
      <w:r w:rsidR="005818C0">
        <w:rPr>
          <w:color w:val="000000" w:themeColor="text1"/>
          <w:lang w:val="sr-Cyrl-CS"/>
        </w:rPr>
        <w:t>sudstva</w:t>
      </w:r>
      <w:r w:rsidRPr="00E95BC4">
        <w:rPr>
          <w:color w:val="000000" w:themeColor="text1"/>
          <w:lang w:val="sr-Cyrl-CS"/>
        </w:rPr>
        <w:t xml:space="preserve"> </w:t>
      </w:r>
      <w:r w:rsidR="005818C0">
        <w:rPr>
          <w:color w:val="000000" w:themeColor="text1"/>
          <w:lang w:val="sr-Cyrl-CS"/>
        </w:rPr>
        <w:t>ili</w:t>
      </w:r>
      <w:r w:rsidRPr="00E95BC4">
        <w:rPr>
          <w:color w:val="000000" w:themeColor="text1"/>
          <w:lang w:val="sr-Cyrl-CS"/>
        </w:rPr>
        <w:t xml:space="preserve"> </w:t>
      </w:r>
      <w:r w:rsidR="005818C0">
        <w:rPr>
          <w:color w:val="000000" w:themeColor="text1"/>
          <w:lang w:val="sr-Cyrl-CS"/>
        </w:rPr>
        <w:t>Državnog</w:t>
      </w:r>
      <w:r w:rsidRPr="00E95BC4">
        <w:rPr>
          <w:color w:val="000000" w:themeColor="text1"/>
          <w:lang w:val="sr-Cyrl-CS"/>
        </w:rPr>
        <w:t xml:space="preserve"> </w:t>
      </w:r>
      <w:r w:rsidR="005818C0">
        <w:rPr>
          <w:color w:val="000000" w:themeColor="text1"/>
          <w:lang w:val="sr-Cyrl-CS"/>
        </w:rPr>
        <w:t>veća</w:t>
      </w:r>
      <w:r w:rsidRPr="00E95BC4">
        <w:rPr>
          <w:color w:val="000000" w:themeColor="text1"/>
          <w:lang w:val="sr-Cyrl-CS"/>
        </w:rPr>
        <w:t xml:space="preserve"> </w:t>
      </w:r>
      <w:r w:rsidR="005818C0">
        <w:rPr>
          <w:color w:val="000000" w:themeColor="text1"/>
          <w:lang w:val="sr-Cyrl-CS"/>
        </w:rPr>
        <w:t>tužilaca</w:t>
      </w:r>
      <w:r w:rsidRPr="00E95BC4">
        <w:rPr>
          <w:color w:val="000000" w:themeColor="text1"/>
          <w:lang w:val="sr-Cyrl-CS"/>
        </w:rPr>
        <w:t>;</w:t>
      </w:r>
      <w:r w:rsidRPr="00E95BC4">
        <w:rPr>
          <w:rFonts w:eastAsia="Times New Roman"/>
          <w:color w:val="000000" w:themeColor="text1"/>
          <w:lang w:val="sr-Cyrl-CS"/>
        </w:rPr>
        <w:t xml:space="preserve"> </w:t>
      </w:r>
      <w:r w:rsidR="005818C0">
        <w:rPr>
          <w:color w:val="000000" w:themeColor="text1"/>
          <w:lang w:val="sr-Cyrl-CS"/>
        </w:rPr>
        <w:t>krivičnih</w:t>
      </w:r>
      <w:r w:rsidRPr="00E95BC4">
        <w:rPr>
          <w:color w:val="000000" w:themeColor="text1"/>
          <w:lang w:val="sr-Cyrl-CS"/>
        </w:rPr>
        <w:t xml:space="preserve"> </w:t>
      </w:r>
      <w:r w:rsidR="005818C0">
        <w:rPr>
          <w:color w:val="000000" w:themeColor="text1"/>
          <w:lang w:val="sr-Cyrl-CS"/>
        </w:rPr>
        <w:t>dela</w:t>
      </w:r>
      <w:r w:rsidR="00465BE6" w:rsidRPr="00E95BC4">
        <w:rPr>
          <w:color w:val="000000" w:themeColor="text1"/>
          <w:lang w:val="sr-Cyrl-CS"/>
        </w:rPr>
        <w:t xml:space="preserve"> </w:t>
      </w:r>
      <w:r w:rsidR="005818C0">
        <w:rPr>
          <w:color w:val="000000" w:themeColor="text1"/>
          <w:lang w:val="sr-Cyrl-CS"/>
        </w:rPr>
        <w:t>protiv</w:t>
      </w:r>
      <w:r w:rsidR="00465BE6" w:rsidRPr="00E95BC4">
        <w:rPr>
          <w:color w:val="000000" w:themeColor="text1"/>
          <w:lang w:val="sr-Cyrl-CS"/>
        </w:rPr>
        <w:t xml:space="preserve"> </w:t>
      </w:r>
      <w:r w:rsidR="005818C0">
        <w:rPr>
          <w:color w:val="000000" w:themeColor="text1"/>
          <w:lang w:val="sr-Cyrl-CS"/>
        </w:rPr>
        <w:t>privrede</w:t>
      </w:r>
      <w:r w:rsidR="00465BE6" w:rsidRPr="00E95BC4">
        <w:rPr>
          <w:color w:val="000000" w:themeColor="text1"/>
          <w:lang w:val="sr-Cyrl-CS"/>
        </w:rPr>
        <w:t xml:space="preserve"> (</w:t>
      </w:r>
      <w:r w:rsidR="005818C0">
        <w:rPr>
          <w:color w:val="000000" w:themeColor="text1"/>
          <w:lang w:val="sr-Cyrl-CS"/>
        </w:rPr>
        <w:t>čl</w:t>
      </w:r>
      <w:r w:rsidR="00465BE6" w:rsidRPr="00E95BC4">
        <w:rPr>
          <w:color w:val="000000" w:themeColor="text1"/>
          <w:lang w:val="sr-Cyrl-CS"/>
        </w:rPr>
        <w:t>. 223, 223</w:t>
      </w:r>
      <w:r w:rsidR="005818C0">
        <w:rPr>
          <w:color w:val="000000" w:themeColor="text1"/>
          <w:lang w:val="sr-Cyrl-CS"/>
        </w:rPr>
        <w:t>a</w:t>
      </w:r>
      <w:r w:rsidR="00465BE6" w:rsidRPr="00E95BC4">
        <w:rPr>
          <w:color w:val="000000" w:themeColor="text1"/>
          <w:lang w:val="sr-Cyrl-CS"/>
        </w:rPr>
        <w:t xml:space="preserve">, </w:t>
      </w:r>
      <w:r w:rsidRPr="00E95BC4">
        <w:rPr>
          <w:color w:val="000000" w:themeColor="text1"/>
          <w:lang w:val="sr-Cyrl-CS"/>
        </w:rPr>
        <w:t>224, 224</w:t>
      </w:r>
      <w:r w:rsidR="005818C0">
        <w:rPr>
          <w:color w:val="000000" w:themeColor="text1"/>
          <w:lang w:val="sr-Cyrl-CS"/>
        </w:rPr>
        <w:t>a</w:t>
      </w:r>
      <w:r w:rsidRPr="00E95BC4">
        <w:rPr>
          <w:color w:val="000000" w:themeColor="text1"/>
          <w:lang w:val="sr-Cyrl-CS"/>
        </w:rPr>
        <w:t>, 227, 228, 228</w:t>
      </w:r>
      <w:r w:rsidR="005818C0">
        <w:rPr>
          <w:color w:val="000000" w:themeColor="text1"/>
          <w:lang w:val="sr-Cyrl-CS"/>
        </w:rPr>
        <w:t>a</w:t>
      </w:r>
      <w:r w:rsidRPr="00E95BC4">
        <w:rPr>
          <w:color w:val="000000" w:themeColor="text1"/>
          <w:lang w:val="sr-Cyrl-CS"/>
        </w:rPr>
        <w:t>, 229, 230, 231, 232, 232</w:t>
      </w:r>
      <w:r w:rsidR="005818C0">
        <w:rPr>
          <w:color w:val="000000" w:themeColor="text1"/>
          <w:lang w:val="sr-Cyrl-CS"/>
        </w:rPr>
        <w:t>a</w:t>
      </w:r>
      <w:r w:rsidRPr="00E95BC4">
        <w:rPr>
          <w:color w:val="000000" w:themeColor="text1"/>
          <w:lang w:val="sr-Cyrl-CS"/>
        </w:rPr>
        <w:t xml:space="preserve">, 233, </w:t>
      </w:r>
      <w:r w:rsidR="005818C0">
        <w:rPr>
          <w:color w:val="000000" w:themeColor="text1"/>
          <w:lang w:val="sr-Cyrl-CS"/>
        </w:rPr>
        <w:t>člana</w:t>
      </w:r>
      <w:r w:rsidRPr="00E95BC4">
        <w:rPr>
          <w:color w:val="000000" w:themeColor="text1"/>
          <w:lang w:val="sr-Cyrl-CS"/>
        </w:rPr>
        <w:t xml:space="preserve"> 235. </w:t>
      </w:r>
      <w:r w:rsidR="005818C0">
        <w:rPr>
          <w:color w:val="000000" w:themeColor="text1"/>
          <w:lang w:val="sr-Cyrl-CS"/>
        </w:rPr>
        <w:t>stav</w:t>
      </w:r>
      <w:r w:rsidRPr="00E95BC4">
        <w:rPr>
          <w:color w:val="000000" w:themeColor="text1"/>
          <w:lang w:val="sr-Cyrl-CS"/>
        </w:rPr>
        <w:t xml:space="preserve"> 4, </w:t>
      </w:r>
      <w:r w:rsidR="005818C0">
        <w:rPr>
          <w:color w:val="000000" w:themeColor="text1"/>
          <w:lang w:val="sr-Cyrl-CS"/>
        </w:rPr>
        <w:t>čl</w:t>
      </w:r>
      <w:r w:rsidRPr="00E95BC4">
        <w:rPr>
          <w:color w:val="000000" w:themeColor="text1"/>
          <w:lang w:val="sr-Cyrl-CS"/>
        </w:rPr>
        <w:t xml:space="preserve">. 236. </w:t>
      </w:r>
      <w:r w:rsidR="005818C0">
        <w:rPr>
          <w:color w:val="000000" w:themeColor="text1"/>
          <w:lang w:val="sr-Cyrl-CS"/>
        </w:rPr>
        <w:t>i</w:t>
      </w:r>
      <w:r w:rsidRPr="00E95BC4">
        <w:rPr>
          <w:color w:val="000000" w:themeColor="text1"/>
          <w:lang w:val="sr-Cyrl-CS"/>
        </w:rPr>
        <w:t xml:space="preserve"> 245. </w:t>
      </w:r>
      <w:r w:rsidR="005818C0">
        <w:rPr>
          <w:color w:val="000000" w:themeColor="text1"/>
          <w:lang w:val="sr-Cyrl-CS"/>
        </w:rPr>
        <w:t>Krivičnog</w:t>
      </w:r>
      <w:r w:rsidRPr="00E95BC4">
        <w:rPr>
          <w:color w:val="000000" w:themeColor="text1"/>
          <w:lang w:val="sr-Cyrl-CS"/>
        </w:rPr>
        <w:t xml:space="preserve"> </w:t>
      </w:r>
      <w:r w:rsidR="005818C0">
        <w:rPr>
          <w:color w:val="000000" w:themeColor="text1"/>
          <w:lang w:val="sr-Cyrl-CS"/>
        </w:rPr>
        <w:t>zakonika</w:t>
      </w:r>
      <w:r w:rsidRPr="00E95BC4">
        <w:rPr>
          <w:color w:val="000000" w:themeColor="text1"/>
          <w:lang w:val="sr-Cyrl-CS"/>
        </w:rPr>
        <w:t>),</w:t>
      </w:r>
      <w:r w:rsidRPr="00E95BC4">
        <w:rPr>
          <w:rFonts w:eastAsia="Calibri"/>
          <w:color w:val="000000" w:themeColor="text1"/>
          <w:lang w:val="sr-Cyrl-CS"/>
        </w:rPr>
        <w:t xml:space="preserve"> </w:t>
      </w:r>
      <w:r w:rsidR="005818C0">
        <w:rPr>
          <w:color w:val="000000" w:themeColor="text1"/>
          <w:lang w:val="sr-Cyrl-CS"/>
        </w:rPr>
        <w:t>ako</w:t>
      </w:r>
      <w:r w:rsidRPr="00E95BC4">
        <w:rPr>
          <w:color w:val="000000" w:themeColor="text1"/>
          <w:lang w:val="sr-Cyrl-CS"/>
        </w:rPr>
        <w:t xml:space="preserve"> </w:t>
      </w:r>
      <w:r w:rsidR="005818C0">
        <w:rPr>
          <w:color w:val="000000" w:themeColor="text1"/>
          <w:lang w:val="sr-Cyrl-CS"/>
        </w:rPr>
        <w:t>vrednost</w:t>
      </w:r>
      <w:r w:rsidRPr="00E95BC4">
        <w:rPr>
          <w:color w:val="000000" w:themeColor="text1"/>
          <w:lang w:val="sr-Cyrl-CS"/>
        </w:rPr>
        <w:t xml:space="preserve"> </w:t>
      </w:r>
      <w:r w:rsidR="005818C0">
        <w:rPr>
          <w:color w:val="000000" w:themeColor="text1"/>
          <w:lang w:val="sr-Cyrl-CS"/>
        </w:rPr>
        <w:t>imovinske</w:t>
      </w:r>
      <w:r w:rsidRPr="00E95BC4">
        <w:rPr>
          <w:color w:val="000000" w:themeColor="text1"/>
          <w:lang w:val="sr-Cyrl-CS"/>
        </w:rPr>
        <w:t xml:space="preserve"> </w:t>
      </w:r>
      <w:r w:rsidR="005818C0">
        <w:rPr>
          <w:color w:val="000000" w:themeColor="text1"/>
          <w:lang w:val="sr-Cyrl-CS"/>
        </w:rPr>
        <w:t>koristi</w:t>
      </w:r>
      <w:r w:rsidRPr="00E95BC4">
        <w:rPr>
          <w:color w:val="000000" w:themeColor="text1"/>
          <w:lang w:val="sr-Cyrl-CS"/>
        </w:rPr>
        <w:t xml:space="preserve"> </w:t>
      </w:r>
      <w:r w:rsidR="005818C0">
        <w:rPr>
          <w:color w:val="000000" w:themeColor="text1"/>
          <w:lang w:val="sr-Cyrl-CS"/>
        </w:rPr>
        <w:t>prelazi</w:t>
      </w:r>
      <w:r w:rsidRPr="00E95BC4">
        <w:rPr>
          <w:color w:val="000000" w:themeColor="text1"/>
          <w:lang w:val="sr-Cyrl-CS"/>
        </w:rPr>
        <w:t xml:space="preserve"> 200.000.000 </w:t>
      </w:r>
      <w:r w:rsidR="005818C0">
        <w:rPr>
          <w:color w:val="000000" w:themeColor="text1"/>
          <w:lang w:val="sr-Cyrl-CS"/>
        </w:rPr>
        <w:t>dinara</w:t>
      </w:r>
      <w:r w:rsidRPr="00E95BC4">
        <w:rPr>
          <w:color w:val="000000" w:themeColor="text1"/>
          <w:lang w:val="sr-Cyrl-CS"/>
        </w:rPr>
        <w:t xml:space="preserve">, </w:t>
      </w:r>
      <w:r w:rsidR="005818C0">
        <w:rPr>
          <w:color w:val="000000" w:themeColor="text1"/>
          <w:lang w:val="sr-Cyrl-CS"/>
        </w:rPr>
        <w:t>odnosno</w:t>
      </w:r>
      <w:r w:rsidRPr="00E95BC4">
        <w:rPr>
          <w:color w:val="000000" w:themeColor="text1"/>
          <w:lang w:val="sr-Cyrl-CS"/>
        </w:rPr>
        <w:t xml:space="preserve"> </w:t>
      </w:r>
      <w:r w:rsidR="005818C0">
        <w:rPr>
          <w:color w:val="000000" w:themeColor="text1"/>
          <w:lang w:val="sr-Cyrl-CS"/>
        </w:rPr>
        <w:t>ako</w:t>
      </w:r>
      <w:r w:rsidRPr="00E95BC4">
        <w:rPr>
          <w:color w:val="000000" w:themeColor="text1"/>
          <w:lang w:val="sr-Cyrl-CS"/>
        </w:rPr>
        <w:t xml:space="preserve"> </w:t>
      </w:r>
      <w:r w:rsidR="005818C0">
        <w:rPr>
          <w:color w:val="000000" w:themeColor="text1"/>
          <w:lang w:val="sr-Cyrl-CS"/>
        </w:rPr>
        <w:t>vrednost</w:t>
      </w:r>
      <w:r w:rsidRPr="00E95BC4">
        <w:rPr>
          <w:color w:val="000000" w:themeColor="text1"/>
          <w:lang w:val="sr-Cyrl-CS"/>
        </w:rPr>
        <w:t xml:space="preserve"> </w:t>
      </w:r>
      <w:r w:rsidR="005818C0">
        <w:rPr>
          <w:color w:val="000000" w:themeColor="text1"/>
          <w:lang w:val="sr-Cyrl-CS"/>
        </w:rPr>
        <w:t>javne</w:t>
      </w:r>
      <w:r w:rsidRPr="00E95BC4">
        <w:rPr>
          <w:color w:val="000000" w:themeColor="text1"/>
          <w:lang w:val="sr-Cyrl-CS"/>
        </w:rPr>
        <w:t xml:space="preserve"> </w:t>
      </w:r>
      <w:r w:rsidR="005818C0">
        <w:rPr>
          <w:color w:val="000000" w:themeColor="text1"/>
          <w:lang w:val="sr-Cyrl-CS"/>
        </w:rPr>
        <w:t>nabavke</w:t>
      </w:r>
      <w:r w:rsidR="009B5569">
        <w:rPr>
          <w:color w:val="000000" w:themeColor="text1"/>
          <w:lang w:val="sr-Cyrl-CS"/>
        </w:rPr>
        <w:t xml:space="preserve"> </w:t>
      </w:r>
      <w:r w:rsidR="005818C0">
        <w:rPr>
          <w:color w:val="000000" w:themeColor="text1"/>
          <w:lang w:val="sr-Cyrl-CS"/>
        </w:rPr>
        <w:t>prelazi</w:t>
      </w:r>
      <w:r w:rsidR="009B5569">
        <w:rPr>
          <w:color w:val="000000" w:themeColor="text1"/>
          <w:lang w:val="sr-Cyrl-CS"/>
        </w:rPr>
        <w:t xml:space="preserve"> 800.000.000 </w:t>
      </w:r>
      <w:r w:rsidR="005818C0">
        <w:rPr>
          <w:color w:val="000000" w:themeColor="text1"/>
          <w:lang w:val="sr-Cyrl-CS"/>
        </w:rPr>
        <w:t>dinara</w:t>
      </w:r>
      <w:r w:rsidR="009B5569">
        <w:rPr>
          <w:color w:val="000000" w:themeColor="text1"/>
          <w:lang w:val="sr-Cyrl-CS"/>
        </w:rPr>
        <w:t>.</w:t>
      </w:r>
    </w:p>
    <w:p w:rsidR="00745C54" w:rsidRPr="00E95BC4" w:rsidRDefault="00745C54" w:rsidP="00745C54">
      <w:pPr>
        <w:jc w:val="both"/>
        <w:rPr>
          <w:color w:val="000000" w:themeColor="text1"/>
          <w:lang w:val="sr-Cyrl-CS"/>
        </w:rPr>
      </w:pPr>
      <w:r w:rsidRPr="00E95BC4">
        <w:rPr>
          <w:color w:val="000000" w:themeColor="text1"/>
          <w:lang w:val="sr-Cyrl-CS"/>
        </w:rPr>
        <w:tab/>
      </w:r>
      <w:r w:rsidR="005818C0">
        <w:rPr>
          <w:color w:val="000000" w:themeColor="text1"/>
          <w:lang w:val="sr-Cyrl-CS"/>
        </w:rPr>
        <w:t>Sva</w:t>
      </w:r>
      <w:r w:rsidRPr="00E95BC4">
        <w:rPr>
          <w:color w:val="000000" w:themeColor="text1"/>
          <w:lang w:val="sr-Cyrl-CS"/>
        </w:rPr>
        <w:t xml:space="preserve"> </w:t>
      </w:r>
      <w:r w:rsidR="005818C0">
        <w:rPr>
          <w:color w:val="000000" w:themeColor="text1"/>
          <w:lang w:val="sr-Cyrl-CS"/>
        </w:rPr>
        <w:t>ostala</w:t>
      </w:r>
      <w:r w:rsidRPr="00E95BC4">
        <w:rPr>
          <w:color w:val="000000" w:themeColor="text1"/>
          <w:lang w:val="sr-Cyrl-CS"/>
        </w:rPr>
        <w:t xml:space="preserve"> </w:t>
      </w:r>
      <w:r w:rsidR="005818C0">
        <w:rPr>
          <w:color w:val="000000" w:themeColor="text1"/>
          <w:lang w:val="sr-Cyrl-CS"/>
        </w:rPr>
        <w:t>krivična</w:t>
      </w:r>
      <w:r w:rsidRPr="00E95BC4">
        <w:rPr>
          <w:color w:val="000000" w:themeColor="text1"/>
          <w:lang w:val="sr-Cyrl-CS"/>
        </w:rPr>
        <w:t xml:space="preserve"> </w:t>
      </w:r>
      <w:r w:rsidR="005818C0">
        <w:rPr>
          <w:color w:val="000000" w:themeColor="text1"/>
          <w:lang w:val="sr-Cyrl-CS"/>
        </w:rPr>
        <w:t>dela</w:t>
      </w:r>
      <w:r w:rsidRPr="00E95BC4">
        <w:rPr>
          <w:color w:val="000000" w:themeColor="text1"/>
          <w:lang w:val="sr-Cyrl-CS"/>
        </w:rPr>
        <w:t xml:space="preserve"> </w:t>
      </w:r>
      <w:r w:rsidR="005818C0">
        <w:rPr>
          <w:i/>
          <w:color w:val="000000" w:themeColor="text1"/>
          <w:lang w:val="sr-Cyrl-CS"/>
        </w:rPr>
        <w:t>pranje</w:t>
      </w:r>
      <w:r w:rsidRPr="00E95BC4">
        <w:rPr>
          <w:i/>
          <w:color w:val="000000" w:themeColor="text1"/>
          <w:lang w:val="sr-Cyrl-CS"/>
        </w:rPr>
        <w:t xml:space="preserve"> </w:t>
      </w:r>
      <w:r w:rsidR="005818C0">
        <w:rPr>
          <w:i/>
          <w:color w:val="000000" w:themeColor="text1"/>
          <w:lang w:val="sr-Cyrl-CS"/>
        </w:rPr>
        <w:t>novca</w:t>
      </w:r>
      <w:r w:rsidRPr="00E95BC4">
        <w:rPr>
          <w:color w:val="000000" w:themeColor="text1"/>
          <w:lang w:val="sr-Cyrl-CS"/>
        </w:rPr>
        <w:t xml:space="preserve"> </w:t>
      </w:r>
      <w:r w:rsidR="005818C0">
        <w:rPr>
          <w:color w:val="000000" w:themeColor="text1"/>
          <w:lang w:val="sr-Cyrl-CS"/>
        </w:rPr>
        <w:t>su</w:t>
      </w:r>
      <w:r w:rsidRPr="00E95BC4">
        <w:rPr>
          <w:color w:val="000000" w:themeColor="text1"/>
          <w:lang w:val="sr-Cyrl-CS"/>
        </w:rPr>
        <w:t xml:space="preserve"> </w:t>
      </w:r>
      <w:r w:rsidR="005818C0">
        <w:rPr>
          <w:color w:val="000000" w:themeColor="text1"/>
          <w:lang w:val="sr-Cyrl-CS"/>
        </w:rPr>
        <w:t>u</w:t>
      </w:r>
      <w:r w:rsidRPr="00E95BC4">
        <w:rPr>
          <w:color w:val="000000" w:themeColor="text1"/>
          <w:lang w:val="sr-Cyrl-CS"/>
        </w:rPr>
        <w:t xml:space="preserve"> </w:t>
      </w:r>
      <w:r w:rsidR="005818C0">
        <w:rPr>
          <w:color w:val="000000" w:themeColor="text1"/>
          <w:lang w:val="sr-Cyrl-CS"/>
        </w:rPr>
        <w:t>stvarnoj</w:t>
      </w:r>
      <w:r w:rsidRPr="00E95BC4">
        <w:rPr>
          <w:color w:val="000000" w:themeColor="text1"/>
          <w:lang w:val="sr-Cyrl-CS"/>
        </w:rPr>
        <w:t xml:space="preserve"> </w:t>
      </w:r>
      <w:r w:rsidR="005818C0">
        <w:rPr>
          <w:color w:val="000000" w:themeColor="text1"/>
          <w:lang w:val="sr-Cyrl-CS"/>
        </w:rPr>
        <w:t>nadležnosti</w:t>
      </w:r>
      <w:r w:rsidRPr="00E95BC4">
        <w:rPr>
          <w:color w:val="000000" w:themeColor="text1"/>
          <w:lang w:val="sr-Cyrl-CS"/>
        </w:rPr>
        <w:t xml:space="preserve"> </w:t>
      </w:r>
      <w:r w:rsidR="005818C0">
        <w:rPr>
          <w:color w:val="000000" w:themeColor="text1"/>
          <w:lang w:val="sr-Cyrl-CS"/>
        </w:rPr>
        <w:t>druge</w:t>
      </w:r>
      <w:r w:rsidRPr="00E95BC4">
        <w:rPr>
          <w:color w:val="000000" w:themeColor="text1"/>
          <w:lang w:val="sr-Cyrl-CS"/>
        </w:rPr>
        <w:t xml:space="preserve"> </w:t>
      </w:r>
      <w:r w:rsidR="005818C0">
        <w:rPr>
          <w:color w:val="000000" w:themeColor="text1"/>
          <w:lang w:val="sr-Cyrl-CS"/>
        </w:rPr>
        <w:t>grupe</w:t>
      </w:r>
      <w:r w:rsidRPr="00E95BC4">
        <w:rPr>
          <w:color w:val="000000" w:themeColor="text1"/>
          <w:lang w:val="sr-Cyrl-CS"/>
        </w:rPr>
        <w:t xml:space="preserve"> </w:t>
      </w:r>
      <w:r w:rsidR="005818C0">
        <w:rPr>
          <w:color w:val="000000" w:themeColor="text1"/>
          <w:lang w:val="sr-Cyrl-CS"/>
        </w:rPr>
        <w:t>specijalizovanih</w:t>
      </w:r>
      <w:r w:rsidRPr="00E95BC4">
        <w:rPr>
          <w:color w:val="000000" w:themeColor="text1"/>
          <w:lang w:val="sr-Cyrl-CS"/>
        </w:rPr>
        <w:t xml:space="preserve"> </w:t>
      </w:r>
      <w:r w:rsidR="005818C0">
        <w:rPr>
          <w:color w:val="000000" w:themeColor="text1"/>
          <w:lang w:val="sr-Cyrl-CS"/>
        </w:rPr>
        <w:t>državnih</w:t>
      </w:r>
      <w:r w:rsidRPr="00E95BC4">
        <w:rPr>
          <w:color w:val="000000" w:themeColor="text1"/>
          <w:lang w:val="sr-Cyrl-CS"/>
        </w:rPr>
        <w:t xml:space="preserve"> </w:t>
      </w:r>
      <w:r w:rsidR="005818C0">
        <w:rPr>
          <w:color w:val="000000" w:themeColor="text1"/>
          <w:lang w:val="sr-Cyrl-CS"/>
        </w:rPr>
        <w:t>organa</w:t>
      </w:r>
      <w:r w:rsidRPr="00E95BC4">
        <w:rPr>
          <w:color w:val="000000" w:themeColor="text1"/>
          <w:lang w:val="sr-Cyrl-CS"/>
        </w:rPr>
        <w:t xml:space="preserve"> </w:t>
      </w:r>
      <w:r w:rsidR="005818C0">
        <w:rPr>
          <w:color w:val="000000" w:themeColor="text1"/>
          <w:lang w:val="sr-Cyrl-CS"/>
        </w:rPr>
        <w:t>i</w:t>
      </w:r>
      <w:r w:rsidRPr="00E95BC4">
        <w:rPr>
          <w:color w:val="000000" w:themeColor="text1"/>
          <w:lang w:val="sr-Cyrl-CS"/>
        </w:rPr>
        <w:t xml:space="preserve"> </w:t>
      </w:r>
      <w:r w:rsidR="005818C0">
        <w:rPr>
          <w:color w:val="000000" w:themeColor="text1"/>
          <w:lang w:val="sr-Cyrl-CS"/>
        </w:rPr>
        <w:t>organizacionih</w:t>
      </w:r>
      <w:r w:rsidRPr="00E95BC4">
        <w:rPr>
          <w:color w:val="000000" w:themeColor="text1"/>
          <w:lang w:val="sr-Cyrl-CS"/>
        </w:rPr>
        <w:t xml:space="preserve"> </w:t>
      </w:r>
      <w:r w:rsidR="005818C0">
        <w:rPr>
          <w:color w:val="000000" w:themeColor="text1"/>
          <w:lang w:val="sr-Cyrl-CS"/>
        </w:rPr>
        <w:t>jedinica</w:t>
      </w:r>
      <w:r w:rsidRPr="00E95BC4">
        <w:rPr>
          <w:color w:val="000000" w:themeColor="text1"/>
          <w:lang w:val="sr-Cyrl-CS"/>
        </w:rPr>
        <w:t xml:space="preserve"> </w:t>
      </w:r>
      <w:r w:rsidR="005818C0">
        <w:rPr>
          <w:color w:val="000000" w:themeColor="text1"/>
          <w:lang w:val="sr-Cyrl-CS"/>
        </w:rPr>
        <w:t>državnih</w:t>
      </w:r>
      <w:r w:rsidRPr="00E95BC4">
        <w:rPr>
          <w:color w:val="000000" w:themeColor="text1"/>
          <w:lang w:val="sr-Cyrl-CS"/>
        </w:rPr>
        <w:t xml:space="preserve"> </w:t>
      </w:r>
      <w:r w:rsidR="005818C0">
        <w:rPr>
          <w:color w:val="000000" w:themeColor="text1"/>
          <w:lang w:val="sr-Cyrl-CS"/>
        </w:rPr>
        <w:t>organa</w:t>
      </w:r>
      <w:r w:rsidRPr="00E95BC4">
        <w:rPr>
          <w:color w:val="000000" w:themeColor="text1"/>
          <w:lang w:val="sr-Cyrl-CS"/>
        </w:rPr>
        <w:t xml:space="preserve"> </w:t>
      </w:r>
      <w:r w:rsidR="005818C0">
        <w:rPr>
          <w:color w:val="000000" w:themeColor="text1"/>
          <w:lang w:val="sr-Cyrl-CS"/>
        </w:rPr>
        <w:t>koje</w:t>
      </w:r>
      <w:r w:rsidRPr="00E95BC4">
        <w:rPr>
          <w:color w:val="000000" w:themeColor="text1"/>
          <w:lang w:val="sr-Cyrl-CS"/>
        </w:rPr>
        <w:t xml:space="preserve"> </w:t>
      </w:r>
      <w:r w:rsidR="005818C0">
        <w:rPr>
          <w:color w:val="000000" w:themeColor="text1"/>
          <w:lang w:val="sr-Cyrl-CS"/>
        </w:rPr>
        <w:t>čine</w:t>
      </w:r>
      <w:r w:rsidRPr="00E95BC4">
        <w:rPr>
          <w:color w:val="000000" w:themeColor="text1"/>
          <w:lang w:val="sr-Cyrl-CS"/>
        </w:rPr>
        <w:t xml:space="preserve">: 4 </w:t>
      </w:r>
      <w:r w:rsidR="005818C0">
        <w:rPr>
          <w:color w:val="000000" w:themeColor="text1"/>
          <w:lang w:val="sr-Cyrl-CS"/>
        </w:rPr>
        <w:t>posebna</w:t>
      </w:r>
      <w:r w:rsidRPr="00E95BC4">
        <w:rPr>
          <w:color w:val="000000" w:themeColor="text1"/>
          <w:lang w:val="sr-Cyrl-CS"/>
        </w:rPr>
        <w:t xml:space="preserve"> </w:t>
      </w:r>
      <w:r w:rsidR="005818C0">
        <w:rPr>
          <w:color w:val="000000" w:themeColor="text1"/>
          <w:lang w:val="sr-Cyrl-CS"/>
        </w:rPr>
        <w:t>odeljenja</w:t>
      </w:r>
      <w:r w:rsidRPr="00E95BC4">
        <w:rPr>
          <w:color w:val="000000" w:themeColor="text1"/>
          <w:lang w:val="sr-Cyrl-CS"/>
        </w:rPr>
        <w:t xml:space="preserve"> </w:t>
      </w:r>
      <w:r w:rsidR="005818C0">
        <w:rPr>
          <w:color w:val="000000" w:themeColor="text1"/>
          <w:lang w:val="sr-Cyrl-CS"/>
        </w:rPr>
        <w:t>viših</w:t>
      </w:r>
      <w:r w:rsidRPr="00E95BC4">
        <w:rPr>
          <w:color w:val="000000" w:themeColor="text1"/>
          <w:lang w:val="sr-Cyrl-CS"/>
        </w:rPr>
        <w:t xml:space="preserve"> </w:t>
      </w:r>
      <w:r w:rsidR="005818C0">
        <w:rPr>
          <w:color w:val="000000" w:themeColor="text1"/>
          <w:lang w:val="sr-Cyrl-CS"/>
        </w:rPr>
        <w:t>javnih</w:t>
      </w:r>
      <w:r w:rsidRPr="00E95BC4">
        <w:rPr>
          <w:color w:val="000000" w:themeColor="text1"/>
          <w:lang w:val="sr-Cyrl-CS"/>
        </w:rPr>
        <w:t xml:space="preserve"> </w:t>
      </w:r>
      <w:r w:rsidR="005818C0">
        <w:rPr>
          <w:color w:val="000000" w:themeColor="text1"/>
          <w:lang w:val="sr-Cyrl-CS"/>
        </w:rPr>
        <w:t>tužilaštava</w:t>
      </w:r>
      <w:r w:rsidRPr="00E95BC4">
        <w:rPr>
          <w:color w:val="000000" w:themeColor="text1"/>
          <w:lang w:val="sr-Cyrl-CS"/>
        </w:rPr>
        <w:t xml:space="preserve"> </w:t>
      </w:r>
      <w:r w:rsidR="005818C0">
        <w:rPr>
          <w:color w:val="000000" w:themeColor="text1"/>
          <w:lang w:val="sr-Cyrl-CS"/>
        </w:rPr>
        <w:t>za</w:t>
      </w:r>
      <w:r w:rsidRPr="00E95BC4">
        <w:rPr>
          <w:color w:val="000000" w:themeColor="text1"/>
          <w:lang w:val="sr-Cyrl-CS"/>
        </w:rPr>
        <w:t xml:space="preserve"> </w:t>
      </w:r>
      <w:r w:rsidR="005818C0">
        <w:rPr>
          <w:color w:val="000000" w:themeColor="text1"/>
          <w:lang w:val="sr-Cyrl-CS"/>
        </w:rPr>
        <w:t>suzbijanje</w:t>
      </w:r>
      <w:r w:rsidRPr="00E95BC4">
        <w:rPr>
          <w:color w:val="000000" w:themeColor="text1"/>
          <w:lang w:val="sr-Cyrl-CS"/>
        </w:rPr>
        <w:t xml:space="preserve"> </w:t>
      </w:r>
      <w:r w:rsidR="005818C0">
        <w:rPr>
          <w:color w:val="000000" w:themeColor="text1"/>
          <w:lang w:val="sr-Cyrl-CS"/>
        </w:rPr>
        <w:t>korupcije</w:t>
      </w:r>
      <w:r w:rsidRPr="00E95BC4">
        <w:rPr>
          <w:color w:val="000000" w:themeColor="text1"/>
          <w:lang w:val="sr-Cyrl-CS"/>
        </w:rPr>
        <w:t xml:space="preserve"> </w:t>
      </w:r>
      <w:r w:rsidR="005818C0">
        <w:rPr>
          <w:color w:val="000000" w:themeColor="text1"/>
          <w:lang w:val="sr-Cyrl-CS"/>
        </w:rPr>
        <w:t>u</w:t>
      </w:r>
      <w:r w:rsidRPr="00E95BC4">
        <w:rPr>
          <w:color w:val="000000" w:themeColor="text1"/>
          <w:lang w:val="sr-Cyrl-CS"/>
        </w:rPr>
        <w:t xml:space="preserve"> </w:t>
      </w:r>
      <w:r w:rsidR="005818C0">
        <w:rPr>
          <w:color w:val="000000" w:themeColor="text1"/>
          <w:lang w:val="sr-Cyrl-CS"/>
        </w:rPr>
        <w:t>Višim</w:t>
      </w:r>
      <w:r w:rsidRPr="00E95BC4">
        <w:rPr>
          <w:color w:val="000000" w:themeColor="text1"/>
          <w:lang w:val="sr-Cyrl-CS"/>
        </w:rPr>
        <w:t xml:space="preserve"> </w:t>
      </w:r>
      <w:r w:rsidR="005818C0">
        <w:rPr>
          <w:color w:val="000000" w:themeColor="text1"/>
          <w:lang w:val="sr-Cyrl-CS"/>
        </w:rPr>
        <w:t>javnim</w:t>
      </w:r>
      <w:r w:rsidRPr="00E95BC4">
        <w:rPr>
          <w:color w:val="000000" w:themeColor="text1"/>
          <w:lang w:val="sr-Cyrl-CS"/>
        </w:rPr>
        <w:t xml:space="preserve"> </w:t>
      </w:r>
      <w:r w:rsidR="005818C0">
        <w:rPr>
          <w:color w:val="000000" w:themeColor="text1"/>
          <w:lang w:val="sr-Cyrl-CS"/>
        </w:rPr>
        <w:t>tužilaštvima</w:t>
      </w:r>
      <w:r w:rsidRPr="00E95BC4">
        <w:rPr>
          <w:color w:val="000000" w:themeColor="text1"/>
          <w:lang w:val="sr-Cyrl-CS"/>
        </w:rPr>
        <w:t xml:space="preserve"> </w:t>
      </w:r>
      <w:r w:rsidR="005818C0">
        <w:rPr>
          <w:color w:val="000000" w:themeColor="text1"/>
          <w:lang w:val="sr-Cyrl-CS"/>
        </w:rPr>
        <w:t>u</w:t>
      </w:r>
      <w:r w:rsidRPr="00E95BC4">
        <w:rPr>
          <w:color w:val="000000" w:themeColor="text1"/>
          <w:lang w:val="sr-Cyrl-CS"/>
        </w:rPr>
        <w:t xml:space="preserve"> </w:t>
      </w:r>
      <w:r w:rsidR="005818C0">
        <w:rPr>
          <w:color w:val="000000" w:themeColor="text1"/>
          <w:lang w:val="sr-Cyrl-CS"/>
        </w:rPr>
        <w:t>Beogradu</w:t>
      </w:r>
      <w:r w:rsidRPr="00E95BC4">
        <w:rPr>
          <w:color w:val="000000" w:themeColor="text1"/>
          <w:lang w:val="sr-Cyrl-CS"/>
        </w:rPr>
        <w:t xml:space="preserve">, </w:t>
      </w:r>
      <w:r w:rsidR="005818C0">
        <w:rPr>
          <w:color w:val="000000" w:themeColor="text1"/>
          <w:lang w:val="sr-Cyrl-CS"/>
        </w:rPr>
        <w:t>Novom</w:t>
      </w:r>
      <w:r w:rsidRPr="00E95BC4">
        <w:rPr>
          <w:color w:val="000000" w:themeColor="text1"/>
          <w:lang w:val="sr-Cyrl-CS"/>
        </w:rPr>
        <w:t xml:space="preserve"> </w:t>
      </w:r>
      <w:r w:rsidR="005818C0">
        <w:rPr>
          <w:color w:val="000000" w:themeColor="text1"/>
          <w:lang w:val="sr-Cyrl-CS"/>
        </w:rPr>
        <w:t>Sadu</w:t>
      </w:r>
      <w:r w:rsidRPr="00E95BC4">
        <w:rPr>
          <w:color w:val="000000" w:themeColor="text1"/>
          <w:lang w:val="sr-Cyrl-CS"/>
        </w:rPr>
        <w:t xml:space="preserve">, </w:t>
      </w:r>
      <w:r w:rsidR="005818C0">
        <w:rPr>
          <w:color w:val="000000" w:themeColor="text1"/>
          <w:lang w:val="sr-Cyrl-CS"/>
        </w:rPr>
        <w:t>Nišu</w:t>
      </w:r>
      <w:r w:rsidRPr="00E95BC4">
        <w:rPr>
          <w:color w:val="000000" w:themeColor="text1"/>
          <w:lang w:val="sr-Cyrl-CS"/>
        </w:rPr>
        <w:t xml:space="preserve"> </w:t>
      </w:r>
      <w:r w:rsidR="005818C0">
        <w:rPr>
          <w:color w:val="000000" w:themeColor="text1"/>
          <w:lang w:val="sr-Cyrl-CS"/>
        </w:rPr>
        <w:t>i</w:t>
      </w:r>
      <w:r w:rsidRPr="00E95BC4">
        <w:rPr>
          <w:color w:val="000000" w:themeColor="text1"/>
          <w:lang w:val="sr-Cyrl-CS"/>
        </w:rPr>
        <w:t xml:space="preserve"> </w:t>
      </w:r>
      <w:r w:rsidR="005818C0">
        <w:rPr>
          <w:color w:val="000000" w:themeColor="text1"/>
          <w:lang w:val="sr-Cyrl-CS"/>
        </w:rPr>
        <w:t>Kraljevu</w:t>
      </w:r>
      <w:r w:rsidRPr="00E95BC4">
        <w:rPr>
          <w:color w:val="000000" w:themeColor="text1"/>
          <w:lang w:val="sr-Cyrl-CS"/>
        </w:rPr>
        <w:t xml:space="preserve">, </w:t>
      </w:r>
      <w:r w:rsidR="005818C0">
        <w:rPr>
          <w:bCs/>
          <w:color w:val="000000" w:themeColor="text1"/>
          <w:lang w:val="sr-Cyrl-CS"/>
        </w:rPr>
        <w:t>organizaciona</w:t>
      </w:r>
      <w:r w:rsidRPr="00E95BC4">
        <w:rPr>
          <w:bCs/>
          <w:color w:val="000000" w:themeColor="text1"/>
          <w:lang w:val="sr-Cyrl-CS"/>
        </w:rPr>
        <w:t xml:space="preserve"> </w:t>
      </w:r>
      <w:r w:rsidR="005818C0">
        <w:rPr>
          <w:bCs/>
          <w:color w:val="000000" w:themeColor="text1"/>
          <w:lang w:val="sr-Cyrl-CS"/>
        </w:rPr>
        <w:t>jedinica</w:t>
      </w:r>
      <w:r w:rsidRPr="00E95BC4">
        <w:rPr>
          <w:bCs/>
          <w:color w:val="000000" w:themeColor="text1"/>
          <w:lang w:val="sr-Cyrl-CS"/>
        </w:rPr>
        <w:t xml:space="preserve"> </w:t>
      </w:r>
      <w:r w:rsidR="005818C0">
        <w:rPr>
          <w:bCs/>
          <w:color w:val="000000" w:themeColor="text1"/>
          <w:lang w:val="sr-Cyrl-CS"/>
        </w:rPr>
        <w:t>policije</w:t>
      </w:r>
      <w:r w:rsidRPr="00E95BC4">
        <w:rPr>
          <w:bCs/>
          <w:color w:val="000000" w:themeColor="text1"/>
          <w:lang w:val="sr-Cyrl-CS"/>
        </w:rPr>
        <w:t xml:space="preserve"> </w:t>
      </w:r>
      <w:r w:rsidR="005818C0">
        <w:rPr>
          <w:bCs/>
          <w:color w:val="000000" w:themeColor="text1"/>
          <w:lang w:val="sr-Cyrl-CS"/>
        </w:rPr>
        <w:t>nadležna</w:t>
      </w:r>
      <w:r w:rsidRPr="00E95BC4">
        <w:rPr>
          <w:bCs/>
          <w:color w:val="000000" w:themeColor="text1"/>
          <w:lang w:val="sr-Cyrl-CS"/>
        </w:rPr>
        <w:t xml:space="preserve"> </w:t>
      </w:r>
      <w:r w:rsidR="005818C0">
        <w:rPr>
          <w:bCs/>
          <w:color w:val="000000" w:themeColor="text1"/>
          <w:lang w:val="sr-Cyrl-CS"/>
        </w:rPr>
        <w:t>za</w:t>
      </w:r>
      <w:r w:rsidRPr="00E95BC4">
        <w:rPr>
          <w:bCs/>
          <w:color w:val="000000" w:themeColor="text1"/>
          <w:lang w:val="sr-Cyrl-CS"/>
        </w:rPr>
        <w:t xml:space="preserve"> </w:t>
      </w:r>
      <w:r w:rsidR="005818C0">
        <w:rPr>
          <w:bCs/>
          <w:color w:val="000000" w:themeColor="text1"/>
          <w:lang w:val="sr-Cyrl-CS"/>
        </w:rPr>
        <w:t>suzbijanje</w:t>
      </w:r>
      <w:r w:rsidRPr="00E95BC4">
        <w:rPr>
          <w:bCs/>
          <w:color w:val="000000" w:themeColor="text1"/>
          <w:lang w:val="sr-Cyrl-CS"/>
        </w:rPr>
        <w:t xml:space="preserve"> </w:t>
      </w:r>
      <w:r w:rsidR="005818C0">
        <w:rPr>
          <w:color w:val="000000" w:themeColor="text1"/>
          <w:lang w:val="sr-Cyrl-CS"/>
        </w:rPr>
        <w:t>korupcije</w:t>
      </w:r>
      <w:r w:rsidR="0044603F" w:rsidRPr="00E95BC4">
        <w:rPr>
          <w:color w:val="000000" w:themeColor="text1"/>
          <w:lang w:val="sr-Cyrl-CS"/>
        </w:rPr>
        <w:t xml:space="preserve"> </w:t>
      </w:r>
      <w:r w:rsidR="005818C0">
        <w:rPr>
          <w:color w:val="000000" w:themeColor="text1"/>
          <w:lang w:val="sr-Cyrl-CS"/>
        </w:rPr>
        <w:t>i</w:t>
      </w:r>
      <w:r w:rsidRPr="00E95BC4">
        <w:rPr>
          <w:color w:val="000000" w:themeColor="text1"/>
          <w:lang w:val="sr-Cyrl-CS"/>
        </w:rPr>
        <w:t xml:space="preserve"> </w:t>
      </w:r>
      <w:r w:rsidR="005818C0">
        <w:rPr>
          <w:color w:val="000000" w:themeColor="text1"/>
          <w:lang w:val="sr-Cyrl-CS"/>
        </w:rPr>
        <w:t>četiri</w:t>
      </w:r>
      <w:r w:rsidRPr="00E95BC4">
        <w:rPr>
          <w:color w:val="000000" w:themeColor="text1"/>
          <w:lang w:val="sr-Cyrl-CS"/>
        </w:rPr>
        <w:t xml:space="preserve"> </w:t>
      </w:r>
      <w:r w:rsidR="005818C0">
        <w:rPr>
          <w:color w:val="000000" w:themeColor="text1"/>
          <w:lang w:val="sr-Cyrl-CS"/>
        </w:rPr>
        <w:t>posebna</w:t>
      </w:r>
      <w:r w:rsidRPr="00E95BC4">
        <w:rPr>
          <w:color w:val="000000" w:themeColor="text1"/>
          <w:lang w:val="sr-Cyrl-CS"/>
        </w:rPr>
        <w:t xml:space="preserve"> </w:t>
      </w:r>
      <w:r w:rsidR="005818C0">
        <w:rPr>
          <w:color w:val="000000" w:themeColor="text1"/>
          <w:lang w:val="sr-Cyrl-CS"/>
        </w:rPr>
        <w:t>odeljenja</w:t>
      </w:r>
      <w:r w:rsidRPr="00E95BC4">
        <w:rPr>
          <w:color w:val="000000" w:themeColor="text1"/>
          <w:lang w:val="sr-Cyrl-CS"/>
        </w:rPr>
        <w:t xml:space="preserve"> </w:t>
      </w:r>
      <w:r w:rsidR="005818C0">
        <w:rPr>
          <w:color w:val="000000" w:themeColor="text1"/>
          <w:lang w:val="sr-Cyrl-CS"/>
        </w:rPr>
        <w:t>za</w:t>
      </w:r>
      <w:r w:rsidRPr="00E95BC4">
        <w:rPr>
          <w:color w:val="000000" w:themeColor="text1"/>
          <w:lang w:val="sr-Cyrl-CS"/>
        </w:rPr>
        <w:t xml:space="preserve"> </w:t>
      </w:r>
      <w:r w:rsidR="005818C0">
        <w:rPr>
          <w:color w:val="000000" w:themeColor="text1"/>
          <w:lang w:val="sr-Cyrl-CS"/>
        </w:rPr>
        <w:t>suzbijanje</w:t>
      </w:r>
      <w:r w:rsidR="0044603F" w:rsidRPr="00E95BC4">
        <w:rPr>
          <w:color w:val="000000" w:themeColor="text1"/>
          <w:lang w:val="sr-Cyrl-CS"/>
        </w:rPr>
        <w:t xml:space="preserve"> </w:t>
      </w:r>
      <w:r w:rsidR="005818C0">
        <w:rPr>
          <w:color w:val="000000" w:themeColor="text1"/>
          <w:lang w:val="sr-Cyrl-CS"/>
        </w:rPr>
        <w:t>korupcije</w:t>
      </w:r>
      <w:r w:rsidR="0044603F" w:rsidRPr="00E95BC4">
        <w:rPr>
          <w:color w:val="000000" w:themeColor="text1"/>
          <w:lang w:val="sr-Cyrl-CS"/>
        </w:rPr>
        <w:t xml:space="preserve"> </w:t>
      </w:r>
      <w:r w:rsidR="005818C0">
        <w:rPr>
          <w:color w:val="000000" w:themeColor="text1"/>
          <w:lang w:val="sr-Cyrl-CS"/>
        </w:rPr>
        <w:t>u</w:t>
      </w:r>
      <w:r w:rsidR="0044603F" w:rsidRPr="00E95BC4">
        <w:rPr>
          <w:color w:val="000000" w:themeColor="text1"/>
          <w:lang w:val="sr-Cyrl-CS"/>
        </w:rPr>
        <w:t xml:space="preserve"> </w:t>
      </w:r>
      <w:r w:rsidR="005818C0">
        <w:rPr>
          <w:color w:val="000000" w:themeColor="text1"/>
          <w:lang w:val="sr-Cyrl-CS"/>
        </w:rPr>
        <w:t>Višim</w:t>
      </w:r>
      <w:r w:rsidR="0044603F" w:rsidRPr="00E95BC4">
        <w:rPr>
          <w:color w:val="000000" w:themeColor="text1"/>
          <w:lang w:val="sr-Cyrl-CS"/>
        </w:rPr>
        <w:t xml:space="preserve"> </w:t>
      </w:r>
      <w:r w:rsidR="005818C0">
        <w:rPr>
          <w:color w:val="000000" w:themeColor="text1"/>
          <w:lang w:val="sr-Cyrl-CS"/>
        </w:rPr>
        <w:t>sudovima</w:t>
      </w:r>
      <w:r w:rsidR="0044603F" w:rsidRPr="00E95BC4">
        <w:rPr>
          <w:color w:val="000000" w:themeColor="text1"/>
          <w:lang w:val="sr-Cyrl-CS"/>
        </w:rPr>
        <w:t xml:space="preserve"> </w:t>
      </w:r>
      <w:r w:rsidR="005818C0">
        <w:rPr>
          <w:color w:val="000000" w:themeColor="text1"/>
          <w:lang w:val="sr-Cyrl-CS"/>
        </w:rPr>
        <w:t>u</w:t>
      </w:r>
      <w:r w:rsidR="0044603F" w:rsidRPr="00E95BC4">
        <w:rPr>
          <w:color w:val="000000" w:themeColor="text1"/>
          <w:lang w:val="sr-Cyrl-CS"/>
        </w:rPr>
        <w:t xml:space="preserve"> </w:t>
      </w:r>
      <w:r w:rsidR="005818C0">
        <w:rPr>
          <w:color w:val="000000" w:themeColor="text1"/>
          <w:lang w:val="sr-Cyrl-CS"/>
        </w:rPr>
        <w:t>Beogradu</w:t>
      </w:r>
      <w:r w:rsidRPr="00E95BC4">
        <w:rPr>
          <w:color w:val="000000" w:themeColor="text1"/>
          <w:lang w:val="sr-Cyrl-CS"/>
        </w:rPr>
        <w:t xml:space="preserve">, </w:t>
      </w:r>
      <w:r w:rsidR="005818C0">
        <w:rPr>
          <w:color w:val="000000" w:themeColor="text1"/>
          <w:lang w:val="sr-Cyrl-CS"/>
        </w:rPr>
        <w:t>Novom</w:t>
      </w:r>
      <w:r w:rsidRPr="00E95BC4">
        <w:rPr>
          <w:color w:val="000000" w:themeColor="text1"/>
          <w:lang w:val="sr-Cyrl-CS"/>
        </w:rPr>
        <w:t xml:space="preserve"> </w:t>
      </w:r>
      <w:r w:rsidR="005818C0">
        <w:rPr>
          <w:color w:val="000000" w:themeColor="text1"/>
          <w:lang w:val="sr-Cyrl-CS"/>
        </w:rPr>
        <w:t>Sadu</w:t>
      </w:r>
      <w:r w:rsidRPr="00E95BC4">
        <w:rPr>
          <w:color w:val="000000" w:themeColor="text1"/>
          <w:lang w:val="sr-Cyrl-CS"/>
        </w:rPr>
        <w:t xml:space="preserve">, </w:t>
      </w:r>
      <w:r w:rsidR="005818C0">
        <w:rPr>
          <w:color w:val="000000" w:themeColor="text1"/>
          <w:lang w:val="sr-Cyrl-CS"/>
        </w:rPr>
        <w:t>Nišu</w:t>
      </w:r>
      <w:r w:rsidRPr="00E95BC4">
        <w:rPr>
          <w:color w:val="000000" w:themeColor="text1"/>
          <w:lang w:val="sr-Cyrl-CS"/>
        </w:rPr>
        <w:t xml:space="preserve"> </w:t>
      </w:r>
      <w:r w:rsidR="005818C0">
        <w:rPr>
          <w:color w:val="000000" w:themeColor="text1"/>
          <w:lang w:val="sr-Cyrl-CS"/>
        </w:rPr>
        <w:t>i</w:t>
      </w:r>
      <w:r w:rsidRPr="00E95BC4">
        <w:rPr>
          <w:color w:val="000000" w:themeColor="text1"/>
          <w:lang w:val="sr-Cyrl-CS"/>
        </w:rPr>
        <w:t xml:space="preserve"> </w:t>
      </w:r>
      <w:r w:rsidR="005818C0">
        <w:rPr>
          <w:color w:val="000000" w:themeColor="text1"/>
          <w:lang w:val="sr-Cyrl-CS"/>
        </w:rPr>
        <w:t>Kraljevu</w:t>
      </w:r>
      <w:r w:rsidRPr="00E95BC4">
        <w:rPr>
          <w:color w:val="000000" w:themeColor="text1"/>
          <w:lang w:val="sr-Cyrl-CS"/>
        </w:rPr>
        <w:t xml:space="preserve">, </w:t>
      </w:r>
      <w:r w:rsidR="005818C0">
        <w:rPr>
          <w:color w:val="000000" w:themeColor="text1"/>
          <w:lang w:val="sr-Cyrl-CS"/>
        </w:rPr>
        <w:t>koja</w:t>
      </w:r>
      <w:r w:rsidRPr="00E95BC4">
        <w:rPr>
          <w:color w:val="000000" w:themeColor="text1"/>
          <w:lang w:val="sr-Cyrl-CS"/>
        </w:rPr>
        <w:t xml:space="preserve"> </w:t>
      </w:r>
      <w:r w:rsidR="005818C0">
        <w:rPr>
          <w:color w:val="000000" w:themeColor="text1"/>
          <w:lang w:val="sr-Cyrl-CS"/>
        </w:rPr>
        <w:t>su</w:t>
      </w:r>
      <w:r w:rsidRPr="00E95BC4">
        <w:rPr>
          <w:color w:val="000000" w:themeColor="text1"/>
          <w:lang w:val="sr-Cyrl-CS"/>
        </w:rPr>
        <w:t xml:space="preserve"> </w:t>
      </w:r>
      <w:r w:rsidR="005818C0">
        <w:rPr>
          <w:color w:val="000000" w:themeColor="text1"/>
          <w:lang w:val="sr-Cyrl-CS"/>
        </w:rPr>
        <w:t>počela</w:t>
      </w:r>
      <w:r w:rsidRPr="00E95BC4">
        <w:rPr>
          <w:color w:val="000000" w:themeColor="text1"/>
          <w:lang w:val="sr-Cyrl-CS"/>
        </w:rPr>
        <w:t xml:space="preserve"> </w:t>
      </w:r>
      <w:r w:rsidR="005818C0">
        <w:rPr>
          <w:color w:val="000000" w:themeColor="text1"/>
          <w:lang w:val="sr-Cyrl-CS"/>
        </w:rPr>
        <w:t>sa</w:t>
      </w:r>
      <w:r w:rsidRPr="00E95BC4">
        <w:rPr>
          <w:color w:val="000000" w:themeColor="text1"/>
          <w:lang w:val="sr-Cyrl-CS"/>
        </w:rPr>
        <w:t xml:space="preserve"> </w:t>
      </w:r>
      <w:r w:rsidR="005818C0">
        <w:rPr>
          <w:color w:val="000000" w:themeColor="text1"/>
          <w:lang w:val="sr-Cyrl-CS"/>
        </w:rPr>
        <w:t>radom</w:t>
      </w:r>
      <w:r w:rsidRPr="00E95BC4">
        <w:rPr>
          <w:color w:val="000000" w:themeColor="text1"/>
          <w:lang w:val="sr-Cyrl-CS"/>
        </w:rPr>
        <w:t xml:space="preserve"> 1.</w:t>
      </w:r>
      <w:r w:rsidR="00D93CED" w:rsidRPr="00E95BC4">
        <w:rPr>
          <w:color w:val="000000" w:themeColor="text1"/>
          <w:lang w:val="sr-Cyrl-CS"/>
        </w:rPr>
        <w:t xml:space="preserve"> </w:t>
      </w:r>
      <w:r w:rsidR="005818C0">
        <w:rPr>
          <w:color w:val="000000" w:themeColor="text1"/>
          <w:lang w:val="sr-Cyrl-CS"/>
        </w:rPr>
        <w:t>marta</w:t>
      </w:r>
      <w:r w:rsidRPr="00E95BC4">
        <w:rPr>
          <w:color w:val="000000" w:themeColor="text1"/>
          <w:lang w:val="sr-Cyrl-CS"/>
        </w:rPr>
        <w:t xml:space="preserve"> 2018.</w:t>
      </w:r>
      <w:r w:rsidR="009B5569">
        <w:rPr>
          <w:color w:val="000000" w:themeColor="text1"/>
          <w:lang w:val="sr-Cyrl-CS"/>
        </w:rPr>
        <w:t xml:space="preserve"> </w:t>
      </w:r>
      <w:r w:rsidR="005818C0">
        <w:rPr>
          <w:color w:val="000000" w:themeColor="text1"/>
          <w:lang w:val="sr-Cyrl-CS"/>
        </w:rPr>
        <w:t>godine</w:t>
      </w:r>
      <w:r w:rsidRPr="00E95BC4">
        <w:rPr>
          <w:color w:val="000000" w:themeColor="text1"/>
          <w:lang w:val="sr-Cyrl-CS"/>
        </w:rPr>
        <w:t>.</w:t>
      </w:r>
    </w:p>
    <w:p w:rsidR="003A648B" w:rsidRPr="00E95BC4" w:rsidRDefault="00745C54" w:rsidP="00745C54">
      <w:pPr>
        <w:jc w:val="both"/>
        <w:rPr>
          <w:color w:val="000000" w:themeColor="text1"/>
          <w:lang w:val="sr-Cyrl-CS"/>
        </w:rPr>
      </w:pPr>
      <w:r w:rsidRPr="00E95BC4">
        <w:rPr>
          <w:color w:val="000000" w:themeColor="text1"/>
          <w:lang w:val="sr-Cyrl-CS"/>
        </w:rPr>
        <w:tab/>
      </w:r>
      <w:r w:rsidR="005818C0">
        <w:rPr>
          <w:color w:val="000000" w:themeColor="text1"/>
          <w:lang w:val="sr-Cyrl-CS"/>
        </w:rPr>
        <w:t>Ovakvom</w:t>
      </w:r>
      <w:r w:rsidRPr="00E95BC4">
        <w:rPr>
          <w:color w:val="000000" w:themeColor="text1"/>
          <w:lang w:val="sr-Cyrl-CS"/>
        </w:rPr>
        <w:t xml:space="preserve"> </w:t>
      </w:r>
      <w:r w:rsidR="005818C0">
        <w:rPr>
          <w:color w:val="000000" w:themeColor="text1"/>
          <w:lang w:val="sr-Cyrl-CS"/>
        </w:rPr>
        <w:t>organizacijom</w:t>
      </w:r>
      <w:r w:rsidRPr="00E95BC4">
        <w:rPr>
          <w:color w:val="000000" w:themeColor="text1"/>
          <w:lang w:val="sr-Cyrl-CS"/>
        </w:rPr>
        <w:t xml:space="preserve"> </w:t>
      </w:r>
      <w:r w:rsidR="005818C0">
        <w:rPr>
          <w:color w:val="000000" w:themeColor="text1"/>
          <w:lang w:val="sr-Cyrl-CS"/>
        </w:rPr>
        <w:t>državnih</w:t>
      </w:r>
      <w:r w:rsidRPr="00E95BC4">
        <w:rPr>
          <w:color w:val="000000" w:themeColor="text1"/>
          <w:lang w:val="sr-Cyrl-CS"/>
        </w:rPr>
        <w:t xml:space="preserve"> </w:t>
      </w:r>
      <w:r w:rsidR="005818C0">
        <w:rPr>
          <w:color w:val="000000" w:themeColor="text1"/>
          <w:lang w:val="sr-Cyrl-CS"/>
        </w:rPr>
        <w:t>organa</w:t>
      </w:r>
      <w:r w:rsidRPr="00E95BC4">
        <w:rPr>
          <w:color w:val="000000" w:themeColor="text1"/>
          <w:lang w:val="sr-Cyrl-CS"/>
        </w:rPr>
        <w:t xml:space="preserve">, </w:t>
      </w:r>
      <w:r w:rsidR="005818C0">
        <w:rPr>
          <w:color w:val="000000" w:themeColor="text1"/>
          <w:lang w:val="sr-Cyrl-CS"/>
        </w:rPr>
        <w:t>kada</w:t>
      </w:r>
      <w:r w:rsidR="0044603F" w:rsidRPr="00E95BC4">
        <w:rPr>
          <w:color w:val="000000" w:themeColor="text1"/>
          <w:lang w:val="sr-Cyrl-CS"/>
        </w:rPr>
        <w:t xml:space="preserve"> </w:t>
      </w:r>
      <w:r w:rsidR="005818C0">
        <w:rPr>
          <w:color w:val="000000" w:themeColor="text1"/>
          <w:lang w:val="sr-Cyrl-CS"/>
        </w:rPr>
        <w:t>je</w:t>
      </w:r>
      <w:r w:rsidR="0044603F" w:rsidRPr="00E95BC4">
        <w:rPr>
          <w:color w:val="000000" w:themeColor="text1"/>
          <w:lang w:val="sr-Cyrl-CS"/>
        </w:rPr>
        <w:t xml:space="preserve"> </w:t>
      </w:r>
      <w:r w:rsidR="005818C0">
        <w:rPr>
          <w:color w:val="000000" w:themeColor="text1"/>
          <w:lang w:val="sr-Cyrl-CS"/>
        </w:rPr>
        <w:t>reč</w:t>
      </w:r>
      <w:r w:rsidR="0044603F" w:rsidRPr="00E95BC4">
        <w:rPr>
          <w:color w:val="000000" w:themeColor="text1"/>
          <w:lang w:val="sr-Cyrl-CS"/>
        </w:rPr>
        <w:t xml:space="preserve"> </w:t>
      </w:r>
      <w:r w:rsidR="005818C0">
        <w:rPr>
          <w:color w:val="000000" w:themeColor="text1"/>
          <w:lang w:val="sr-Cyrl-CS"/>
        </w:rPr>
        <w:t>o</w:t>
      </w:r>
      <w:r w:rsidR="0044603F" w:rsidRPr="00E95BC4">
        <w:rPr>
          <w:color w:val="000000" w:themeColor="text1"/>
          <w:lang w:val="sr-Cyrl-CS"/>
        </w:rPr>
        <w:t xml:space="preserve"> </w:t>
      </w:r>
      <w:r w:rsidR="005818C0">
        <w:rPr>
          <w:color w:val="000000" w:themeColor="text1"/>
          <w:lang w:val="sr-Cyrl-CS"/>
        </w:rPr>
        <w:t>javnom</w:t>
      </w:r>
      <w:r w:rsidR="0044603F" w:rsidRPr="00E95BC4">
        <w:rPr>
          <w:color w:val="000000" w:themeColor="text1"/>
          <w:lang w:val="sr-Cyrl-CS"/>
        </w:rPr>
        <w:t xml:space="preserve"> </w:t>
      </w:r>
      <w:r w:rsidR="005818C0">
        <w:rPr>
          <w:color w:val="000000" w:themeColor="text1"/>
          <w:lang w:val="sr-Cyrl-CS"/>
        </w:rPr>
        <w:t>tužilaštvu</w:t>
      </w:r>
      <w:r w:rsidR="0044603F" w:rsidRPr="00E95BC4">
        <w:rPr>
          <w:color w:val="000000" w:themeColor="text1"/>
          <w:lang w:val="sr-Cyrl-CS"/>
        </w:rPr>
        <w:t xml:space="preserve">, </w:t>
      </w:r>
      <w:r w:rsidR="005818C0">
        <w:rPr>
          <w:color w:val="000000" w:themeColor="text1"/>
          <w:lang w:val="sr-Cyrl-CS"/>
        </w:rPr>
        <w:t>gonjenje</w:t>
      </w:r>
      <w:r w:rsidRPr="00E95BC4">
        <w:rPr>
          <w:color w:val="000000" w:themeColor="text1"/>
          <w:lang w:val="sr-Cyrl-CS"/>
        </w:rPr>
        <w:t xml:space="preserve"> </w:t>
      </w:r>
      <w:r w:rsidR="005818C0">
        <w:rPr>
          <w:color w:val="000000" w:themeColor="text1"/>
          <w:lang w:val="sr-Cyrl-CS"/>
        </w:rPr>
        <w:t>za</w:t>
      </w:r>
      <w:r w:rsidRPr="00E95BC4">
        <w:rPr>
          <w:color w:val="000000" w:themeColor="text1"/>
          <w:lang w:val="sr-Cyrl-CS"/>
        </w:rPr>
        <w:t xml:space="preserve"> </w:t>
      </w:r>
      <w:r w:rsidR="005818C0">
        <w:rPr>
          <w:color w:val="000000" w:themeColor="text1"/>
          <w:lang w:val="sr-Cyrl-CS"/>
        </w:rPr>
        <w:t>krivično</w:t>
      </w:r>
      <w:r w:rsidRPr="00E95BC4">
        <w:rPr>
          <w:color w:val="000000" w:themeColor="text1"/>
          <w:lang w:val="sr-Cyrl-CS"/>
        </w:rPr>
        <w:t xml:space="preserve"> </w:t>
      </w:r>
      <w:r w:rsidR="005818C0">
        <w:rPr>
          <w:color w:val="000000" w:themeColor="text1"/>
          <w:lang w:val="sr-Cyrl-CS"/>
        </w:rPr>
        <w:t>delo</w:t>
      </w:r>
      <w:r w:rsidRPr="00E95BC4">
        <w:rPr>
          <w:color w:val="000000" w:themeColor="text1"/>
          <w:lang w:val="sr-Cyrl-CS"/>
        </w:rPr>
        <w:t xml:space="preserve"> </w:t>
      </w:r>
      <w:r w:rsidR="005818C0">
        <w:rPr>
          <w:color w:val="000000" w:themeColor="text1"/>
          <w:lang w:val="sr-Cyrl-CS"/>
        </w:rPr>
        <w:t>pranje</w:t>
      </w:r>
      <w:r w:rsidRPr="00E95BC4">
        <w:rPr>
          <w:color w:val="000000" w:themeColor="text1"/>
          <w:lang w:val="sr-Cyrl-CS"/>
        </w:rPr>
        <w:t xml:space="preserve"> </w:t>
      </w:r>
      <w:r w:rsidR="005818C0">
        <w:rPr>
          <w:color w:val="000000" w:themeColor="text1"/>
          <w:lang w:val="sr-Cyrl-CS"/>
        </w:rPr>
        <w:t>novca</w:t>
      </w:r>
      <w:r w:rsidRPr="00E95BC4">
        <w:rPr>
          <w:color w:val="000000" w:themeColor="text1"/>
          <w:lang w:val="sr-Cyrl-CS"/>
        </w:rPr>
        <w:t xml:space="preserve"> </w:t>
      </w:r>
      <w:r w:rsidR="005818C0">
        <w:rPr>
          <w:color w:val="000000" w:themeColor="text1"/>
          <w:lang w:val="sr-Cyrl-CS"/>
        </w:rPr>
        <w:t>koncentrisano</w:t>
      </w:r>
      <w:r w:rsidRPr="00E95BC4">
        <w:rPr>
          <w:color w:val="000000" w:themeColor="text1"/>
          <w:lang w:val="sr-Cyrl-CS"/>
        </w:rPr>
        <w:t xml:space="preserve"> </w:t>
      </w:r>
      <w:r w:rsidR="005818C0">
        <w:rPr>
          <w:color w:val="000000" w:themeColor="text1"/>
          <w:lang w:val="sr-Cyrl-CS"/>
        </w:rPr>
        <w:t>je</w:t>
      </w:r>
      <w:r w:rsidRPr="00E95BC4">
        <w:rPr>
          <w:color w:val="000000" w:themeColor="text1"/>
          <w:lang w:val="sr-Cyrl-CS"/>
        </w:rPr>
        <w:t xml:space="preserve"> </w:t>
      </w:r>
      <w:r w:rsidR="005818C0">
        <w:rPr>
          <w:color w:val="000000" w:themeColor="text1"/>
          <w:lang w:val="sr-Cyrl-CS"/>
        </w:rPr>
        <w:t>u</w:t>
      </w:r>
      <w:r w:rsidRPr="00E95BC4">
        <w:rPr>
          <w:color w:val="000000" w:themeColor="text1"/>
          <w:lang w:val="sr-Cyrl-CS"/>
        </w:rPr>
        <w:t xml:space="preserve"> </w:t>
      </w:r>
      <w:r w:rsidR="005818C0">
        <w:rPr>
          <w:color w:val="000000" w:themeColor="text1"/>
          <w:lang w:val="sr-Cyrl-CS"/>
        </w:rPr>
        <w:t>Tužilaštvu</w:t>
      </w:r>
      <w:r w:rsidRPr="00E95BC4">
        <w:rPr>
          <w:color w:val="000000" w:themeColor="text1"/>
          <w:lang w:val="sr-Cyrl-CS"/>
        </w:rPr>
        <w:t xml:space="preserve"> </w:t>
      </w:r>
      <w:r w:rsidR="005818C0">
        <w:rPr>
          <w:color w:val="000000" w:themeColor="text1"/>
          <w:lang w:val="sr-Cyrl-CS"/>
        </w:rPr>
        <w:t>za</w:t>
      </w:r>
      <w:r w:rsidRPr="00E95BC4">
        <w:rPr>
          <w:color w:val="000000" w:themeColor="text1"/>
          <w:lang w:val="sr-Cyrl-CS"/>
        </w:rPr>
        <w:t xml:space="preserve"> </w:t>
      </w:r>
      <w:r w:rsidR="005818C0">
        <w:rPr>
          <w:color w:val="000000" w:themeColor="text1"/>
          <w:lang w:val="sr-Cyrl-CS"/>
        </w:rPr>
        <w:t>organizovani</w:t>
      </w:r>
      <w:r w:rsidRPr="00E95BC4">
        <w:rPr>
          <w:color w:val="000000" w:themeColor="text1"/>
          <w:lang w:val="sr-Cyrl-CS"/>
        </w:rPr>
        <w:t xml:space="preserve"> </w:t>
      </w:r>
      <w:r w:rsidR="005818C0">
        <w:rPr>
          <w:color w:val="000000" w:themeColor="text1"/>
          <w:lang w:val="sr-Cyrl-CS"/>
        </w:rPr>
        <w:t>kriminal</w:t>
      </w:r>
      <w:r w:rsidRPr="00E95BC4">
        <w:rPr>
          <w:color w:val="000000" w:themeColor="text1"/>
          <w:lang w:val="sr-Cyrl-CS"/>
        </w:rPr>
        <w:t xml:space="preserve"> </w:t>
      </w:r>
      <w:r w:rsidR="005818C0">
        <w:rPr>
          <w:color w:val="000000" w:themeColor="text1"/>
          <w:lang w:val="sr-Cyrl-CS"/>
        </w:rPr>
        <w:t>i</w:t>
      </w:r>
      <w:r w:rsidRPr="00E95BC4">
        <w:rPr>
          <w:color w:val="000000" w:themeColor="text1"/>
          <w:lang w:val="sr-Cyrl-CS"/>
        </w:rPr>
        <w:t xml:space="preserve"> </w:t>
      </w:r>
      <w:r w:rsidR="005818C0">
        <w:rPr>
          <w:color w:val="000000" w:themeColor="text1"/>
          <w:lang w:val="sr-Cyrl-CS"/>
        </w:rPr>
        <w:t>četiri</w:t>
      </w:r>
      <w:r w:rsidR="0074155A" w:rsidRPr="00E95BC4">
        <w:rPr>
          <w:color w:val="000000" w:themeColor="text1"/>
          <w:lang w:val="sr-Cyrl-CS"/>
        </w:rPr>
        <w:t xml:space="preserve"> </w:t>
      </w:r>
      <w:r w:rsidR="005818C0">
        <w:rPr>
          <w:color w:val="000000" w:themeColor="text1"/>
          <w:lang w:val="sr-Cyrl-CS"/>
        </w:rPr>
        <w:t>posebna</w:t>
      </w:r>
      <w:r w:rsidRPr="00E95BC4">
        <w:rPr>
          <w:color w:val="000000" w:themeColor="text1"/>
          <w:lang w:val="sr-Cyrl-CS"/>
        </w:rPr>
        <w:t xml:space="preserve"> </w:t>
      </w:r>
      <w:r w:rsidR="005818C0">
        <w:rPr>
          <w:color w:val="000000" w:themeColor="text1"/>
          <w:lang w:val="sr-Cyrl-CS"/>
        </w:rPr>
        <w:t>odeljenja</w:t>
      </w:r>
      <w:r w:rsidRPr="00E95BC4">
        <w:rPr>
          <w:color w:val="000000" w:themeColor="text1"/>
          <w:lang w:val="sr-Cyrl-CS"/>
        </w:rPr>
        <w:t xml:space="preserve">, </w:t>
      </w:r>
      <w:r w:rsidR="005818C0">
        <w:rPr>
          <w:color w:val="000000" w:themeColor="text1"/>
          <w:lang w:val="sr-Cyrl-CS"/>
        </w:rPr>
        <w:t>za</w:t>
      </w:r>
      <w:r w:rsidRPr="00E95BC4">
        <w:rPr>
          <w:color w:val="000000" w:themeColor="text1"/>
          <w:lang w:val="sr-Cyrl-CS"/>
        </w:rPr>
        <w:t xml:space="preserve"> </w:t>
      </w:r>
      <w:r w:rsidR="005818C0">
        <w:rPr>
          <w:color w:val="000000" w:themeColor="text1"/>
          <w:lang w:val="sr-Cyrl-CS"/>
        </w:rPr>
        <w:t>teritoriju</w:t>
      </w:r>
      <w:r w:rsidRPr="00E95BC4">
        <w:rPr>
          <w:color w:val="000000" w:themeColor="text1"/>
          <w:lang w:val="sr-Cyrl-CS"/>
        </w:rPr>
        <w:t xml:space="preserve"> </w:t>
      </w:r>
      <w:r w:rsidR="005818C0">
        <w:rPr>
          <w:color w:val="000000" w:themeColor="text1"/>
          <w:lang w:val="sr-Cyrl-CS"/>
        </w:rPr>
        <w:t>celokupne</w:t>
      </w:r>
      <w:r w:rsidRPr="00E95BC4">
        <w:rPr>
          <w:color w:val="000000" w:themeColor="text1"/>
          <w:lang w:val="sr-Cyrl-CS"/>
        </w:rPr>
        <w:t xml:space="preserve"> </w:t>
      </w:r>
      <w:r w:rsidR="005818C0">
        <w:rPr>
          <w:color w:val="000000" w:themeColor="text1"/>
          <w:lang w:val="sr-Cyrl-CS"/>
        </w:rPr>
        <w:t>Republike</w:t>
      </w:r>
      <w:r w:rsidRPr="00E95BC4">
        <w:rPr>
          <w:color w:val="000000" w:themeColor="text1"/>
          <w:lang w:val="sr-Cyrl-CS"/>
        </w:rPr>
        <w:t xml:space="preserve"> </w:t>
      </w:r>
      <w:r w:rsidR="005818C0">
        <w:rPr>
          <w:color w:val="000000" w:themeColor="text1"/>
          <w:lang w:val="sr-Cyrl-CS"/>
        </w:rPr>
        <w:t>Srbije</w:t>
      </w:r>
      <w:r w:rsidRPr="00E95BC4">
        <w:rPr>
          <w:color w:val="000000" w:themeColor="text1"/>
          <w:lang w:val="sr-Cyrl-CS"/>
        </w:rPr>
        <w:t xml:space="preserve">. </w:t>
      </w:r>
      <w:r w:rsidR="005818C0">
        <w:rPr>
          <w:color w:val="000000" w:themeColor="text1"/>
          <w:lang w:val="sr-Cyrl-CS"/>
        </w:rPr>
        <w:t>Pri</w:t>
      </w:r>
      <w:r w:rsidRPr="00E95BC4">
        <w:rPr>
          <w:color w:val="000000" w:themeColor="text1"/>
          <w:lang w:val="sr-Cyrl-CS"/>
        </w:rPr>
        <w:t xml:space="preserve"> </w:t>
      </w:r>
      <w:r w:rsidR="005818C0">
        <w:rPr>
          <w:color w:val="000000" w:themeColor="text1"/>
          <w:lang w:val="sr-Cyrl-CS"/>
        </w:rPr>
        <w:t>tome</w:t>
      </w:r>
      <w:r w:rsidRPr="00E95BC4">
        <w:rPr>
          <w:color w:val="000000" w:themeColor="text1"/>
          <w:lang w:val="sr-Cyrl-CS"/>
        </w:rPr>
        <w:t xml:space="preserve"> </w:t>
      </w:r>
      <w:r w:rsidR="005818C0">
        <w:rPr>
          <w:color w:val="000000" w:themeColor="text1"/>
          <w:lang w:val="sr-Cyrl-CS"/>
        </w:rPr>
        <w:t>koordinaciju</w:t>
      </w:r>
      <w:r w:rsidRPr="00E95BC4">
        <w:rPr>
          <w:color w:val="000000" w:themeColor="text1"/>
          <w:lang w:val="sr-Cyrl-CS"/>
        </w:rPr>
        <w:t xml:space="preserve"> </w:t>
      </w:r>
      <w:r w:rsidR="005818C0">
        <w:rPr>
          <w:color w:val="000000" w:themeColor="text1"/>
          <w:lang w:val="sr-Cyrl-CS"/>
        </w:rPr>
        <w:t>rada</w:t>
      </w:r>
      <w:r w:rsidRPr="00E95BC4">
        <w:rPr>
          <w:color w:val="000000" w:themeColor="text1"/>
          <w:lang w:val="sr-Cyrl-CS"/>
        </w:rPr>
        <w:t xml:space="preserve"> </w:t>
      </w:r>
      <w:r w:rsidR="005818C0">
        <w:rPr>
          <w:color w:val="000000" w:themeColor="text1"/>
          <w:lang w:val="sr-Cyrl-CS"/>
        </w:rPr>
        <w:t>posebnih</w:t>
      </w:r>
      <w:r w:rsidRPr="00E95BC4">
        <w:rPr>
          <w:color w:val="000000" w:themeColor="text1"/>
          <w:lang w:val="sr-Cyrl-CS"/>
        </w:rPr>
        <w:t xml:space="preserve"> </w:t>
      </w:r>
      <w:r w:rsidR="005818C0">
        <w:rPr>
          <w:color w:val="000000" w:themeColor="text1"/>
          <w:lang w:val="sr-Cyrl-CS"/>
        </w:rPr>
        <w:t>odeljenja</w:t>
      </w:r>
      <w:r w:rsidRPr="00E95BC4">
        <w:rPr>
          <w:color w:val="000000" w:themeColor="text1"/>
          <w:lang w:val="sr-Cyrl-CS"/>
        </w:rPr>
        <w:t xml:space="preserve"> </w:t>
      </w:r>
      <w:r w:rsidR="005818C0">
        <w:rPr>
          <w:color w:val="000000" w:themeColor="text1"/>
          <w:lang w:val="sr-Cyrl-CS"/>
        </w:rPr>
        <w:t>viših</w:t>
      </w:r>
      <w:r w:rsidRPr="00E95BC4">
        <w:rPr>
          <w:color w:val="000000" w:themeColor="text1"/>
          <w:lang w:val="sr-Cyrl-CS"/>
        </w:rPr>
        <w:t xml:space="preserve"> </w:t>
      </w:r>
      <w:r w:rsidR="005818C0">
        <w:rPr>
          <w:color w:val="000000" w:themeColor="text1"/>
          <w:lang w:val="sr-Cyrl-CS"/>
        </w:rPr>
        <w:t>javnih</w:t>
      </w:r>
      <w:r w:rsidRPr="00E95BC4">
        <w:rPr>
          <w:color w:val="000000" w:themeColor="text1"/>
          <w:lang w:val="sr-Cyrl-CS"/>
        </w:rPr>
        <w:t xml:space="preserve"> </w:t>
      </w:r>
      <w:r w:rsidR="005818C0">
        <w:rPr>
          <w:color w:val="000000" w:themeColor="text1"/>
          <w:lang w:val="sr-Cyrl-CS"/>
        </w:rPr>
        <w:t>tužilaštava</w:t>
      </w:r>
      <w:r w:rsidRPr="00E95BC4">
        <w:rPr>
          <w:color w:val="000000" w:themeColor="text1"/>
          <w:lang w:val="sr-Cyrl-CS"/>
        </w:rPr>
        <w:t xml:space="preserve"> </w:t>
      </w:r>
      <w:r w:rsidR="005818C0">
        <w:rPr>
          <w:color w:val="000000" w:themeColor="text1"/>
          <w:lang w:val="sr-Cyrl-CS"/>
        </w:rPr>
        <w:t>za</w:t>
      </w:r>
      <w:r w:rsidRPr="00E95BC4">
        <w:rPr>
          <w:color w:val="000000" w:themeColor="text1"/>
          <w:lang w:val="sr-Cyrl-CS"/>
        </w:rPr>
        <w:t xml:space="preserve"> </w:t>
      </w:r>
      <w:r w:rsidR="005818C0">
        <w:rPr>
          <w:color w:val="000000" w:themeColor="text1"/>
          <w:lang w:val="sr-Cyrl-CS"/>
        </w:rPr>
        <w:t>suzbijanje</w:t>
      </w:r>
      <w:r w:rsidRPr="00E95BC4">
        <w:rPr>
          <w:color w:val="000000" w:themeColor="text1"/>
          <w:lang w:val="sr-Cyrl-CS"/>
        </w:rPr>
        <w:t xml:space="preserve"> </w:t>
      </w:r>
      <w:r w:rsidR="005818C0">
        <w:rPr>
          <w:color w:val="000000" w:themeColor="text1"/>
          <w:lang w:val="sr-Cyrl-CS"/>
        </w:rPr>
        <w:t>korupcije</w:t>
      </w:r>
      <w:r w:rsidRPr="00E95BC4">
        <w:rPr>
          <w:color w:val="000000" w:themeColor="text1"/>
          <w:lang w:val="sr-Cyrl-CS"/>
        </w:rPr>
        <w:t xml:space="preserve"> </w:t>
      </w:r>
      <w:r w:rsidR="005818C0">
        <w:rPr>
          <w:color w:val="000000" w:themeColor="text1"/>
          <w:lang w:val="sr-Cyrl-CS"/>
        </w:rPr>
        <w:t>vrši</w:t>
      </w:r>
      <w:r w:rsidRPr="00E95BC4">
        <w:rPr>
          <w:color w:val="000000" w:themeColor="text1"/>
          <w:lang w:val="sr-Cyrl-CS"/>
        </w:rPr>
        <w:t xml:space="preserve"> </w:t>
      </w:r>
      <w:r w:rsidR="005818C0">
        <w:rPr>
          <w:color w:val="000000" w:themeColor="text1"/>
          <w:lang w:val="sr-Cyrl-CS"/>
        </w:rPr>
        <w:t>Tužilac</w:t>
      </w:r>
      <w:r w:rsidRPr="00E95BC4">
        <w:rPr>
          <w:color w:val="000000" w:themeColor="text1"/>
          <w:lang w:val="sr-Cyrl-CS"/>
        </w:rPr>
        <w:t xml:space="preserve"> </w:t>
      </w:r>
      <w:r w:rsidR="005818C0">
        <w:rPr>
          <w:color w:val="000000" w:themeColor="text1"/>
          <w:lang w:val="sr-Cyrl-CS"/>
        </w:rPr>
        <w:t>za</w:t>
      </w:r>
      <w:r w:rsidRPr="00E95BC4">
        <w:rPr>
          <w:color w:val="000000" w:themeColor="text1"/>
          <w:lang w:val="sr-Cyrl-CS"/>
        </w:rPr>
        <w:t xml:space="preserve"> </w:t>
      </w:r>
      <w:r w:rsidR="005818C0">
        <w:rPr>
          <w:color w:val="000000" w:themeColor="text1"/>
          <w:lang w:val="sr-Cyrl-CS"/>
        </w:rPr>
        <w:t>organizovani</w:t>
      </w:r>
      <w:r w:rsidR="003A648B" w:rsidRPr="00E95BC4">
        <w:rPr>
          <w:color w:val="000000" w:themeColor="text1"/>
          <w:lang w:val="sr-Cyrl-CS"/>
        </w:rPr>
        <w:t xml:space="preserve"> </w:t>
      </w:r>
      <w:r w:rsidR="005818C0">
        <w:rPr>
          <w:color w:val="000000" w:themeColor="text1"/>
          <w:lang w:val="sr-Cyrl-CS"/>
        </w:rPr>
        <w:t>kriminal</w:t>
      </w:r>
      <w:r w:rsidR="003A648B" w:rsidRPr="00E95BC4">
        <w:rPr>
          <w:color w:val="000000" w:themeColor="text1"/>
          <w:lang w:val="sr-Cyrl-CS"/>
        </w:rPr>
        <w:t xml:space="preserve">. </w:t>
      </w:r>
    </w:p>
    <w:p w:rsidR="00745C54" w:rsidRPr="00E95BC4" w:rsidRDefault="005818C0" w:rsidP="003A648B">
      <w:pPr>
        <w:ind w:firstLine="720"/>
        <w:jc w:val="both"/>
        <w:rPr>
          <w:color w:val="000000" w:themeColor="text1"/>
          <w:lang w:val="sr-Cyrl-CS"/>
        </w:rPr>
      </w:pPr>
      <w:r>
        <w:rPr>
          <w:color w:val="000000" w:themeColor="text1"/>
          <w:lang w:val="sr-Cyrl-CS"/>
        </w:rPr>
        <w:t>U</w:t>
      </w:r>
      <w:r w:rsidR="00745C54" w:rsidRPr="00E95BC4">
        <w:rPr>
          <w:color w:val="000000" w:themeColor="text1"/>
          <w:lang w:val="sr-Cyrl-CS"/>
        </w:rPr>
        <w:t xml:space="preserve"> </w:t>
      </w:r>
      <w:r>
        <w:rPr>
          <w:color w:val="000000" w:themeColor="text1"/>
          <w:lang w:val="sr-Cyrl-CS"/>
        </w:rPr>
        <w:t>Tužilaštvu</w:t>
      </w:r>
      <w:r w:rsidR="00745C54" w:rsidRPr="00E95BC4">
        <w:rPr>
          <w:color w:val="000000" w:themeColor="text1"/>
          <w:lang w:val="sr-Cyrl-CS"/>
        </w:rPr>
        <w:t xml:space="preserve"> </w:t>
      </w:r>
      <w:r>
        <w:rPr>
          <w:color w:val="000000" w:themeColor="text1"/>
          <w:lang w:val="sr-Cyrl-CS"/>
        </w:rPr>
        <w:t>za</w:t>
      </w:r>
      <w:r w:rsidR="00745C54" w:rsidRPr="00E95BC4">
        <w:rPr>
          <w:color w:val="000000" w:themeColor="text1"/>
          <w:lang w:val="sr-Cyrl-CS"/>
        </w:rPr>
        <w:t xml:space="preserve"> </w:t>
      </w:r>
      <w:r>
        <w:rPr>
          <w:color w:val="000000" w:themeColor="text1"/>
          <w:lang w:val="sr-Cyrl-CS"/>
        </w:rPr>
        <w:t>organizovani</w:t>
      </w:r>
      <w:r w:rsidR="00745C54" w:rsidRPr="00E95BC4">
        <w:rPr>
          <w:color w:val="000000" w:themeColor="text1"/>
          <w:lang w:val="sr-Cyrl-CS"/>
        </w:rPr>
        <w:t xml:space="preserve"> </w:t>
      </w:r>
      <w:r>
        <w:rPr>
          <w:color w:val="000000" w:themeColor="text1"/>
          <w:lang w:val="sr-Cyrl-CS"/>
        </w:rPr>
        <w:t>kriminala</w:t>
      </w:r>
      <w:r w:rsidR="00745C54" w:rsidRPr="00E95BC4">
        <w:rPr>
          <w:color w:val="000000" w:themeColor="text1"/>
          <w:lang w:val="sr-Cyrl-CS"/>
        </w:rPr>
        <w:t xml:space="preserve"> </w:t>
      </w:r>
      <w:r>
        <w:rPr>
          <w:color w:val="000000" w:themeColor="text1"/>
          <w:lang w:val="sr-Cyrl-CS"/>
        </w:rPr>
        <w:t>javnotužilačku</w:t>
      </w:r>
      <w:r w:rsidR="00745C54" w:rsidRPr="00E95BC4">
        <w:rPr>
          <w:color w:val="000000" w:themeColor="text1"/>
          <w:lang w:val="sr-Cyrl-CS"/>
        </w:rPr>
        <w:t xml:space="preserve"> </w:t>
      </w:r>
      <w:r>
        <w:rPr>
          <w:color w:val="000000" w:themeColor="text1"/>
          <w:lang w:val="sr-Cyrl-CS"/>
        </w:rPr>
        <w:t>funkciju</w:t>
      </w:r>
      <w:r w:rsidR="00745C54" w:rsidRPr="00E95BC4">
        <w:rPr>
          <w:color w:val="000000" w:themeColor="text1"/>
          <w:lang w:val="sr-Cyrl-CS"/>
        </w:rPr>
        <w:t xml:space="preserve">, </w:t>
      </w:r>
      <w:r>
        <w:rPr>
          <w:color w:val="000000" w:themeColor="text1"/>
          <w:lang w:val="sr-Cyrl-CS"/>
        </w:rPr>
        <w:t>pored</w:t>
      </w:r>
      <w:r w:rsidR="00745C54" w:rsidRPr="00E95BC4">
        <w:rPr>
          <w:color w:val="000000" w:themeColor="text1"/>
          <w:lang w:val="sr-Cyrl-CS"/>
        </w:rPr>
        <w:t xml:space="preserve"> </w:t>
      </w:r>
      <w:r>
        <w:rPr>
          <w:color w:val="000000" w:themeColor="text1"/>
          <w:lang w:val="sr-Cyrl-CS"/>
        </w:rPr>
        <w:t>tužioca</w:t>
      </w:r>
      <w:r w:rsidR="00745C54" w:rsidRPr="00E95BC4">
        <w:rPr>
          <w:color w:val="000000" w:themeColor="text1"/>
          <w:lang w:val="sr-Cyrl-CS"/>
        </w:rPr>
        <w:t xml:space="preserve">, </w:t>
      </w:r>
      <w:r>
        <w:rPr>
          <w:color w:val="000000" w:themeColor="text1"/>
          <w:lang w:val="sr-Cyrl-CS"/>
        </w:rPr>
        <w:t>vrši</w:t>
      </w:r>
      <w:r w:rsidR="00745C54" w:rsidRPr="00E95BC4">
        <w:rPr>
          <w:color w:val="000000" w:themeColor="text1"/>
          <w:lang w:val="sr-Cyrl-CS"/>
        </w:rPr>
        <w:t xml:space="preserve"> 20 </w:t>
      </w:r>
      <w:r>
        <w:rPr>
          <w:color w:val="000000" w:themeColor="text1"/>
          <w:lang w:val="sr-Cyrl-CS"/>
        </w:rPr>
        <w:t>zamenika</w:t>
      </w:r>
      <w:r w:rsidR="00745C54" w:rsidRPr="00E95BC4">
        <w:rPr>
          <w:color w:val="000000" w:themeColor="text1"/>
          <w:lang w:val="sr-Cyrl-CS"/>
        </w:rPr>
        <w:t xml:space="preserve"> </w:t>
      </w:r>
      <w:r>
        <w:rPr>
          <w:color w:val="000000" w:themeColor="text1"/>
          <w:lang w:val="sr-Cyrl-CS"/>
        </w:rPr>
        <w:t>tužioca</w:t>
      </w:r>
      <w:r w:rsidR="00745C54" w:rsidRPr="00E95BC4">
        <w:rPr>
          <w:color w:val="000000" w:themeColor="text1"/>
          <w:lang w:val="sr-Cyrl-CS"/>
        </w:rPr>
        <w:t xml:space="preserve">, </w:t>
      </w:r>
      <w:r>
        <w:rPr>
          <w:color w:val="000000" w:themeColor="text1"/>
          <w:lang w:val="sr-Cyrl-CS"/>
        </w:rPr>
        <w:t>kojima</w:t>
      </w:r>
      <w:r w:rsidR="00745C54" w:rsidRPr="00E95BC4">
        <w:rPr>
          <w:color w:val="000000" w:themeColor="text1"/>
          <w:lang w:val="sr-Cyrl-CS"/>
        </w:rPr>
        <w:t xml:space="preserve"> </w:t>
      </w:r>
      <w:r>
        <w:rPr>
          <w:color w:val="000000" w:themeColor="text1"/>
          <w:lang w:val="sr-Cyrl-CS"/>
        </w:rPr>
        <w:t>u</w:t>
      </w:r>
      <w:r w:rsidR="00745C54" w:rsidRPr="00E95BC4">
        <w:rPr>
          <w:color w:val="000000" w:themeColor="text1"/>
          <w:lang w:val="sr-Cyrl-CS"/>
        </w:rPr>
        <w:t xml:space="preserve"> </w:t>
      </w:r>
      <w:r>
        <w:rPr>
          <w:color w:val="000000" w:themeColor="text1"/>
          <w:lang w:val="sr-Cyrl-CS"/>
        </w:rPr>
        <w:t>radu</w:t>
      </w:r>
      <w:r w:rsidR="00745C54" w:rsidRPr="00E95BC4">
        <w:rPr>
          <w:color w:val="000000" w:themeColor="text1"/>
          <w:lang w:val="sr-Cyrl-CS"/>
        </w:rPr>
        <w:t xml:space="preserve"> </w:t>
      </w:r>
      <w:r>
        <w:rPr>
          <w:color w:val="000000" w:themeColor="text1"/>
          <w:lang w:val="sr-Cyrl-CS"/>
        </w:rPr>
        <w:t>pomaže</w:t>
      </w:r>
      <w:r w:rsidR="00745C54" w:rsidRPr="00E95BC4">
        <w:rPr>
          <w:color w:val="000000" w:themeColor="text1"/>
          <w:lang w:val="sr-Cyrl-CS"/>
        </w:rPr>
        <w:t xml:space="preserve"> 20 </w:t>
      </w:r>
      <w:r>
        <w:rPr>
          <w:color w:val="000000" w:themeColor="text1"/>
          <w:lang w:val="sr-Cyrl-CS"/>
        </w:rPr>
        <w:t>tužilačkih</w:t>
      </w:r>
      <w:r w:rsidR="00745C54" w:rsidRPr="00E95BC4">
        <w:rPr>
          <w:color w:val="000000" w:themeColor="text1"/>
          <w:lang w:val="sr-Cyrl-CS"/>
        </w:rPr>
        <w:t xml:space="preserve"> </w:t>
      </w:r>
      <w:r>
        <w:rPr>
          <w:color w:val="000000" w:themeColor="text1"/>
          <w:lang w:val="sr-Cyrl-CS"/>
        </w:rPr>
        <w:t>pomoćnika</w:t>
      </w:r>
      <w:r w:rsidR="009B5569">
        <w:rPr>
          <w:color w:val="000000" w:themeColor="text1"/>
          <w:lang w:val="sr-Cyrl-CS"/>
        </w:rPr>
        <w:t>.</w:t>
      </w:r>
      <w:r w:rsidR="00745C54" w:rsidRPr="00E95BC4">
        <w:rPr>
          <w:color w:val="000000" w:themeColor="text1"/>
          <w:lang w:val="sr-Cyrl-CS"/>
        </w:rPr>
        <w:t xml:space="preserve"> </w:t>
      </w:r>
      <w:r>
        <w:rPr>
          <w:color w:val="000000" w:themeColor="text1"/>
          <w:lang w:val="sr-Cyrl-CS"/>
        </w:rPr>
        <w:t>U</w:t>
      </w:r>
      <w:r w:rsidR="00745C54" w:rsidRPr="00E95BC4">
        <w:rPr>
          <w:color w:val="000000" w:themeColor="text1"/>
          <w:lang w:val="sr-Cyrl-CS"/>
        </w:rPr>
        <w:t xml:space="preserve"> </w:t>
      </w:r>
      <w:r>
        <w:rPr>
          <w:color w:val="000000" w:themeColor="text1"/>
          <w:lang w:val="sr-Cyrl-CS"/>
        </w:rPr>
        <w:t>posebnim</w:t>
      </w:r>
      <w:r w:rsidR="00745C54" w:rsidRPr="00E95BC4">
        <w:rPr>
          <w:color w:val="000000" w:themeColor="text1"/>
          <w:lang w:val="sr-Cyrl-CS"/>
        </w:rPr>
        <w:t xml:space="preserve"> </w:t>
      </w:r>
      <w:r>
        <w:rPr>
          <w:color w:val="000000" w:themeColor="text1"/>
          <w:lang w:val="sr-Cyrl-CS"/>
        </w:rPr>
        <w:t>odeljenjima</w:t>
      </w:r>
      <w:r w:rsidR="00745C54" w:rsidRPr="00E95BC4">
        <w:rPr>
          <w:color w:val="000000" w:themeColor="text1"/>
          <w:lang w:val="sr-Cyrl-CS"/>
        </w:rPr>
        <w:t xml:space="preserve"> </w:t>
      </w:r>
      <w:r>
        <w:rPr>
          <w:color w:val="000000" w:themeColor="text1"/>
          <w:lang w:val="sr-Cyrl-CS"/>
        </w:rPr>
        <w:t>javnotužilačke</w:t>
      </w:r>
      <w:r w:rsidR="00745C54" w:rsidRPr="00E95BC4">
        <w:rPr>
          <w:color w:val="000000" w:themeColor="text1"/>
          <w:lang w:val="sr-Cyrl-CS"/>
        </w:rPr>
        <w:t xml:space="preserve"> </w:t>
      </w:r>
      <w:r>
        <w:rPr>
          <w:color w:val="000000" w:themeColor="text1"/>
          <w:lang w:val="sr-Cyrl-CS"/>
        </w:rPr>
        <w:t>funkcije</w:t>
      </w:r>
      <w:r w:rsidR="00745C54" w:rsidRPr="00E95BC4">
        <w:rPr>
          <w:color w:val="000000" w:themeColor="text1"/>
          <w:lang w:val="sr-Cyrl-CS"/>
        </w:rPr>
        <w:t xml:space="preserve"> </w:t>
      </w:r>
      <w:r>
        <w:rPr>
          <w:color w:val="000000" w:themeColor="text1"/>
          <w:lang w:val="sr-Cyrl-CS"/>
        </w:rPr>
        <w:t>vrši</w:t>
      </w:r>
      <w:r w:rsidR="00745C54" w:rsidRPr="00E95BC4">
        <w:rPr>
          <w:color w:val="000000" w:themeColor="text1"/>
          <w:lang w:val="sr-Cyrl-CS"/>
        </w:rPr>
        <w:t xml:space="preserve"> 46 </w:t>
      </w:r>
      <w:r>
        <w:rPr>
          <w:color w:val="000000" w:themeColor="text1"/>
          <w:lang w:val="sr-Cyrl-CS"/>
        </w:rPr>
        <w:t>zamenika</w:t>
      </w:r>
      <w:r w:rsidR="00745C54" w:rsidRPr="00E95BC4">
        <w:rPr>
          <w:color w:val="000000" w:themeColor="text1"/>
          <w:lang w:val="sr-Cyrl-CS"/>
        </w:rPr>
        <w:t xml:space="preserve"> </w:t>
      </w:r>
      <w:r>
        <w:rPr>
          <w:color w:val="000000" w:themeColor="text1"/>
          <w:lang w:val="sr-Cyrl-CS"/>
        </w:rPr>
        <w:t>javnog</w:t>
      </w:r>
      <w:r w:rsidR="00745C54" w:rsidRPr="00E95BC4">
        <w:rPr>
          <w:color w:val="000000" w:themeColor="text1"/>
          <w:lang w:val="sr-Cyrl-CS"/>
        </w:rPr>
        <w:t xml:space="preserve"> </w:t>
      </w:r>
      <w:r>
        <w:rPr>
          <w:color w:val="000000" w:themeColor="text1"/>
          <w:lang w:val="sr-Cyrl-CS"/>
        </w:rPr>
        <w:t>tužioca</w:t>
      </w:r>
      <w:r w:rsidR="00745C54" w:rsidRPr="00E95BC4">
        <w:rPr>
          <w:color w:val="000000" w:themeColor="text1"/>
          <w:lang w:val="sr-Cyrl-CS"/>
        </w:rPr>
        <w:t xml:space="preserve">, </w:t>
      </w:r>
      <w:r>
        <w:rPr>
          <w:color w:val="000000" w:themeColor="text1"/>
          <w:lang w:val="sr-Cyrl-CS"/>
        </w:rPr>
        <w:t>zaposleno</w:t>
      </w:r>
      <w:r w:rsidR="00745C54" w:rsidRPr="00E95BC4">
        <w:rPr>
          <w:color w:val="000000" w:themeColor="text1"/>
          <w:lang w:val="sr-Cyrl-CS"/>
        </w:rPr>
        <w:t xml:space="preserve"> </w:t>
      </w:r>
      <w:r>
        <w:rPr>
          <w:color w:val="000000" w:themeColor="text1"/>
          <w:lang w:val="sr-Cyrl-CS"/>
        </w:rPr>
        <w:t>je</w:t>
      </w:r>
      <w:r w:rsidR="00745C54" w:rsidRPr="00E95BC4">
        <w:rPr>
          <w:color w:val="000000" w:themeColor="text1"/>
          <w:lang w:val="sr-Cyrl-CS"/>
        </w:rPr>
        <w:t xml:space="preserve"> 20 </w:t>
      </w:r>
      <w:r>
        <w:rPr>
          <w:color w:val="000000" w:themeColor="text1"/>
          <w:lang w:val="sr-Cyrl-CS"/>
        </w:rPr>
        <w:t>tužilačkih</w:t>
      </w:r>
      <w:r w:rsidR="00745C54" w:rsidRPr="00E95BC4">
        <w:rPr>
          <w:color w:val="000000" w:themeColor="text1"/>
          <w:lang w:val="sr-Cyrl-CS"/>
        </w:rPr>
        <w:t xml:space="preserve"> </w:t>
      </w:r>
      <w:r>
        <w:rPr>
          <w:color w:val="000000" w:themeColor="text1"/>
          <w:lang w:val="sr-Cyrl-CS"/>
        </w:rPr>
        <w:t>pomoćnika</w:t>
      </w:r>
      <w:r w:rsidR="00745C54" w:rsidRPr="00E95BC4">
        <w:rPr>
          <w:color w:val="000000" w:themeColor="text1"/>
          <w:lang w:val="sr-Cyrl-CS"/>
        </w:rPr>
        <w:t xml:space="preserve">. </w:t>
      </w:r>
      <w:r>
        <w:rPr>
          <w:color w:val="000000" w:themeColor="text1"/>
          <w:lang w:val="sr-Cyrl-CS"/>
        </w:rPr>
        <w:t>Sa</w:t>
      </w:r>
      <w:r w:rsidR="00745C54" w:rsidRPr="00E95BC4">
        <w:rPr>
          <w:color w:val="000000" w:themeColor="text1"/>
          <w:lang w:val="sr-Cyrl-CS"/>
        </w:rPr>
        <w:t xml:space="preserve"> </w:t>
      </w:r>
      <w:r>
        <w:rPr>
          <w:color w:val="000000" w:themeColor="text1"/>
          <w:lang w:val="sr-Cyrl-CS"/>
        </w:rPr>
        <w:t>tužiocima</w:t>
      </w:r>
      <w:r w:rsidR="00745C54" w:rsidRPr="00E95BC4">
        <w:rPr>
          <w:color w:val="000000" w:themeColor="text1"/>
          <w:lang w:val="sr-Cyrl-CS"/>
        </w:rPr>
        <w:t xml:space="preserve"> </w:t>
      </w:r>
      <w:r>
        <w:rPr>
          <w:color w:val="000000" w:themeColor="text1"/>
          <w:lang w:val="sr-Cyrl-CS"/>
        </w:rPr>
        <w:t>u</w:t>
      </w:r>
      <w:r w:rsidR="00745C54" w:rsidRPr="00E95BC4">
        <w:rPr>
          <w:color w:val="000000" w:themeColor="text1"/>
          <w:lang w:val="sr-Cyrl-CS"/>
        </w:rPr>
        <w:t xml:space="preserve"> </w:t>
      </w:r>
      <w:r>
        <w:rPr>
          <w:color w:val="000000" w:themeColor="text1"/>
          <w:lang w:val="sr-Cyrl-CS"/>
        </w:rPr>
        <w:t>čijoj</w:t>
      </w:r>
      <w:r w:rsidR="00745C54" w:rsidRPr="00E95BC4">
        <w:rPr>
          <w:color w:val="000000" w:themeColor="text1"/>
          <w:lang w:val="sr-Cyrl-CS"/>
        </w:rPr>
        <w:t xml:space="preserve"> </w:t>
      </w:r>
      <w:r>
        <w:rPr>
          <w:color w:val="000000" w:themeColor="text1"/>
          <w:lang w:val="sr-Cyrl-CS"/>
        </w:rPr>
        <w:t>je</w:t>
      </w:r>
      <w:r w:rsidR="00745C54" w:rsidRPr="00E95BC4">
        <w:rPr>
          <w:color w:val="000000" w:themeColor="text1"/>
          <w:lang w:val="sr-Cyrl-CS"/>
        </w:rPr>
        <w:t xml:space="preserve"> </w:t>
      </w:r>
      <w:r>
        <w:rPr>
          <w:color w:val="000000" w:themeColor="text1"/>
          <w:lang w:val="sr-Cyrl-CS"/>
        </w:rPr>
        <w:t>nadležnosti</w:t>
      </w:r>
      <w:r w:rsidR="00745C54" w:rsidRPr="00E95BC4">
        <w:rPr>
          <w:color w:val="000000" w:themeColor="text1"/>
          <w:lang w:val="sr-Cyrl-CS"/>
        </w:rPr>
        <w:t xml:space="preserve"> </w:t>
      </w:r>
      <w:r>
        <w:rPr>
          <w:color w:val="000000" w:themeColor="text1"/>
          <w:lang w:val="sr-Cyrl-CS"/>
        </w:rPr>
        <w:t>krivično</w:t>
      </w:r>
      <w:r w:rsidR="00745C54" w:rsidRPr="00E95BC4">
        <w:rPr>
          <w:color w:val="000000" w:themeColor="text1"/>
          <w:lang w:val="sr-Cyrl-CS"/>
        </w:rPr>
        <w:t xml:space="preserve"> </w:t>
      </w:r>
      <w:r>
        <w:rPr>
          <w:color w:val="000000" w:themeColor="text1"/>
          <w:lang w:val="sr-Cyrl-CS"/>
        </w:rPr>
        <w:t>gonjenje</w:t>
      </w:r>
      <w:r w:rsidR="00745C54" w:rsidRPr="00E95BC4">
        <w:rPr>
          <w:color w:val="000000" w:themeColor="text1"/>
          <w:lang w:val="sr-Cyrl-CS"/>
        </w:rPr>
        <w:t xml:space="preserve"> </w:t>
      </w:r>
      <w:r>
        <w:rPr>
          <w:color w:val="000000" w:themeColor="text1"/>
          <w:lang w:val="sr-Cyrl-CS"/>
        </w:rPr>
        <w:t>pranja</w:t>
      </w:r>
      <w:r w:rsidR="00745C54" w:rsidRPr="00E95BC4">
        <w:rPr>
          <w:color w:val="000000" w:themeColor="text1"/>
          <w:lang w:val="sr-Cyrl-CS"/>
        </w:rPr>
        <w:t xml:space="preserve"> </w:t>
      </w:r>
      <w:r>
        <w:rPr>
          <w:color w:val="000000" w:themeColor="text1"/>
          <w:lang w:val="sr-Cyrl-CS"/>
        </w:rPr>
        <w:t>novca</w:t>
      </w:r>
      <w:r w:rsidR="00745C54" w:rsidRPr="00E95BC4">
        <w:rPr>
          <w:color w:val="000000" w:themeColor="text1"/>
          <w:lang w:val="sr-Cyrl-CS"/>
        </w:rPr>
        <w:t xml:space="preserve"> </w:t>
      </w:r>
      <w:r>
        <w:rPr>
          <w:color w:val="000000" w:themeColor="text1"/>
          <w:lang w:val="sr-Cyrl-CS"/>
        </w:rPr>
        <w:t>rade</w:t>
      </w:r>
      <w:r w:rsidR="00745C54" w:rsidRPr="00E95BC4">
        <w:rPr>
          <w:color w:val="000000" w:themeColor="text1"/>
          <w:lang w:val="sr-Cyrl-CS"/>
        </w:rPr>
        <w:t xml:space="preserve"> </w:t>
      </w:r>
      <w:r>
        <w:rPr>
          <w:color w:val="000000" w:themeColor="text1"/>
          <w:lang w:val="sr-Cyrl-CS"/>
        </w:rPr>
        <w:t>i</w:t>
      </w:r>
      <w:r w:rsidR="00745C54" w:rsidRPr="00E95BC4">
        <w:rPr>
          <w:color w:val="000000" w:themeColor="text1"/>
          <w:lang w:val="sr-Cyrl-CS"/>
        </w:rPr>
        <w:t xml:space="preserve"> </w:t>
      </w:r>
      <w:r>
        <w:rPr>
          <w:color w:val="000000" w:themeColor="text1"/>
          <w:lang w:val="sr-Cyrl-CS"/>
        </w:rPr>
        <w:t>tri</w:t>
      </w:r>
      <w:r w:rsidR="00745C54" w:rsidRPr="00E95BC4">
        <w:rPr>
          <w:color w:val="000000" w:themeColor="text1"/>
          <w:lang w:val="sr-Cyrl-CS"/>
        </w:rPr>
        <w:t xml:space="preserve"> </w:t>
      </w:r>
      <w:r>
        <w:rPr>
          <w:color w:val="000000" w:themeColor="text1"/>
          <w:lang w:val="sr-Cyrl-CS"/>
        </w:rPr>
        <w:t>finansijska</w:t>
      </w:r>
      <w:r w:rsidR="00D93CED" w:rsidRPr="00E95BC4">
        <w:rPr>
          <w:color w:val="000000" w:themeColor="text1"/>
          <w:lang w:val="sr-Cyrl-CS"/>
        </w:rPr>
        <w:t xml:space="preserve"> </w:t>
      </w:r>
      <w:r>
        <w:rPr>
          <w:color w:val="000000" w:themeColor="text1"/>
          <w:lang w:val="sr-Cyrl-CS"/>
        </w:rPr>
        <w:t>forenzičara</w:t>
      </w:r>
      <w:r w:rsidR="00D93CED" w:rsidRPr="00E95BC4">
        <w:rPr>
          <w:color w:val="000000" w:themeColor="text1"/>
          <w:lang w:val="sr-Cyrl-CS"/>
        </w:rPr>
        <w:t xml:space="preserve"> </w:t>
      </w:r>
      <w:r>
        <w:rPr>
          <w:color w:val="000000" w:themeColor="text1"/>
          <w:lang w:val="sr-Cyrl-CS"/>
        </w:rPr>
        <w:t>stalno</w:t>
      </w:r>
      <w:r w:rsidR="00D93CED" w:rsidRPr="00E95BC4">
        <w:rPr>
          <w:color w:val="000000" w:themeColor="text1"/>
          <w:lang w:val="sr-Cyrl-CS"/>
        </w:rPr>
        <w:t xml:space="preserve"> </w:t>
      </w:r>
      <w:r>
        <w:rPr>
          <w:color w:val="000000" w:themeColor="text1"/>
          <w:lang w:val="sr-Cyrl-CS"/>
        </w:rPr>
        <w:t>zaposlena</w:t>
      </w:r>
      <w:r w:rsidR="00745C54" w:rsidRPr="00E95BC4">
        <w:rPr>
          <w:color w:val="000000" w:themeColor="text1"/>
          <w:lang w:val="sr-Cyrl-CS"/>
        </w:rPr>
        <w:t xml:space="preserve"> </w:t>
      </w:r>
      <w:r>
        <w:rPr>
          <w:color w:val="000000" w:themeColor="text1"/>
          <w:lang w:val="sr-Cyrl-CS"/>
        </w:rPr>
        <w:t>u</w:t>
      </w:r>
      <w:r w:rsidR="00745C54" w:rsidRPr="00E95BC4">
        <w:rPr>
          <w:color w:val="000000" w:themeColor="text1"/>
          <w:lang w:val="sr-Cyrl-CS"/>
        </w:rPr>
        <w:t xml:space="preserve"> </w:t>
      </w:r>
      <w:r>
        <w:rPr>
          <w:color w:val="000000" w:themeColor="text1"/>
          <w:lang w:val="sr-Cyrl-CS"/>
        </w:rPr>
        <w:t>Tužilaštvu</w:t>
      </w:r>
      <w:r w:rsidR="00745C54" w:rsidRPr="00E95BC4">
        <w:rPr>
          <w:color w:val="000000" w:themeColor="text1"/>
          <w:lang w:val="sr-Cyrl-CS"/>
        </w:rPr>
        <w:t xml:space="preserve"> </w:t>
      </w:r>
      <w:r>
        <w:rPr>
          <w:color w:val="000000" w:themeColor="text1"/>
          <w:lang w:val="sr-Cyrl-CS"/>
        </w:rPr>
        <w:t>za</w:t>
      </w:r>
      <w:r w:rsidR="00745C54" w:rsidRPr="00E95BC4">
        <w:rPr>
          <w:color w:val="000000" w:themeColor="text1"/>
          <w:lang w:val="sr-Cyrl-CS"/>
        </w:rPr>
        <w:t xml:space="preserve"> </w:t>
      </w:r>
      <w:r>
        <w:rPr>
          <w:color w:val="000000" w:themeColor="text1"/>
          <w:lang w:val="sr-Cyrl-CS"/>
        </w:rPr>
        <w:t>organizovani</w:t>
      </w:r>
      <w:r w:rsidR="00745C54" w:rsidRPr="00E95BC4">
        <w:rPr>
          <w:color w:val="000000" w:themeColor="text1"/>
          <w:lang w:val="sr-Cyrl-CS"/>
        </w:rPr>
        <w:t xml:space="preserve"> </w:t>
      </w:r>
      <w:r>
        <w:rPr>
          <w:color w:val="000000" w:themeColor="text1"/>
          <w:lang w:val="sr-Cyrl-CS"/>
        </w:rPr>
        <w:t>kriminal</w:t>
      </w:r>
      <w:r w:rsidR="00745C54" w:rsidRPr="00E95BC4">
        <w:rPr>
          <w:color w:val="000000" w:themeColor="text1"/>
          <w:lang w:val="sr-Cyrl-CS"/>
        </w:rPr>
        <w:t xml:space="preserve"> </w:t>
      </w:r>
      <w:r>
        <w:rPr>
          <w:color w:val="000000" w:themeColor="text1"/>
          <w:lang w:val="sr-Cyrl-CS"/>
        </w:rPr>
        <w:t>i</w:t>
      </w:r>
      <w:r w:rsidR="00745C54" w:rsidRPr="00E95BC4">
        <w:rPr>
          <w:color w:val="000000" w:themeColor="text1"/>
          <w:lang w:val="sr-Cyrl-CS"/>
        </w:rPr>
        <w:t xml:space="preserve"> </w:t>
      </w:r>
      <w:r>
        <w:rPr>
          <w:color w:val="000000" w:themeColor="text1"/>
          <w:lang w:val="sr-Cyrl-CS"/>
        </w:rPr>
        <w:t>Posebnim</w:t>
      </w:r>
      <w:r w:rsidR="00745C54" w:rsidRPr="00E95BC4">
        <w:rPr>
          <w:color w:val="000000" w:themeColor="text1"/>
          <w:lang w:val="sr-Cyrl-CS"/>
        </w:rPr>
        <w:t xml:space="preserve"> </w:t>
      </w:r>
      <w:r>
        <w:rPr>
          <w:color w:val="000000" w:themeColor="text1"/>
          <w:lang w:val="sr-Cyrl-CS"/>
        </w:rPr>
        <w:t>odeljenjima</w:t>
      </w:r>
      <w:r w:rsidR="00745C54" w:rsidRPr="00E95BC4">
        <w:rPr>
          <w:color w:val="000000" w:themeColor="text1"/>
          <w:lang w:val="sr-Cyrl-CS"/>
        </w:rPr>
        <w:t xml:space="preserve"> </w:t>
      </w:r>
      <w:r>
        <w:rPr>
          <w:color w:val="000000" w:themeColor="text1"/>
          <w:lang w:val="sr-Cyrl-CS"/>
        </w:rPr>
        <w:t>Viših</w:t>
      </w:r>
      <w:r w:rsidR="00745C54" w:rsidRPr="00E95BC4">
        <w:rPr>
          <w:color w:val="000000" w:themeColor="text1"/>
          <w:lang w:val="sr-Cyrl-CS"/>
        </w:rPr>
        <w:t xml:space="preserve"> </w:t>
      </w:r>
      <w:r>
        <w:rPr>
          <w:color w:val="000000" w:themeColor="text1"/>
          <w:lang w:val="sr-Cyrl-CS"/>
        </w:rPr>
        <w:t>javnih</w:t>
      </w:r>
      <w:r w:rsidR="00745C54" w:rsidRPr="00E95BC4">
        <w:rPr>
          <w:color w:val="000000" w:themeColor="text1"/>
          <w:lang w:val="sr-Cyrl-CS"/>
        </w:rPr>
        <w:t xml:space="preserve"> </w:t>
      </w:r>
      <w:r>
        <w:rPr>
          <w:color w:val="000000" w:themeColor="text1"/>
          <w:lang w:val="sr-Cyrl-CS"/>
        </w:rPr>
        <w:t>tužilaštava</w:t>
      </w:r>
      <w:r w:rsidR="00745C54" w:rsidRPr="00E95BC4">
        <w:rPr>
          <w:color w:val="000000" w:themeColor="text1"/>
          <w:lang w:val="sr-Cyrl-CS"/>
        </w:rPr>
        <w:t xml:space="preserve"> </w:t>
      </w:r>
      <w:r>
        <w:rPr>
          <w:color w:val="000000" w:themeColor="text1"/>
          <w:lang w:val="sr-Cyrl-CS"/>
        </w:rPr>
        <w:t>u</w:t>
      </w:r>
      <w:r w:rsidR="00745C54" w:rsidRPr="00E95BC4">
        <w:rPr>
          <w:color w:val="000000" w:themeColor="text1"/>
          <w:lang w:val="sr-Cyrl-CS"/>
        </w:rPr>
        <w:t xml:space="preserve"> </w:t>
      </w:r>
      <w:r>
        <w:rPr>
          <w:color w:val="000000" w:themeColor="text1"/>
          <w:lang w:val="sr-Cyrl-CS"/>
        </w:rPr>
        <w:t>Beogradu</w:t>
      </w:r>
      <w:r w:rsidR="00745C54" w:rsidRPr="00E95BC4">
        <w:rPr>
          <w:color w:val="000000" w:themeColor="text1"/>
          <w:lang w:val="sr-Cyrl-CS"/>
        </w:rPr>
        <w:t xml:space="preserve"> </w:t>
      </w:r>
      <w:r>
        <w:rPr>
          <w:color w:val="000000" w:themeColor="text1"/>
          <w:lang w:val="sr-Cyrl-CS"/>
        </w:rPr>
        <w:t>i</w:t>
      </w:r>
      <w:r w:rsidR="00745C54" w:rsidRPr="00E95BC4">
        <w:rPr>
          <w:color w:val="000000" w:themeColor="text1"/>
          <w:lang w:val="sr-Cyrl-CS"/>
        </w:rPr>
        <w:t xml:space="preserve"> </w:t>
      </w:r>
      <w:r>
        <w:rPr>
          <w:color w:val="000000" w:themeColor="text1"/>
          <w:lang w:val="sr-Cyrl-CS"/>
        </w:rPr>
        <w:t>Novom</w:t>
      </w:r>
      <w:r w:rsidR="00745C54" w:rsidRPr="00E95BC4">
        <w:rPr>
          <w:color w:val="000000" w:themeColor="text1"/>
          <w:lang w:val="sr-Cyrl-CS"/>
        </w:rPr>
        <w:t xml:space="preserve"> </w:t>
      </w:r>
      <w:r>
        <w:rPr>
          <w:color w:val="000000" w:themeColor="text1"/>
          <w:lang w:val="sr-Cyrl-CS"/>
        </w:rPr>
        <w:t>Sadu</w:t>
      </w:r>
      <w:r w:rsidR="00745C54" w:rsidRPr="00E95BC4">
        <w:rPr>
          <w:color w:val="000000" w:themeColor="text1"/>
          <w:lang w:val="sr-Cyrl-CS"/>
        </w:rPr>
        <w:t>.</w:t>
      </w:r>
    </w:p>
    <w:p w:rsidR="00745C54" w:rsidRPr="00E95BC4" w:rsidRDefault="00745C54" w:rsidP="00745C54">
      <w:pPr>
        <w:jc w:val="both"/>
        <w:rPr>
          <w:color w:val="000000" w:themeColor="text1"/>
          <w:lang w:val="sr-Cyrl-CS"/>
        </w:rPr>
      </w:pPr>
      <w:r w:rsidRPr="00E95BC4">
        <w:rPr>
          <w:color w:val="000000" w:themeColor="text1"/>
          <w:lang w:val="sr-Cyrl-CS"/>
        </w:rPr>
        <w:t xml:space="preserve"> </w:t>
      </w:r>
      <w:r w:rsidRPr="00E95BC4">
        <w:rPr>
          <w:color w:val="000000" w:themeColor="text1"/>
          <w:lang w:val="sr-Cyrl-CS"/>
        </w:rPr>
        <w:tab/>
      </w:r>
      <w:r w:rsidR="005818C0">
        <w:rPr>
          <w:color w:val="000000" w:themeColor="text1"/>
          <w:lang w:val="sr-Cyrl-CS"/>
        </w:rPr>
        <w:t>Slična</w:t>
      </w:r>
      <w:r w:rsidRPr="00E95BC4">
        <w:rPr>
          <w:color w:val="000000" w:themeColor="text1"/>
          <w:lang w:val="sr-Cyrl-CS"/>
        </w:rPr>
        <w:t xml:space="preserve"> </w:t>
      </w:r>
      <w:r w:rsidR="005818C0">
        <w:rPr>
          <w:color w:val="000000" w:themeColor="text1"/>
          <w:lang w:val="sr-Cyrl-CS"/>
        </w:rPr>
        <w:t>situacija</w:t>
      </w:r>
      <w:r w:rsidRPr="00E95BC4">
        <w:rPr>
          <w:color w:val="000000" w:themeColor="text1"/>
          <w:lang w:val="sr-Cyrl-CS"/>
        </w:rPr>
        <w:t xml:space="preserve"> </w:t>
      </w:r>
      <w:r w:rsidR="005818C0">
        <w:rPr>
          <w:color w:val="000000" w:themeColor="text1"/>
          <w:lang w:val="sr-Cyrl-CS"/>
        </w:rPr>
        <w:t>je</w:t>
      </w:r>
      <w:r w:rsidRPr="00E95BC4">
        <w:rPr>
          <w:color w:val="000000" w:themeColor="text1"/>
          <w:lang w:val="sr-Cyrl-CS"/>
        </w:rPr>
        <w:t xml:space="preserve"> </w:t>
      </w:r>
      <w:r w:rsidR="005818C0">
        <w:rPr>
          <w:color w:val="000000" w:themeColor="text1"/>
          <w:lang w:val="sr-Cyrl-CS"/>
        </w:rPr>
        <w:t>i</w:t>
      </w:r>
      <w:r w:rsidRPr="00E95BC4">
        <w:rPr>
          <w:color w:val="000000" w:themeColor="text1"/>
          <w:lang w:val="sr-Cyrl-CS"/>
        </w:rPr>
        <w:t xml:space="preserve"> </w:t>
      </w:r>
      <w:r w:rsidR="005818C0">
        <w:rPr>
          <w:color w:val="000000" w:themeColor="text1"/>
          <w:lang w:val="sr-Cyrl-CS"/>
        </w:rPr>
        <w:t>u</w:t>
      </w:r>
      <w:r w:rsidRPr="00E95BC4">
        <w:rPr>
          <w:color w:val="000000" w:themeColor="text1"/>
          <w:lang w:val="sr-Cyrl-CS"/>
        </w:rPr>
        <w:t xml:space="preserve"> </w:t>
      </w:r>
      <w:r w:rsidR="005818C0">
        <w:rPr>
          <w:color w:val="000000" w:themeColor="text1"/>
          <w:lang w:val="sr-Cyrl-CS"/>
        </w:rPr>
        <w:t>pogledu</w:t>
      </w:r>
      <w:r w:rsidRPr="00E95BC4">
        <w:rPr>
          <w:color w:val="000000" w:themeColor="text1"/>
          <w:lang w:val="sr-Cyrl-CS"/>
        </w:rPr>
        <w:t xml:space="preserve"> </w:t>
      </w:r>
      <w:r w:rsidR="005818C0">
        <w:rPr>
          <w:color w:val="000000" w:themeColor="text1"/>
          <w:lang w:val="sr-Cyrl-CS"/>
        </w:rPr>
        <w:t>organizacije</w:t>
      </w:r>
      <w:r w:rsidRPr="00E95BC4">
        <w:rPr>
          <w:color w:val="000000" w:themeColor="text1"/>
          <w:lang w:val="sr-Cyrl-CS"/>
        </w:rPr>
        <w:t xml:space="preserve"> </w:t>
      </w:r>
      <w:r w:rsidR="005818C0">
        <w:rPr>
          <w:color w:val="000000" w:themeColor="text1"/>
          <w:lang w:val="sr-Cyrl-CS"/>
        </w:rPr>
        <w:t>sudova</w:t>
      </w:r>
      <w:r w:rsidRPr="00E95BC4">
        <w:rPr>
          <w:color w:val="000000" w:themeColor="text1"/>
          <w:lang w:val="sr-Cyrl-CS"/>
        </w:rPr>
        <w:t xml:space="preserve"> </w:t>
      </w:r>
      <w:r w:rsidR="005818C0">
        <w:rPr>
          <w:color w:val="000000" w:themeColor="text1"/>
          <w:lang w:val="sr-Cyrl-CS"/>
        </w:rPr>
        <w:t>jer</w:t>
      </w:r>
      <w:r w:rsidRPr="00E95BC4">
        <w:rPr>
          <w:color w:val="000000" w:themeColor="text1"/>
          <w:lang w:val="sr-Cyrl-CS"/>
        </w:rPr>
        <w:t xml:space="preserve"> </w:t>
      </w:r>
      <w:r w:rsidR="005818C0">
        <w:rPr>
          <w:color w:val="000000" w:themeColor="text1"/>
          <w:lang w:val="sr-Cyrl-CS"/>
        </w:rPr>
        <w:t>u</w:t>
      </w:r>
      <w:r w:rsidRPr="00E95BC4">
        <w:rPr>
          <w:color w:val="000000" w:themeColor="text1"/>
          <w:lang w:val="sr-Cyrl-CS"/>
        </w:rPr>
        <w:t xml:space="preserve"> </w:t>
      </w:r>
      <w:r w:rsidR="005818C0">
        <w:rPr>
          <w:color w:val="000000" w:themeColor="text1"/>
          <w:lang w:val="sr-Cyrl-CS"/>
        </w:rPr>
        <w:t>predmetima</w:t>
      </w:r>
      <w:r w:rsidRPr="00E95BC4">
        <w:rPr>
          <w:color w:val="000000" w:themeColor="text1"/>
          <w:lang w:val="sr-Cyrl-CS"/>
        </w:rPr>
        <w:t xml:space="preserve"> </w:t>
      </w:r>
      <w:r w:rsidR="005818C0">
        <w:rPr>
          <w:color w:val="000000" w:themeColor="text1"/>
          <w:lang w:val="sr-Cyrl-CS"/>
        </w:rPr>
        <w:t>pranja</w:t>
      </w:r>
      <w:r w:rsidRPr="00E95BC4">
        <w:rPr>
          <w:color w:val="000000" w:themeColor="text1"/>
          <w:lang w:val="sr-Cyrl-CS"/>
        </w:rPr>
        <w:t xml:space="preserve"> </w:t>
      </w:r>
      <w:r w:rsidR="005818C0">
        <w:rPr>
          <w:color w:val="000000" w:themeColor="text1"/>
          <w:lang w:val="sr-Cyrl-CS"/>
        </w:rPr>
        <w:t>novca</w:t>
      </w:r>
      <w:r w:rsidRPr="00E95BC4">
        <w:rPr>
          <w:color w:val="000000" w:themeColor="text1"/>
          <w:lang w:val="sr-Cyrl-CS"/>
        </w:rPr>
        <w:t xml:space="preserve"> </w:t>
      </w:r>
      <w:r w:rsidR="005818C0">
        <w:rPr>
          <w:color w:val="000000" w:themeColor="text1"/>
          <w:lang w:val="sr-Cyrl-CS"/>
        </w:rPr>
        <w:t>postupaju</w:t>
      </w:r>
      <w:r w:rsidRPr="00E95BC4">
        <w:rPr>
          <w:color w:val="000000" w:themeColor="text1"/>
          <w:lang w:val="sr-Cyrl-CS"/>
        </w:rPr>
        <w:t xml:space="preserve"> </w:t>
      </w:r>
      <w:r w:rsidR="005818C0">
        <w:rPr>
          <w:color w:val="000000" w:themeColor="text1"/>
          <w:lang w:val="sr-Cyrl-CS"/>
        </w:rPr>
        <w:t>Posebno</w:t>
      </w:r>
      <w:r w:rsidRPr="00E95BC4">
        <w:rPr>
          <w:color w:val="000000" w:themeColor="text1"/>
          <w:lang w:val="sr-Cyrl-CS"/>
        </w:rPr>
        <w:t xml:space="preserve"> </w:t>
      </w:r>
      <w:r w:rsidR="005818C0">
        <w:rPr>
          <w:color w:val="000000" w:themeColor="text1"/>
          <w:lang w:val="sr-Cyrl-CS"/>
        </w:rPr>
        <w:t>deljenje</w:t>
      </w:r>
      <w:r w:rsidRPr="00E95BC4">
        <w:rPr>
          <w:color w:val="000000" w:themeColor="text1"/>
          <w:lang w:val="sr-Cyrl-CS"/>
        </w:rPr>
        <w:t xml:space="preserve"> </w:t>
      </w:r>
      <w:r w:rsidR="005818C0">
        <w:rPr>
          <w:color w:val="000000" w:themeColor="text1"/>
          <w:lang w:val="sr-Cyrl-CS"/>
        </w:rPr>
        <w:t>za</w:t>
      </w:r>
      <w:r w:rsidRPr="00E95BC4">
        <w:rPr>
          <w:color w:val="000000" w:themeColor="text1"/>
          <w:lang w:val="sr-Cyrl-CS"/>
        </w:rPr>
        <w:t xml:space="preserve"> </w:t>
      </w:r>
      <w:r w:rsidR="005818C0">
        <w:rPr>
          <w:color w:val="000000" w:themeColor="text1"/>
          <w:lang w:val="sr-Cyrl-CS"/>
        </w:rPr>
        <w:t>organizovani</w:t>
      </w:r>
      <w:r w:rsidRPr="00E95BC4">
        <w:rPr>
          <w:color w:val="000000" w:themeColor="text1"/>
          <w:lang w:val="sr-Cyrl-CS"/>
        </w:rPr>
        <w:t xml:space="preserve"> </w:t>
      </w:r>
      <w:r w:rsidR="005818C0">
        <w:rPr>
          <w:color w:val="000000" w:themeColor="text1"/>
          <w:lang w:val="sr-Cyrl-CS"/>
        </w:rPr>
        <w:t>kriminal</w:t>
      </w:r>
      <w:r w:rsidRPr="00E95BC4">
        <w:rPr>
          <w:color w:val="000000" w:themeColor="text1"/>
          <w:lang w:val="sr-Cyrl-CS"/>
        </w:rPr>
        <w:t xml:space="preserve"> </w:t>
      </w:r>
      <w:r w:rsidR="005818C0">
        <w:rPr>
          <w:color w:val="000000" w:themeColor="text1"/>
          <w:lang w:val="sr-Cyrl-CS"/>
        </w:rPr>
        <w:t>Višeg</w:t>
      </w:r>
      <w:r w:rsidRPr="00E95BC4">
        <w:rPr>
          <w:color w:val="000000" w:themeColor="text1"/>
          <w:lang w:val="sr-Cyrl-CS"/>
        </w:rPr>
        <w:t xml:space="preserve"> </w:t>
      </w:r>
      <w:r w:rsidR="005818C0">
        <w:rPr>
          <w:color w:val="000000" w:themeColor="text1"/>
          <w:lang w:val="sr-Cyrl-CS"/>
        </w:rPr>
        <w:t>suda</w:t>
      </w:r>
      <w:r w:rsidRPr="00E95BC4">
        <w:rPr>
          <w:color w:val="000000" w:themeColor="text1"/>
          <w:lang w:val="sr-Cyrl-CS"/>
        </w:rPr>
        <w:t xml:space="preserve"> </w:t>
      </w:r>
      <w:r w:rsidR="005818C0">
        <w:rPr>
          <w:color w:val="000000" w:themeColor="text1"/>
          <w:lang w:val="sr-Cyrl-CS"/>
        </w:rPr>
        <w:t>u</w:t>
      </w:r>
      <w:r w:rsidRPr="00E95BC4">
        <w:rPr>
          <w:color w:val="000000" w:themeColor="text1"/>
          <w:lang w:val="sr-Cyrl-CS"/>
        </w:rPr>
        <w:t xml:space="preserve"> </w:t>
      </w:r>
      <w:r w:rsidR="005818C0">
        <w:rPr>
          <w:color w:val="000000" w:themeColor="text1"/>
          <w:lang w:val="sr-Cyrl-CS"/>
        </w:rPr>
        <w:t>Beogradu</w:t>
      </w:r>
      <w:r w:rsidRPr="00E95BC4">
        <w:rPr>
          <w:color w:val="000000" w:themeColor="text1"/>
          <w:lang w:val="sr-Cyrl-CS"/>
        </w:rPr>
        <w:t xml:space="preserve"> </w:t>
      </w:r>
      <w:r w:rsidR="005818C0">
        <w:rPr>
          <w:color w:val="000000" w:themeColor="text1"/>
          <w:lang w:val="sr-Cyrl-CS"/>
        </w:rPr>
        <w:t>i</w:t>
      </w:r>
      <w:r w:rsidRPr="00E95BC4">
        <w:rPr>
          <w:color w:val="000000" w:themeColor="text1"/>
          <w:lang w:val="sr-Cyrl-CS"/>
        </w:rPr>
        <w:t xml:space="preserve"> </w:t>
      </w:r>
      <w:r w:rsidR="005818C0">
        <w:rPr>
          <w:color w:val="000000" w:themeColor="text1"/>
          <w:lang w:val="sr-Cyrl-CS"/>
        </w:rPr>
        <w:t>Posebna</w:t>
      </w:r>
      <w:r w:rsidRPr="00E95BC4">
        <w:rPr>
          <w:color w:val="000000" w:themeColor="text1"/>
          <w:lang w:val="sr-Cyrl-CS"/>
        </w:rPr>
        <w:t xml:space="preserve"> </w:t>
      </w:r>
      <w:r w:rsidR="005818C0">
        <w:rPr>
          <w:color w:val="000000" w:themeColor="text1"/>
          <w:lang w:val="sr-Cyrl-CS"/>
        </w:rPr>
        <w:t>odeljenja</w:t>
      </w:r>
      <w:r w:rsidRPr="00E95BC4">
        <w:rPr>
          <w:color w:val="000000" w:themeColor="text1"/>
          <w:lang w:val="sr-Cyrl-CS"/>
        </w:rPr>
        <w:t xml:space="preserve"> </w:t>
      </w:r>
      <w:r w:rsidR="005818C0">
        <w:rPr>
          <w:color w:val="000000" w:themeColor="text1"/>
          <w:lang w:val="sr-Cyrl-CS"/>
        </w:rPr>
        <w:t>za</w:t>
      </w:r>
      <w:r w:rsidRPr="00E95BC4">
        <w:rPr>
          <w:color w:val="000000" w:themeColor="text1"/>
          <w:lang w:val="sr-Cyrl-CS"/>
        </w:rPr>
        <w:t xml:space="preserve"> </w:t>
      </w:r>
      <w:r w:rsidR="005818C0">
        <w:rPr>
          <w:color w:val="000000" w:themeColor="text1"/>
          <w:lang w:val="sr-Cyrl-CS"/>
        </w:rPr>
        <w:t>suzbijanje</w:t>
      </w:r>
      <w:r w:rsidRPr="00E95BC4">
        <w:rPr>
          <w:color w:val="000000" w:themeColor="text1"/>
          <w:lang w:val="sr-Cyrl-CS"/>
        </w:rPr>
        <w:t xml:space="preserve"> </w:t>
      </w:r>
      <w:r w:rsidR="005818C0">
        <w:rPr>
          <w:color w:val="000000" w:themeColor="text1"/>
          <w:lang w:val="sr-Cyrl-CS"/>
        </w:rPr>
        <w:t>korupcije</w:t>
      </w:r>
      <w:r w:rsidRPr="00E95BC4">
        <w:rPr>
          <w:color w:val="000000" w:themeColor="text1"/>
          <w:lang w:val="sr-Cyrl-CS"/>
        </w:rPr>
        <w:t xml:space="preserve"> </w:t>
      </w:r>
      <w:r w:rsidR="005818C0">
        <w:rPr>
          <w:color w:val="000000" w:themeColor="text1"/>
          <w:lang w:val="sr-Cyrl-CS"/>
        </w:rPr>
        <w:t>osnovana</w:t>
      </w:r>
      <w:r w:rsidRPr="00E95BC4">
        <w:rPr>
          <w:color w:val="000000" w:themeColor="text1"/>
          <w:lang w:val="sr-Cyrl-CS"/>
        </w:rPr>
        <w:t xml:space="preserve"> </w:t>
      </w:r>
      <w:r w:rsidR="005818C0">
        <w:rPr>
          <w:color w:val="000000" w:themeColor="text1"/>
          <w:lang w:val="sr-Cyrl-CS"/>
        </w:rPr>
        <w:t>u</w:t>
      </w:r>
      <w:r w:rsidRPr="00E95BC4">
        <w:rPr>
          <w:color w:val="000000" w:themeColor="text1"/>
          <w:lang w:val="sr-Cyrl-CS"/>
        </w:rPr>
        <w:t xml:space="preserve"> </w:t>
      </w:r>
      <w:r w:rsidR="005818C0">
        <w:rPr>
          <w:color w:val="000000" w:themeColor="text1"/>
          <w:lang w:val="sr-Cyrl-CS"/>
        </w:rPr>
        <w:t>četiri</w:t>
      </w:r>
      <w:r w:rsidRPr="00E95BC4">
        <w:rPr>
          <w:color w:val="000000" w:themeColor="text1"/>
          <w:lang w:val="sr-Cyrl-CS"/>
        </w:rPr>
        <w:t xml:space="preserve"> </w:t>
      </w:r>
      <w:r w:rsidR="005818C0">
        <w:rPr>
          <w:color w:val="000000" w:themeColor="text1"/>
          <w:lang w:val="sr-Cyrl-CS"/>
        </w:rPr>
        <w:t>viša</w:t>
      </w:r>
      <w:r w:rsidRPr="00E95BC4">
        <w:rPr>
          <w:color w:val="000000" w:themeColor="text1"/>
          <w:lang w:val="sr-Cyrl-CS"/>
        </w:rPr>
        <w:t xml:space="preserve"> </w:t>
      </w:r>
      <w:r w:rsidR="005818C0">
        <w:rPr>
          <w:color w:val="000000" w:themeColor="text1"/>
          <w:lang w:val="sr-Cyrl-CS"/>
        </w:rPr>
        <w:t>suda</w:t>
      </w:r>
      <w:r w:rsidRPr="00E95BC4">
        <w:rPr>
          <w:color w:val="000000" w:themeColor="text1"/>
          <w:lang w:val="sr-Cyrl-CS"/>
        </w:rPr>
        <w:t xml:space="preserve"> </w:t>
      </w:r>
      <w:r w:rsidR="005818C0">
        <w:rPr>
          <w:color w:val="000000" w:themeColor="text1"/>
          <w:lang w:val="sr-Cyrl-CS"/>
        </w:rPr>
        <w:t>u</w:t>
      </w:r>
      <w:r w:rsidRPr="00E95BC4">
        <w:rPr>
          <w:color w:val="000000" w:themeColor="text1"/>
          <w:lang w:val="sr-Cyrl-CS"/>
        </w:rPr>
        <w:t xml:space="preserve"> </w:t>
      </w:r>
      <w:r w:rsidR="005818C0">
        <w:rPr>
          <w:color w:val="000000" w:themeColor="text1"/>
          <w:lang w:val="sr-Cyrl-CS"/>
        </w:rPr>
        <w:t>Republici</w:t>
      </w:r>
      <w:r w:rsidR="0074155A" w:rsidRPr="00E95BC4">
        <w:rPr>
          <w:color w:val="000000" w:themeColor="text1"/>
          <w:lang w:val="sr-Cyrl-CS"/>
        </w:rPr>
        <w:t xml:space="preserve"> </w:t>
      </w:r>
      <w:r w:rsidR="005818C0">
        <w:rPr>
          <w:color w:val="000000" w:themeColor="text1"/>
          <w:lang w:val="sr-Cyrl-CS"/>
        </w:rPr>
        <w:t>Srbiji</w:t>
      </w:r>
      <w:r w:rsidRPr="00E95BC4">
        <w:rPr>
          <w:color w:val="000000" w:themeColor="text1"/>
          <w:lang w:val="sr-Cyrl-CS"/>
        </w:rPr>
        <w:t>.</w:t>
      </w:r>
    </w:p>
    <w:p w:rsidR="00745C54" w:rsidRPr="00E95BC4" w:rsidRDefault="00745C54" w:rsidP="00745C54">
      <w:pPr>
        <w:jc w:val="both"/>
        <w:rPr>
          <w:rFonts w:eastAsia="Calibri"/>
          <w:color w:val="000000" w:themeColor="text1"/>
          <w:lang w:val="sr-Cyrl-CS"/>
        </w:rPr>
      </w:pPr>
      <w:r w:rsidRPr="00E95BC4">
        <w:rPr>
          <w:color w:val="000000" w:themeColor="text1"/>
          <w:lang w:val="sr-Cyrl-CS"/>
        </w:rPr>
        <w:tab/>
      </w:r>
      <w:r w:rsidR="005818C0">
        <w:rPr>
          <w:color w:val="000000" w:themeColor="text1"/>
          <w:lang w:val="sr-Cyrl-CS"/>
        </w:rPr>
        <w:t>U</w:t>
      </w:r>
      <w:r w:rsidRPr="00E95BC4">
        <w:rPr>
          <w:color w:val="000000" w:themeColor="text1"/>
          <w:lang w:val="sr-Cyrl-CS"/>
        </w:rPr>
        <w:t xml:space="preserve"> </w:t>
      </w:r>
      <w:r w:rsidR="005818C0">
        <w:rPr>
          <w:color w:val="000000" w:themeColor="text1"/>
          <w:lang w:val="sr-Cyrl-CS"/>
        </w:rPr>
        <w:t>nadležnosti</w:t>
      </w:r>
      <w:r w:rsidRPr="00E95BC4">
        <w:rPr>
          <w:color w:val="000000" w:themeColor="text1"/>
          <w:lang w:val="sr-Cyrl-CS"/>
        </w:rPr>
        <w:t xml:space="preserve"> </w:t>
      </w:r>
      <w:r w:rsidR="005818C0">
        <w:rPr>
          <w:color w:val="000000" w:themeColor="text1"/>
          <w:lang w:val="sr-Cyrl-CS"/>
        </w:rPr>
        <w:t>posebnih</w:t>
      </w:r>
      <w:r w:rsidRPr="00E95BC4">
        <w:rPr>
          <w:color w:val="000000" w:themeColor="text1"/>
          <w:lang w:val="sr-Cyrl-CS"/>
        </w:rPr>
        <w:t xml:space="preserve"> </w:t>
      </w:r>
      <w:r w:rsidR="005818C0">
        <w:rPr>
          <w:color w:val="000000" w:themeColor="text1"/>
          <w:lang w:val="sr-Cyrl-CS"/>
        </w:rPr>
        <w:t>odeljenja</w:t>
      </w:r>
      <w:r w:rsidRPr="00E95BC4">
        <w:rPr>
          <w:color w:val="000000" w:themeColor="text1"/>
          <w:lang w:val="sr-Cyrl-CS"/>
        </w:rPr>
        <w:t xml:space="preserve"> </w:t>
      </w:r>
      <w:r w:rsidR="005818C0">
        <w:rPr>
          <w:color w:val="000000" w:themeColor="text1"/>
          <w:lang w:val="sr-Cyrl-CS"/>
        </w:rPr>
        <w:t>za</w:t>
      </w:r>
      <w:r w:rsidRPr="00E95BC4">
        <w:rPr>
          <w:color w:val="000000" w:themeColor="text1"/>
          <w:lang w:val="sr-Cyrl-CS"/>
        </w:rPr>
        <w:t xml:space="preserve"> </w:t>
      </w:r>
      <w:r w:rsidR="005818C0">
        <w:rPr>
          <w:color w:val="000000" w:themeColor="text1"/>
          <w:lang w:val="sr-Cyrl-CS"/>
        </w:rPr>
        <w:t>suzbijanje</w:t>
      </w:r>
      <w:r w:rsidRPr="00E95BC4">
        <w:rPr>
          <w:color w:val="000000" w:themeColor="text1"/>
          <w:lang w:val="sr-Cyrl-CS"/>
        </w:rPr>
        <w:t xml:space="preserve"> </w:t>
      </w:r>
      <w:r w:rsidR="005818C0">
        <w:rPr>
          <w:color w:val="000000" w:themeColor="text1"/>
          <w:lang w:val="sr-Cyrl-CS"/>
        </w:rPr>
        <w:t>korupcije</w:t>
      </w:r>
      <w:r w:rsidRPr="00E95BC4">
        <w:rPr>
          <w:color w:val="000000" w:themeColor="text1"/>
          <w:lang w:val="sr-Cyrl-CS"/>
        </w:rPr>
        <w:t xml:space="preserve"> </w:t>
      </w:r>
      <w:r w:rsidR="005818C0">
        <w:rPr>
          <w:color w:val="000000" w:themeColor="text1"/>
          <w:lang w:val="sr-Cyrl-CS"/>
        </w:rPr>
        <w:t>su</w:t>
      </w:r>
      <w:r w:rsidRPr="00E95BC4">
        <w:rPr>
          <w:color w:val="000000" w:themeColor="text1"/>
          <w:lang w:val="sr-Cyrl-CS"/>
        </w:rPr>
        <w:t xml:space="preserve">, </w:t>
      </w:r>
      <w:r w:rsidR="005818C0">
        <w:rPr>
          <w:color w:val="000000" w:themeColor="text1"/>
          <w:lang w:val="sr-Cyrl-CS"/>
        </w:rPr>
        <w:t>pored</w:t>
      </w:r>
      <w:r w:rsidR="00465BE6" w:rsidRPr="00E95BC4">
        <w:rPr>
          <w:color w:val="000000" w:themeColor="text1"/>
          <w:lang w:val="sr-Cyrl-CS"/>
        </w:rPr>
        <w:t xml:space="preserve"> </w:t>
      </w:r>
      <w:r w:rsidR="005818C0">
        <w:rPr>
          <w:color w:val="000000" w:themeColor="text1"/>
          <w:lang w:val="sr-Cyrl-CS"/>
        </w:rPr>
        <w:t>krivičnog</w:t>
      </w:r>
      <w:r w:rsidR="00465BE6" w:rsidRPr="00E95BC4">
        <w:rPr>
          <w:color w:val="000000" w:themeColor="text1"/>
          <w:lang w:val="sr-Cyrl-CS"/>
        </w:rPr>
        <w:t xml:space="preserve"> </w:t>
      </w:r>
      <w:r w:rsidR="005818C0">
        <w:rPr>
          <w:color w:val="000000" w:themeColor="text1"/>
          <w:lang w:val="sr-Cyrl-CS"/>
        </w:rPr>
        <w:t>dela</w:t>
      </w:r>
      <w:r w:rsidR="00465BE6" w:rsidRPr="00E95BC4">
        <w:rPr>
          <w:color w:val="000000" w:themeColor="text1"/>
          <w:lang w:val="sr-Cyrl-CS"/>
        </w:rPr>
        <w:t xml:space="preserve"> </w:t>
      </w:r>
      <w:r w:rsidR="005818C0">
        <w:rPr>
          <w:color w:val="000000" w:themeColor="text1"/>
          <w:lang w:val="sr-Cyrl-CS"/>
        </w:rPr>
        <w:t>pranje</w:t>
      </w:r>
      <w:r w:rsidR="00465BE6" w:rsidRPr="00E95BC4">
        <w:rPr>
          <w:color w:val="000000" w:themeColor="text1"/>
          <w:lang w:val="sr-Cyrl-CS"/>
        </w:rPr>
        <w:t xml:space="preserve"> </w:t>
      </w:r>
      <w:r w:rsidR="005818C0">
        <w:rPr>
          <w:color w:val="000000" w:themeColor="text1"/>
          <w:lang w:val="sr-Cyrl-CS"/>
        </w:rPr>
        <w:t>novca</w:t>
      </w:r>
      <w:r w:rsidR="00465BE6" w:rsidRPr="00E95BC4">
        <w:rPr>
          <w:color w:val="000000" w:themeColor="text1"/>
          <w:lang w:val="sr-Cyrl-CS"/>
        </w:rPr>
        <w:t xml:space="preserve"> </w:t>
      </w:r>
      <w:r w:rsidR="005818C0">
        <w:rPr>
          <w:color w:val="000000" w:themeColor="text1"/>
          <w:lang w:val="sr-Cyrl-CS"/>
        </w:rPr>
        <w:t>i</w:t>
      </w:r>
      <w:r w:rsidRPr="00E95BC4">
        <w:rPr>
          <w:color w:val="000000" w:themeColor="text1"/>
          <w:lang w:val="sr-Cyrl-CS"/>
        </w:rPr>
        <w:t xml:space="preserve"> </w:t>
      </w:r>
      <w:r w:rsidR="005818C0">
        <w:rPr>
          <w:color w:val="000000" w:themeColor="text1"/>
          <w:lang w:val="sr-Cyrl-CS"/>
        </w:rPr>
        <w:t>druga</w:t>
      </w:r>
      <w:r w:rsidRPr="00E95BC4">
        <w:rPr>
          <w:color w:val="000000" w:themeColor="text1"/>
          <w:lang w:val="sr-Cyrl-CS"/>
        </w:rPr>
        <w:t xml:space="preserve"> </w:t>
      </w:r>
      <w:r w:rsidR="005818C0">
        <w:rPr>
          <w:color w:val="000000" w:themeColor="text1"/>
          <w:lang w:val="sr-Cyrl-CS"/>
        </w:rPr>
        <w:t>krivična</w:t>
      </w:r>
      <w:r w:rsidRPr="00E95BC4">
        <w:rPr>
          <w:color w:val="000000" w:themeColor="text1"/>
          <w:lang w:val="sr-Cyrl-CS"/>
        </w:rPr>
        <w:t xml:space="preserve"> </w:t>
      </w:r>
      <w:r w:rsidR="005818C0">
        <w:rPr>
          <w:color w:val="000000" w:themeColor="text1"/>
          <w:lang w:val="sr-Cyrl-CS"/>
        </w:rPr>
        <w:t>dela</w:t>
      </w:r>
      <w:r w:rsidRPr="00E95BC4">
        <w:rPr>
          <w:color w:val="000000" w:themeColor="text1"/>
          <w:lang w:val="sr-Cyrl-CS"/>
        </w:rPr>
        <w:t xml:space="preserve"> </w:t>
      </w:r>
      <w:r w:rsidR="005818C0">
        <w:rPr>
          <w:color w:val="000000" w:themeColor="text1"/>
          <w:lang w:val="sr-Cyrl-CS"/>
        </w:rPr>
        <w:t>protiv</w:t>
      </w:r>
      <w:r w:rsidRPr="00E95BC4">
        <w:rPr>
          <w:color w:val="000000" w:themeColor="text1"/>
          <w:lang w:val="sr-Cyrl-CS"/>
        </w:rPr>
        <w:t xml:space="preserve"> </w:t>
      </w:r>
      <w:r w:rsidR="005818C0">
        <w:rPr>
          <w:color w:val="000000" w:themeColor="text1"/>
          <w:lang w:val="sr-Cyrl-CS"/>
        </w:rPr>
        <w:t>privrede</w:t>
      </w:r>
      <w:r w:rsidRPr="00E95BC4">
        <w:rPr>
          <w:color w:val="000000" w:themeColor="text1"/>
          <w:lang w:val="sr-Cyrl-CS"/>
        </w:rPr>
        <w:t xml:space="preserve"> </w:t>
      </w:r>
      <w:r w:rsidR="005818C0">
        <w:rPr>
          <w:color w:val="000000" w:themeColor="text1"/>
          <w:lang w:val="sr-Cyrl-CS"/>
        </w:rPr>
        <w:t>i</w:t>
      </w:r>
      <w:r w:rsidRPr="00E95BC4">
        <w:rPr>
          <w:color w:val="000000" w:themeColor="text1"/>
          <w:lang w:val="sr-Cyrl-CS"/>
        </w:rPr>
        <w:t xml:space="preserve"> </w:t>
      </w:r>
      <w:r w:rsidR="005818C0">
        <w:rPr>
          <w:color w:val="000000" w:themeColor="text1"/>
          <w:lang w:val="sr-Cyrl-CS"/>
        </w:rPr>
        <w:t>službene</w:t>
      </w:r>
      <w:r w:rsidRPr="00E95BC4">
        <w:rPr>
          <w:color w:val="000000" w:themeColor="text1"/>
          <w:lang w:val="sr-Cyrl-CS"/>
        </w:rPr>
        <w:t xml:space="preserve"> </w:t>
      </w:r>
      <w:r w:rsidR="005818C0">
        <w:rPr>
          <w:color w:val="000000" w:themeColor="text1"/>
          <w:lang w:val="sr-Cyrl-CS"/>
        </w:rPr>
        <w:t>dužnosti</w:t>
      </w:r>
      <w:r w:rsidRPr="00E95BC4">
        <w:rPr>
          <w:color w:val="000000" w:themeColor="text1"/>
          <w:lang w:val="sr-Cyrl-CS"/>
        </w:rPr>
        <w:t xml:space="preserve">. </w:t>
      </w:r>
      <w:r w:rsidR="005818C0">
        <w:rPr>
          <w:color w:val="000000" w:themeColor="text1"/>
          <w:lang w:val="sr-Cyrl-CS"/>
        </w:rPr>
        <w:t>Zapravo</w:t>
      </w:r>
      <w:r w:rsidRPr="00E95BC4">
        <w:rPr>
          <w:color w:val="000000" w:themeColor="text1"/>
          <w:lang w:val="sr-Cyrl-CS"/>
        </w:rPr>
        <w:t>,</w:t>
      </w:r>
      <w:r w:rsidRPr="00E95BC4">
        <w:rPr>
          <w:rFonts w:eastAsia="Calibri"/>
          <w:color w:val="000000" w:themeColor="text1"/>
          <w:lang w:val="sr-Cyrl-CS"/>
        </w:rPr>
        <w:t xml:space="preserve"> </w:t>
      </w:r>
      <w:r w:rsidR="005818C0">
        <w:rPr>
          <w:rFonts w:eastAsia="Calibri"/>
          <w:color w:val="000000" w:themeColor="text1"/>
          <w:lang w:val="sr-Cyrl-CS"/>
        </w:rPr>
        <w:t>ovim</w:t>
      </w:r>
      <w:r w:rsidRPr="00E95BC4">
        <w:rPr>
          <w:rFonts w:eastAsia="Calibri"/>
          <w:color w:val="000000" w:themeColor="text1"/>
          <w:lang w:val="sr-Cyrl-CS"/>
        </w:rPr>
        <w:t xml:space="preserve"> </w:t>
      </w:r>
      <w:r w:rsidR="005818C0">
        <w:rPr>
          <w:rFonts w:eastAsia="Calibri"/>
          <w:color w:val="000000" w:themeColor="text1"/>
          <w:lang w:val="sr-Cyrl-CS"/>
        </w:rPr>
        <w:t>zakonom</w:t>
      </w:r>
      <w:r w:rsidRPr="00E95BC4">
        <w:rPr>
          <w:rFonts w:eastAsia="Calibri"/>
          <w:color w:val="000000" w:themeColor="text1"/>
          <w:lang w:val="sr-Cyrl-CS"/>
        </w:rPr>
        <w:t xml:space="preserve"> </w:t>
      </w:r>
      <w:r w:rsidR="005818C0">
        <w:rPr>
          <w:rFonts w:eastAsia="Calibri"/>
          <w:color w:val="000000" w:themeColor="text1"/>
          <w:lang w:val="sr-Cyrl-CS"/>
        </w:rPr>
        <w:t>su</w:t>
      </w:r>
      <w:r w:rsidRPr="00E95BC4">
        <w:rPr>
          <w:rFonts w:eastAsia="Calibri"/>
          <w:color w:val="000000" w:themeColor="text1"/>
          <w:lang w:val="sr-Cyrl-CS"/>
        </w:rPr>
        <w:t xml:space="preserve"> </w:t>
      </w:r>
      <w:r w:rsidR="005818C0">
        <w:rPr>
          <w:rFonts w:eastAsia="Calibri"/>
          <w:color w:val="000000" w:themeColor="text1"/>
          <w:lang w:val="sr-Cyrl-CS"/>
        </w:rPr>
        <w:t>pomenuta</w:t>
      </w:r>
      <w:r w:rsidRPr="00E95BC4">
        <w:rPr>
          <w:rFonts w:eastAsia="Calibri"/>
          <w:color w:val="000000" w:themeColor="text1"/>
          <w:lang w:val="sr-Cyrl-CS"/>
        </w:rPr>
        <w:t xml:space="preserve"> </w:t>
      </w:r>
      <w:r w:rsidR="005818C0">
        <w:rPr>
          <w:rFonts w:eastAsia="Calibri"/>
          <w:color w:val="000000" w:themeColor="text1"/>
          <w:lang w:val="sr-Cyrl-CS"/>
        </w:rPr>
        <w:t>krivična</w:t>
      </w:r>
      <w:r w:rsidRPr="00E95BC4">
        <w:rPr>
          <w:rFonts w:eastAsia="Calibri"/>
          <w:color w:val="000000" w:themeColor="text1"/>
          <w:lang w:val="sr-Cyrl-CS"/>
        </w:rPr>
        <w:t xml:space="preserve"> </w:t>
      </w:r>
      <w:r w:rsidR="005818C0">
        <w:rPr>
          <w:rFonts w:eastAsia="Calibri"/>
          <w:color w:val="000000" w:themeColor="text1"/>
          <w:lang w:val="sr-Cyrl-CS"/>
        </w:rPr>
        <w:t>dela</w:t>
      </w:r>
      <w:r w:rsidRPr="00E95BC4">
        <w:rPr>
          <w:rFonts w:eastAsia="Calibri"/>
          <w:color w:val="000000" w:themeColor="text1"/>
          <w:lang w:val="sr-Cyrl-CS"/>
        </w:rPr>
        <w:t xml:space="preserve"> </w:t>
      </w:r>
      <w:r w:rsidR="005818C0">
        <w:rPr>
          <w:rFonts w:eastAsia="Calibri"/>
          <w:color w:val="000000" w:themeColor="text1"/>
          <w:lang w:val="sr-Cyrl-CS"/>
        </w:rPr>
        <w:t>određena</w:t>
      </w:r>
      <w:r w:rsidRPr="00E95BC4">
        <w:rPr>
          <w:rFonts w:eastAsia="Calibri"/>
          <w:color w:val="000000" w:themeColor="text1"/>
          <w:lang w:val="sr-Cyrl-CS"/>
        </w:rPr>
        <w:t xml:space="preserve"> </w:t>
      </w:r>
      <w:r w:rsidR="005818C0">
        <w:rPr>
          <w:rFonts w:eastAsia="Calibri"/>
          <w:color w:val="000000" w:themeColor="text1"/>
          <w:lang w:val="sr-Cyrl-CS"/>
        </w:rPr>
        <w:t>kao</w:t>
      </w:r>
      <w:r w:rsidRPr="00E95BC4">
        <w:rPr>
          <w:rFonts w:eastAsia="Calibri"/>
          <w:color w:val="000000" w:themeColor="text1"/>
          <w:lang w:val="sr-Cyrl-CS"/>
        </w:rPr>
        <w:t xml:space="preserve"> </w:t>
      </w:r>
      <w:r w:rsidR="005818C0">
        <w:rPr>
          <w:rFonts w:eastAsia="Calibri"/>
          <w:color w:val="000000" w:themeColor="text1"/>
          <w:lang w:val="sr-Cyrl-CS"/>
        </w:rPr>
        <w:t>krivična</w:t>
      </w:r>
      <w:r w:rsidRPr="00E95BC4">
        <w:rPr>
          <w:rFonts w:eastAsia="Calibri"/>
          <w:color w:val="000000" w:themeColor="text1"/>
          <w:lang w:val="sr-Cyrl-CS"/>
        </w:rPr>
        <w:t xml:space="preserve"> </w:t>
      </w:r>
      <w:r w:rsidR="005818C0">
        <w:rPr>
          <w:rFonts w:eastAsia="Calibri"/>
          <w:color w:val="000000" w:themeColor="text1"/>
          <w:lang w:val="sr-Cyrl-CS"/>
        </w:rPr>
        <w:t>dela</w:t>
      </w:r>
      <w:r w:rsidRPr="00E95BC4">
        <w:rPr>
          <w:rFonts w:eastAsia="Calibri"/>
          <w:color w:val="000000" w:themeColor="text1"/>
          <w:lang w:val="sr-Cyrl-CS"/>
        </w:rPr>
        <w:t xml:space="preserve"> </w:t>
      </w:r>
      <w:r w:rsidR="005818C0">
        <w:rPr>
          <w:rFonts w:eastAsia="Calibri"/>
          <w:color w:val="000000" w:themeColor="text1"/>
          <w:lang w:val="sr-Cyrl-CS"/>
        </w:rPr>
        <w:t>finansijskog</w:t>
      </w:r>
      <w:r w:rsidRPr="00E95BC4">
        <w:rPr>
          <w:rFonts w:eastAsia="Calibri"/>
          <w:color w:val="000000" w:themeColor="text1"/>
          <w:lang w:val="sr-Cyrl-CS"/>
        </w:rPr>
        <w:t xml:space="preserve"> </w:t>
      </w:r>
      <w:r w:rsidR="005818C0">
        <w:rPr>
          <w:rFonts w:eastAsia="Calibri"/>
          <w:color w:val="000000" w:themeColor="text1"/>
          <w:lang w:val="sr-Cyrl-CS"/>
        </w:rPr>
        <w:t>kriminala</w:t>
      </w:r>
      <w:r w:rsidRPr="00E95BC4">
        <w:rPr>
          <w:rFonts w:eastAsia="Calibri"/>
          <w:color w:val="000000" w:themeColor="text1"/>
          <w:lang w:val="sr-Cyrl-CS"/>
        </w:rPr>
        <w:t xml:space="preserve"> </w:t>
      </w:r>
      <w:r w:rsidR="005818C0">
        <w:rPr>
          <w:rFonts w:eastAsia="Calibri"/>
          <w:color w:val="000000" w:themeColor="text1"/>
          <w:lang w:val="sr-Cyrl-CS"/>
        </w:rPr>
        <w:t>i</w:t>
      </w:r>
      <w:r w:rsidRPr="00E95BC4">
        <w:rPr>
          <w:rFonts w:eastAsia="Calibri"/>
          <w:color w:val="000000" w:themeColor="text1"/>
          <w:lang w:val="sr-Cyrl-CS"/>
        </w:rPr>
        <w:t xml:space="preserve"> </w:t>
      </w:r>
      <w:r w:rsidR="005818C0">
        <w:rPr>
          <w:rFonts w:eastAsia="Calibri"/>
          <w:color w:val="000000" w:themeColor="text1"/>
          <w:lang w:val="sr-Cyrl-CS"/>
        </w:rPr>
        <w:t>korupcije</w:t>
      </w:r>
      <w:r w:rsidRPr="00E95BC4">
        <w:rPr>
          <w:rFonts w:eastAsia="Calibri"/>
          <w:color w:val="000000" w:themeColor="text1"/>
          <w:lang w:val="sr-Cyrl-CS"/>
        </w:rPr>
        <w:t xml:space="preserve">. </w:t>
      </w:r>
      <w:r w:rsidR="005818C0">
        <w:rPr>
          <w:rFonts w:eastAsia="Calibri"/>
          <w:color w:val="000000" w:themeColor="text1"/>
          <w:lang w:val="sr-Cyrl-CS"/>
        </w:rPr>
        <w:t>Donošenje</w:t>
      </w:r>
      <w:r w:rsidRPr="00E95BC4">
        <w:rPr>
          <w:rFonts w:eastAsia="Calibri"/>
          <w:color w:val="000000" w:themeColor="text1"/>
          <w:lang w:val="sr-Cyrl-CS"/>
        </w:rPr>
        <w:t xml:space="preserve"> </w:t>
      </w:r>
      <w:r w:rsidR="005818C0">
        <w:rPr>
          <w:rFonts w:eastAsia="Calibri"/>
          <w:color w:val="000000" w:themeColor="text1"/>
          <w:lang w:val="sr-Cyrl-CS"/>
        </w:rPr>
        <w:t>Zakona</w:t>
      </w:r>
      <w:r w:rsidRPr="00E95BC4">
        <w:rPr>
          <w:rFonts w:eastAsia="Calibri"/>
          <w:color w:val="000000" w:themeColor="text1"/>
          <w:lang w:val="sr-Cyrl-CS"/>
        </w:rPr>
        <w:t xml:space="preserve"> </w:t>
      </w:r>
      <w:r w:rsidR="005818C0">
        <w:rPr>
          <w:rFonts w:eastAsia="Calibri"/>
          <w:color w:val="000000" w:themeColor="text1"/>
          <w:lang w:val="sr-Cyrl-CS"/>
        </w:rPr>
        <w:t>predstavlja</w:t>
      </w:r>
      <w:r w:rsidRPr="00E95BC4">
        <w:rPr>
          <w:rFonts w:eastAsia="Calibri"/>
          <w:color w:val="000000" w:themeColor="text1"/>
          <w:lang w:val="sr-Cyrl-CS"/>
        </w:rPr>
        <w:t xml:space="preserve"> </w:t>
      </w:r>
      <w:r w:rsidR="005818C0">
        <w:rPr>
          <w:rFonts w:eastAsia="Calibri"/>
          <w:color w:val="000000" w:themeColor="text1"/>
          <w:lang w:val="sr-Cyrl-CS"/>
        </w:rPr>
        <w:t>realizaciju</w:t>
      </w:r>
      <w:r w:rsidRPr="00E95BC4">
        <w:rPr>
          <w:rFonts w:eastAsia="Calibri"/>
          <w:color w:val="000000" w:themeColor="text1"/>
          <w:lang w:val="sr-Cyrl-CS"/>
        </w:rPr>
        <w:t xml:space="preserve"> </w:t>
      </w:r>
      <w:r w:rsidR="005818C0">
        <w:rPr>
          <w:rFonts w:eastAsia="Calibri"/>
          <w:color w:val="000000" w:themeColor="text1"/>
          <w:lang w:val="sr-Cyrl-CS"/>
        </w:rPr>
        <w:t>ciljeva</w:t>
      </w:r>
      <w:r w:rsidRPr="00E95BC4">
        <w:rPr>
          <w:rFonts w:eastAsia="Calibri"/>
          <w:color w:val="000000" w:themeColor="text1"/>
          <w:lang w:val="sr-Cyrl-CS"/>
        </w:rPr>
        <w:t xml:space="preserve"> </w:t>
      </w:r>
      <w:r w:rsidR="005818C0">
        <w:rPr>
          <w:rFonts w:eastAsia="Calibri"/>
          <w:color w:val="000000" w:themeColor="text1"/>
          <w:lang w:val="sr-Cyrl-CS"/>
        </w:rPr>
        <w:t>koje</w:t>
      </w:r>
      <w:r w:rsidRPr="00E95BC4">
        <w:rPr>
          <w:rFonts w:eastAsia="Calibri"/>
          <w:color w:val="000000" w:themeColor="text1"/>
          <w:lang w:val="sr-Cyrl-CS"/>
        </w:rPr>
        <w:t xml:space="preserve"> </w:t>
      </w:r>
      <w:r w:rsidR="005818C0">
        <w:rPr>
          <w:rFonts w:eastAsia="Calibri"/>
          <w:color w:val="000000" w:themeColor="text1"/>
          <w:lang w:val="sr-Cyrl-CS"/>
        </w:rPr>
        <w:t>je</w:t>
      </w:r>
      <w:r w:rsidR="00CF1D1B">
        <w:rPr>
          <w:rFonts w:eastAsia="Calibri"/>
          <w:color w:val="000000" w:themeColor="text1"/>
          <w:lang w:val="sr-Cyrl-CS"/>
        </w:rPr>
        <w:t xml:space="preserve"> </w:t>
      </w:r>
      <w:r w:rsidR="005818C0">
        <w:rPr>
          <w:rFonts w:eastAsia="Calibri"/>
          <w:color w:val="000000" w:themeColor="text1"/>
          <w:lang w:val="sr-Cyrl-CS"/>
        </w:rPr>
        <w:t>postavila</w:t>
      </w:r>
      <w:r w:rsidRPr="00E95BC4">
        <w:rPr>
          <w:rFonts w:eastAsia="Calibri"/>
          <w:color w:val="000000" w:themeColor="text1"/>
          <w:lang w:val="sr-Cyrl-CS"/>
        </w:rPr>
        <w:t xml:space="preserve"> </w:t>
      </w:r>
      <w:r w:rsidR="005818C0">
        <w:rPr>
          <w:rFonts w:eastAsia="Calibri"/>
          <w:color w:val="000000" w:themeColor="text1"/>
          <w:lang w:val="sr-Cyrl-CS"/>
        </w:rPr>
        <w:t>Strategija</w:t>
      </w:r>
      <w:r w:rsidRPr="00E95BC4">
        <w:rPr>
          <w:rFonts w:eastAsia="Calibri"/>
          <w:color w:val="000000" w:themeColor="text1"/>
          <w:lang w:val="sr-Cyrl-CS"/>
        </w:rPr>
        <w:t xml:space="preserve"> </w:t>
      </w:r>
      <w:r w:rsidR="005818C0">
        <w:rPr>
          <w:rFonts w:eastAsia="Calibri"/>
          <w:color w:val="000000" w:themeColor="text1"/>
          <w:lang w:val="sr-Cyrl-CS"/>
        </w:rPr>
        <w:t>istraga</w:t>
      </w:r>
      <w:r w:rsidRPr="00E95BC4">
        <w:rPr>
          <w:rFonts w:eastAsia="Calibri"/>
          <w:color w:val="000000" w:themeColor="text1"/>
          <w:lang w:val="sr-Cyrl-CS"/>
        </w:rPr>
        <w:t xml:space="preserve"> </w:t>
      </w:r>
      <w:r w:rsidR="005818C0">
        <w:rPr>
          <w:rFonts w:eastAsia="Calibri"/>
          <w:color w:val="000000" w:themeColor="text1"/>
          <w:lang w:val="sr-Cyrl-CS"/>
        </w:rPr>
        <w:t>finansijskog</w:t>
      </w:r>
      <w:r w:rsidRPr="00E95BC4">
        <w:rPr>
          <w:rFonts w:eastAsia="Calibri"/>
          <w:color w:val="000000" w:themeColor="text1"/>
          <w:lang w:val="sr-Cyrl-CS"/>
        </w:rPr>
        <w:t xml:space="preserve"> </w:t>
      </w:r>
      <w:r w:rsidR="005818C0">
        <w:rPr>
          <w:rFonts w:eastAsia="Calibri"/>
          <w:color w:val="000000" w:themeColor="text1"/>
          <w:lang w:val="sr-Cyrl-CS"/>
        </w:rPr>
        <w:t>kriminala</w:t>
      </w:r>
      <w:r w:rsidRPr="00E95BC4">
        <w:rPr>
          <w:rFonts w:eastAsia="Calibri"/>
          <w:color w:val="000000" w:themeColor="text1"/>
          <w:lang w:val="sr-Cyrl-CS"/>
        </w:rPr>
        <w:t xml:space="preserve"> </w:t>
      </w:r>
      <w:r w:rsidR="005818C0">
        <w:rPr>
          <w:rFonts w:eastAsia="Calibri"/>
          <w:color w:val="000000" w:themeColor="text1"/>
          <w:lang w:val="sr-Cyrl-CS"/>
        </w:rPr>
        <w:t>Republike</w:t>
      </w:r>
      <w:r w:rsidRPr="00E95BC4">
        <w:rPr>
          <w:rFonts w:eastAsia="Calibri"/>
          <w:color w:val="000000" w:themeColor="text1"/>
          <w:lang w:val="sr-Cyrl-CS"/>
        </w:rPr>
        <w:t xml:space="preserve"> </w:t>
      </w:r>
      <w:r w:rsidR="005818C0">
        <w:rPr>
          <w:rFonts w:eastAsia="Calibri"/>
          <w:color w:val="000000" w:themeColor="text1"/>
          <w:lang w:val="sr-Cyrl-CS"/>
        </w:rPr>
        <w:t>Srbije</w:t>
      </w:r>
      <w:r w:rsidRPr="00E95BC4">
        <w:rPr>
          <w:rFonts w:eastAsia="Calibri"/>
          <w:color w:val="000000" w:themeColor="text1"/>
          <w:lang w:val="sr-Cyrl-CS"/>
        </w:rPr>
        <w:t xml:space="preserve">. </w:t>
      </w:r>
      <w:r w:rsidR="005818C0">
        <w:rPr>
          <w:rFonts w:eastAsia="Calibri"/>
          <w:color w:val="000000" w:themeColor="text1"/>
          <w:lang w:val="sr-Cyrl-CS"/>
        </w:rPr>
        <w:t>Ona</w:t>
      </w:r>
      <w:r w:rsidRPr="00E95BC4">
        <w:rPr>
          <w:rFonts w:eastAsia="Calibri"/>
          <w:color w:val="000000" w:themeColor="text1"/>
          <w:lang w:val="sr-Cyrl-CS"/>
        </w:rPr>
        <w:t xml:space="preserve"> </w:t>
      </w:r>
      <w:r w:rsidR="005818C0">
        <w:rPr>
          <w:rFonts w:eastAsia="Calibri"/>
          <w:color w:val="000000" w:themeColor="text1"/>
          <w:lang w:val="sr-Cyrl-CS"/>
        </w:rPr>
        <w:t>se</w:t>
      </w:r>
      <w:r w:rsidRPr="00E95BC4">
        <w:rPr>
          <w:rFonts w:eastAsia="Calibri"/>
          <w:color w:val="000000" w:themeColor="text1"/>
          <w:lang w:val="sr-Cyrl-CS"/>
        </w:rPr>
        <w:t xml:space="preserve"> </w:t>
      </w:r>
      <w:r w:rsidR="005818C0">
        <w:rPr>
          <w:rFonts w:eastAsia="Calibri"/>
          <w:color w:val="000000" w:themeColor="text1"/>
          <w:lang w:val="sr-Cyrl-CS"/>
        </w:rPr>
        <w:t>temelji</w:t>
      </w:r>
      <w:r w:rsidRPr="00E95BC4">
        <w:rPr>
          <w:rFonts w:eastAsia="Calibri"/>
          <w:color w:val="000000" w:themeColor="text1"/>
          <w:lang w:val="sr-Cyrl-CS"/>
        </w:rPr>
        <w:t xml:space="preserve"> </w:t>
      </w:r>
      <w:r w:rsidR="005818C0">
        <w:rPr>
          <w:rFonts w:eastAsia="Calibri"/>
          <w:color w:val="000000" w:themeColor="text1"/>
          <w:lang w:val="sr-Cyrl-CS"/>
        </w:rPr>
        <w:t>na</w:t>
      </w:r>
      <w:r w:rsidRPr="00E95BC4">
        <w:rPr>
          <w:rFonts w:eastAsia="Calibri"/>
          <w:color w:val="000000" w:themeColor="text1"/>
          <w:lang w:val="sr-Cyrl-CS"/>
        </w:rPr>
        <w:t xml:space="preserve"> </w:t>
      </w:r>
      <w:r w:rsidR="005818C0">
        <w:rPr>
          <w:rFonts w:eastAsia="Calibri"/>
          <w:color w:val="000000" w:themeColor="text1"/>
          <w:lang w:val="sr-Cyrl-CS"/>
        </w:rPr>
        <w:t>četiri</w:t>
      </w:r>
      <w:r w:rsidRPr="00E95BC4">
        <w:rPr>
          <w:rFonts w:eastAsia="Calibri"/>
          <w:color w:val="000000" w:themeColor="text1"/>
          <w:lang w:val="sr-Cyrl-CS"/>
        </w:rPr>
        <w:t xml:space="preserve"> </w:t>
      </w:r>
      <w:r w:rsidR="005818C0">
        <w:rPr>
          <w:rFonts w:eastAsia="Calibri"/>
          <w:color w:val="000000" w:themeColor="text1"/>
          <w:lang w:val="sr-Cyrl-CS"/>
        </w:rPr>
        <w:t>stuba</w:t>
      </w:r>
      <w:r w:rsidRPr="00E95BC4">
        <w:rPr>
          <w:rFonts w:eastAsia="Calibri"/>
          <w:color w:val="000000" w:themeColor="text1"/>
          <w:lang w:val="sr-Cyrl-CS"/>
        </w:rPr>
        <w:t xml:space="preserve"> </w:t>
      </w:r>
      <w:r w:rsidR="005818C0">
        <w:rPr>
          <w:rFonts w:eastAsia="Calibri"/>
          <w:color w:val="000000" w:themeColor="text1"/>
          <w:lang w:val="sr-Cyrl-CS"/>
        </w:rPr>
        <w:t>od</w:t>
      </w:r>
      <w:r w:rsidRPr="00E95BC4">
        <w:rPr>
          <w:rFonts w:eastAsia="Calibri"/>
          <w:color w:val="000000" w:themeColor="text1"/>
          <w:lang w:val="sr-Cyrl-CS"/>
        </w:rPr>
        <w:t xml:space="preserve"> </w:t>
      </w:r>
      <w:r w:rsidR="005818C0">
        <w:rPr>
          <w:rFonts w:eastAsia="Calibri"/>
          <w:color w:val="000000" w:themeColor="text1"/>
          <w:lang w:val="sr-Cyrl-CS"/>
        </w:rPr>
        <w:t>kojih</w:t>
      </w:r>
      <w:r w:rsidRPr="00E95BC4">
        <w:rPr>
          <w:rFonts w:eastAsia="Calibri"/>
          <w:color w:val="000000" w:themeColor="text1"/>
          <w:lang w:val="sr-Cyrl-CS"/>
        </w:rPr>
        <w:t xml:space="preserve"> </w:t>
      </w:r>
      <w:r w:rsidR="005818C0">
        <w:rPr>
          <w:rFonts w:eastAsia="Calibri"/>
          <w:color w:val="000000" w:themeColor="text1"/>
          <w:lang w:val="sr-Cyrl-CS"/>
        </w:rPr>
        <w:t>je</w:t>
      </w:r>
      <w:r w:rsidRPr="00E95BC4">
        <w:rPr>
          <w:rFonts w:eastAsia="Calibri"/>
          <w:color w:val="000000" w:themeColor="text1"/>
          <w:lang w:val="sr-Cyrl-CS"/>
        </w:rPr>
        <w:t xml:space="preserve"> </w:t>
      </w:r>
      <w:r w:rsidR="005818C0">
        <w:rPr>
          <w:rFonts w:eastAsia="Calibri"/>
          <w:color w:val="000000" w:themeColor="text1"/>
          <w:lang w:val="sr-Cyrl-CS"/>
        </w:rPr>
        <w:t>prvi</w:t>
      </w:r>
      <w:r w:rsidRPr="00E95BC4">
        <w:rPr>
          <w:rFonts w:eastAsia="Calibri"/>
          <w:color w:val="000000" w:themeColor="text1"/>
          <w:lang w:val="sr-Cyrl-CS"/>
        </w:rPr>
        <w:t xml:space="preserve"> </w:t>
      </w:r>
      <w:r w:rsidR="005818C0">
        <w:rPr>
          <w:rFonts w:eastAsia="Calibri"/>
          <w:color w:val="000000" w:themeColor="text1"/>
          <w:lang w:val="sr-Cyrl-CS"/>
        </w:rPr>
        <w:t>delotvorni</w:t>
      </w:r>
      <w:r w:rsidRPr="00E95BC4">
        <w:rPr>
          <w:rFonts w:eastAsia="Calibri"/>
          <w:color w:val="000000" w:themeColor="text1"/>
          <w:lang w:val="sr-Cyrl-CS"/>
        </w:rPr>
        <w:t xml:space="preserve"> </w:t>
      </w:r>
      <w:r w:rsidR="005818C0">
        <w:rPr>
          <w:rFonts w:eastAsia="Calibri"/>
          <w:color w:val="000000" w:themeColor="text1"/>
          <w:lang w:val="sr-Cyrl-CS"/>
        </w:rPr>
        <w:t>represivni</w:t>
      </w:r>
      <w:r w:rsidRPr="00E95BC4">
        <w:rPr>
          <w:rFonts w:eastAsia="Calibri"/>
          <w:color w:val="000000" w:themeColor="text1"/>
          <w:lang w:val="sr-Cyrl-CS"/>
        </w:rPr>
        <w:t xml:space="preserve"> </w:t>
      </w:r>
      <w:r w:rsidR="005818C0">
        <w:rPr>
          <w:rFonts w:eastAsia="Calibri"/>
          <w:color w:val="000000" w:themeColor="text1"/>
          <w:lang w:val="sr-Cyrl-CS"/>
        </w:rPr>
        <w:t>organi</w:t>
      </w:r>
      <w:r w:rsidRPr="00E95BC4">
        <w:rPr>
          <w:rFonts w:eastAsia="Calibri"/>
          <w:color w:val="000000" w:themeColor="text1"/>
          <w:lang w:val="sr-Cyrl-CS"/>
        </w:rPr>
        <w:t xml:space="preserve">, </w:t>
      </w:r>
      <w:r w:rsidR="005818C0">
        <w:rPr>
          <w:rFonts w:eastAsia="Calibri"/>
          <w:color w:val="000000" w:themeColor="text1"/>
          <w:lang w:val="sr-Cyrl-CS"/>
        </w:rPr>
        <w:t>drugi</w:t>
      </w:r>
      <w:r w:rsidRPr="00E95BC4">
        <w:rPr>
          <w:rFonts w:eastAsia="Calibri"/>
          <w:color w:val="000000" w:themeColor="text1"/>
          <w:lang w:val="sr-Cyrl-CS"/>
        </w:rPr>
        <w:t xml:space="preserve"> </w:t>
      </w:r>
      <w:r w:rsidR="005818C0">
        <w:rPr>
          <w:rFonts w:eastAsia="Calibri"/>
          <w:color w:val="000000" w:themeColor="text1"/>
          <w:lang w:val="sr-Cyrl-CS"/>
        </w:rPr>
        <w:t>obuhvata</w:t>
      </w:r>
      <w:r w:rsidRPr="00E95BC4">
        <w:rPr>
          <w:rFonts w:eastAsia="Calibri"/>
          <w:color w:val="000000" w:themeColor="text1"/>
          <w:lang w:val="sr-Cyrl-CS"/>
        </w:rPr>
        <w:t xml:space="preserve"> </w:t>
      </w:r>
      <w:r w:rsidR="005818C0">
        <w:rPr>
          <w:rFonts w:eastAsia="Calibri"/>
          <w:color w:val="000000" w:themeColor="text1"/>
          <w:lang w:val="sr-Cyrl-CS"/>
        </w:rPr>
        <w:t>unapređenu</w:t>
      </w:r>
      <w:r w:rsidRPr="00E95BC4">
        <w:rPr>
          <w:rFonts w:eastAsia="Calibri"/>
          <w:color w:val="000000" w:themeColor="text1"/>
          <w:lang w:val="sr-Cyrl-CS"/>
        </w:rPr>
        <w:t xml:space="preserve"> </w:t>
      </w:r>
      <w:r w:rsidR="005818C0">
        <w:rPr>
          <w:rFonts w:eastAsia="Calibri"/>
          <w:color w:val="000000" w:themeColor="text1"/>
          <w:lang w:val="sr-Cyrl-CS"/>
        </w:rPr>
        <w:t>saradnju</w:t>
      </w:r>
      <w:r w:rsidRPr="00E95BC4">
        <w:rPr>
          <w:rFonts w:eastAsia="Calibri"/>
          <w:color w:val="000000" w:themeColor="text1"/>
          <w:lang w:val="sr-Cyrl-CS"/>
        </w:rPr>
        <w:t xml:space="preserve"> </w:t>
      </w:r>
      <w:r w:rsidR="005818C0">
        <w:rPr>
          <w:rFonts w:eastAsia="Calibri"/>
          <w:color w:val="000000" w:themeColor="text1"/>
          <w:lang w:val="sr-Cyrl-CS"/>
        </w:rPr>
        <w:t>između</w:t>
      </w:r>
      <w:r w:rsidRPr="00E95BC4">
        <w:rPr>
          <w:rFonts w:eastAsia="Calibri"/>
          <w:color w:val="000000" w:themeColor="text1"/>
          <w:lang w:val="sr-Cyrl-CS"/>
        </w:rPr>
        <w:t xml:space="preserve"> </w:t>
      </w:r>
      <w:r w:rsidR="005818C0">
        <w:rPr>
          <w:rFonts w:eastAsia="Calibri"/>
          <w:color w:val="000000" w:themeColor="text1"/>
          <w:lang w:val="sr-Cyrl-CS"/>
        </w:rPr>
        <w:t>različitih</w:t>
      </w:r>
      <w:r w:rsidRPr="00E95BC4">
        <w:rPr>
          <w:rFonts w:eastAsia="Calibri"/>
          <w:color w:val="000000" w:themeColor="text1"/>
          <w:lang w:val="sr-Cyrl-CS"/>
        </w:rPr>
        <w:t xml:space="preserve"> </w:t>
      </w:r>
      <w:r w:rsidR="005818C0">
        <w:rPr>
          <w:rFonts w:eastAsia="Calibri"/>
          <w:color w:val="000000" w:themeColor="text1"/>
          <w:lang w:val="sr-Cyrl-CS"/>
        </w:rPr>
        <w:t>državnih</w:t>
      </w:r>
      <w:r w:rsidRPr="00E95BC4">
        <w:rPr>
          <w:rFonts w:eastAsia="Calibri"/>
          <w:color w:val="000000" w:themeColor="text1"/>
          <w:lang w:val="sr-Cyrl-CS"/>
        </w:rPr>
        <w:t xml:space="preserve"> </w:t>
      </w:r>
      <w:r w:rsidR="005818C0">
        <w:rPr>
          <w:rFonts w:eastAsia="Calibri"/>
          <w:color w:val="000000" w:themeColor="text1"/>
          <w:lang w:val="sr-Cyrl-CS"/>
        </w:rPr>
        <w:t>organa</w:t>
      </w:r>
      <w:r w:rsidRPr="00E95BC4">
        <w:rPr>
          <w:rFonts w:eastAsia="Calibri"/>
          <w:color w:val="000000" w:themeColor="text1"/>
          <w:lang w:val="sr-Cyrl-CS"/>
        </w:rPr>
        <w:t xml:space="preserve">, </w:t>
      </w:r>
      <w:r w:rsidR="005818C0">
        <w:rPr>
          <w:rFonts w:eastAsia="Calibri"/>
          <w:color w:val="000000" w:themeColor="text1"/>
          <w:lang w:val="sr-Cyrl-CS"/>
        </w:rPr>
        <w:t>treći</w:t>
      </w:r>
      <w:r w:rsidRPr="00E95BC4">
        <w:rPr>
          <w:rFonts w:eastAsia="Calibri"/>
          <w:color w:val="000000" w:themeColor="text1"/>
          <w:lang w:val="sr-Cyrl-CS"/>
        </w:rPr>
        <w:t xml:space="preserve"> </w:t>
      </w:r>
      <w:r w:rsidR="005818C0">
        <w:rPr>
          <w:rFonts w:eastAsia="Calibri"/>
          <w:color w:val="000000" w:themeColor="text1"/>
          <w:lang w:val="sr-Cyrl-CS"/>
        </w:rPr>
        <w:t>je</w:t>
      </w:r>
      <w:r w:rsidRPr="00E95BC4">
        <w:rPr>
          <w:rFonts w:eastAsia="Calibri"/>
          <w:color w:val="000000" w:themeColor="text1"/>
          <w:lang w:val="sr-Cyrl-CS"/>
        </w:rPr>
        <w:t xml:space="preserve"> </w:t>
      </w:r>
      <w:r w:rsidR="005818C0">
        <w:rPr>
          <w:rFonts w:eastAsia="Calibri"/>
          <w:color w:val="000000" w:themeColor="text1"/>
          <w:lang w:val="sr-Cyrl-CS"/>
        </w:rPr>
        <w:t>uvođenje</w:t>
      </w:r>
      <w:r w:rsidRPr="00E95BC4">
        <w:rPr>
          <w:rFonts w:eastAsia="Calibri"/>
          <w:color w:val="000000" w:themeColor="text1"/>
          <w:lang w:val="sr-Cyrl-CS"/>
        </w:rPr>
        <w:t xml:space="preserve"> </w:t>
      </w:r>
      <w:r w:rsidR="005818C0">
        <w:rPr>
          <w:rFonts w:eastAsia="Calibri"/>
          <w:color w:val="000000" w:themeColor="text1"/>
          <w:lang w:val="sr-Cyrl-CS"/>
        </w:rPr>
        <w:t>finansijske</w:t>
      </w:r>
      <w:r w:rsidRPr="00E95BC4">
        <w:rPr>
          <w:rFonts w:eastAsia="Calibri"/>
          <w:color w:val="000000" w:themeColor="text1"/>
          <w:lang w:val="sr-Cyrl-CS"/>
        </w:rPr>
        <w:t xml:space="preserve"> </w:t>
      </w:r>
      <w:r w:rsidR="005818C0">
        <w:rPr>
          <w:rFonts w:eastAsia="Calibri"/>
          <w:color w:val="000000" w:themeColor="text1"/>
          <w:lang w:val="sr-Cyrl-CS"/>
        </w:rPr>
        <w:t>forenzike</w:t>
      </w:r>
      <w:r w:rsidRPr="00E95BC4">
        <w:rPr>
          <w:rFonts w:eastAsia="Calibri"/>
          <w:color w:val="000000" w:themeColor="text1"/>
          <w:lang w:val="sr-Cyrl-CS"/>
        </w:rPr>
        <w:t xml:space="preserve"> </w:t>
      </w:r>
      <w:r w:rsidR="005818C0">
        <w:rPr>
          <w:rFonts w:eastAsia="Calibri"/>
          <w:color w:val="000000" w:themeColor="text1"/>
          <w:lang w:val="sr-Cyrl-CS"/>
        </w:rPr>
        <w:t>u</w:t>
      </w:r>
      <w:r w:rsidRPr="00E95BC4">
        <w:rPr>
          <w:rFonts w:eastAsia="Calibri"/>
          <w:color w:val="000000" w:themeColor="text1"/>
          <w:lang w:val="sr-Cyrl-CS"/>
        </w:rPr>
        <w:t xml:space="preserve"> </w:t>
      </w:r>
      <w:r w:rsidR="005818C0">
        <w:rPr>
          <w:rFonts w:eastAsia="Calibri"/>
          <w:color w:val="000000" w:themeColor="text1"/>
          <w:lang w:val="sr-Cyrl-CS"/>
        </w:rPr>
        <w:t>tužilaštva</w:t>
      </w:r>
      <w:r w:rsidR="004313D4">
        <w:rPr>
          <w:rFonts w:eastAsia="Calibri"/>
          <w:color w:val="000000" w:themeColor="text1"/>
          <w:lang w:val="sr-Cyrl-CS"/>
        </w:rPr>
        <w:t>,</w:t>
      </w:r>
      <w:r w:rsidRPr="00E95BC4">
        <w:rPr>
          <w:rFonts w:eastAsia="Calibri"/>
          <w:color w:val="000000" w:themeColor="text1"/>
          <w:lang w:val="sr-Cyrl-CS"/>
        </w:rPr>
        <w:t xml:space="preserve"> </w:t>
      </w:r>
      <w:r w:rsidR="005818C0">
        <w:rPr>
          <w:rFonts w:eastAsia="Calibri"/>
          <w:color w:val="000000" w:themeColor="text1"/>
          <w:lang w:val="sr-Cyrl-CS"/>
        </w:rPr>
        <w:t>a</w:t>
      </w:r>
      <w:r w:rsidRPr="00E95BC4">
        <w:rPr>
          <w:rFonts w:eastAsia="Calibri"/>
          <w:color w:val="000000" w:themeColor="text1"/>
          <w:lang w:val="sr-Cyrl-CS"/>
        </w:rPr>
        <w:t xml:space="preserve"> </w:t>
      </w:r>
      <w:r w:rsidR="005818C0">
        <w:rPr>
          <w:rFonts w:eastAsia="Calibri"/>
          <w:color w:val="000000" w:themeColor="text1"/>
          <w:lang w:val="sr-Cyrl-CS"/>
        </w:rPr>
        <w:t>četvrti</w:t>
      </w:r>
      <w:r w:rsidRPr="00E95BC4">
        <w:rPr>
          <w:rFonts w:eastAsia="Calibri"/>
          <w:color w:val="000000" w:themeColor="text1"/>
          <w:lang w:val="sr-Cyrl-CS"/>
        </w:rPr>
        <w:t xml:space="preserve"> </w:t>
      </w:r>
      <w:r w:rsidR="005818C0">
        <w:rPr>
          <w:rFonts w:eastAsia="Calibri"/>
          <w:color w:val="000000" w:themeColor="text1"/>
          <w:lang w:val="sr-Cyrl-CS"/>
        </w:rPr>
        <w:t>permanentna</w:t>
      </w:r>
      <w:r w:rsidRPr="00E95BC4">
        <w:rPr>
          <w:rFonts w:eastAsia="Calibri"/>
          <w:color w:val="000000" w:themeColor="text1"/>
          <w:lang w:val="sr-Cyrl-CS"/>
        </w:rPr>
        <w:t xml:space="preserve"> </w:t>
      </w:r>
      <w:r w:rsidR="005818C0">
        <w:rPr>
          <w:rFonts w:eastAsia="Calibri"/>
          <w:color w:val="000000" w:themeColor="text1"/>
          <w:lang w:val="sr-Cyrl-CS"/>
        </w:rPr>
        <w:t>edukacija</w:t>
      </w:r>
      <w:r w:rsidRPr="00E95BC4">
        <w:rPr>
          <w:rFonts w:eastAsia="Calibri"/>
          <w:color w:val="000000" w:themeColor="text1"/>
          <w:lang w:val="sr-Cyrl-CS"/>
        </w:rPr>
        <w:t xml:space="preserve"> </w:t>
      </w:r>
      <w:r w:rsidR="005818C0">
        <w:rPr>
          <w:rFonts w:eastAsia="Calibri"/>
          <w:color w:val="000000" w:themeColor="text1"/>
          <w:lang w:val="sr-Cyrl-CS"/>
        </w:rPr>
        <w:t>i</w:t>
      </w:r>
      <w:r w:rsidRPr="00E95BC4">
        <w:rPr>
          <w:rFonts w:eastAsia="Calibri"/>
          <w:color w:val="000000" w:themeColor="text1"/>
          <w:lang w:val="sr-Cyrl-CS"/>
        </w:rPr>
        <w:t xml:space="preserve"> </w:t>
      </w:r>
      <w:r w:rsidR="005818C0">
        <w:rPr>
          <w:rFonts w:eastAsia="Calibri"/>
          <w:color w:val="000000" w:themeColor="text1"/>
          <w:lang w:val="sr-Cyrl-CS"/>
        </w:rPr>
        <w:t>obuka</w:t>
      </w:r>
      <w:r w:rsidRPr="00E95BC4">
        <w:rPr>
          <w:rFonts w:eastAsia="Calibri"/>
          <w:color w:val="000000" w:themeColor="text1"/>
          <w:lang w:val="sr-Cyrl-CS"/>
        </w:rPr>
        <w:t xml:space="preserve"> </w:t>
      </w:r>
      <w:r w:rsidR="005818C0">
        <w:rPr>
          <w:rFonts w:eastAsia="Calibri"/>
          <w:color w:val="000000" w:themeColor="text1"/>
          <w:lang w:val="sr-Cyrl-CS"/>
        </w:rPr>
        <w:t>policije</w:t>
      </w:r>
      <w:r w:rsidRPr="00E95BC4">
        <w:rPr>
          <w:rFonts w:eastAsia="Calibri"/>
          <w:color w:val="000000" w:themeColor="text1"/>
          <w:lang w:val="sr-Cyrl-CS"/>
        </w:rPr>
        <w:t xml:space="preserve">, </w:t>
      </w:r>
      <w:r w:rsidR="005818C0">
        <w:rPr>
          <w:rFonts w:eastAsia="Calibri"/>
          <w:color w:val="000000" w:themeColor="text1"/>
          <w:lang w:val="sr-Cyrl-CS"/>
        </w:rPr>
        <w:t>javnih</w:t>
      </w:r>
      <w:r w:rsidRPr="00E95BC4">
        <w:rPr>
          <w:rFonts w:eastAsia="Calibri"/>
          <w:color w:val="000000" w:themeColor="text1"/>
          <w:lang w:val="sr-Cyrl-CS"/>
        </w:rPr>
        <w:t xml:space="preserve"> </w:t>
      </w:r>
      <w:r w:rsidR="005818C0">
        <w:rPr>
          <w:rFonts w:eastAsia="Calibri"/>
          <w:color w:val="000000" w:themeColor="text1"/>
          <w:lang w:val="sr-Cyrl-CS"/>
        </w:rPr>
        <w:t>tužilaca</w:t>
      </w:r>
      <w:r w:rsidRPr="00E95BC4">
        <w:rPr>
          <w:rFonts w:eastAsia="Calibri"/>
          <w:color w:val="000000" w:themeColor="text1"/>
          <w:lang w:val="sr-Cyrl-CS"/>
        </w:rPr>
        <w:t xml:space="preserve"> </w:t>
      </w:r>
      <w:r w:rsidR="005818C0">
        <w:rPr>
          <w:rFonts w:eastAsia="Calibri"/>
          <w:color w:val="000000" w:themeColor="text1"/>
          <w:lang w:val="sr-Cyrl-CS"/>
        </w:rPr>
        <w:t>i</w:t>
      </w:r>
      <w:r w:rsidRPr="00E95BC4">
        <w:rPr>
          <w:rFonts w:eastAsia="Calibri"/>
          <w:color w:val="000000" w:themeColor="text1"/>
          <w:lang w:val="sr-Cyrl-CS"/>
        </w:rPr>
        <w:t xml:space="preserve"> </w:t>
      </w:r>
      <w:r w:rsidR="005818C0">
        <w:rPr>
          <w:rFonts w:eastAsia="Calibri"/>
          <w:color w:val="000000" w:themeColor="text1"/>
          <w:lang w:val="sr-Cyrl-CS"/>
        </w:rPr>
        <w:t>sudija</w:t>
      </w:r>
      <w:r w:rsidRPr="00E95BC4">
        <w:rPr>
          <w:rFonts w:eastAsia="Calibri"/>
          <w:color w:val="000000" w:themeColor="text1"/>
          <w:lang w:val="sr-Cyrl-CS"/>
        </w:rPr>
        <w:t xml:space="preserve"> </w:t>
      </w:r>
      <w:r w:rsidR="005818C0">
        <w:rPr>
          <w:rFonts w:eastAsia="Calibri"/>
          <w:color w:val="000000" w:themeColor="text1"/>
          <w:lang w:val="sr-Cyrl-CS"/>
        </w:rPr>
        <w:t>za</w:t>
      </w:r>
      <w:r w:rsidRPr="00E95BC4">
        <w:rPr>
          <w:rFonts w:eastAsia="Calibri"/>
          <w:color w:val="000000" w:themeColor="text1"/>
          <w:lang w:val="sr-Cyrl-CS"/>
        </w:rPr>
        <w:t xml:space="preserve"> </w:t>
      </w:r>
      <w:r w:rsidR="005818C0">
        <w:rPr>
          <w:rFonts w:eastAsia="Calibri"/>
          <w:color w:val="000000" w:themeColor="text1"/>
          <w:lang w:val="sr-Cyrl-CS"/>
        </w:rPr>
        <w:t>vođenje</w:t>
      </w:r>
      <w:r w:rsidRPr="00E95BC4">
        <w:rPr>
          <w:rFonts w:eastAsia="Calibri"/>
          <w:color w:val="000000" w:themeColor="text1"/>
          <w:lang w:val="sr-Cyrl-CS"/>
        </w:rPr>
        <w:t xml:space="preserve"> </w:t>
      </w:r>
      <w:r w:rsidR="005818C0">
        <w:rPr>
          <w:rFonts w:eastAsia="Calibri"/>
          <w:color w:val="000000" w:themeColor="text1"/>
          <w:lang w:val="sr-Cyrl-CS"/>
        </w:rPr>
        <w:t>postupaka</w:t>
      </w:r>
      <w:r w:rsidRPr="00E95BC4">
        <w:rPr>
          <w:rFonts w:eastAsia="Calibri"/>
          <w:color w:val="000000" w:themeColor="text1"/>
          <w:lang w:val="sr-Cyrl-CS"/>
        </w:rPr>
        <w:t xml:space="preserve"> </w:t>
      </w:r>
      <w:r w:rsidR="005818C0">
        <w:rPr>
          <w:rFonts w:eastAsia="Calibri"/>
          <w:color w:val="000000" w:themeColor="text1"/>
          <w:lang w:val="sr-Cyrl-CS"/>
        </w:rPr>
        <w:t>za</w:t>
      </w:r>
      <w:r w:rsidRPr="00E95BC4">
        <w:rPr>
          <w:rFonts w:eastAsia="Calibri"/>
          <w:color w:val="000000" w:themeColor="text1"/>
          <w:lang w:val="sr-Cyrl-CS"/>
        </w:rPr>
        <w:t xml:space="preserve"> </w:t>
      </w:r>
      <w:r w:rsidR="005818C0">
        <w:rPr>
          <w:rFonts w:eastAsia="Calibri"/>
          <w:color w:val="000000" w:themeColor="text1"/>
          <w:lang w:val="sr-Cyrl-CS"/>
        </w:rPr>
        <w:t>koruptivna</w:t>
      </w:r>
      <w:r w:rsidRPr="00E95BC4">
        <w:rPr>
          <w:rFonts w:eastAsia="Calibri"/>
          <w:color w:val="000000" w:themeColor="text1"/>
          <w:lang w:val="sr-Cyrl-CS"/>
        </w:rPr>
        <w:t xml:space="preserve"> </w:t>
      </w:r>
      <w:r w:rsidR="005818C0">
        <w:rPr>
          <w:rFonts w:eastAsia="Calibri"/>
          <w:color w:val="000000" w:themeColor="text1"/>
          <w:lang w:val="sr-Cyrl-CS"/>
        </w:rPr>
        <w:t>krivična</w:t>
      </w:r>
      <w:r w:rsidRPr="00E95BC4">
        <w:rPr>
          <w:rFonts w:eastAsia="Calibri"/>
          <w:color w:val="000000" w:themeColor="text1"/>
          <w:lang w:val="sr-Cyrl-CS"/>
        </w:rPr>
        <w:t xml:space="preserve"> </w:t>
      </w:r>
      <w:r w:rsidR="005818C0">
        <w:rPr>
          <w:rFonts w:eastAsia="Calibri"/>
          <w:color w:val="000000" w:themeColor="text1"/>
          <w:lang w:val="sr-Cyrl-CS"/>
        </w:rPr>
        <w:t>dela</w:t>
      </w:r>
      <w:r w:rsidRPr="00E95BC4">
        <w:rPr>
          <w:rFonts w:eastAsia="Calibri"/>
          <w:color w:val="000000" w:themeColor="text1"/>
          <w:lang w:val="sr-Cyrl-CS"/>
        </w:rPr>
        <w:t xml:space="preserve"> </w:t>
      </w:r>
      <w:r w:rsidR="005818C0">
        <w:rPr>
          <w:rFonts w:eastAsia="Calibri"/>
          <w:color w:val="000000" w:themeColor="text1"/>
          <w:lang w:val="sr-Cyrl-CS"/>
        </w:rPr>
        <w:t>i</w:t>
      </w:r>
      <w:r w:rsidRPr="00E95BC4">
        <w:rPr>
          <w:rFonts w:eastAsia="Calibri"/>
          <w:color w:val="000000" w:themeColor="text1"/>
          <w:lang w:val="sr-Cyrl-CS"/>
        </w:rPr>
        <w:t xml:space="preserve"> </w:t>
      </w:r>
      <w:r w:rsidR="005818C0">
        <w:rPr>
          <w:rFonts w:eastAsia="Calibri"/>
          <w:color w:val="000000" w:themeColor="text1"/>
          <w:lang w:val="sr-Cyrl-CS"/>
        </w:rPr>
        <w:t>krivična</w:t>
      </w:r>
      <w:r w:rsidRPr="00E95BC4">
        <w:rPr>
          <w:rFonts w:eastAsia="Calibri"/>
          <w:color w:val="000000" w:themeColor="text1"/>
          <w:lang w:val="sr-Cyrl-CS"/>
        </w:rPr>
        <w:t xml:space="preserve"> </w:t>
      </w:r>
      <w:r w:rsidR="005818C0">
        <w:rPr>
          <w:rFonts w:eastAsia="Calibri"/>
          <w:color w:val="000000" w:themeColor="text1"/>
          <w:lang w:val="sr-Cyrl-CS"/>
        </w:rPr>
        <w:t>dela</w:t>
      </w:r>
      <w:r w:rsidRPr="00E95BC4">
        <w:rPr>
          <w:rFonts w:eastAsia="Calibri"/>
          <w:color w:val="000000" w:themeColor="text1"/>
          <w:lang w:val="sr-Cyrl-CS"/>
        </w:rPr>
        <w:t xml:space="preserve"> </w:t>
      </w:r>
      <w:r w:rsidR="005818C0">
        <w:rPr>
          <w:rFonts w:eastAsia="Calibri"/>
          <w:color w:val="000000" w:themeColor="text1"/>
          <w:lang w:val="sr-Cyrl-CS"/>
        </w:rPr>
        <w:t>finansijskog</w:t>
      </w:r>
      <w:r w:rsidRPr="00E95BC4">
        <w:rPr>
          <w:rFonts w:eastAsia="Calibri"/>
          <w:color w:val="000000" w:themeColor="text1"/>
          <w:lang w:val="sr-Cyrl-CS"/>
        </w:rPr>
        <w:t xml:space="preserve"> </w:t>
      </w:r>
      <w:r w:rsidR="005818C0">
        <w:rPr>
          <w:rFonts w:eastAsia="Calibri"/>
          <w:color w:val="000000" w:themeColor="text1"/>
          <w:lang w:val="sr-Cyrl-CS"/>
        </w:rPr>
        <w:t>kriminala</w:t>
      </w:r>
      <w:r w:rsidRPr="00E95BC4">
        <w:rPr>
          <w:rFonts w:eastAsia="Calibri"/>
          <w:color w:val="000000" w:themeColor="text1"/>
          <w:lang w:val="sr-Cyrl-CS"/>
        </w:rPr>
        <w:t>.</w:t>
      </w:r>
    </w:p>
    <w:p w:rsidR="00745C54" w:rsidRPr="00E95BC4" w:rsidRDefault="005818C0" w:rsidP="00465BE6">
      <w:pPr>
        <w:ind w:firstLine="708"/>
        <w:jc w:val="both"/>
        <w:rPr>
          <w:lang w:val="sr-Cyrl-CS"/>
        </w:rPr>
      </w:pPr>
      <w:r>
        <w:rPr>
          <w:lang w:val="sr-Cyrl-CS"/>
        </w:rPr>
        <w:t>Republika</w:t>
      </w:r>
      <w:r w:rsidR="00745C54" w:rsidRPr="00E95BC4">
        <w:rPr>
          <w:lang w:val="sr-Cyrl-CS"/>
        </w:rPr>
        <w:t xml:space="preserve"> </w:t>
      </w:r>
      <w:r>
        <w:rPr>
          <w:lang w:val="sr-Cyrl-CS"/>
        </w:rPr>
        <w:t>Srbija</w:t>
      </w:r>
      <w:r w:rsidR="00745C54" w:rsidRPr="00E95BC4">
        <w:rPr>
          <w:lang w:val="sr-Cyrl-CS"/>
        </w:rPr>
        <w:t xml:space="preserve"> </w:t>
      </w:r>
      <w:r>
        <w:rPr>
          <w:lang w:val="sr-Cyrl-CS"/>
        </w:rPr>
        <w:t>je</w:t>
      </w:r>
      <w:r w:rsidR="00745C54" w:rsidRPr="00E95BC4">
        <w:rPr>
          <w:lang w:val="sr-Cyrl-CS"/>
        </w:rPr>
        <w:t xml:space="preserve"> </w:t>
      </w:r>
      <w:r>
        <w:rPr>
          <w:lang w:val="sr-Cyrl-CS"/>
        </w:rPr>
        <w:t>svoj</w:t>
      </w:r>
      <w:r w:rsidR="00745C54" w:rsidRPr="00E95BC4">
        <w:rPr>
          <w:lang w:val="sr-Cyrl-CS"/>
        </w:rPr>
        <w:t xml:space="preserve"> </w:t>
      </w:r>
      <w:r>
        <w:rPr>
          <w:lang w:val="sr-Cyrl-CS"/>
        </w:rPr>
        <w:t>prvi</w:t>
      </w:r>
      <w:r w:rsidR="00745C54" w:rsidRPr="00E95BC4">
        <w:rPr>
          <w:lang w:val="sr-Cyrl-CS"/>
        </w:rPr>
        <w:t xml:space="preserve"> </w:t>
      </w:r>
      <w:r>
        <w:rPr>
          <w:b/>
          <w:lang w:val="sr-Cyrl-CS"/>
        </w:rPr>
        <w:t>Zakon</w:t>
      </w:r>
      <w:r w:rsidR="00745C54" w:rsidRPr="00E95BC4">
        <w:rPr>
          <w:b/>
          <w:lang w:val="sr-Cyrl-CS"/>
        </w:rPr>
        <w:t xml:space="preserve"> </w:t>
      </w:r>
      <w:r>
        <w:rPr>
          <w:b/>
          <w:lang w:val="sr-Cyrl-CS"/>
        </w:rPr>
        <w:t>o</w:t>
      </w:r>
      <w:r w:rsidR="00745C54" w:rsidRPr="00E95BC4">
        <w:rPr>
          <w:b/>
          <w:lang w:val="sr-Cyrl-CS"/>
        </w:rPr>
        <w:t xml:space="preserve"> </w:t>
      </w:r>
      <w:r>
        <w:rPr>
          <w:b/>
          <w:lang w:val="sr-Cyrl-CS"/>
        </w:rPr>
        <w:t>oduzimanju</w:t>
      </w:r>
      <w:r w:rsidR="00745C54" w:rsidRPr="00E95BC4">
        <w:rPr>
          <w:b/>
          <w:lang w:val="sr-Cyrl-CS"/>
        </w:rPr>
        <w:t xml:space="preserve"> </w:t>
      </w:r>
      <w:r>
        <w:rPr>
          <w:b/>
          <w:lang w:val="sr-Cyrl-CS"/>
        </w:rPr>
        <w:t>imovine</w:t>
      </w:r>
      <w:r w:rsidR="00745C54" w:rsidRPr="00E95BC4">
        <w:rPr>
          <w:b/>
          <w:lang w:val="sr-Cyrl-CS"/>
        </w:rPr>
        <w:t xml:space="preserve"> </w:t>
      </w:r>
      <w:r>
        <w:rPr>
          <w:b/>
          <w:lang w:val="sr-Cyrl-CS"/>
        </w:rPr>
        <w:t>proistekle</w:t>
      </w:r>
      <w:r w:rsidR="00745C54" w:rsidRPr="00E95BC4">
        <w:rPr>
          <w:b/>
          <w:lang w:val="sr-Cyrl-CS"/>
        </w:rPr>
        <w:t xml:space="preserve"> </w:t>
      </w:r>
      <w:r>
        <w:rPr>
          <w:b/>
          <w:lang w:val="sr-Cyrl-CS"/>
        </w:rPr>
        <w:t>iz</w:t>
      </w:r>
      <w:r w:rsidR="00745C54" w:rsidRPr="00E95BC4">
        <w:rPr>
          <w:b/>
          <w:lang w:val="sr-Cyrl-CS"/>
        </w:rPr>
        <w:t xml:space="preserve"> </w:t>
      </w:r>
      <w:r>
        <w:rPr>
          <w:b/>
          <w:lang w:val="sr-Cyrl-CS"/>
        </w:rPr>
        <w:t>krivičnog</w:t>
      </w:r>
      <w:r w:rsidR="00745C54" w:rsidRPr="00E95BC4">
        <w:rPr>
          <w:b/>
          <w:lang w:val="sr-Cyrl-CS"/>
        </w:rPr>
        <w:t xml:space="preserve"> </w:t>
      </w:r>
      <w:r>
        <w:rPr>
          <w:b/>
          <w:lang w:val="sr-Cyrl-CS"/>
        </w:rPr>
        <w:t>dela</w:t>
      </w:r>
      <w:r w:rsidR="00745C54" w:rsidRPr="00E95BC4">
        <w:rPr>
          <w:lang w:val="sr-Cyrl-CS"/>
        </w:rPr>
        <w:t xml:space="preserve"> </w:t>
      </w:r>
      <w:r>
        <w:rPr>
          <w:lang w:val="sr-Cyrl-CS"/>
        </w:rPr>
        <w:t>donela</w:t>
      </w:r>
      <w:r w:rsidR="00745C54" w:rsidRPr="00E95BC4">
        <w:rPr>
          <w:lang w:val="sr-Cyrl-CS"/>
        </w:rPr>
        <w:t xml:space="preserve"> 2008. </w:t>
      </w:r>
      <w:r>
        <w:rPr>
          <w:lang w:val="sr-Cyrl-CS"/>
        </w:rPr>
        <w:t>godine</w:t>
      </w:r>
      <w:r w:rsidR="00745C54" w:rsidRPr="00E95BC4">
        <w:rPr>
          <w:lang w:val="sr-Cyrl-CS"/>
        </w:rPr>
        <w:t xml:space="preserve">. </w:t>
      </w:r>
      <w:r>
        <w:rPr>
          <w:lang w:val="sr-Cyrl-CS"/>
        </w:rPr>
        <w:t>Ovim</w:t>
      </w:r>
      <w:r w:rsidR="00745C54" w:rsidRPr="00E95BC4">
        <w:rPr>
          <w:lang w:val="sr-Cyrl-CS"/>
        </w:rPr>
        <w:t xml:space="preserve"> </w:t>
      </w:r>
      <w:r>
        <w:rPr>
          <w:lang w:val="sr-Cyrl-CS"/>
        </w:rPr>
        <w:t>zakonom</w:t>
      </w:r>
      <w:r w:rsidR="00745C54" w:rsidRPr="00E95BC4">
        <w:rPr>
          <w:lang w:val="sr-Cyrl-CS"/>
        </w:rPr>
        <w:t xml:space="preserve"> </w:t>
      </w:r>
      <w:r>
        <w:rPr>
          <w:lang w:val="sr-Cyrl-CS"/>
        </w:rPr>
        <w:t>je</w:t>
      </w:r>
      <w:r w:rsidR="00745C54" w:rsidRPr="00E95BC4">
        <w:rPr>
          <w:lang w:val="sr-Cyrl-CS"/>
        </w:rPr>
        <w:t xml:space="preserve"> </w:t>
      </w:r>
      <w:r>
        <w:rPr>
          <w:lang w:val="sr-Cyrl-CS"/>
        </w:rPr>
        <w:t>u</w:t>
      </w:r>
      <w:r w:rsidR="00745C54" w:rsidRPr="00E95BC4">
        <w:rPr>
          <w:lang w:val="sr-Cyrl-CS"/>
        </w:rPr>
        <w:t xml:space="preserve"> </w:t>
      </w:r>
      <w:r>
        <w:rPr>
          <w:lang w:val="sr-Cyrl-CS"/>
        </w:rPr>
        <w:t>srpski</w:t>
      </w:r>
      <w:r w:rsidR="00745C54" w:rsidRPr="00E95BC4">
        <w:rPr>
          <w:lang w:val="sr-Cyrl-CS"/>
        </w:rPr>
        <w:t xml:space="preserve"> </w:t>
      </w:r>
      <w:r>
        <w:rPr>
          <w:lang w:val="sr-Cyrl-CS"/>
        </w:rPr>
        <w:t>pravni</w:t>
      </w:r>
      <w:r w:rsidR="00745C54" w:rsidRPr="00E95BC4">
        <w:rPr>
          <w:lang w:val="sr-Cyrl-CS"/>
        </w:rPr>
        <w:t xml:space="preserve"> </w:t>
      </w:r>
      <w:r>
        <w:rPr>
          <w:lang w:val="sr-Cyrl-CS"/>
        </w:rPr>
        <w:t>okvir</w:t>
      </w:r>
      <w:r w:rsidR="00745C54" w:rsidRPr="00E95BC4">
        <w:rPr>
          <w:lang w:val="sr-Cyrl-CS"/>
        </w:rPr>
        <w:t xml:space="preserve"> </w:t>
      </w:r>
      <w:r>
        <w:rPr>
          <w:lang w:val="sr-Cyrl-CS"/>
        </w:rPr>
        <w:t>po</w:t>
      </w:r>
      <w:r w:rsidR="00745C54" w:rsidRPr="00E95BC4">
        <w:rPr>
          <w:lang w:val="sr-Cyrl-CS"/>
        </w:rPr>
        <w:t xml:space="preserve"> </w:t>
      </w:r>
      <w:r>
        <w:rPr>
          <w:lang w:val="sr-Cyrl-CS"/>
        </w:rPr>
        <w:t>prvi</w:t>
      </w:r>
      <w:r w:rsidR="00745C54" w:rsidRPr="00E95BC4">
        <w:rPr>
          <w:lang w:val="sr-Cyrl-CS"/>
        </w:rPr>
        <w:t xml:space="preserve"> </w:t>
      </w:r>
      <w:r>
        <w:rPr>
          <w:lang w:val="sr-Cyrl-CS"/>
        </w:rPr>
        <w:t>put</w:t>
      </w:r>
      <w:r w:rsidR="00745C54" w:rsidRPr="00E95BC4">
        <w:rPr>
          <w:lang w:val="sr-Cyrl-CS"/>
        </w:rPr>
        <w:t xml:space="preserve"> </w:t>
      </w:r>
      <w:r>
        <w:rPr>
          <w:lang w:val="sr-Cyrl-CS"/>
        </w:rPr>
        <w:t>uveden</w:t>
      </w:r>
      <w:r w:rsidR="00465BE6" w:rsidRPr="00E95BC4">
        <w:rPr>
          <w:lang w:val="sr-Cyrl-CS"/>
        </w:rPr>
        <w:t xml:space="preserve"> </w:t>
      </w:r>
      <w:r>
        <w:rPr>
          <w:lang w:val="sr-Cyrl-CS"/>
        </w:rPr>
        <w:t>institut</w:t>
      </w:r>
      <w:r w:rsidR="00465BE6" w:rsidRPr="00E95BC4">
        <w:rPr>
          <w:lang w:val="sr-Cyrl-CS"/>
        </w:rPr>
        <w:t xml:space="preserve"> </w:t>
      </w:r>
      <w:r>
        <w:rPr>
          <w:lang w:val="sr-Cyrl-CS"/>
        </w:rPr>
        <w:t>tzv</w:t>
      </w:r>
      <w:r w:rsidR="00465BE6" w:rsidRPr="00E95BC4">
        <w:rPr>
          <w:lang w:val="sr-Cyrl-CS"/>
        </w:rPr>
        <w:t xml:space="preserve">. </w:t>
      </w:r>
      <w:r>
        <w:rPr>
          <w:lang w:val="sr-Cyrl-CS"/>
        </w:rPr>
        <w:t>proširenog</w:t>
      </w:r>
      <w:r w:rsidR="00465BE6" w:rsidRPr="00E95BC4">
        <w:rPr>
          <w:lang w:val="sr-Cyrl-CS"/>
        </w:rPr>
        <w:t xml:space="preserve"> </w:t>
      </w:r>
      <w:r>
        <w:rPr>
          <w:lang w:val="sr-Cyrl-CS"/>
        </w:rPr>
        <w:t>oduzimanja</w:t>
      </w:r>
      <w:r w:rsidR="00745C54" w:rsidRPr="00E95BC4">
        <w:rPr>
          <w:lang w:val="sr-Cyrl-CS"/>
        </w:rPr>
        <w:t xml:space="preserve"> </w:t>
      </w:r>
      <w:r>
        <w:rPr>
          <w:lang w:val="sr-Cyrl-CS"/>
        </w:rPr>
        <w:t>imovine</w:t>
      </w:r>
      <w:r w:rsidR="00745C54" w:rsidRPr="00E95BC4">
        <w:rPr>
          <w:lang w:val="sr-Cyrl-CS"/>
        </w:rPr>
        <w:t xml:space="preserve">. </w:t>
      </w:r>
      <w:r>
        <w:rPr>
          <w:lang w:val="sr-Cyrl-CS"/>
        </w:rPr>
        <w:t>Naime</w:t>
      </w:r>
      <w:r w:rsidR="00745C54" w:rsidRPr="00E95BC4">
        <w:rPr>
          <w:lang w:val="sr-Cyrl-CS"/>
        </w:rPr>
        <w:t xml:space="preserve">, </w:t>
      </w:r>
      <w:r>
        <w:rPr>
          <w:lang w:val="sr-Cyrl-CS"/>
        </w:rPr>
        <w:t>od</w:t>
      </w:r>
      <w:r w:rsidR="00745C54" w:rsidRPr="00E95BC4">
        <w:rPr>
          <w:lang w:val="sr-Cyrl-CS"/>
        </w:rPr>
        <w:t xml:space="preserve"> </w:t>
      </w:r>
      <w:r>
        <w:rPr>
          <w:lang w:val="sr-Cyrl-CS"/>
        </w:rPr>
        <w:t>učinilaca</w:t>
      </w:r>
      <w:r w:rsidR="00745C54" w:rsidRPr="00E95BC4">
        <w:rPr>
          <w:lang w:val="sr-Cyrl-CS"/>
        </w:rPr>
        <w:t xml:space="preserve"> </w:t>
      </w:r>
      <w:r>
        <w:rPr>
          <w:lang w:val="sr-Cyrl-CS"/>
        </w:rPr>
        <w:t>krivičnih</w:t>
      </w:r>
      <w:r w:rsidR="00745C54" w:rsidRPr="00E95BC4">
        <w:rPr>
          <w:lang w:val="sr-Cyrl-CS"/>
        </w:rPr>
        <w:t xml:space="preserve"> </w:t>
      </w:r>
      <w:r>
        <w:rPr>
          <w:lang w:val="sr-Cyrl-CS"/>
        </w:rPr>
        <w:t>dela</w:t>
      </w:r>
      <w:r w:rsidR="00745C54" w:rsidRPr="00E95BC4">
        <w:rPr>
          <w:lang w:val="sr-Cyrl-CS"/>
        </w:rPr>
        <w:t xml:space="preserve"> </w:t>
      </w:r>
      <w:r>
        <w:rPr>
          <w:lang w:val="sr-Cyrl-CS"/>
        </w:rPr>
        <w:t>organizovanog</w:t>
      </w:r>
      <w:r w:rsidR="00745C54" w:rsidRPr="00E95BC4">
        <w:rPr>
          <w:lang w:val="sr-Cyrl-CS"/>
        </w:rPr>
        <w:t xml:space="preserve"> </w:t>
      </w:r>
      <w:r>
        <w:rPr>
          <w:lang w:val="sr-Cyrl-CS"/>
        </w:rPr>
        <w:t>kriminala</w:t>
      </w:r>
      <w:r w:rsidR="00CF1D1B">
        <w:rPr>
          <w:lang w:val="sr-Cyrl-CS"/>
        </w:rPr>
        <w:t>,</w:t>
      </w:r>
      <w:r w:rsidR="00745C54" w:rsidRPr="00E95BC4">
        <w:rPr>
          <w:lang w:val="sr-Cyrl-CS"/>
        </w:rPr>
        <w:t xml:space="preserve"> </w:t>
      </w:r>
      <w:r>
        <w:rPr>
          <w:lang w:val="sr-Cyrl-CS"/>
        </w:rPr>
        <w:t>kao</w:t>
      </w:r>
      <w:r w:rsidR="00745C54" w:rsidRPr="00E95BC4">
        <w:rPr>
          <w:lang w:val="sr-Cyrl-CS"/>
        </w:rPr>
        <w:t xml:space="preserve"> </w:t>
      </w:r>
      <w:r>
        <w:rPr>
          <w:lang w:val="sr-Cyrl-CS"/>
        </w:rPr>
        <w:t>i</w:t>
      </w:r>
      <w:r w:rsidR="00745C54" w:rsidRPr="00E95BC4">
        <w:rPr>
          <w:lang w:val="sr-Cyrl-CS"/>
        </w:rPr>
        <w:t xml:space="preserve"> </w:t>
      </w:r>
      <w:r>
        <w:rPr>
          <w:lang w:val="sr-Cyrl-CS"/>
        </w:rPr>
        <w:t>od</w:t>
      </w:r>
      <w:r w:rsidR="00745C54" w:rsidRPr="00E95BC4">
        <w:rPr>
          <w:lang w:val="sr-Cyrl-CS"/>
        </w:rPr>
        <w:t xml:space="preserve"> </w:t>
      </w:r>
      <w:r>
        <w:rPr>
          <w:lang w:val="sr-Cyrl-CS"/>
        </w:rPr>
        <w:t>učinilaca</w:t>
      </w:r>
      <w:r w:rsidR="00745C54" w:rsidRPr="00E95BC4">
        <w:rPr>
          <w:lang w:val="sr-Cyrl-CS"/>
        </w:rPr>
        <w:t xml:space="preserve"> </w:t>
      </w:r>
      <w:r>
        <w:rPr>
          <w:lang w:val="sr-Cyrl-CS"/>
        </w:rPr>
        <w:t>najtežih</w:t>
      </w:r>
      <w:r w:rsidR="00745C54" w:rsidRPr="00E95BC4">
        <w:rPr>
          <w:lang w:val="sr-Cyrl-CS"/>
        </w:rPr>
        <w:t xml:space="preserve"> </w:t>
      </w:r>
      <w:r>
        <w:rPr>
          <w:lang w:val="sr-Cyrl-CS"/>
        </w:rPr>
        <w:t>krivičnih</w:t>
      </w:r>
      <w:r w:rsidR="00745C54" w:rsidRPr="00E95BC4">
        <w:rPr>
          <w:lang w:val="sr-Cyrl-CS"/>
        </w:rPr>
        <w:t xml:space="preserve"> </w:t>
      </w:r>
      <w:r>
        <w:rPr>
          <w:lang w:val="sr-Cyrl-CS"/>
        </w:rPr>
        <w:t>dela</w:t>
      </w:r>
      <w:r w:rsidR="00745C54" w:rsidRPr="00E95BC4">
        <w:rPr>
          <w:lang w:val="sr-Cyrl-CS"/>
        </w:rPr>
        <w:t xml:space="preserve"> </w:t>
      </w:r>
      <w:r>
        <w:rPr>
          <w:lang w:val="sr-Cyrl-CS"/>
        </w:rPr>
        <w:t>koja</w:t>
      </w:r>
      <w:r w:rsidR="00745C54" w:rsidRPr="00E95BC4">
        <w:rPr>
          <w:lang w:val="sr-Cyrl-CS"/>
        </w:rPr>
        <w:t xml:space="preserve"> </w:t>
      </w:r>
      <w:r>
        <w:rPr>
          <w:lang w:val="sr-Cyrl-CS"/>
        </w:rPr>
        <w:t>su</w:t>
      </w:r>
      <w:r w:rsidR="00745C54" w:rsidRPr="00E95BC4">
        <w:rPr>
          <w:lang w:val="sr-Cyrl-CS"/>
        </w:rPr>
        <w:t xml:space="preserve"> </w:t>
      </w:r>
      <w:r>
        <w:rPr>
          <w:lang w:val="sr-Cyrl-CS"/>
        </w:rPr>
        <w:t>taksativno</w:t>
      </w:r>
      <w:r w:rsidR="00745C54" w:rsidRPr="00E95BC4">
        <w:rPr>
          <w:lang w:val="sr-Cyrl-CS"/>
        </w:rPr>
        <w:t xml:space="preserve"> </w:t>
      </w:r>
      <w:r>
        <w:rPr>
          <w:lang w:val="sr-Cyrl-CS"/>
        </w:rPr>
        <w:t>navedena</w:t>
      </w:r>
      <w:r w:rsidR="00745C54" w:rsidRPr="00E95BC4">
        <w:rPr>
          <w:lang w:val="sr-Cyrl-CS"/>
        </w:rPr>
        <w:t xml:space="preserve"> </w:t>
      </w:r>
      <w:r>
        <w:rPr>
          <w:lang w:val="sr-Cyrl-CS"/>
        </w:rPr>
        <w:t>u</w:t>
      </w:r>
      <w:r w:rsidR="00745C54" w:rsidRPr="00E95BC4">
        <w:rPr>
          <w:lang w:val="sr-Cyrl-CS"/>
        </w:rPr>
        <w:t xml:space="preserve"> </w:t>
      </w:r>
      <w:r>
        <w:rPr>
          <w:lang w:val="sr-Cyrl-CS"/>
        </w:rPr>
        <w:t>članu</w:t>
      </w:r>
      <w:r w:rsidR="00745C54" w:rsidRPr="00E95BC4">
        <w:rPr>
          <w:lang w:val="sr-Cyrl-CS"/>
        </w:rPr>
        <w:t xml:space="preserve"> 2. </w:t>
      </w:r>
      <w:r>
        <w:rPr>
          <w:lang w:val="sr-Cyrl-CS"/>
        </w:rPr>
        <w:t>Zakona</w:t>
      </w:r>
      <w:r w:rsidR="00745C54" w:rsidRPr="00E95BC4">
        <w:rPr>
          <w:lang w:val="sr-Cyrl-CS"/>
        </w:rPr>
        <w:t xml:space="preserve">, </w:t>
      </w:r>
      <w:r>
        <w:rPr>
          <w:lang w:val="sr-Cyrl-CS"/>
        </w:rPr>
        <w:t>postoji</w:t>
      </w:r>
      <w:r w:rsidR="00745C54" w:rsidRPr="00E95BC4">
        <w:rPr>
          <w:lang w:val="sr-Cyrl-CS"/>
        </w:rPr>
        <w:t xml:space="preserve"> </w:t>
      </w:r>
      <w:r>
        <w:rPr>
          <w:lang w:val="sr-Cyrl-CS"/>
        </w:rPr>
        <w:t>mogućnost</w:t>
      </w:r>
      <w:r w:rsidR="00745C54" w:rsidRPr="00E95BC4">
        <w:rPr>
          <w:lang w:val="sr-Cyrl-CS"/>
        </w:rPr>
        <w:t xml:space="preserve"> </w:t>
      </w:r>
      <w:r>
        <w:rPr>
          <w:lang w:val="sr-Cyrl-CS"/>
        </w:rPr>
        <w:t>oduzimanja</w:t>
      </w:r>
      <w:r w:rsidR="00745C54" w:rsidRPr="00E95BC4">
        <w:rPr>
          <w:lang w:val="sr-Cyrl-CS"/>
        </w:rPr>
        <w:t xml:space="preserve"> </w:t>
      </w:r>
      <w:r>
        <w:rPr>
          <w:lang w:val="sr-Cyrl-CS"/>
        </w:rPr>
        <w:t>imovine</w:t>
      </w:r>
      <w:r w:rsidR="00745C54" w:rsidRPr="00E95BC4">
        <w:rPr>
          <w:lang w:val="sr-Cyrl-CS"/>
        </w:rPr>
        <w:t xml:space="preserve"> </w:t>
      </w:r>
      <w:r>
        <w:rPr>
          <w:lang w:val="sr-Cyrl-CS"/>
        </w:rPr>
        <w:t>koja</w:t>
      </w:r>
      <w:r w:rsidR="00745C54" w:rsidRPr="00E95BC4">
        <w:rPr>
          <w:lang w:val="sr-Cyrl-CS"/>
        </w:rPr>
        <w:t xml:space="preserve"> </w:t>
      </w:r>
      <w:r>
        <w:rPr>
          <w:lang w:val="sr-Cyrl-CS"/>
        </w:rPr>
        <w:t>prevazilazi</w:t>
      </w:r>
      <w:r w:rsidR="00745C54" w:rsidRPr="00E95BC4">
        <w:rPr>
          <w:lang w:val="sr-Cyrl-CS"/>
        </w:rPr>
        <w:t xml:space="preserve"> </w:t>
      </w:r>
      <w:r>
        <w:rPr>
          <w:lang w:val="sr-Cyrl-CS"/>
        </w:rPr>
        <w:t>njihove</w:t>
      </w:r>
      <w:r w:rsidR="00745C54" w:rsidRPr="00E95BC4">
        <w:rPr>
          <w:lang w:val="sr-Cyrl-CS"/>
        </w:rPr>
        <w:t xml:space="preserve"> </w:t>
      </w:r>
      <w:r>
        <w:rPr>
          <w:lang w:val="sr-Cyrl-CS"/>
        </w:rPr>
        <w:t>zakonite</w:t>
      </w:r>
      <w:r w:rsidR="00745C54" w:rsidRPr="00E95BC4">
        <w:rPr>
          <w:lang w:val="sr-Cyrl-CS"/>
        </w:rPr>
        <w:t xml:space="preserve"> </w:t>
      </w:r>
      <w:r>
        <w:rPr>
          <w:lang w:val="sr-Cyrl-CS"/>
        </w:rPr>
        <w:t>prihode</w:t>
      </w:r>
      <w:r w:rsidR="00745C54" w:rsidRPr="00E95BC4">
        <w:rPr>
          <w:lang w:val="sr-Cyrl-CS"/>
        </w:rPr>
        <w:t xml:space="preserve"> </w:t>
      </w:r>
      <w:r>
        <w:rPr>
          <w:lang w:val="sr-Cyrl-CS"/>
        </w:rPr>
        <w:t>i</w:t>
      </w:r>
      <w:r w:rsidR="00745C54" w:rsidRPr="00E95BC4">
        <w:rPr>
          <w:lang w:val="sr-Cyrl-CS"/>
        </w:rPr>
        <w:t xml:space="preserve"> </w:t>
      </w:r>
      <w:r>
        <w:rPr>
          <w:lang w:val="sr-Cyrl-CS"/>
        </w:rPr>
        <w:t>za</w:t>
      </w:r>
      <w:r w:rsidR="00745C54" w:rsidRPr="00E95BC4">
        <w:rPr>
          <w:lang w:val="sr-Cyrl-CS"/>
        </w:rPr>
        <w:t xml:space="preserve"> </w:t>
      </w:r>
      <w:r>
        <w:rPr>
          <w:lang w:val="sr-Cyrl-CS"/>
        </w:rPr>
        <w:t>koju</w:t>
      </w:r>
      <w:r w:rsidR="00745C54" w:rsidRPr="00E95BC4">
        <w:rPr>
          <w:lang w:val="sr-Cyrl-CS"/>
        </w:rPr>
        <w:t xml:space="preserve"> </w:t>
      </w:r>
      <w:r>
        <w:rPr>
          <w:lang w:val="sr-Cyrl-CS"/>
        </w:rPr>
        <w:t>ne</w:t>
      </w:r>
      <w:r w:rsidR="00745C54" w:rsidRPr="00E95BC4">
        <w:rPr>
          <w:lang w:val="sr-Cyrl-CS"/>
        </w:rPr>
        <w:t xml:space="preserve"> </w:t>
      </w:r>
      <w:r>
        <w:rPr>
          <w:lang w:val="sr-Cyrl-CS"/>
        </w:rPr>
        <w:t>mogu</w:t>
      </w:r>
      <w:r w:rsidR="00745C54" w:rsidRPr="00E95BC4">
        <w:rPr>
          <w:lang w:val="sr-Cyrl-CS"/>
        </w:rPr>
        <w:t xml:space="preserve"> </w:t>
      </w:r>
      <w:r>
        <w:rPr>
          <w:lang w:val="sr-Cyrl-CS"/>
        </w:rPr>
        <w:t>dokazati</w:t>
      </w:r>
      <w:r w:rsidR="00745C54" w:rsidRPr="00E95BC4">
        <w:rPr>
          <w:lang w:val="sr-Cyrl-CS"/>
        </w:rPr>
        <w:t xml:space="preserve"> </w:t>
      </w:r>
      <w:r>
        <w:rPr>
          <w:lang w:val="sr-Cyrl-CS"/>
        </w:rPr>
        <w:t>zakonitost</w:t>
      </w:r>
      <w:r w:rsidR="00745C54" w:rsidRPr="00E95BC4">
        <w:rPr>
          <w:lang w:val="sr-Cyrl-CS"/>
        </w:rPr>
        <w:t xml:space="preserve"> </w:t>
      </w:r>
      <w:r>
        <w:rPr>
          <w:lang w:val="sr-Cyrl-CS"/>
        </w:rPr>
        <w:t>porekla</w:t>
      </w:r>
      <w:r w:rsidR="00745C54" w:rsidRPr="00E95BC4">
        <w:rPr>
          <w:lang w:val="sr-Cyrl-CS"/>
        </w:rPr>
        <w:t xml:space="preserve">. </w:t>
      </w:r>
      <w:r>
        <w:rPr>
          <w:lang w:val="sr-Cyrl-CS"/>
        </w:rPr>
        <w:t>Pomenuti</w:t>
      </w:r>
      <w:r w:rsidR="00745C54" w:rsidRPr="00E95BC4">
        <w:rPr>
          <w:lang w:val="sr-Cyrl-CS"/>
        </w:rPr>
        <w:t xml:space="preserve"> </w:t>
      </w:r>
      <w:r>
        <w:rPr>
          <w:lang w:val="sr-Cyrl-CS"/>
        </w:rPr>
        <w:t>zakon</w:t>
      </w:r>
      <w:r w:rsidR="00745C54" w:rsidRPr="00E95BC4">
        <w:rPr>
          <w:lang w:val="sr-Cyrl-CS"/>
        </w:rPr>
        <w:t xml:space="preserve"> </w:t>
      </w:r>
      <w:r>
        <w:rPr>
          <w:lang w:val="sr-Cyrl-CS"/>
        </w:rPr>
        <w:t>je</w:t>
      </w:r>
      <w:r w:rsidR="00745C54" w:rsidRPr="00E95BC4">
        <w:rPr>
          <w:lang w:val="sr-Cyrl-CS"/>
        </w:rPr>
        <w:t xml:space="preserve"> </w:t>
      </w:r>
      <w:r>
        <w:rPr>
          <w:lang w:val="sr-Cyrl-CS"/>
        </w:rPr>
        <w:t>poslednji</w:t>
      </w:r>
      <w:r w:rsidR="00745C54" w:rsidRPr="00E95BC4">
        <w:rPr>
          <w:lang w:val="sr-Cyrl-CS"/>
        </w:rPr>
        <w:t xml:space="preserve"> </w:t>
      </w:r>
      <w:r>
        <w:rPr>
          <w:lang w:val="sr-Cyrl-CS"/>
        </w:rPr>
        <w:t>put</w:t>
      </w:r>
      <w:r w:rsidR="00745C54" w:rsidRPr="00E95BC4">
        <w:rPr>
          <w:lang w:val="sr-Cyrl-CS"/>
        </w:rPr>
        <w:t xml:space="preserve"> </w:t>
      </w:r>
      <w:r>
        <w:rPr>
          <w:lang w:val="sr-Cyrl-CS"/>
        </w:rPr>
        <w:t>izmenjen</w:t>
      </w:r>
      <w:r w:rsidR="00745C54" w:rsidRPr="00E95BC4">
        <w:rPr>
          <w:lang w:val="sr-Cyrl-CS"/>
        </w:rPr>
        <w:t xml:space="preserve"> </w:t>
      </w:r>
      <w:r>
        <w:rPr>
          <w:lang w:val="sr-Cyrl-CS"/>
        </w:rPr>
        <w:t>u</w:t>
      </w:r>
      <w:r w:rsidR="00CF1D1B">
        <w:rPr>
          <w:lang w:val="sr-Cyrl-CS"/>
        </w:rPr>
        <w:t xml:space="preserve"> </w:t>
      </w:r>
      <w:r>
        <w:rPr>
          <w:lang w:val="sr-Cyrl-CS"/>
        </w:rPr>
        <w:t>maju</w:t>
      </w:r>
      <w:r w:rsidR="00745C54" w:rsidRPr="00E95BC4">
        <w:rPr>
          <w:lang w:val="sr-Cyrl-CS"/>
        </w:rPr>
        <w:t xml:space="preserve"> 2019. </w:t>
      </w:r>
      <w:r>
        <w:rPr>
          <w:lang w:val="sr-Cyrl-CS"/>
        </w:rPr>
        <w:t>godine</w:t>
      </w:r>
      <w:r w:rsidR="00745C54" w:rsidRPr="00E95BC4">
        <w:rPr>
          <w:lang w:val="sr-Cyrl-CS"/>
        </w:rPr>
        <w:t xml:space="preserve">. </w:t>
      </w:r>
      <w:r>
        <w:rPr>
          <w:lang w:val="sr-Cyrl-CS"/>
        </w:rPr>
        <w:t>Razlog</w:t>
      </w:r>
      <w:r w:rsidR="00745C54" w:rsidRPr="00E95BC4">
        <w:rPr>
          <w:lang w:val="sr-Cyrl-CS"/>
        </w:rPr>
        <w:t xml:space="preserve"> </w:t>
      </w:r>
      <w:r>
        <w:rPr>
          <w:lang w:val="sr-Cyrl-CS"/>
        </w:rPr>
        <w:t>za</w:t>
      </w:r>
      <w:r w:rsidR="00745C54" w:rsidRPr="00E95BC4">
        <w:rPr>
          <w:lang w:val="sr-Cyrl-CS"/>
        </w:rPr>
        <w:t xml:space="preserve"> </w:t>
      </w:r>
      <w:r>
        <w:rPr>
          <w:lang w:val="sr-Cyrl-CS"/>
        </w:rPr>
        <w:t>donošenje</w:t>
      </w:r>
      <w:r w:rsidR="00745C54" w:rsidRPr="00E95BC4">
        <w:rPr>
          <w:lang w:val="sr-Cyrl-CS"/>
        </w:rPr>
        <w:t xml:space="preserve"> </w:t>
      </w:r>
      <w:r>
        <w:rPr>
          <w:lang w:val="sr-Cyrl-CS"/>
        </w:rPr>
        <w:t>Zakona</w:t>
      </w:r>
      <w:r w:rsidR="00745C54" w:rsidRPr="00E95BC4">
        <w:rPr>
          <w:lang w:val="sr-Cyrl-CS"/>
        </w:rPr>
        <w:t xml:space="preserve"> </w:t>
      </w:r>
      <w:r>
        <w:rPr>
          <w:lang w:val="sr-Cyrl-CS"/>
        </w:rPr>
        <w:t>o</w:t>
      </w:r>
      <w:r w:rsidR="00745C54" w:rsidRPr="00E95BC4">
        <w:rPr>
          <w:lang w:val="sr-Cyrl-CS"/>
        </w:rPr>
        <w:t xml:space="preserve"> </w:t>
      </w:r>
      <w:r>
        <w:rPr>
          <w:lang w:val="sr-Cyrl-CS"/>
        </w:rPr>
        <w:t>izmenama</w:t>
      </w:r>
      <w:r w:rsidR="00745C54" w:rsidRPr="00E95BC4">
        <w:rPr>
          <w:lang w:val="sr-Cyrl-CS"/>
        </w:rPr>
        <w:t xml:space="preserve"> </w:t>
      </w:r>
      <w:r>
        <w:rPr>
          <w:lang w:val="sr-Cyrl-CS"/>
        </w:rPr>
        <w:t>i</w:t>
      </w:r>
      <w:r w:rsidR="00745C54" w:rsidRPr="00E95BC4">
        <w:rPr>
          <w:lang w:val="sr-Cyrl-CS"/>
        </w:rPr>
        <w:t xml:space="preserve"> </w:t>
      </w:r>
      <w:r>
        <w:rPr>
          <w:lang w:val="sr-Cyrl-CS"/>
        </w:rPr>
        <w:t>dopuni</w:t>
      </w:r>
      <w:r w:rsidR="00745C54" w:rsidRPr="00E95BC4">
        <w:rPr>
          <w:lang w:val="sr-Cyrl-CS"/>
        </w:rPr>
        <w:t xml:space="preserve"> </w:t>
      </w:r>
      <w:r>
        <w:rPr>
          <w:lang w:val="sr-Cyrl-CS"/>
        </w:rPr>
        <w:t>Zakona</w:t>
      </w:r>
      <w:r w:rsidR="00745C54" w:rsidRPr="00E95BC4">
        <w:rPr>
          <w:lang w:val="sr-Cyrl-CS"/>
        </w:rPr>
        <w:t xml:space="preserve"> </w:t>
      </w:r>
      <w:r>
        <w:rPr>
          <w:lang w:val="sr-Cyrl-CS"/>
        </w:rPr>
        <w:t>o</w:t>
      </w:r>
      <w:r w:rsidR="00745C54" w:rsidRPr="00E95BC4">
        <w:rPr>
          <w:lang w:val="sr-Cyrl-CS"/>
        </w:rPr>
        <w:t xml:space="preserve"> </w:t>
      </w:r>
      <w:r>
        <w:rPr>
          <w:lang w:val="sr-Cyrl-CS"/>
        </w:rPr>
        <w:t>oduzimanju</w:t>
      </w:r>
      <w:r w:rsidR="00745C54" w:rsidRPr="00E95BC4">
        <w:rPr>
          <w:lang w:val="sr-Cyrl-CS"/>
        </w:rPr>
        <w:t xml:space="preserve"> </w:t>
      </w:r>
      <w:r>
        <w:rPr>
          <w:lang w:val="sr-Cyrl-CS"/>
        </w:rPr>
        <w:t>imovine</w:t>
      </w:r>
      <w:r w:rsidR="00745C54" w:rsidRPr="00E95BC4">
        <w:rPr>
          <w:lang w:val="sr-Cyrl-CS"/>
        </w:rPr>
        <w:t xml:space="preserve"> </w:t>
      </w:r>
      <w:r>
        <w:rPr>
          <w:lang w:val="sr-Cyrl-CS"/>
        </w:rPr>
        <w:t>proistekle</w:t>
      </w:r>
      <w:r w:rsidR="00745C54" w:rsidRPr="00E95BC4">
        <w:rPr>
          <w:lang w:val="sr-Cyrl-CS"/>
        </w:rPr>
        <w:t xml:space="preserve"> </w:t>
      </w:r>
      <w:r>
        <w:rPr>
          <w:lang w:val="sr-Cyrl-CS"/>
        </w:rPr>
        <w:t>iz</w:t>
      </w:r>
      <w:r w:rsidR="00745C54" w:rsidRPr="00E95BC4">
        <w:rPr>
          <w:lang w:val="sr-Cyrl-CS"/>
        </w:rPr>
        <w:t xml:space="preserve"> </w:t>
      </w:r>
      <w:r>
        <w:rPr>
          <w:lang w:val="sr-Cyrl-CS"/>
        </w:rPr>
        <w:t>krivičnog</w:t>
      </w:r>
      <w:r w:rsidR="00745C54" w:rsidRPr="00E95BC4">
        <w:rPr>
          <w:lang w:val="sr-Cyrl-CS"/>
        </w:rPr>
        <w:t xml:space="preserve"> </w:t>
      </w:r>
      <w:r>
        <w:rPr>
          <w:lang w:val="sr-Cyrl-CS"/>
        </w:rPr>
        <w:t>dela</w:t>
      </w:r>
      <w:r w:rsidR="00745C54" w:rsidRPr="00E95BC4">
        <w:rPr>
          <w:lang w:val="sr-Cyrl-CS"/>
        </w:rPr>
        <w:t xml:space="preserve"> </w:t>
      </w:r>
      <w:r>
        <w:rPr>
          <w:lang w:val="sr-Cyrl-CS"/>
        </w:rPr>
        <w:t>bila</w:t>
      </w:r>
      <w:r w:rsidR="00745C54" w:rsidRPr="00E95BC4">
        <w:rPr>
          <w:lang w:val="sr-Cyrl-CS"/>
        </w:rPr>
        <w:t xml:space="preserve"> </w:t>
      </w:r>
      <w:r>
        <w:rPr>
          <w:lang w:val="sr-Cyrl-CS"/>
        </w:rPr>
        <w:t>je</w:t>
      </w:r>
      <w:r w:rsidR="00745C54" w:rsidRPr="00E95BC4">
        <w:rPr>
          <w:lang w:val="sr-Cyrl-CS"/>
        </w:rPr>
        <w:t xml:space="preserve"> </w:t>
      </w:r>
      <w:r>
        <w:rPr>
          <w:lang w:val="sr-Cyrl-CS"/>
        </w:rPr>
        <w:t>potreba</w:t>
      </w:r>
      <w:r w:rsidR="00745C54" w:rsidRPr="00E95BC4">
        <w:rPr>
          <w:lang w:val="sr-Cyrl-CS"/>
        </w:rPr>
        <w:t xml:space="preserve"> </w:t>
      </w:r>
      <w:r>
        <w:rPr>
          <w:lang w:val="sr-Cyrl-CS"/>
        </w:rPr>
        <w:t>usklađivanja</w:t>
      </w:r>
      <w:r w:rsidR="00745C54" w:rsidRPr="00E95BC4">
        <w:rPr>
          <w:lang w:val="sr-Cyrl-CS"/>
        </w:rPr>
        <w:t xml:space="preserve"> </w:t>
      </w:r>
      <w:r>
        <w:rPr>
          <w:lang w:val="sr-Cyrl-CS"/>
        </w:rPr>
        <w:t>ovog</w:t>
      </w:r>
      <w:r w:rsidR="00745C54" w:rsidRPr="00E95BC4">
        <w:rPr>
          <w:lang w:val="sr-Cyrl-CS"/>
        </w:rPr>
        <w:t xml:space="preserve"> </w:t>
      </w:r>
      <w:r>
        <w:rPr>
          <w:lang w:val="sr-Cyrl-CS"/>
        </w:rPr>
        <w:t>zakona</w:t>
      </w:r>
      <w:r w:rsidR="00745C54" w:rsidRPr="00E95BC4">
        <w:rPr>
          <w:lang w:val="sr-Cyrl-CS"/>
        </w:rPr>
        <w:t xml:space="preserve"> </w:t>
      </w:r>
      <w:r>
        <w:rPr>
          <w:lang w:val="sr-Cyrl-CS"/>
        </w:rPr>
        <w:t>sa</w:t>
      </w:r>
      <w:r w:rsidR="00745C54" w:rsidRPr="00E95BC4">
        <w:rPr>
          <w:lang w:val="sr-Cyrl-CS"/>
        </w:rPr>
        <w:t xml:space="preserve"> </w:t>
      </w:r>
      <w:r>
        <w:rPr>
          <w:lang w:val="sr-Cyrl-CS"/>
        </w:rPr>
        <w:t>izmenama</w:t>
      </w:r>
      <w:r w:rsidR="00745C54" w:rsidRPr="00E95BC4">
        <w:rPr>
          <w:lang w:val="sr-Cyrl-CS"/>
        </w:rPr>
        <w:t xml:space="preserve"> </w:t>
      </w:r>
      <w:r>
        <w:rPr>
          <w:lang w:val="sr-Cyrl-CS"/>
        </w:rPr>
        <w:t>i</w:t>
      </w:r>
      <w:r w:rsidR="00745C54" w:rsidRPr="00E95BC4">
        <w:rPr>
          <w:lang w:val="sr-Cyrl-CS"/>
        </w:rPr>
        <w:t xml:space="preserve"> </w:t>
      </w:r>
      <w:r>
        <w:rPr>
          <w:lang w:val="sr-Cyrl-CS"/>
        </w:rPr>
        <w:t>dopunama</w:t>
      </w:r>
      <w:r w:rsidR="00745C54" w:rsidRPr="00E95BC4">
        <w:rPr>
          <w:lang w:val="sr-Cyrl-CS"/>
        </w:rPr>
        <w:t xml:space="preserve"> </w:t>
      </w:r>
      <w:r>
        <w:rPr>
          <w:lang w:val="sr-Cyrl-CS"/>
        </w:rPr>
        <w:t>Krivičnog</w:t>
      </w:r>
      <w:r w:rsidR="00745C54" w:rsidRPr="00E95BC4">
        <w:rPr>
          <w:lang w:val="sr-Cyrl-CS"/>
        </w:rPr>
        <w:t xml:space="preserve"> </w:t>
      </w:r>
      <w:r>
        <w:rPr>
          <w:lang w:val="sr-Cyrl-CS"/>
        </w:rPr>
        <w:lastRenderedPageBreak/>
        <w:t>zakonika</w:t>
      </w:r>
      <w:r w:rsidR="00745C54" w:rsidRPr="00E95BC4">
        <w:rPr>
          <w:lang w:val="sr-Cyrl-CS"/>
        </w:rPr>
        <w:t xml:space="preserve"> </w:t>
      </w:r>
      <w:r>
        <w:rPr>
          <w:lang w:val="sr-Cyrl-CS"/>
        </w:rPr>
        <w:t>iz</w:t>
      </w:r>
      <w:r w:rsidR="00745C54" w:rsidRPr="00E95BC4">
        <w:rPr>
          <w:lang w:val="sr-Cyrl-CS"/>
        </w:rPr>
        <w:t xml:space="preserve"> 2016. </w:t>
      </w:r>
      <w:r>
        <w:rPr>
          <w:lang w:val="sr-Cyrl-CS"/>
        </w:rPr>
        <w:t>godine</w:t>
      </w:r>
      <w:r w:rsidR="00745C54" w:rsidRPr="00E95BC4">
        <w:rPr>
          <w:lang w:val="sr-Cyrl-CS"/>
        </w:rPr>
        <w:t xml:space="preserve">, </w:t>
      </w:r>
      <w:r>
        <w:rPr>
          <w:lang w:val="sr-Cyrl-CS"/>
        </w:rPr>
        <w:t>kojima</w:t>
      </w:r>
      <w:r w:rsidR="00745C54" w:rsidRPr="00E95BC4">
        <w:rPr>
          <w:lang w:val="sr-Cyrl-CS"/>
        </w:rPr>
        <w:t xml:space="preserve"> </w:t>
      </w:r>
      <w:r>
        <w:rPr>
          <w:lang w:val="sr-Cyrl-CS"/>
        </w:rPr>
        <w:t>je</w:t>
      </w:r>
      <w:r w:rsidR="00745C54" w:rsidRPr="00E95BC4">
        <w:rPr>
          <w:lang w:val="sr-Cyrl-CS"/>
        </w:rPr>
        <w:t xml:space="preserve"> </w:t>
      </w:r>
      <w:r>
        <w:rPr>
          <w:lang w:val="sr-Cyrl-CS"/>
        </w:rPr>
        <w:t>izmenjena</w:t>
      </w:r>
      <w:r w:rsidR="00745C54" w:rsidRPr="00E95BC4">
        <w:rPr>
          <w:lang w:val="sr-Cyrl-CS"/>
        </w:rPr>
        <w:t xml:space="preserve"> </w:t>
      </w:r>
      <w:r>
        <w:rPr>
          <w:lang w:val="sr-Cyrl-CS"/>
        </w:rPr>
        <w:t>sistematika</w:t>
      </w:r>
      <w:r w:rsidR="00745C54" w:rsidRPr="00E95BC4">
        <w:rPr>
          <w:lang w:val="sr-Cyrl-CS"/>
        </w:rPr>
        <w:t xml:space="preserve"> </w:t>
      </w:r>
      <w:r>
        <w:rPr>
          <w:lang w:val="sr-Cyrl-CS"/>
        </w:rPr>
        <w:t>Glave</w:t>
      </w:r>
      <w:r w:rsidR="00745C54" w:rsidRPr="00E95BC4">
        <w:rPr>
          <w:lang w:val="sr-Cyrl-CS"/>
        </w:rPr>
        <w:t xml:space="preserve"> </w:t>
      </w:r>
      <w:r>
        <w:rPr>
          <w:lang w:val="sr-Cyrl-CS"/>
        </w:rPr>
        <w:t>HH</w:t>
      </w:r>
      <w:r w:rsidR="00745C54" w:rsidRPr="00E95BC4">
        <w:rPr>
          <w:lang w:val="sr-Cyrl-CS"/>
        </w:rPr>
        <w:t xml:space="preserve">II </w:t>
      </w:r>
      <w:r>
        <w:rPr>
          <w:lang w:val="sr-Cyrl-CS"/>
        </w:rPr>
        <w:t>tog</w:t>
      </w:r>
      <w:r w:rsidR="00745C54" w:rsidRPr="00E95BC4">
        <w:rPr>
          <w:lang w:val="sr-Cyrl-CS"/>
        </w:rPr>
        <w:t xml:space="preserve"> </w:t>
      </w:r>
      <w:r>
        <w:rPr>
          <w:lang w:val="sr-Cyrl-CS"/>
        </w:rPr>
        <w:t>zakona</w:t>
      </w:r>
      <w:r w:rsidR="00745C54" w:rsidRPr="00E95BC4">
        <w:rPr>
          <w:lang w:val="sr-Cyrl-CS"/>
        </w:rPr>
        <w:t xml:space="preserve"> – </w:t>
      </w:r>
      <w:r>
        <w:rPr>
          <w:lang w:val="sr-Cyrl-CS"/>
        </w:rPr>
        <w:t>Krivična</w:t>
      </w:r>
      <w:r w:rsidR="00745C54" w:rsidRPr="00E95BC4">
        <w:rPr>
          <w:lang w:val="sr-Cyrl-CS"/>
        </w:rPr>
        <w:t xml:space="preserve"> </w:t>
      </w:r>
      <w:r>
        <w:rPr>
          <w:lang w:val="sr-Cyrl-CS"/>
        </w:rPr>
        <w:t>dela</w:t>
      </w:r>
      <w:r w:rsidR="00745C54" w:rsidRPr="00E95BC4">
        <w:rPr>
          <w:lang w:val="sr-Cyrl-CS"/>
        </w:rPr>
        <w:t xml:space="preserve"> </w:t>
      </w:r>
      <w:r>
        <w:rPr>
          <w:lang w:val="sr-Cyrl-CS"/>
        </w:rPr>
        <w:t>protiv</w:t>
      </w:r>
      <w:r w:rsidR="00745C54" w:rsidRPr="00E95BC4">
        <w:rPr>
          <w:lang w:val="sr-Cyrl-CS"/>
        </w:rPr>
        <w:t xml:space="preserve"> </w:t>
      </w:r>
      <w:r>
        <w:rPr>
          <w:lang w:val="sr-Cyrl-CS"/>
        </w:rPr>
        <w:t>privrede</w:t>
      </w:r>
      <w:r w:rsidR="00745C54" w:rsidRPr="00E95BC4">
        <w:rPr>
          <w:lang w:val="sr-Cyrl-CS"/>
        </w:rPr>
        <w:t xml:space="preserve">. </w:t>
      </w:r>
      <w:r>
        <w:rPr>
          <w:lang w:val="sr-Cyrl-CS"/>
        </w:rPr>
        <w:t>Ovim</w:t>
      </w:r>
      <w:r w:rsidR="00745C54" w:rsidRPr="00E95BC4">
        <w:rPr>
          <w:lang w:val="sr-Cyrl-CS"/>
        </w:rPr>
        <w:t xml:space="preserve"> </w:t>
      </w:r>
      <w:r>
        <w:rPr>
          <w:lang w:val="sr-Cyrl-CS"/>
        </w:rPr>
        <w:t>izmenama</w:t>
      </w:r>
      <w:r w:rsidR="00745C54" w:rsidRPr="00E95BC4">
        <w:rPr>
          <w:lang w:val="sr-Cyrl-CS"/>
        </w:rPr>
        <w:t xml:space="preserve"> </w:t>
      </w:r>
      <w:r>
        <w:rPr>
          <w:lang w:val="sr-Cyrl-CS"/>
        </w:rPr>
        <w:t>omogućena</w:t>
      </w:r>
      <w:r w:rsidR="00745C54" w:rsidRPr="00E95BC4">
        <w:rPr>
          <w:lang w:val="sr-Cyrl-CS"/>
        </w:rPr>
        <w:t xml:space="preserve"> </w:t>
      </w:r>
      <w:r>
        <w:rPr>
          <w:lang w:val="sr-Cyrl-CS"/>
        </w:rPr>
        <w:t>je</w:t>
      </w:r>
      <w:r w:rsidR="00745C54" w:rsidRPr="00E95BC4">
        <w:rPr>
          <w:lang w:val="sr-Cyrl-CS"/>
        </w:rPr>
        <w:t xml:space="preserve"> </w:t>
      </w:r>
      <w:r>
        <w:rPr>
          <w:lang w:val="sr-Cyrl-CS"/>
        </w:rPr>
        <w:t>primena</w:t>
      </w:r>
      <w:r w:rsidR="00745C54" w:rsidRPr="00E95BC4">
        <w:rPr>
          <w:lang w:val="sr-Cyrl-CS"/>
        </w:rPr>
        <w:t xml:space="preserve"> </w:t>
      </w:r>
      <w:r>
        <w:rPr>
          <w:lang w:val="sr-Cyrl-CS"/>
        </w:rPr>
        <w:t>Zakona</w:t>
      </w:r>
      <w:r w:rsidR="00745C54" w:rsidRPr="00E95BC4">
        <w:rPr>
          <w:lang w:val="sr-Cyrl-CS"/>
        </w:rPr>
        <w:t xml:space="preserve"> </w:t>
      </w:r>
      <w:r>
        <w:rPr>
          <w:lang w:val="sr-Cyrl-CS"/>
        </w:rPr>
        <w:t>o</w:t>
      </w:r>
      <w:r w:rsidR="00745C54" w:rsidRPr="00E95BC4">
        <w:rPr>
          <w:lang w:val="sr-Cyrl-CS"/>
        </w:rPr>
        <w:t xml:space="preserve"> </w:t>
      </w:r>
      <w:r>
        <w:rPr>
          <w:lang w:val="sr-Cyrl-CS"/>
        </w:rPr>
        <w:t>oduzimanju</w:t>
      </w:r>
      <w:r w:rsidR="00745C54" w:rsidRPr="00E95BC4">
        <w:rPr>
          <w:lang w:val="sr-Cyrl-CS"/>
        </w:rPr>
        <w:t xml:space="preserve"> </w:t>
      </w:r>
      <w:r>
        <w:rPr>
          <w:lang w:val="sr-Cyrl-CS"/>
        </w:rPr>
        <w:t>imovine</w:t>
      </w:r>
      <w:r w:rsidR="00745C54" w:rsidRPr="00E95BC4">
        <w:rPr>
          <w:lang w:val="sr-Cyrl-CS"/>
        </w:rPr>
        <w:t xml:space="preserve"> </w:t>
      </w:r>
      <w:r>
        <w:rPr>
          <w:lang w:val="sr-Cyrl-CS"/>
        </w:rPr>
        <w:t>proistekle</w:t>
      </w:r>
      <w:r w:rsidR="00745C54" w:rsidRPr="00E95BC4">
        <w:rPr>
          <w:lang w:val="sr-Cyrl-CS"/>
        </w:rPr>
        <w:t xml:space="preserve"> </w:t>
      </w:r>
      <w:r>
        <w:rPr>
          <w:lang w:val="sr-Cyrl-CS"/>
        </w:rPr>
        <w:t>iz</w:t>
      </w:r>
      <w:r w:rsidR="00745C54" w:rsidRPr="00E95BC4">
        <w:rPr>
          <w:lang w:val="sr-Cyrl-CS"/>
        </w:rPr>
        <w:t xml:space="preserve"> </w:t>
      </w:r>
      <w:r>
        <w:rPr>
          <w:lang w:val="sr-Cyrl-CS"/>
        </w:rPr>
        <w:t>krivičnog</w:t>
      </w:r>
      <w:r w:rsidR="00745C54" w:rsidRPr="00E95BC4">
        <w:rPr>
          <w:lang w:val="sr-Cyrl-CS"/>
        </w:rPr>
        <w:t xml:space="preserve"> </w:t>
      </w:r>
      <w:r>
        <w:rPr>
          <w:lang w:val="sr-Cyrl-CS"/>
        </w:rPr>
        <w:t>dela</w:t>
      </w:r>
      <w:r w:rsidR="00745C54" w:rsidRPr="00E95BC4">
        <w:rPr>
          <w:lang w:val="sr-Cyrl-CS"/>
        </w:rPr>
        <w:t xml:space="preserve"> </w:t>
      </w:r>
      <w:r>
        <w:rPr>
          <w:lang w:val="sr-Cyrl-CS"/>
        </w:rPr>
        <w:t>i</w:t>
      </w:r>
      <w:r w:rsidR="00745C54" w:rsidRPr="00E95BC4">
        <w:rPr>
          <w:lang w:val="sr-Cyrl-CS"/>
        </w:rPr>
        <w:t xml:space="preserve"> </w:t>
      </w:r>
      <w:r>
        <w:rPr>
          <w:lang w:val="sr-Cyrl-CS"/>
        </w:rPr>
        <w:t>na</w:t>
      </w:r>
      <w:r w:rsidR="00745C54" w:rsidRPr="00E95BC4">
        <w:rPr>
          <w:lang w:val="sr-Cyrl-CS"/>
        </w:rPr>
        <w:t xml:space="preserve"> </w:t>
      </w:r>
      <w:r>
        <w:rPr>
          <w:lang w:val="sr-Cyrl-CS"/>
        </w:rPr>
        <w:t>većinu</w:t>
      </w:r>
      <w:r w:rsidR="00745C54" w:rsidRPr="00E95BC4">
        <w:rPr>
          <w:lang w:val="sr-Cyrl-CS"/>
        </w:rPr>
        <w:t xml:space="preserve"> </w:t>
      </w:r>
      <w:r>
        <w:rPr>
          <w:lang w:val="sr-Cyrl-CS"/>
        </w:rPr>
        <w:t>krivičnih</w:t>
      </w:r>
      <w:r w:rsidR="00745C54" w:rsidRPr="00E95BC4">
        <w:rPr>
          <w:lang w:val="sr-Cyrl-CS"/>
        </w:rPr>
        <w:t xml:space="preserve"> </w:t>
      </w:r>
      <w:r>
        <w:rPr>
          <w:lang w:val="sr-Cyrl-CS"/>
        </w:rPr>
        <w:t>dela</w:t>
      </w:r>
      <w:r w:rsidR="00745C54" w:rsidRPr="00E95BC4">
        <w:rPr>
          <w:lang w:val="sr-Cyrl-CS"/>
        </w:rPr>
        <w:t xml:space="preserve"> </w:t>
      </w:r>
      <w:r>
        <w:rPr>
          <w:lang w:val="sr-Cyrl-CS"/>
        </w:rPr>
        <w:t>protiv</w:t>
      </w:r>
      <w:r w:rsidR="00745C54" w:rsidRPr="00E95BC4">
        <w:rPr>
          <w:lang w:val="sr-Cyrl-CS"/>
        </w:rPr>
        <w:t xml:space="preserve"> </w:t>
      </w:r>
      <w:r>
        <w:rPr>
          <w:lang w:val="sr-Cyrl-CS"/>
        </w:rPr>
        <w:t>privrede</w:t>
      </w:r>
      <w:r w:rsidR="00745C54" w:rsidRPr="00E95BC4">
        <w:rPr>
          <w:lang w:val="sr-Cyrl-CS"/>
        </w:rPr>
        <w:t xml:space="preserve">. </w:t>
      </w:r>
      <w:r>
        <w:rPr>
          <w:lang w:val="sr-Cyrl-CS"/>
        </w:rPr>
        <w:t>Među</w:t>
      </w:r>
      <w:r w:rsidR="00745C54" w:rsidRPr="00E95BC4">
        <w:rPr>
          <w:lang w:val="sr-Cyrl-CS"/>
        </w:rPr>
        <w:t xml:space="preserve"> </w:t>
      </w:r>
      <w:r>
        <w:rPr>
          <w:lang w:val="sr-Cyrl-CS"/>
        </w:rPr>
        <w:t>njima</w:t>
      </w:r>
      <w:r w:rsidR="00745C54" w:rsidRPr="00E95BC4">
        <w:rPr>
          <w:lang w:val="sr-Cyrl-CS"/>
        </w:rPr>
        <w:t xml:space="preserve"> </w:t>
      </w:r>
      <w:r>
        <w:rPr>
          <w:lang w:val="sr-Cyrl-CS"/>
        </w:rPr>
        <w:t>su</w:t>
      </w:r>
      <w:r w:rsidR="00745C54" w:rsidRPr="00E95BC4">
        <w:rPr>
          <w:lang w:val="sr-Cyrl-CS"/>
        </w:rPr>
        <w:t xml:space="preserve"> </w:t>
      </w:r>
      <w:r>
        <w:rPr>
          <w:lang w:val="sr-Cyrl-CS"/>
        </w:rPr>
        <w:t>i</w:t>
      </w:r>
      <w:r w:rsidR="00745C54" w:rsidRPr="00E95BC4">
        <w:rPr>
          <w:lang w:val="sr-Cyrl-CS"/>
        </w:rPr>
        <w:t xml:space="preserve"> </w:t>
      </w:r>
      <w:r>
        <w:rPr>
          <w:lang w:val="sr-Cyrl-CS"/>
        </w:rPr>
        <w:t>krivična</w:t>
      </w:r>
      <w:r w:rsidR="00745C54" w:rsidRPr="00E95BC4">
        <w:rPr>
          <w:lang w:val="sr-Cyrl-CS"/>
        </w:rPr>
        <w:t xml:space="preserve"> </w:t>
      </w:r>
      <w:r>
        <w:rPr>
          <w:lang w:val="sr-Cyrl-CS"/>
        </w:rPr>
        <w:t>dela</w:t>
      </w:r>
      <w:r w:rsidR="00745C54" w:rsidRPr="00E95BC4">
        <w:rPr>
          <w:lang w:val="sr-Cyrl-CS"/>
        </w:rPr>
        <w:t xml:space="preserve"> </w:t>
      </w:r>
      <w:r>
        <w:rPr>
          <w:lang w:val="sr-Cyrl-CS"/>
        </w:rPr>
        <w:t>zloupotreba</w:t>
      </w:r>
      <w:r w:rsidR="00745C54" w:rsidRPr="00E95BC4">
        <w:rPr>
          <w:lang w:val="sr-Cyrl-CS"/>
        </w:rPr>
        <w:t xml:space="preserve"> </w:t>
      </w:r>
      <w:r>
        <w:rPr>
          <w:lang w:val="sr-Cyrl-CS"/>
        </w:rPr>
        <w:t>položaja</w:t>
      </w:r>
      <w:r w:rsidR="00745C54" w:rsidRPr="00E95BC4">
        <w:rPr>
          <w:lang w:val="sr-Cyrl-CS"/>
        </w:rPr>
        <w:t xml:space="preserve"> </w:t>
      </w:r>
      <w:r>
        <w:rPr>
          <w:lang w:val="sr-Cyrl-CS"/>
        </w:rPr>
        <w:t>odgovornog</w:t>
      </w:r>
      <w:r w:rsidR="00745C54" w:rsidRPr="00E95BC4">
        <w:rPr>
          <w:lang w:val="sr-Cyrl-CS"/>
        </w:rPr>
        <w:t xml:space="preserve"> </w:t>
      </w:r>
      <w:r>
        <w:rPr>
          <w:lang w:val="sr-Cyrl-CS"/>
        </w:rPr>
        <w:t>lica</w:t>
      </w:r>
      <w:r w:rsidR="00745C54" w:rsidRPr="00E95BC4">
        <w:rPr>
          <w:lang w:val="sr-Cyrl-CS"/>
        </w:rPr>
        <w:t xml:space="preserve"> </w:t>
      </w:r>
      <w:r>
        <w:rPr>
          <w:lang w:val="sr-Cyrl-CS"/>
        </w:rPr>
        <w:t>i</w:t>
      </w:r>
      <w:r w:rsidR="00745C54" w:rsidRPr="00E95BC4">
        <w:rPr>
          <w:lang w:val="sr-Cyrl-CS"/>
        </w:rPr>
        <w:t xml:space="preserve"> </w:t>
      </w:r>
      <w:r>
        <w:rPr>
          <w:lang w:val="sr-Cyrl-CS"/>
        </w:rPr>
        <w:t>poreska</w:t>
      </w:r>
      <w:r w:rsidR="00745C54" w:rsidRPr="00E95BC4">
        <w:rPr>
          <w:lang w:val="sr-Cyrl-CS"/>
        </w:rPr>
        <w:t xml:space="preserve"> </w:t>
      </w:r>
      <w:r>
        <w:rPr>
          <w:lang w:val="sr-Cyrl-CS"/>
        </w:rPr>
        <w:t>utaja</w:t>
      </w:r>
      <w:r w:rsidR="00745C54" w:rsidRPr="00E95BC4">
        <w:rPr>
          <w:lang w:val="sr-Cyrl-CS"/>
        </w:rPr>
        <w:t xml:space="preserve">, </w:t>
      </w:r>
      <w:r>
        <w:rPr>
          <w:lang w:val="sr-Cyrl-CS"/>
        </w:rPr>
        <w:t>koja</w:t>
      </w:r>
      <w:r w:rsidR="00745C54" w:rsidRPr="00E95BC4">
        <w:rPr>
          <w:lang w:val="sr-Cyrl-CS"/>
        </w:rPr>
        <w:t xml:space="preserve"> </w:t>
      </w:r>
      <w:r>
        <w:rPr>
          <w:lang w:val="sr-Cyrl-CS"/>
        </w:rPr>
        <w:t>su</w:t>
      </w:r>
      <w:r w:rsidR="00745C54" w:rsidRPr="00E95BC4">
        <w:rPr>
          <w:lang w:val="sr-Cyrl-CS"/>
        </w:rPr>
        <w:t xml:space="preserve"> </w:t>
      </w:r>
      <w:r>
        <w:rPr>
          <w:lang w:val="sr-Cyrl-CS"/>
        </w:rPr>
        <w:t>u</w:t>
      </w:r>
      <w:r w:rsidR="00745C54" w:rsidRPr="00E95BC4">
        <w:rPr>
          <w:lang w:val="sr-Cyrl-CS"/>
        </w:rPr>
        <w:t xml:space="preserve"> </w:t>
      </w:r>
      <w:r>
        <w:rPr>
          <w:lang w:val="sr-Cyrl-CS"/>
        </w:rPr>
        <w:t>Nacionalnoj</w:t>
      </w:r>
      <w:r w:rsidR="00745C54" w:rsidRPr="00E95BC4">
        <w:rPr>
          <w:lang w:val="sr-Cyrl-CS"/>
        </w:rPr>
        <w:t xml:space="preserve"> </w:t>
      </w:r>
      <w:r>
        <w:rPr>
          <w:lang w:val="sr-Cyrl-CS"/>
        </w:rPr>
        <w:t>proceni</w:t>
      </w:r>
      <w:r w:rsidR="00745C54" w:rsidRPr="00E95BC4">
        <w:rPr>
          <w:lang w:val="sr-Cyrl-CS"/>
        </w:rPr>
        <w:t xml:space="preserve"> </w:t>
      </w:r>
      <w:r>
        <w:rPr>
          <w:lang w:val="sr-Cyrl-CS"/>
        </w:rPr>
        <w:t>rizika</w:t>
      </w:r>
      <w:r w:rsidR="00745C54" w:rsidRPr="00E95BC4">
        <w:rPr>
          <w:lang w:val="sr-Cyrl-CS"/>
        </w:rPr>
        <w:t xml:space="preserve"> </w:t>
      </w:r>
      <w:r>
        <w:rPr>
          <w:lang w:val="sr-Cyrl-CS"/>
        </w:rPr>
        <w:t>od</w:t>
      </w:r>
      <w:r w:rsidR="00745C54" w:rsidRPr="00E95BC4">
        <w:rPr>
          <w:lang w:val="sr-Cyrl-CS"/>
        </w:rPr>
        <w:t xml:space="preserve"> </w:t>
      </w:r>
      <w:r>
        <w:rPr>
          <w:lang w:val="sr-Cyrl-CS"/>
        </w:rPr>
        <w:t>pranja</w:t>
      </w:r>
      <w:r w:rsidR="00745C54" w:rsidRPr="00E95BC4">
        <w:rPr>
          <w:lang w:val="sr-Cyrl-CS"/>
        </w:rPr>
        <w:t xml:space="preserve"> </w:t>
      </w:r>
      <w:r>
        <w:rPr>
          <w:lang w:val="sr-Cyrl-CS"/>
        </w:rPr>
        <w:t>novca</w:t>
      </w:r>
      <w:r w:rsidR="00745C54" w:rsidRPr="00E95BC4">
        <w:rPr>
          <w:lang w:val="sr-Cyrl-CS"/>
        </w:rPr>
        <w:t xml:space="preserve"> </w:t>
      </w:r>
      <w:r>
        <w:rPr>
          <w:lang w:val="sr-Cyrl-CS"/>
        </w:rPr>
        <w:t>ocenjena</w:t>
      </w:r>
      <w:r w:rsidR="00745C54" w:rsidRPr="00E95BC4">
        <w:rPr>
          <w:lang w:val="sr-Cyrl-CS"/>
        </w:rPr>
        <w:t xml:space="preserve"> </w:t>
      </w:r>
      <w:r>
        <w:rPr>
          <w:lang w:val="sr-Cyrl-CS"/>
        </w:rPr>
        <w:t>kao</w:t>
      </w:r>
      <w:r w:rsidR="00745C54" w:rsidRPr="00E95BC4">
        <w:rPr>
          <w:lang w:val="sr-Cyrl-CS"/>
        </w:rPr>
        <w:t xml:space="preserve"> </w:t>
      </w:r>
      <w:r>
        <w:rPr>
          <w:lang w:val="sr-Cyrl-CS"/>
        </w:rPr>
        <w:t>dela</w:t>
      </w:r>
      <w:r w:rsidR="00745C54" w:rsidRPr="00E95BC4">
        <w:rPr>
          <w:lang w:val="sr-Cyrl-CS"/>
        </w:rPr>
        <w:t xml:space="preserve"> </w:t>
      </w:r>
      <w:r>
        <w:rPr>
          <w:lang w:val="sr-Cyrl-CS"/>
        </w:rPr>
        <w:t>sa</w:t>
      </w:r>
      <w:r w:rsidR="00745C54" w:rsidRPr="00E95BC4">
        <w:rPr>
          <w:lang w:val="sr-Cyrl-CS"/>
        </w:rPr>
        <w:t xml:space="preserve"> </w:t>
      </w:r>
      <w:r>
        <w:rPr>
          <w:lang w:val="sr-Cyrl-CS"/>
        </w:rPr>
        <w:t>visokim</w:t>
      </w:r>
      <w:r w:rsidR="00745C54" w:rsidRPr="00E95BC4">
        <w:rPr>
          <w:lang w:val="sr-Cyrl-CS"/>
        </w:rPr>
        <w:t xml:space="preserve"> </w:t>
      </w:r>
      <w:r>
        <w:rPr>
          <w:lang w:val="sr-Cyrl-CS"/>
        </w:rPr>
        <w:t>stepenom</w:t>
      </w:r>
      <w:r w:rsidR="00745C54" w:rsidRPr="00E95BC4">
        <w:rPr>
          <w:lang w:val="sr-Cyrl-CS"/>
        </w:rPr>
        <w:t xml:space="preserve"> </w:t>
      </w:r>
      <w:r>
        <w:rPr>
          <w:lang w:val="sr-Cyrl-CS"/>
        </w:rPr>
        <w:t>pretnji</w:t>
      </w:r>
      <w:r w:rsidR="00745C54" w:rsidRPr="00E95BC4">
        <w:rPr>
          <w:lang w:val="sr-Cyrl-CS"/>
        </w:rPr>
        <w:t xml:space="preserve">. </w:t>
      </w:r>
      <w:r>
        <w:rPr>
          <w:lang w:val="sr-Cyrl-CS"/>
        </w:rPr>
        <w:t>Ovom</w:t>
      </w:r>
      <w:r w:rsidR="00745C54" w:rsidRPr="00E95BC4">
        <w:rPr>
          <w:lang w:val="sr-Cyrl-CS"/>
        </w:rPr>
        <w:t xml:space="preserve"> </w:t>
      </w:r>
      <w:r>
        <w:rPr>
          <w:lang w:val="sr-Cyrl-CS"/>
        </w:rPr>
        <w:t>izmenom</w:t>
      </w:r>
      <w:r w:rsidR="00745C54" w:rsidRPr="00E95BC4">
        <w:rPr>
          <w:lang w:val="sr-Cyrl-CS"/>
        </w:rPr>
        <w:t xml:space="preserve"> </w:t>
      </w:r>
      <w:r>
        <w:rPr>
          <w:lang w:val="sr-Cyrl-CS"/>
        </w:rPr>
        <w:t>primena</w:t>
      </w:r>
      <w:r w:rsidR="00745C54" w:rsidRPr="00E95BC4">
        <w:rPr>
          <w:lang w:val="sr-Cyrl-CS"/>
        </w:rPr>
        <w:t xml:space="preserve"> </w:t>
      </w:r>
      <w:r>
        <w:rPr>
          <w:lang w:val="sr-Cyrl-CS"/>
        </w:rPr>
        <w:t>Zakona</w:t>
      </w:r>
      <w:r w:rsidR="00745C54" w:rsidRPr="00E95BC4">
        <w:rPr>
          <w:lang w:val="sr-Cyrl-CS"/>
        </w:rPr>
        <w:t xml:space="preserve"> </w:t>
      </w:r>
      <w:r>
        <w:rPr>
          <w:lang w:val="sr-Cyrl-CS"/>
        </w:rPr>
        <w:t>o</w:t>
      </w:r>
      <w:r w:rsidR="00745C54" w:rsidRPr="00E95BC4">
        <w:rPr>
          <w:lang w:val="sr-Cyrl-CS"/>
        </w:rPr>
        <w:t xml:space="preserve"> </w:t>
      </w:r>
      <w:r>
        <w:rPr>
          <w:lang w:val="sr-Cyrl-CS"/>
        </w:rPr>
        <w:t>oduzimanju</w:t>
      </w:r>
      <w:r w:rsidR="00745C54" w:rsidRPr="00E95BC4">
        <w:rPr>
          <w:lang w:val="sr-Cyrl-CS"/>
        </w:rPr>
        <w:t xml:space="preserve"> </w:t>
      </w:r>
      <w:r>
        <w:rPr>
          <w:lang w:val="sr-Cyrl-CS"/>
        </w:rPr>
        <w:t>imovine</w:t>
      </w:r>
      <w:r w:rsidR="00745C54" w:rsidRPr="00E95BC4">
        <w:rPr>
          <w:lang w:val="sr-Cyrl-CS"/>
        </w:rPr>
        <w:t xml:space="preserve"> </w:t>
      </w:r>
      <w:r>
        <w:rPr>
          <w:lang w:val="sr-Cyrl-CS"/>
        </w:rPr>
        <w:t>proistekle</w:t>
      </w:r>
      <w:r w:rsidR="00745C54" w:rsidRPr="00E95BC4">
        <w:rPr>
          <w:lang w:val="sr-Cyrl-CS"/>
        </w:rPr>
        <w:t xml:space="preserve"> </w:t>
      </w:r>
      <w:r>
        <w:rPr>
          <w:lang w:val="sr-Cyrl-CS"/>
        </w:rPr>
        <w:t>iz</w:t>
      </w:r>
      <w:r w:rsidR="00745C54" w:rsidRPr="00E95BC4">
        <w:rPr>
          <w:lang w:val="sr-Cyrl-CS"/>
        </w:rPr>
        <w:t xml:space="preserve"> </w:t>
      </w:r>
      <w:r>
        <w:rPr>
          <w:lang w:val="sr-Cyrl-CS"/>
        </w:rPr>
        <w:t>krivičnog</w:t>
      </w:r>
      <w:r w:rsidR="00745C54" w:rsidRPr="00E95BC4">
        <w:rPr>
          <w:lang w:val="sr-Cyrl-CS"/>
        </w:rPr>
        <w:t xml:space="preserve"> </w:t>
      </w:r>
      <w:r>
        <w:rPr>
          <w:lang w:val="sr-Cyrl-CS"/>
        </w:rPr>
        <w:t>dela</w:t>
      </w:r>
      <w:r w:rsidR="00745C54" w:rsidRPr="00E95BC4">
        <w:rPr>
          <w:lang w:val="sr-Cyrl-CS"/>
        </w:rPr>
        <w:t xml:space="preserve"> </w:t>
      </w:r>
      <w:r>
        <w:rPr>
          <w:lang w:val="sr-Cyrl-CS"/>
        </w:rPr>
        <w:t>proširena</w:t>
      </w:r>
      <w:r w:rsidR="00745C54" w:rsidRPr="00E95BC4">
        <w:rPr>
          <w:lang w:val="sr-Cyrl-CS"/>
        </w:rPr>
        <w:t xml:space="preserve"> </w:t>
      </w:r>
      <w:r>
        <w:rPr>
          <w:lang w:val="sr-Cyrl-CS"/>
        </w:rPr>
        <w:t>je</w:t>
      </w:r>
      <w:r w:rsidR="00745C54" w:rsidRPr="00E95BC4">
        <w:rPr>
          <w:lang w:val="sr-Cyrl-CS"/>
        </w:rPr>
        <w:t xml:space="preserve"> </w:t>
      </w:r>
      <w:r>
        <w:rPr>
          <w:lang w:val="sr-Cyrl-CS"/>
        </w:rPr>
        <w:t>i</w:t>
      </w:r>
      <w:r w:rsidR="00745C54" w:rsidRPr="00E95BC4">
        <w:rPr>
          <w:lang w:val="sr-Cyrl-CS"/>
        </w:rPr>
        <w:t xml:space="preserve"> </w:t>
      </w:r>
      <w:r>
        <w:rPr>
          <w:lang w:val="sr-Cyrl-CS"/>
        </w:rPr>
        <w:t>na</w:t>
      </w:r>
      <w:r w:rsidR="00745C54" w:rsidRPr="00E95BC4">
        <w:rPr>
          <w:lang w:val="sr-Cyrl-CS"/>
        </w:rPr>
        <w:t xml:space="preserve"> </w:t>
      </w:r>
      <w:r>
        <w:rPr>
          <w:lang w:val="sr-Cyrl-CS"/>
        </w:rPr>
        <w:t>većinu</w:t>
      </w:r>
      <w:r w:rsidR="00745C54" w:rsidRPr="00E95BC4">
        <w:rPr>
          <w:lang w:val="sr-Cyrl-CS"/>
        </w:rPr>
        <w:t xml:space="preserve"> </w:t>
      </w:r>
      <w:r>
        <w:rPr>
          <w:lang w:val="sr-Cyrl-CS"/>
        </w:rPr>
        <w:t>krivičnih</w:t>
      </w:r>
      <w:r w:rsidR="00745C54" w:rsidRPr="00E95BC4">
        <w:rPr>
          <w:lang w:val="sr-Cyrl-CS"/>
        </w:rPr>
        <w:t xml:space="preserve"> </w:t>
      </w:r>
      <w:r>
        <w:rPr>
          <w:lang w:val="sr-Cyrl-CS"/>
        </w:rPr>
        <w:t>dela</w:t>
      </w:r>
      <w:r w:rsidR="00745C54" w:rsidRPr="00E95BC4">
        <w:rPr>
          <w:lang w:val="sr-Cyrl-CS"/>
        </w:rPr>
        <w:t xml:space="preserve"> </w:t>
      </w:r>
      <w:r>
        <w:rPr>
          <w:lang w:val="sr-Cyrl-CS"/>
        </w:rPr>
        <w:t>koja</w:t>
      </w:r>
      <w:r w:rsidR="00745C54" w:rsidRPr="00E95BC4">
        <w:rPr>
          <w:lang w:val="sr-Cyrl-CS"/>
        </w:rPr>
        <w:t xml:space="preserve"> </w:t>
      </w:r>
      <w:r>
        <w:rPr>
          <w:lang w:val="sr-Cyrl-CS"/>
        </w:rPr>
        <w:t>su</w:t>
      </w:r>
      <w:r w:rsidR="00745C54" w:rsidRPr="00E95BC4">
        <w:rPr>
          <w:lang w:val="sr-Cyrl-CS"/>
        </w:rPr>
        <w:t xml:space="preserve"> </w:t>
      </w:r>
      <w:r>
        <w:rPr>
          <w:lang w:val="sr-Cyrl-CS"/>
        </w:rPr>
        <w:t>u</w:t>
      </w:r>
      <w:r w:rsidR="00745C54" w:rsidRPr="00E95BC4">
        <w:rPr>
          <w:lang w:val="sr-Cyrl-CS"/>
        </w:rPr>
        <w:t xml:space="preserve"> </w:t>
      </w:r>
      <w:r>
        <w:rPr>
          <w:lang w:val="sr-Cyrl-CS"/>
        </w:rPr>
        <w:t>nadležnosti</w:t>
      </w:r>
      <w:r w:rsidR="00745C54" w:rsidRPr="00E95BC4">
        <w:rPr>
          <w:lang w:val="sr-Cyrl-CS"/>
        </w:rPr>
        <w:t xml:space="preserve"> </w:t>
      </w:r>
      <w:r>
        <w:rPr>
          <w:lang w:val="sr-Cyrl-CS"/>
        </w:rPr>
        <w:t>Posebnih</w:t>
      </w:r>
      <w:r w:rsidR="00745C54" w:rsidRPr="00E95BC4">
        <w:rPr>
          <w:lang w:val="sr-Cyrl-CS"/>
        </w:rPr>
        <w:t xml:space="preserve"> </w:t>
      </w:r>
      <w:r>
        <w:rPr>
          <w:lang w:val="sr-Cyrl-CS"/>
        </w:rPr>
        <w:t>odeljenja</w:t>
      </w:r>
      <w:r w:rsidR="00745C54" w:rsidRPr="00E95BC4">
        <w:rPr>
          <w:lang w:val="sr-Cyrl-CS"/>
        </w:rPr>
        <w:t xml:space="preserve"> </w:t>
      </w:r>
      <w:r>
        <w:rPr>
          <w:lang w:val="sr-Cyrl-CS"/>
        </w:rPr>
        <w:t>za</w:t>
      </w:r>
      <w:r w:rsidR="00745C54" w:rsidRPr="00E95BC4">
        <w:rPr>
          <w:lang w:val="sr-Cyrl-CS"/>
        </w:rPr>
        <w:t xml:space="preserve"> </w:t>
      </w:r>
      <w:r>
        <w:rPr>
          <w:lang w:val="sr-Cyrl-CS"/>
        </w:rPr>
        <w:t>suzbijanje</w:t>
      </w:r>
      <w:r w:rsidR="00745C54" w:rsidRPr="00E95BC4">
        <w:rPr>
          <w:lang w:val="sr-Cyrl-CS"/>
        </w:rPr>
        <w:t xml:space="preserve"> </w:t>
      </w:r>
      <w:r>
        <w:rPr>
          <w:lang w:val="sr-Cyrl-CS"/>
        </w:rPr>
        <w:t>korupcije</w:t>
      </w:r>
      <w:r w:rsidR="00745C54" w:rsidRPr="00E95BC4">
        <w:rPr>
          <w:lang w:val="sr-Cyrl-CS"/>
        </w:rPr>
        <w:t xml:space="preserve">, </w:t>
      </w:r>
      <w:r>
        <w:rPr>
          <w:lang w:val="sr-Cyrl-CS"/>
        </w:rPr>
        <w:t>osnovana</w:t>
      </w:r>
      <w:r w:rsidR="00745C54" w:rsidRPr="00E95BC4">
        <w:rPr>
          <w:lang w:val="sr-Cyrl-CS"/>
        </w:rPr>
        <w:t xml:space="preserve"> </w:t>
      </w:r>
      <w:r>
        <w:rPr>
          <w:lang w:val="sr-Cyrl-CS"/>
        </w:rPr>
        <w:t>Zakonom</w:t>
      </w:r>
      <w:r w:rsidR="00745C54" w:rsidRPr="00E95BC4">
        <w:rPr>
          <w:lang w:val="sr-Cyrl-CS"/>
        </w:rPr>
        <w:t xml:space="preserve"> </w:t>
      </w:r>
      <w:r>
        <w:rPr>
          <w:lang w:val="sr-Cyrl-CS"/>
        </w:rPr>
        <w:t>o</w:t>
      </w:r>
      <w:r w:rsidR="00745C54" w:rsidRPr="00E95BC4">
        <w:rPr>
          <w:lang w:val="sr-Cyrl-CS"/>
        </w:rPr>
        <w:t xml:space="preserve"> </w:t>
      </w:r>
      <w:r>
        <w:rPr>
          <w:lang w:val="sr-Cyrl-CS"/>
        </w:rPr>
        <w:t>organizaciji</w:t>
      </w:r>
      <w:r w:rsidR="00745C54" w:rsidRPr="00E95BC4">
        <w:rPr>
          <w:lang w:val="sr-Cyrl-CS"/>
        </w:rPr>
        <w:t xml:space="preserve"> </w:t>
      </w:r>
      <w:r>
        <w:rPr>
          <w:lang w:val="sr-Cyrl-CS"/>
        </w:rPr>
        <w:t>i</w:t>
      </w:r>
      <w:r w:rsidR="00745C54" w:rsidRPr="00E95BC4">
        <w:rPr>
          <w:lang w:val="sr-Cyrl-CS"/>
        </w:rPr>
        <w:t xml:space="preserve"> </w:t>
      </w:r>
      <w:r>
        <w:rPr>
          <w:lang w:val="sr-Cyrl-CS"/>
        </w:rPr>
        <w:t>nadležnosti</w:t>
      </w:r>
      <w:r w:rsidR="00745C54" w:rsidRPr="00E95BC4">
        <w:rPr>
          <w:lang w:val="sr-Cyrl-CS"/>
        </w:rPr>
        <w:t xml:space="preserve"> </w:t>
      </w:r>
      <w:r>
        <w:rPr>
          <w:lang w:val="sr-Cyrl-CS"/>
        </w:rPr>
        <w:t>državnih</w:t>
      </w:r>
      <w:r w:rsidR="00745C54" w:rsidRPr="00E95BC4">
        <w:rPr>
          <w:lang w:val="sr-Cyrl-CS"/>
        </w:rPr>
        <w:t xml:space="preserve"> </w:t>
      </w:r>
      <w:r>
        <w:rPr>
          <w:lang w:val="sr-Cyrl-CS"/>
        </w:rPr>
        <w:t>organa</w:t>
      </w:r>
      <w:r w:rsidR="00745C54" w:rsidRPr="00E95BC4">
        <w:rPr>
          <w:lang w:val="sr-Cyrl-CS"/>
        </w:rPr>
        <w:t xml:space="preserve"> </w:t>
      </w:r>
      <w:r>
        <w:rPr>
          <w:lang w:val="sr-Cyrl-CS"/>
        </w:rPr>
        <w:t>za</w:t>
      </w:r>
      <w:r w:rsidR="00745C54" w:rsidRPr="00E95BC4">
        <w:rPr>
          <w:lang w:val="sr-Cyrl-CS"/>
        </w:rPr>
        <w:t xml:space="preserve"> </w:t>
      </w:r>
      <w:r>
        <w:rPr>
          <w:lang w:val="sr-Cyrl-CS"/>
        </w:rPr>
        <w:t>suzbijanje</w:t>
      </w:r>
      <w:r w:rsidR="00745C54" w:rsidRPr="00E95BC4">
        <w:rPr>
          <w:lang w:val="sr-Cyrl-CS"/>
        </w:rPr>
        <w:t xml:space="preserve"> </w:t>
      </w:r>
      <w:r>
        <w:rPr>
          <w:lang w:val="sr-Cyrl-CS"/>
        </w:rPr>
        <w:t>organizovanog</w:t>
      </w:r>
      <w:r w:rsidR="00745C54" w:rsidRPr="00E95BC4">
        <w:rPr>
          <w:lang w:val="sr-Cyrl-CS"/>
        </w:rPr>
        <w:t xml:space="preserve"> </w:t>
      </w:r>
      <w:r>
        <w:rPr>
          <w:lang w:val="sr-Cyrl-CS"/>
        </w:rPr>
        <w:t>kriminala</w:t>
      </w:r>
      <w:r w:rsidR="00745C54" w:rsidRPr="00E95BC4">
        <w:rPr>
          <w:lang w:val="sr-Cyrl-CS"/>
        </w:rPr>
        <w:t xml:space="preserve">, </w:t>
      </w:r>
      <w:r>
        <w:rPr>
          <w:lang w:val="sr-Cyrl-CS"/>
        </w:rPr>
        <w:t>terorizma</w:t>
      </w:r>
      <w:r w:rsidR="00745C54" w:rsidRPr="00E95BC4">
        <w:rPr>
          <w:lang w:val="sr-Cyrl-CS"/>
        </w:rPr>
        <w:t xml:space="preserve"> </w:t>
      </w:r>
      <w:r>
        <w:rPr>
          <w:lang w:val="sr-Cyrl-CS"/>
        </w:rPr>
        <w:t>i</w:t>
      </w:r>
      <w:r w:rsidR="00745C54" w:rsidRPr="00E95BC4">
        <w:rPr>
          <w:lang w:val="sr-Cyrl-CS"/>
        </w:rPr>
        <w:t xml:space="preserve"> </w:t>
      </w:r>
      <w:r>
        <w:rPr>
          <w:lang w:val="sr-Cyrl-CS"/>
        </w:rPr>
        <w:t>korupcije</w:t>
      </w:r>
      <w:r w:rsidR="00745C54" w:rsidRPr="00E95BC4">
        <w:rPr>
          <w:lang w:val="sr-Cyrl-CS"/>
        </w:rPr>
        <w:t>.</w:t>
      </w:r>
      <w:r w:rsidR="00863117" w:rsidRPr="00E95BC4">
        <w:rPr>
          <w:lang w:val="sr-Cyrl-CS"/>
        </w:rPr>
        <w:t xml:space="preserve"> </w:t>
      </w:r>
      <w:r>
        <w:rPr>
          <w:lang w:val="sr-Cyrl-CS"/>
        </w:rPr>
        <w:t>Izmenama</w:t>
      </w:r>
      <w:r w:rsidR="00863117" w:rsidRPr="00E95BC4">
        <w:rPr>
          <w:lang w:val="sr-Cyrl-CS"/>
        </w:rPr>
        <w:t xml:space="preserve"> </w:t>
      </w:r>
      <w:r>
        <w:rPr>
          <w:lang w:val="sr-Cyrl-CS"/>
        </w:rPr>
        <w:t>i</w:t>
      </w:r>
      <w:r w:rsidR="00863117" w:rsidRPr="00E95BC4">
        <w:rPr>
          <w:lang w:val="sr-Cyrl-CS"/>
        </w:rPr>
        <w:t xml:space="preserve"> </w:t>
      </w:r>
      <w:r>
        <w:rPr>
          <w:lang w:val="sr-Cyrl-CS"/>
        </w:rPr>
        <w:t>dopunama</w:t>
      </w:r>
      <w:r w:rsidR="00863117" w:rsidRPr="00E95BC4">
        <w:rPr>
          <w:lang w:val="sr-Cyrl-CS"/>
        </w:rPr>
        <w:t xml:space="preserve"> </w:t>
      </w:r>
      <w:r>
        <w:rPr>
          <w:lang w:val="sr-Cyrl-CS"/>
        </w:rPr>
        <w:t>Zakona</w:t>
      </w:r>
      <w:r w:rsidR="00863117" w:rsidRPr="00E95BC4">
        <w:rPr>
          <w:lang w:val="sr-Cyrl-CS"/>
        </w:rPr>
        <w:t xml:space="preserve"> </w:t>
      </w:r>
      <w:r>
        <w:rPr>
          <w:lang w:val="sr-Cyrl-CS"/>
        </w:rPr>
        <w:t>o</w:t>
      </w:r>
      <w:r w:rsidR="00863117" w:rsidRPr="00E95BC4">
        <w:rPr>
          <w:lang w:val="sr-Cyrl-CS"/>
        </w:rPr>
        <w:t xml:space="preserve"> </w:t>
      </w:r>
      <w:r>
        <w:rPr>
          <w:lang w:val="sr-Cyrl-CS"/>
        </w:rPr>
        <w:t>oduzimanju</w:t>
      </w:r>
      <w:r w:rsidR="00863117" w:rsidRPr="00E95BC4">
        <w:rPr>
          <w:lang w:val="sr-Cyrl-CS"/>
        </w:rPr>
        <w:t xml:space="preserve"> </w:t>
      </w:r>
      <w:r>
        <w:rPr>
          <w:lang w:val="sr-Cyrl-CS"/>
        </w:rPr>
        <w:t>imovine</w:t>
      </w:r>
      <w:r w:rsidR="00863117" w:rsidRPr="00E95BC4">
        <w:rPr>
          <w:lang w:val="sr-Cyrl-CS"/>
        </w:rPr>
        <w:t xml:space="preserve"> </w:t>
      </w:r>
      <w:r>
        <w:rPr>
          <w:lang w:val="sr-Cyrl-CS"/>
        </w:rPr>
        <w:t>proistekle</w:t>
      </w:r>
      <w:r w:rsidR="00863117" w:rsidRPr="00E95BC4">
        <w:rPr>
          <w:lang w:val="sr-Cyrl-CS"/>
        </w:rPr>
        <w:t xml:space="preserve"> </w:t>
      </w:r>
      <w:r>
        <w:rPr>
          <w:lang w:val="sr-Cyrl-CS"/>
        </w:rPr>
        <w:t>iz</w:t>
      </w:r>
      <w:r w:rsidR="00863117" w:rsidRPr="00E95BC4">
        <w:rPr>
          <w:lang w:val="sr-Cyrl-CS"/>
        </w:rPr>
        <w:t xml:space="preserve"> </w:t>
      </w:r>
      <w:r>
        <w:rPr>
          <w:lang w:val="sr-Cyrl-CS"/>
        </w:rPr>
        <w:t>krivičnog</w:t>
      </w:r>
      <w:r w:rsidR="00863117" w:rsidRPr="00E95BC4">
        <w:rPr>
          <w:lang w:val="sr-Cyrl-CS"/>
        </w:rPr>
        <w:t xml:space="preserve"> </w:t>
      </w:r>
      <w:r>
        <w:rPr>
          <w:lang w:val="sr-Cyrl-CS"/>
        </w:rPr>
        <w:t>dela</w:t>
      </w:r>
      <w:r w:rsidR="00C14CEB" w:rsidRPr="00E95BC4">
        <w:rPr>
          <w:lang w:val="sr-Cyrl-CS"/>
        </w:rPr>
        <w:t xml:space="preserve"> </w:t>
      </w:r>
      <w:r>
        <w:rPr>
          <w:lang w:val="sr-Cyrl-CS"/>
        </w:rPr>
        <w:t>iz</w:t>
      </w:r>
      <w:r w:rsidR="00C14CEB" w:rsidRPr="00E95BC4">
        <w:rPr>
          <w:lang w:val="sr-Cyrl-CS"/>
        </w:rPr>
        <w:t xml:space="preserve"> 2016.</w:t>
      </w:r>
      <w:r w:rsidR="00863117" w:rsidRPr="00E95BC4">
        <w:rPr>
          <w:lang w:val="sr-Cyrl-CS"/>
        </w:rPr>
        <w:t xml:space="preserve"> </w:t>
      </w:r>
      <w:r>
        <w:rPr>
          <w:lang w:val="sr-Cyrl-CS"/>
        </w:rPr>
        <w:t>obrazovana</w:t>
      </w:r>
      <w:r w:rsidR="00863117" w:rsidRPr="00E95BC4">
        <w:rPr>
          <w:lang w:val="sr-Cyrl-CS"/>
        </w:rPr>
        <w:t xml:space="preserve"> </w:t>
      </w:r>
      <w:r>
        <w:rPr>
          <w:lang w:val="sr-Cyrl-CS"/>
        </w:rPr>
        <w:t>je</w:t>
      </w:r>
      <w:r w:rsidR="00863117" w:rsidRPr="00E95BC4">
        <w:rPr>
          <w:lang w:val="sr-Cyrl-CS"/>
        </w:rPr>
        <w:t xml:space="preserve"> </w:t>
      </w:r>
      <w:r>
        <w:rPr>
          <w:lang w:val="sr-Cyrl-CS"/>
        </w:rPr>
        <w:t>Kancelarija</w:t>
      </w:r>
      <w:r w:rsidR="00863117" w:rsidRPr="00E95BC4">
        <w:rPr>
          <w:lang w:val="sr-Cyrl-CS"/>
        </w:rPr>
        <w:t xml:space="preserve"> </w:t>
      </w:r>
      <w:r>
        <w:rPr>
          <w:lang w:val="sr-Cyrl-CS"/>
        </w:rPr>
        <w:t>za</w:t>
      </w:r>
      <w:r w:rsidR="00863117" w:rsidRPr="00E95BC4">
        <w:rPr>
          <w:lang w:val="sr-Cyrl-CS"/>
        </w:rPr>
        <w:t xml:space="preserve"> </w:t>
      </w:r>
      <w:r>
        <w:rPr>
          <w:lang w:val="sr-Cyrl-CS"/>
        </w:rPr>
        <w:t>povraćaj</w:t>
      </w:r>
      <w:r w:rsidR="00863117" w:rsidRPr="00E95BC4">
        <w:rPr>
          <w:lang w:val="sr-Cyrl-CS"/>
        </w:rPr>
        <w:t xml:space="preserve"> </w:t>
      </w:r>
      <w:r>
        <w:rPr>
          <w:lang w:val="sr-Cyrl-CS"/>
        </w:rPr>
        <w:t>oduzete</w:t>
      </w:r>
      <w:r w:rsidR="00863117" w:rsidRPr="00E95BC4">
        <w:rPr>
          <w:lang w:val="sr-Cyrl-CS"/>
        </w:rPr>
        <w:t xml:space="preserve"> </w:t>
      </w:r>
      <w:r>
        <w:rPr>
          <w:lang w:val="sr-Cyrl-CS"/>
        </w:rPr>
        <w:t>imovine</w:t>
      </w:r>
      <w:r w:rsidR="00863117" w:rsidRPr="00E95BC4">
        <w:rPr>
          <w:lang w:val="sr-Cyrl-CS"/>
        </w:rPr>
        <w:t>.</w:t>
      </w:r>
    </w:p>
    <w:p w:rsidR="00745C54" w:rsidRPr="00E95BC4" w:rsidRDefault="00745C54" w:rsidP="00CC21F4">
      <w:pPr>
        <w:ind w:firstLine="708"/>
        <w:jc w:val="both"/>
        <w:rPr>
          <w:lang w:val="sr-Cyrl-CS"/>
        </w:rPr>
      </w:pPr>
    </w:p>
    <w:p w:rsidR="00962FA1" w:rsidRPr="00E95BC4" w:rsidRDefault="00934E82" w:rsidP="00596F2E">
      <w:pPr>
        <w:ind w:firstLine="708"/>
        <w:jc w:val="both"/>
        <w:rPr>
          <w:lang w:val="sr-Cyrl-CS"/>
        </w:rPr>
      </w:pPr>
      <w:r>
        <w:rPr>
          <w:noProof/>
        </w:rPr>
        <w:pict>
          <v:shape id="Text Box 14" o:spid="_x0000_s1027" type="#_x0000_t202" style="position:absolute;left:0;text-align:left;margin-left:-1.5pt;margin-top:3.55pt;width:219pt;height:43.9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" fillcolor="#a5a5a5 [2092]" stroked="f" strokecolor="#f2f2f2 [3041]" strokeweight="3pt">
            <v:shadow color="#7f7f7f [1601]" opacity=".5" offset="1pt"/>
            <v:textbox>
              <w:txbxContent>
                <w:p w:rsidR="005818C0" w:rsidRPr="00C21C2C" w:rsidRDefault="005818C0" w:rsidP="00367ABB">
                  <w:pPr>
                    <w:pStyle w:val="ListParagraph"/>
                    <w:numPr>
                      <w:ilvl w:val="0"/>
                      <w:numId w:val="9"/>
                    </w:numPr>
                    <w:ind w:left="284" w:hanging="284"/>
                    <w:rPr>
                      <w:b/>
                      <w:iCs/>
                      <w:color w:val="FFFFFF" w:themeColor="background1"/>
                      <w:sz w:val="20"/>
                      <w:szCs w:val="20"/>
                    </w:rPr>
                  </w:pPr>
                  <w:r w:rsidRPr="00C21C2C">
                    <w:rPr>
                      <w:b/>
                      <w:iCs/>
                      <w:color w:val="FFFFFF" w:themeColor="background1"/>
                      <w:sz w:val="20"/>
                      <w:szCs w:val="20"/>
                    </w:rPr>
                    <w:t xml:space="preserve">Закон о спречавању прања новца и финансирања тероризма </w:t>
                  </w:r>
                  <w:r w:rsidRPr="00C21C2C">
                    <w:rPr>
                      <w:iCs/>
                      <w:color w:val="FFFFFF" w:themeColor="background1"/>
                      <w:sz w:val="20"/>
                      <w:szCs w:val="20"/>
                    </w:rPr>
                    <w:t xml:space="preserve">(„Службени гласник РС”, </w:t>
                  </w:r>
                  <w:r>
                    <w:rPr>
                      <w:iCs/>
                      <w:color w:val="FFFFFF" w:themeColor="background1"/>
                      <w:sz w:val="20"/>
                      <w:szCs w:val="20"/>
                      <w:lang/>
                    </w:rPr>
                    <w:t xml:space="preserve">бр. </w:t>
                  </w:r>
                  <w:r w:rsidRPr="00C21C2C">
                    <w:rPr>
                      <w:iCs/>
                      <w:color w:val="FFFFFF" w:themeColor="background1"/>
                      <w:sz w:val="20"/>
                      <w:szCs w:val="20"/>
                    </w:rPr>
                    <w:t>113/17 и 91/19);</w:t>
                  </w:r>
                </w:p>
                <w:p w:rsidR="005818C0" w:rsidRPr="00990F58" w:rsidRDefault="005818C0" w:rsidP="00367ABB">
                  <w:pPr>
                    <w:ind w:left="284" w:hanging="284"/>
                    <w:rPr>
                      <w:color w:val="FFFFFF" w:themeColor="background1"/>
                      <w:sz w:val="12"/>
                      <w:szCs w:val="16"/>
                    </w:rPr>
                  </w:pPr>
                </w:p>
              </w:txbxContent>
            </v:textbox>
            <w10:wrap type="square"/>
          </v:shape>
        </w:pict>
      </w:r>
      <w:r w:rsidR="005818C0">
        <w:rPr>
          <w:lang w:val="sr-Cyrl-CS"/>
        </w:rPr>
        <w:t>Osnovni</w:t>
      </w:r>
      <w:r w:rsidR="00962FA1" w:rsidRPr="00E95BC4">
        <w:rPr>
          <w:lang w:val="sr-Cyrl-CS"/>
        </w:rPr>
        <w:t xml:space="preserve"> </w:t>
      </w:r>
      <w:r w:rsidR="005818C0">
        <w:rPr>
          <w:lang w:val="sr-Cyrl-CS"/>
        </w:rPr>
        <w:t>preventivni</w:t>
      </w:r>
      <w:r w:rsidR="00962FA1" w:rsidRPr="00E95BC4">
        <w:rPr>
          <w:lang w:val="sr-Cyrl-CS"/>
        </w:rPr>
        <w:t xml:space="preserve"> </w:t>
      </w:r>
      <w:r w:rsidR="005818C0">
        <w:rPr>
          <w:lang w:val="sr-Cyrl-CS"/>
        </w:rPr>
        <w:t>zakon</w:t>
      </w:r>
      <w:r w:rsidR="00962FA1" w:rsidRPr="00E95BC4">
        <w:rPr>
          <w:lang w:val="sr-Cyrl-CS"/>
        </w:rPr>
        <w:t xml:space="preserve"> </w:t>
      </w:r>
      <w:r w:rsidR="005818C0">
        <w:rPr>
          <w:lang w:val="sr-Cyrl-CS"/>
        </w:rPr>
        <w:t>u</w:t>
      </w:r>
      <w:r w:rsidR="00962FA1" w:rsidRPr="00E95BC4">
        <w:rPr>
          <w:lang w:val="sr-Cyrl-CS"/>
        </w:rPr>
        <w:t xml:space="preserve"> </w:t>
      </w:r>
      <w:r w:rsidR="005818C0">
        <w:rPr>
          <w:lang w:val="sr-Cyrl-CS"/>
        </w:rPr>
        <w:t>oblasti</w:t>
      </w:r>
      <w:r w:rsidR="00962FA1" w:rsidRPr="00E95BC4">
        <w:rPr>
          <w:lang w:val="sr-Cyrl-CS"/>
        </w:rPr>
        <w:t xml:space="preserve"> </w:t>
      </w:r>
      <w:r w:rsidR="005818C0">
        <w:rPr>
          <w:lang w:val="sr-Cyrl-CS"/>
        </w:rPr>
        <w:t>borbe</w:t>
      </w:r>
      <w:r w:rsidR="00962FA1" w:rsidRPr="00E95BC4">
        <w:rPr>
          <w:lang w:val="sr-Cyrl-CS"/>
        </w:rPr>
        <w:t xml:space="preserve"> </w:t>
      </w:r>
      <w:r w:rsidR="005818C0">
        <w:rPr>
          <w:lang w:val="sr-Cyrl-CS"/>
        </w:rPr>
        <w:t>protiv</w:t>
      </w:r>
      <w:r w:rsidR="00962FA1" w:rsidRPr="00E95BC4">
        <w:rPr>
          <w:lang w:val="sr-Cyrl-CS"/>
        </w:rPr>
        <w:t xml:space="preserve"> </w:t>
      </w:r>
      <w:r w:rsidR="005818C0">
        <w:rPr>
          <w:lang w:val="sr-Cyrl-CS"/>
        </w:rPr>
        <w:t>pranja</w:t>
      </w:r>
      <w:r w:rsidR="00962FA1" w:rsidRPr="00E95BC4">
        <w:rPr>
          <w:lang w:val="sr-Cyrl-CS"/>
        </w:rPr>
        <w:t xml:space="preserve"> </w:t>
      </w:r>
      <w:r w:rsidR="005818C0">
        <w:rPr>
          <w:lang w:val="sr-Cyrl-CS"/>
        </w:rPr>
        <w:t>novca</w:t>
      </w:r>
      <w:r w:rsidR="00962FA1" w:rsidRPr="00E95BC4">
        <w:rPr>
          <w:lang w:val="sr-Cyrl-CS"/>
        </w:rPr>
        <w:t xml:space="preserve"> </w:t>
      </w:r>
      <w:r w:rsidR="005818C0">
        <w:rPr>
          <w:lang w:val="sr-Cyrl-CS"/>
        </w:rPr>
        <w:t>i</w:t>
      </w:r>
      <w:r w:rsidR="00962FA1" w:rsidRPr="00E95BC4">
        <w:rPr>
          <w:lang w:val="sr-Cyrl-CS"/>
        </w:rPr>
        <w:t xml:space="preserve"> </w:t>
      </w:r>
      <w:r w:rsidR="005818C0">
        <w:rPr>
          <w:lang w:val="sr-Cyrl-CS"/>
        </w:rPr>
        <w:t>finansiranja</w:t>
      </w:r>
      <w:r w:rsidR="00962FA1" w:rsidRPr="00E95BC4">
        <w:rPr>
          <w:lang w:val="sr-Cyrl-CS"/>
        </w:rPr>
        <w:t xml:space="preserve"> </w:t>
      </w:r>
      <w:r w:rsidR="005818C0">
        <w:rPr>
          <w:lang w:val="sr-Cyrl-CS"/>
        </w:rPr>
        <w:t>terorizma</w:t>
      </w:r>
      <w:r w:rsidR="00962FA1" w:rsidRPr="00E95BC4">
        <w:rPr>
          <w:lang w:val="sr-Cyrl-CS"/>
        </w:rPr>
        <w:t xml:space="preserve"> </w:t>
      </w:r>
      <w:r w:rsidR="005818C0">
        <w:rPr>
          <w:lang w:val="sr-Cyrl-CS"/>
        </w:rPr>
        <w:t>jeste</w:t>
      </w:r>
      <w:r w:rsidR="00962FA1" w:rsidRPr="00E95BC4">
        <w:rPr>
          <w:lang w:val="sr-Cyrl-CS"/>
        </w:rPr>
        <w:t xml:space="preserve"> </w:t>
      </w:r>
      <w:r w:rsidR="005818C0">
        <w:rPr>
          <w:b/>
          <w:lang w:val="sr-Cyrl-CS"/>
        </w:rPr>
        <w:t>Zakon</w:t>
      </w:r>
      <w:r w:rsidR="00990F58" w:rsidRPr="00E95BC4">
        <w:rPr>
          <w:b/>
          <w:lang w:val="sr-Cyrl-CS"/>
        </w:rPr>
        <w:t xml:space="preserve"> </w:t>
      </w:r>
      <w:r w:rsidR="005818C0">
        <w:rPr>
          <w:b/>
          <w:lang w:val="sr-Cyrl-CS"/>
        </w:rPr>
        <w:t>o</w:t>
      </w:r>
      <w:r w:rsidR="00990F58" w:rsidRPr="00E95BC4">
        <w:rPr>
          <w:b/>
          <w:lang w:val="sr-Cyrl-CS"/>
        </w:rPr>
        <w:t xml:space="preserve"> </w:t>
      </w:r>
      <w:r w:rsidR="005818C0">
        <w:rPr>
          <w:b/>
          <w:lang w:val="sr-Cyrl-CS"/>
        </w:rPr>
        <w:t>sprečavanju</w:t>
      </w:r>
      <w:r w:rsidR="00990F58" w:rsidRPr="00E95BC4">
        <w:rPr>
          <w:b/>
          <w:lang w:val="sr-Cyrl-CS"/>
        </w:rPr>
        <w:t xml:space="preserve"> </w:t>
      </w:r>
      <w:r w:rsidR="005818C0">
        <w:rPr>
          <w:b/>
          <w:lang w:val="sr-Cyrl-CS"/>
        </w:rPr>
        <w:t>pranja</w:t>
      </w:r>
      <w:r w:rsidR="00990F58" w:rsidRPr="00E95BC4">
        <w:rPr>
          <w:b/>
          <w:lang w:val="sr-Cyrl-CS"/>
        </w:rPr>
        <w:t xml:space="preserve"> </w:t>
      </w:r>
      <w:r w:rsidR="005818C0">
        <w:rPr>
          <w:b/>
          <w:lang w:val="sr-Cyrl-CS"/>
        </w:rPr>
        <w:t>novca</w:t>
      </w:r>
      <w:r w:rsidR="00990F58" w:rsidRPr="00E95BC4">
        <w:rPr>
          <w:b/>
          <w:lang w:val="sr-Cyrl-CS"/>
        </w:rPr>
        <w:t xml:space="preserve"> </w:t>
      </w:r>
      <w:r w:rsidR="005818C0">
        <w:rPr>
          <w:b/>
          <w:lang w:val="sr-Cyrl-CS"/>
        </w:rPr>
        <w:t>i</w:t>
      </w:r>
      <w:r w:rsidR="00990F58" w:rsidRPr="00E95BC4">
        <w:rPr>
          <w:b/>
          <w:lang w:val="sr-Cyrl-CS"/>
        </w:rPr>
        <w:t xml:space="preserve"> </w:t>
      </w:r>
      <w:r w:rsidR="005818C0">
        <w:rPr>
          <w:b/>
          <w:lang w:val="sr-Cyrl-CS"/>
        </w:rPr>
        <w:t>finansiranja</w:t>
      </w:r>
      <w:r w:rsidR="00990F58" w:rsidRPr="00E95BC4">
        <w:rPr>
          <w:b/>
          <w:lang w:val="sr-Cyrl-CS"/>
        </w:rPr>
        <w:t xml:space="preserve"> </w:t>
      </w:r>
      <w:r w:rsidR="005818C0">
        <w:rPr>
          <w:b/>
          <w:lang w:val="sr-Cyrl-CS"/>
        </w:rPr>
        <w:t>terorizma</w:t>
      </w:r>
      <w:r w:rsidR="00367ABB" w:rsidRPr="00E95BC4">
        <w:rPr>
          <w:lang w:val="sr-Cyrl-CS"/>
        </w:rPr>
        <w:t>.</w:t>
      </w:r>
      <w:r w:rsidR="00990F58" w:rsidRPr="00E95BC4">
        <w:rPr>
          <w:lang w:val="sr-Cyrl-CS"/>
        </w:rPr>
        <w:t xml:space="preserve"> </w:t>
      </w:r>
      <w:r w:rsidR="005818C0">
        <w:rPr>
          <w:lang w:val="sr-Cyrl-CS"/>
        </w:rPr>
        <w:t>Ovim</w:t>
      </w:r>
      <w:r w:rsidR="00367ABB" w:rsidRPr="00E95BC4">
        <w:rPr>
          <w:lang w:val="sr-Cyrl-CS"/>
        </w:rPr>
        <w:t xml:space="preserve"> </w:t>
      </w:r>
      <w:r w:rsidR="005818C0">
        <w:rPr>
          <w:lang w:val="sr-Cyrl-CS"/>
        </w:rPr>
        <w:t>zakonom</w:t>
      </w:r>
      <w:r w:rsidR="00962FA1" w:rsidRPr="00E95BC4">
        <w:rPr>
          <w:lang w:val="sr-Cyrl-CS"/>
        </w:rPr>
        <w:t xml:space="preserve"> </w:t>
      </w:r>
      <w:r w:rsidR="005818C0">
        <w:rPr>
          <w:lang w:val="sr-Cyrl-CS"/>
        </w:rPr>
        <w:t>se</w:t>
      </w:r>
      <w:r w:rsidR="00962FA1" w:rsidRPr="00E95BC4">
        <w:rPr>
          <w:lang w:val="sr-Cyrl-CS"/>
        </w:rPr>
        <w:t xml:space="preserve"> </w:t>
      </w:r>
      <w:r w:rsidR="005818C0">
        <w:rPr>
          <w:lang w:val="sr-Cyrl-CS"/>
        </w:rPr>
        <w:t>utvrđuju</w:t>
      </w:r>
      <w:r w:rsidR="00962FA1" w:rsidRPr="00E95BC4">
        <w:rPr>
          <w:lang w:val="sr-Cyrl-CS"/>
        </w:rPr>
        <w:t xml:space="preserve"> </w:t>
      </w:r>
      <w:r w:rsidR="005818C0">
        <w:rPr>
          <w:lang w:val="sr-Cyrl-CS"/>
        </w:rPr>
        <w:t>radnje</w:t>
      </w:r>
      <w:r w:rsidR="00962FA1" w:rsidRPr="00E95BC4">
        <w:rPr>
          <w:lang w:val="sr-Cyrl-CS"/>
        </w:rPr>
        <w:t xml:space="preserve"> </w:t>
      </w:r>
      <w:r w:rsidR="005818C0">
        <w:rPr>
          <w:lang w:val="sr-Cyrl-CS"/>
        </w:rPr>
        <w:t>i</w:t>
      </w:r>
      <w:r w:rsidR="00962FA1" w:rsidRPr="00E95BC4">
        <w:rPr>
          <w:lang w:val="sr-Cyrl-CS"/>
        </w:rPr>
        <w:t xml:space="preserve"> </w:t>
      </w:r>
      <w:r w:rsidR="005818C0">
        <w:rPr>
          <w:lang w:val="sr-Cyrl-CS"/>
        </w:rPr>
        <w:t>mere</w:t>
      </w:r>
      <w:r w:rsidR="00962FA1" w:rsidRPr="00E95BC4">
        <w:rPr>
          <w:lang w:val="sr-Cyrl-CS"/>
        </w:rPr>
        <w:t xml:space="preserve"> </w:t>
      </w:r>
      <w:r w:rsidR="005818C0">
        <w:rPr>
          <w:lang w:val="sr-Cyrl-CS"/>
        </w:rPr>
        <w:t>poznavanja</w:t>
      </w:r>
      <w:r w:rsidR="00962FA1" w:rsidRPr="00E95BC4">
        <w:rPr>
          <w:lang w:val="sr-Cyrl-CS"/>
        </w:rPr>
        <w:t xml:space="preserve"> </w:t>
      </w:r>
      <w:r w:rsidR="005818C0">
        <w:rPr>
          <w:lang w:val="sr-Cyrl-CS"/>
        </w:rPr>
        <w:t>i</w:t>
      </w:r>
      <w:r w:rsidR="00962FA1" w:rsidRPr="00E95BC4">
        <w:rPr>
          <w:lang w:val="sr-Cyrl-CS"/>
        </w:rPr>
        <w:t xml:space="preserve"> </w:t>
      </w:r>
      <w:r w:rsidR="005818C0">
        <w:rPr>
          <w:lang w:val="sr-Cyrl-CS"/>
        </w:rPr>
        <w:t>praćenja</w:t>
      </w:r>
      <w:r w:rsidR="00962FA1" w:rsidRPr="00E95BC4">
        <w:rPr>
          <w:lang w:val="sr-Cyrl-CS"/>
        </w:rPr>
        <w:t xml:space="preserve"> </w:t>
      </w:r>
      <w:r w:rsidR="005818C0">
        <w:rPr>
          <w:lang w:val="sr-Cyrl-CS"/>
        </w:rPr>
        <w:t>stranke</w:t>
      </w:r>
      <w:r w:rsidR="00962FA1" w:rsidRPr="00E95BC4">
        <w:rPr>
          <w:lang w:val="sr-Cyrl-CS"/>
        </w:rPr>
        <w:t xml:space="preserve"> (</w:t>
      </w:r>
      <w:r w:rsidR="005818C0">
        <w:rPr>
          <w:lang w:val="sr-Cyrl-CS"/>
        </w:rPr>
        <w:t>tzv</w:t>
      </w:r>
      <w:r w:rsidR="00962FA1" w:rsidRPr="00E95BC4">
        <w:rPr>
          <w:lang w:val="sr-Cyrl-CS"/>
        </w:rPr>
        <w:t xml:space="preserve">. </w:t>
      </w:r>
      <w:r w:rsidR="00962FA1" w:rsidRPr="00E95BC4">
        <w:rPr>
          <w:i/>
          <w:lang w:val="sr-Cyrl-CS"/>
        </w:rPr>
        <w:t>CDD – customer due diligence</w:t>
      </w:r>
      <w:r w:rsidR="00962FA1" w:rsidRPr="00E95BC4">
        <w:rPr>
          <w:lang w:val="sr-Cyrl-CS"/>
        </w:rPr>
        <w:t xml:space="preserve">) </w:t>
      </w:r>
      <w:r w:rsidR="005818C0">
        <w:rPr>
          <w:lang w:val="sr-Cyrl-CS"/>
        </w:rPr>
        <w:t>koje</w:t>
      </w:r>
      <w:r w:rsidR="00962FA1" w:rsidRPr="00E95BC4">
        <w:rPr>
          <w:lang w:val="sr-Cyrl-CS"/>
        </w:rPr>
        <w:t xml:space="preserve"> </w:t>
      </w:r>
      <w:r w:rsidR="005818C0">
        <w:rPr>
          <w:lang w:val="sr-Cyrl-CS"/>
        </w:rPr>
        <w:t>su</w:t>
      </w:r>
      <w:r w:rsidR="00962FA1" w:rsidRPr="00E95BC4">
        <w:rPr>
          <w:lang w:val="sr-Cyrl-CS"/>
        </w:rPr>
        <w:t xml:space="preserve"> </w:t>
      </w:r>
      <w:r w:rsidR="005818C0">
        <w:rPr>
          <w:lang w:val="sr-Cyrl-CS"/>
        </w:rPr>
        <w:t>obveznici</w:t>
      </w:r>
      <w:r w:rsidR="00962FA1" w:rsidRPr="00E95BC4">
        <w:rPr>
          <w:lang w:val="sr-Cyrl-CS"/>
        </w:rPr>
        <w:t xml:space="preserve"> </w:t>
      </w:r>
      <w:r w:rsidR="005818C0">
        <w:rPr>
          <w:lang w:val="sr-Cyrl-CS"/>
        </w:rPr>
        <w:t>primene</w:t>
      </w:r>
      <w:r w:rsidR="00962FA1" w:rsidRPr="00E95BC4">
        <w:rPr>
          <w:lang w:val="sr-Cyrl-CS"/>
        </w:rPr>
        <w:t xml:space="preserve"> </w:t>
      </w:r>
      <w:r w:rsidR="005818C0">
        <w:rPr>
          <w:lang w:val="sr-Cyrl-CS"/>
        </w:rPr>
        <w:t>ovog</w:t>
      </w:r>
      <w:r w:rsidR="00962FA1" w:rsidRPr="00E95BC4">
        <w:rPr>
          <w:lang w:val="sr-Cyrl-CS"/>
        </w:rPr>
        <w:t xml:space="preserve"> </w:t>
      </w:r>
      <w:r w:rsidR="005818C0">
        <w:rPr>
          <w:lang w:val="sr-Cyrl-CS"/>
        </w:rPr>
        <w:t>zakona</w:t>
      </w:r>
      <w:r w:rsidR="00962FA1" w:rsidRPr="00E95BC4">
        <w:rPr>
          <w:lang w:val="sr-Cyrl-CS"/>
        </w:rPr>
        <w:t xml:space="preserve">, </w:t>
      </w:r>
      <w:r w:rsidR="005818C0">
        <w:rPr>
          <w:lang w:val="sr-Cyrl-CS"/>
        </w:rPr>
        <w:t>koji</w:t>
      </w:r>
      <w:r w:rsidR="00962FA1" w:rsidRPr="00E95BC4">
        <w:rPr>
          <w:lang w:val="sr-Cyrl-CS"/>
        </w:rPr>
        <w:t xml:space="preserve"> </w:t>
      </w:r>
      <w:r w:rsidR="005818C0">
        <w:rPr>
          <w:lang w:val="sr-Cyrl-CS"/>
        </w:rPr>
        <w:t>se</w:t>
      </w:r>
      <w:r w:rsidR="00962FA1" w:rsidRPr="00E95BC4">
        <w:rPr>
          <w:lang w:val="sr-Cyrl-CS"/>
        </w:rPr>
        <w:t xml:space="preserve"> </w:t>
      </w:r>
      <w:r w:rsidR="005818C0">
        <w:rPr>
          <w:lang w:val="sr-Cyrl-CS"/>
        </w:rPr>
        <w:t>takođe</w:t>
      </w:r>
      <w:r w:rsidR="00962FA1" w:rsidRPr="00E95BC4">
        <w:rPr>
          <w:lang w:val="sr-Cyrl-CS"/>
        </w:rPr>
        <w:t xml:space="preserve"> </w:t>
      </w:r>
      <w:r w:rsidR="005818C0">
        <w:rPr>
          <w:lang w:val="sr-Cyrl-CS"/>
        </w:rPr>
        <w:t>zakonom</w:t>
      </w:r>
      <w:r w:rsidR="00962FA1" w:rsidRPr="00E95BC4">
        <w:rPr>
          <w:lang w:val="sr-Cyrl-CS"/>
        </w:rPr>
        <w:t xml:space="preserve"> </w:t>
      </w:r>
      <w:r w:rsidR="005818C0">
        <w:rPr>
          <w:lang w:val="sr-Cyrl-CS"/>
        </w:rPr>
        <w:t>utvrđuju</w:t>
      </w:r>
      <w:r w:rsidR="00962FA1" w:rsidRPr="00E95BC4">
        <w:rPr>
          <w:lang w:val="sr-Cyrl-CS"/>
        </w:rPr>
        <w:t xml:space="preserve">, </w:t>
      </w:r>
      <w:r w:rsidR="005818C0">
        <w:rPr>
          <w:lang w:val="sr-Cyrl-CS"/>
        </w:rPr>
        <w:t>dužni</w:t>
      </w:r>
      <w:r w:rsidR="00962FA1" w:rsidRPr="00E95BC4">
        <w:rPr>
          <w:lang w:val="sr-Cyrl-CS"/>
        </w:rPr>
        <w:t xml:space="preserve"> </w:t>
      </w:r>
      <w:r w:rsidR="005818C0">
        <w:rPr>
          <w:lang w:val="sr-Cyrl-CS"/>
        </w:rPr>
        <w:t>da</w:t>
      </w:r>
      <w:r w:rsidR="00962FA1" w:rsidRPr="00E95BC4">
        <w:rPr>
          <w:lang w:val="sr-Cyrl-CS"/>
        </w:rPr>
        <w:t xml:space="preserve"> </w:t>
      </w:r>
      <w:r w:rsidR="005818C0">
        <w:rPr>
          <w:lang w:val="sr-Cyrl-CS"/>
        </w:rPr>
        <w:t>primenjuju</w:t>
      </w:r>
      <w:r w:rsidR="00962FA1" w:rsidRPr="00E95BC4">
        <w:rPr>
          <w:lang w:val="sr-Cyrl-CS"/>
        </w:rPr>
        <w:t xml:space="preserve"> </w:t>
      </w:r>
      <w:r w:rsidR="005818C0">
        <w:rPr>
          <w:lang w:val="sr-Cyrl-CS"/>
        </w:rPr>
        <w:t>prilikom</w:t>
      </w:r>
      <w:r w:rsidR="00962FA1" w:rsidRPr="00E95BC4">
        <w:rPr>
          <w:lang w:val="sr-Cyrl-CS"/>
        </w:rPr>
        <w:t xml:space="preserve"> </w:t>
      </w:r>
      <w:r w:rsidR="005818C0">
        <w:rPr>
          <w:lang w:val="sr-Cyrl-CS"/>
        </w:rPr>
        <w:t>zasnivanja</w:t>
      </w:r>
      <w:r w:rsidR="00962FA1" w:rsidRPr="00E95BC4">
        <w:rPr>
          <w:lang w:val="sr-Cyrl-CS"/>
        </w:rPr>
        <w:t xml:space="preserve"> </w:t>
      </w:r>
      <w:r w:rsidR="005818C0">
        <w:rPr>
          <w:lang w:val="sr-Cyrl-CS"/>
        </w:rPr>
        <w:t>i</w:t>
      </w:r>
      <w:r w:rsidR="00962FA1" w:rsidRPr="00E95BC4">
        <w:rPr>
          <w:lang w:val="sr-Cyrl-CS"/>
        </w:rPr>
        <w:t xml:space="preserve"> </w:t>
      </w:r>
      <w:r w:rsidR="005818C0">
        <w:rPr>
          <w:lang w:val="sr-Cyrl-CS"/>
        </w:rPr>
        <w:t>trajanja</w:t>
      </w:r>
      <w:r w:rsidR="00962FA1" w:rsidRPr="00E95BC4">
        <w:rPr>
          <w:lang w:val="sr-Cyrl-CS"/>
        </w:rPr>
        <w:t xml:space="preserve"> </w:t>
      </w:r>
      <w:r w:rsidR="005818C0">
        <w:rPr>
          <w:lang w:val="sr-Cyrl-CS"/>
        </w:rPr>
        <w:t>poslovnog</w:t>
      </w:r>
      <w:r w:rsidR="00962FA1" w:rsidRPr="00E95BC4">
        <w:rPr>
          <w:lang w:val="sr-Cyrl-CS"/>
        </w:rPr>
        <w:t xml:space="preserve"> </w:t>
      </w:r>
      <w:r w:rsidR="005818C0">
        <w:rPr>
          <w:lang w:val="sr-Cyrl-CS"/>
        </w:rPr>
        <w:t>odnosa</w:t>
      </w:r>
      <w:r w:rsidR="00962FA1" w:rsidRPr="00E95BC4">
        <w:rPr>
          <w:lang w:val="sr-Cyrl-CS"/>
        </w:rPr>
        <w:t xml:space="preserve">. </w:t>
      </w:r>
      <w:r w:rsidR="005818C0">
        <w:rPr>
          <w:lang w:val="sr-Cyrl-CS"/>
        </w:rPr>
        <w:t>Takođe</w:t>
      </w:r>
      <w:r w:rsidR="00962FA1" w:rsidRPr="00E95BC4">
        <w:rPr>
          <w:lang w:val="sr-Cyrl-CS"/>
        </w:rPr>
        <w:t xml:space="preserve"> </w:t>
      </w:r>
      <w:r w:rsidR="005818C0">
        <w:rPr>
          <w:lang w:val="sr-Cyrl-CS"/>
        </w:rPr>
        <w:t>se</w:t>
      </w:r>
      <w:r w:rsidR="00962FA1" w:rsidRPr="00E95BC4">
        <w:rPr>
          <w:lang w:val="sr-Cyrl-CS"/>
        </w:rPr>
        <w:t xml:space="preserve"> </w:t>
      </w:r>
      <w:r w:rsidR="005818C0">
        <w:rPr>
          <w:lang w:val="sr-Cyrl-CS"/>
        </w:rPr>
        <w:t>utvrđuju</w:t>
      </w:r>
      <w:r w:rsidR="00962FA1" w:rsidRPr="00E95BC4">
        <w:rPr>
          <w:lang w:val="sr-Cyrl-CS"/>
        </w:rPr>
        <w:t xml:space="preserve"> </w:t>
      </w:r>
      <w:r w:rsidR="005818C0">
        <w:rPr>
          <w:lang w:val="sr-Cyrl-CS"/>
        </w:rPr>
        <w:t>nadležnosti</w:t>
      </w:r>
      <w:r w:rsidR="00962FA1" w:rsidRPr="00E95BC4">
        <w:rPr>
          <w:lang w:val="sr-Cyrl-CS"/>
        </w:rPr>
        <w:t xml:space="preserve"> </w:t>
      </w:r>
      <w:r w:rsidR="005818C0">
        <w:rPr>
          <w:lang w:val="sr-Cyrl-CS"/>
        </w:rPr>
        <w:t>Uprave</w:t>
      </w:r>
      <w:r w:rsidR="00962FA1" w:rsidRPr="00E95BC4">
        <w:rPr>
          <w:lang w:val="sr-Cyrl-CS"/>
        </w:rPr>
        <w:t xml:space="preserve"> </w:t>
      </w:r>
      <w:r w:rsidR="005818C0">
        <w:rPr>
          <w:lang w:val="sr-Cyrl-CS"/>
        </w:rPr>
        <w:t>za</w:t>
      </w:r>
      <w:r w:rsidR="00962FA1" w:rsidRPr="00E95BC4">
        <w:rPr>
          <w:lang w:val="sr-Cyrl-CS"/>
        </w:rPr>
        <w:t xml:space="preserve"> </w:t>
      </w:r>
      <w:r w:rsidR="005818C0">
        <w:rPr>
          <w:lang w:val="sr-Cyrl-CS"/>
        </w:rPr>
        <w:t>sprečavanje</w:t>
      </w:r>
      <w:r w:rsidR="00962FA1" w:rsidRPr="00E95BC4">
        <w:rPr>
          <w:lang w:val="sr-Cyrl-CS"/>
        </w:rPr>
        <w:t xml:space="preserve"> </w:t>
      </w:r>
      <w:r w:rsidR="005818C0">
        <w:rPr>
          <w:lang w:val="sr-Cyrl-CS"/>
        </w:rPr>
        <w:t>pranja</w:t>
      </w:r>
      <w:r w:rsidR="00962FA1" w:rsidRPr="00E95BC4">
        <w:rPr>
          <w:lang w:val="sr-Cyrl-CS"/>
        </w:rPr>
        <w:t xml:space="preserve"> </w:t>
      </w:r>
      <w:r w:rsidR="005818C0">
        <w:rPr>
          <w:lang w:val="sr-Cyrl-CS"/>
        </w:rPr>
        <w:t>novca</w:t>
      </w:r>
      <w:r w:rsidR="00962FA1" w:rsidRPr="00E95BC4">
        <w:rPr>
          <w:lang w:val="sr-Cyrl-CS"/>
        </w:rPr>
        <w:t xml:space="preserve">, </w:t>
      </w:r>
      <w:r w:rsidR="005818C0">
        <w:rPr>
          <w:lang w:val="sr-Cyrl-CS"/>
        </w:rPr>
        <w:t>kao</w:t>
      </w:r>
      <w:r w:rsidR="00962FA1" w:rsidRPr="00E95BC4">
        <w:rPr>
          <w:lang w:val="sr-Cyrl-CS"/>
        </w:rPr>
        <w:t xml:space="preserve"> </w:t>
      </w:r>
      <w:r w:rsidR="005818C0">
        <w:rPr>
          <w:lang w:val="sr-Cyrl-CS"/>
        </w:rPr>
        <w:t>finansijskoobaveštajne</w:t>
      </w:r>
      <w:r w:rsidR="00962FA1" w:rsidRPr="00E95BC4">
        <w:rPr>
          <w:lang w:val="sr-Cyrl-CS"/>
        </w:rPr>
        <w:t xml:space="preserve"> </w:t>
      </w:r>
      <w:r w:rsidR="005818C0">
        <w:rPr>
          <w:lang w:val="sr-Cyrl-CS"/>
        </w:rPr>
        <w:t>službe</w:t>
      </w:r>
      <w:r w:rsidR="00962FA1" w:rsidRPr="00E95BC4">
        <w:rPr>
          <w:lang w:val="sr-Cyrl-CS"/>
        </w:rPr>
        <w:t xml:space="preserve"> </w:t>
      </w:r>
      <w:r w:rsidR="005818C0">
        <w:rPr>
          <w:lang w:val="sr-Cyrl-CS"/>
        </w:rPr>
        <w:t>Republike</w:t>
      </w:r>
      <w:r w:rsidR="00962FA1" w:rsidRPr="00E95BC4">
        <w:rPr>
          <w:lang w:val="sr-Cyrl-CS"/>
        </w:rPr>
        <w:t xml:space="preserve"> </w:t>
      </w:r>
      <w:r w:rsidR="005818C0">
        <w:rPr>
          <w:lang w:val="sr-Cyrl-CS"/>
        </w:rPr>
        <w:t>Srbije</w:t>
      </w:r>
      <w:r w:rsidR="00962FA1" w:rsidRPr="00E95BC4">
        <w:rPr>
          <w:lang w:val="sr-Cyrl-CS"/>
        </w:rPr>
        <w:t xml:space="preserve">, </w:t>
      </w:r>
      <w:r w:rsidR="005818C0">
        <w:rPr>
          <w:lang w:val="sr-Cyrl-CS"/>
        </w:rPr>
        <w:t>u</w:t>
      </w:r>
      <w:r w:rsidR="00962FA1" w:rsidRPr="00E95BC4">
        <w:rPr>
          <w:lang w:val="sr-Cyrl-CS"/>
        </w:rPr>
        <w:t xml:space="preserve"> </w:t>
      </w:r>
      <w:r w:rsidR="005818C0">
        <w:rPr>
          <w:lang w:val="sr-Cyrl-CS"/>
        </w:rPr>
        <w:t>otkrivanju</w:t>
      </w:r>
      <w:r w:rsidR="00962FA1" w:rsidRPr="00E95BC4">
        <w:rPr>
          <w:lang w:val="sr-Cyrl-CS"/>
        </w:rPr>
        <w:t xml:space="preserve"> </w:t>
      </w:r>
      <w:r w:rsidR="005818C0">
        <w:rPr>
          <w:lang w:val="sr-Cyrl-CS"/>
        </w:rPr>
        <w:t>i</w:t>
      </w:r>
      <w:r w:rsidR="00962FA1" w:rsidRPr="00E95BC4">
        <w:rPr>
          <w:lang w:val="sr-Cyrl-CS"/>
        </w:rPr>
        <w:t xml:space="preserve"> </w:t>
      </w:r>
      <w:r w:rsidR="005818C0">
        <w:rPr>
          <w:lang w:val="sr-Cyrl-CS"/>
        </w:rPr>
        <w:t>sprečavanju</w:t>
      </w:r>
      <w:r w:rsidR="00962FA1" w:rsidRPr="00E95BC4">
        <w:rPr>
          <w:lang w:val="sr-Cyrl-CS"/>
        </w:rPr>
        <w:t xml:space="preserve"> </w:t>
      </w:r>
      <w:r w:rsidR="005818C0">
        <w:rPr>
          <w:lang w:val="sr-Cyrl-CS"/>
        </w:rPr>
        <w:t>pranja</w:t>
      </w:r>
      <w:r w:rsidR="00962FA1" w:rsidRPr="00E95BC4">
        <w:rPr>
          <w:lang w:val="sr-Cyrl-CS"/>
        </w:rPr>
        <w:t xml:space="preserve"> </w:t>
      </w:r>
      <w:r w:rsidR="005818C0">
        <w:rPr>
          <w:lang w:val="sr-Cyrl-CS"/>
        </w:rPr>
        <w:t>novca</w:t>
      </w:r>
      <w:r w:rsidR="00962FA1" w:rsidRPr="00E95BC4">
        <w:rPr>
          <w:lang w:val="sr-Cyrl-CS"/>
        </w:rPr>
        <w:t xml:space="preserve"> </w:t>
      </w:r>
      <w:r w:rsidR="005818C0">
        <w:rPr>
          <w:lang w:val="sr-Cyrl-CS"/>
        </w:rPr>
        <w:t>i</w:t>
      </w:r>
      <w:r w:rsidR="00962FA1" w:rsidRPr="00E95BC4">
        <w:rPr>
          <w:lang w:val="sr-Cyrl-CS"/>
        </w:rPr>
        <w:t xml:space="preserve"> </w:t>
      </w:r>
      <w:r w:rsidR="005818C0">
        <w:rPr>
          <w:lang w:val="sr-Cyrl-CS"/>
        </w:rPr>
        <w:t>finansiranja</w:t>
      </w:r>
      <w:r w:rsidR="00962FA1" w:rsidRPr="00E95BC4">
        <w:rPr>
          <w:lang w:val="sr-Cyrl-CS"/>
        </w:rPr>
        <w:t xml:space="preserve"> </w:t>
      </w:r>
      <w:r w:rsidR="005818C0">
        <w:rPr>
          <w:lang w:val="sr-Cyrl-CS"/>
        </w:rPr>
        <w:t>terorizma</w:t>
      </w:r>
      <w:r w:rsidR="007F5C8D" w:rsidRPr="00E95BC4">
        <w:rPr>
          <w:lang w:val="sr-Cyrl-CS"/>
        </w:rPr>
        <w:t xml:space="preserve">, </w:t>
      </w:r>
      <w:r w:rsidR="005818C0">
        <w:rPr>
          <w:lang w:val="sr-Cyrl-CS"/>
        </w:rPr>
        <w:t>kao</w:t>
      </w:r>
      <w:r w:rsidR="007F5C8D" w:rsidRPr="00E95BC4">
        <w:rPr>
          <w:lang w:val="sr-Cyrl-CS"/>
        </w:rPr>
        <w:t xml:space="preserve"> </w:t>
      </w:r>
      <w:r w:rsidR="005818C0">
        <w:rPr>
          <w:lang w:val="sr-Cyrl-CS"/>
        </w:rPr>
        <w:t>i</w:t>
      </w:r>
      <w:r w:rsidR="007F5C8D" w:rsidRPr="00E95BC4">
        <w:rPr>
          <w:lang w:val="sr-Cyrl-CS"/>
        </w:rPr>
        <w:t xml:space="preserve"> </w:t>
      </w:r>
      <w:r w:rsidR="005818C0">
        <w:rPr>
          <w:lang w:val="sr-Cyrl-CS"/>
        </w:rPr>
        <w:t>drugih</w:t>
      </w:r>
      <w:r w:rsidR="007F5C8D" w:rsidRPr="00E95BC4">
        <w:rPr>
          <w:lang w:val="sr-Cyrl-CS"/>
        </w:rPr>
        <w:t xml:space="preserve"> </w:t>
      </w:r>
      <w:r w:rsidR="005818C0">
        <w:rPr>
          <w:lang w:val="sr-Cyrl-CS"/>
        </w:rPr>
        <w:t>organa</w:t>
      </w:r>
      <w:r w:rsidR="007F5C8D" w:rsidRPr="00E95BC4">
        <w:rPr>
          <w:lang w:val="sr-Cyrl-CS"/>
        </w:rPr>
        <w:t xml:space="preserve"> </w:t>
      </w:r>
      <w:r w:rsidR="005818C0">
        <w:rPr>
          <w:lang w:val="sr-Cyrl-CS"/>
        </w:rPr>
        <w:t>u</w:t>
      </w:r>
      <w:r w:rsidR="007F5C8D" w:rsidRPr="00E95BC4">
        <w:rPr>
          <w:lang w:val="sr-Cyrl-CS"/>
        </w:rPr>
        <w:t xml:space="preserve"> </w:t>
      </w:r>
      <w:r w:rsidR="005818C0">
        <w:rPr>
          <w:lang w:val="sr-Cyrl-CS"/>
        </w:rPr>
        <w:t>primeni</w:t>
      </w:r>
      <w:r w:rsidR="007F5C8D" w:rsidRPr="00E95BC4">
        <w:rPr>
          <w:lang w:val="sr-Cyrl-CS"/>
        </w:rPr>
        <w:t xml:space="preserve"> </w:t>
      </w:r>
      <w:r w:rsidR="005818C0">
        <w:rPr>
          <w:lang w:val="sr-Cyrl-CS"/>
        </w:rPr>
        <w:t>ovog</w:t>
      </w:r>
      <w:r w:rsidR="007F5C8D" w:rsidRPr="00E95BC4">
        <w:rPr>
          <w:lang w:val="sr-Cyrl-CS"/>
        </w:rPr>
        <w:t xml:space="preserve"> </w:t>
      </w:r>
      <w:r w:rsidR="005818C0">
        <w:rPr>
          <w:lang w:val="sr-Cyrl-CS"/>
        </w:rPr>
        <w:t>zakona</w:t>
      </w:r>
      <w:r w:rsidR="00962FA1" w:rsidRPr="00E95BC4">
        <w:rPr>
          <w:lang w:val="sr-Cyrl-CS"/>
        </w:rPr>
        <w:t xml:space="preserve">. </w:t>
      </w:r>
      <w:r w:rsidR="005818C0">
        <w:rPr>
          <w:lang w:val="sr-Cyrl-CS"/>
        </w:rPr>
        <w:t>Između</w:t>
      </w:r>
      <w:r w:rsidR="007F5C8D" w:rsidRPr="00E95BC4">
        <w:rPr>
          <w:lang w:val="sr-Cyrl-CS"/>
        </w:rPr>
        <w:t xml:space="preserve"> </w:t>
      </w:r>
      <w:r w:rsidR="005818C0">
        <w:rPr>
          <w:lang w:val="sr-Cyrl-CS"/>
        </w:rPr>
        <w:t>ostalog</w:t>
      </w:r>
      <w:r w:rsidR="007F5C8D" w:rsidRPr="00E95BC4">
        <w:rPr>
          <w:lang w:val="sr-Cyrl-CS"/>
        </w:rPr>
        <w:t xml:space="preserve">, </w:t>
      </w:r>
      <w:r w:rsidR="005818C0">
        <w:rPr>
          <w:lang w:val="sr-Cyrl-CS"/>
        </w:rPr>
        <w:t>utvrđuju</w:t>
      </w:r>
      <w:r w:rsidR="00962FA1" w:rsidRPr="00E95BC4">
        <w:rPr>
          <w:lang w:val="sr-Cyrl-CS"/>
        </w:rPr>
        <w:t xml:space="preserve"> </w:t>
      </w:r>
      <w:r w:rsidR="005818C0">
        <w:rPr>
          <w:lang w:val="sr-Cyrl-CS"/>
        </w:rPr>
        <w:t>se</w:t>
      </w:r>
      <w:r w:rsidR="00962FA1" w:rsidRPr="00E95BC4">
        <w:rPr>
          <w:lang w:val="sr-Cyrl-CS"/>
        </w:rPr>
        <w:t xml:space="preserve"> </w:t>
      </w:r>
      <w:r w:rsidR="005818C0">
        <w:rPr>
          <w:lang w:val="sr-Cyrl-CS"/>
        </w:rPr>
        <w:t>nadzorni</w:t>
      </w:r>
      <w:r w:rsidR="00962FA1" w:rsidRPr="00E95BC4">
        <w:rPr>
          <w:lang w:val="sr-Cyrl-CS"/>
        </w:rPr>
        <w:t xml:space="preserve"> </w:t>
      </w:r>
      <w:r w:rsidR="005818C0">
        <w:rPr>
          <w:lang w:val="sr-Cyrl-CS"/>
        </w:rPr>
        <w:t>organi</w:t>
      </w:r>
      <w:r w:rsidR="00962FA1" w:rsidRPr="00E95BC4">
        <w:rPr>
          <w:lang w:val="sr-Cyrl-CS"/>
        </w:rPr>
        <w:t xml:space="preserve"> </w:t>
      </w:r>
      <w:r w:rsidR="005818C0">
        <w:rPr>
          <w:lang w:val="sr-Cyrl-CS"/>
        </w:rPr>
        <w:t>koji</w:t>
      </w:r>
      <w:r w:rsidR="00962FA1" w:rsidRPr="00E95BC4">
        <w:rPr>
          <w:lang w:val="sr-Cyrl-CS"/>
        </w:rPr>
        <w:t xml:space="preserve"> </w:t>
      </w:r>
      <w:r w:rsidR="005818C0">
        <w:rPr>
          <w:lang w:val="sr-Cyrl-CS"/>
        </w:rPr>
        <w:t>vrše</w:t>
      </w:r>
      <w:r w:rsidR="007F5C8D" w:rsidRPr="00E95BC4">
        <w:rPr>
          <w:lang w:val="sr-Cyrl-CS"/>
        </w:rPr>
        <w:t xml:space="preserve"> </w:t>
      </w:r>
      <w:r w:rsidR="005818C0">
        <w:rPr>
          <w:lang w:val="sr-Cyrl-CS"/>
        </w:rPr>
        <w:t>nadzor</w:t>
      </w:r>
      <w:r w:rsidR="007F5C8D" w:rsidRPr="00E95BC4">
        <w:rPr>
          <w:lang w:val="sr-Cyrl-CS"/>
        </w:rPr>
        <w:t xml:space="preserve"> </w:t>
      </w:r>
      <w:r w:rsidR="005818C0">
        <w:rPr>
          <w:lang w:val="sr-Cyrl-CS"/>
        </w:rPr>
        <w:t>nad</w:t>
      </w:r>
      <w:r w:rsidR="007F5C8D" w:rsidRPr="00E95BC4">
        <w:rPr>
          <w:lang w:val="sr-Cyrl-CS"/>
        </w:rPr>
        <w:t xml:space="preserve"> </w:t>
      </w:r>
      <w:r w:rsidR="005818C0">
        <w:rPr>
          <w:lang w:val="sr-Cyrl-CS"/>
        </w:rPr>
        <w:t>primenom</w:t>
      </w:r>
      <w:r w:rsidR="007F5C8D" w:rsidRPr="00E95BC4">
        <w:rPr>
          <w:lang w:val="sr-Cyrl-CS"/>
        </w:rPr>
        <w:t xml:space="preserve"> </w:t>
      </w:r>
      <w:r w:rsidR="005818C0">
        <w:rPr>
          <w:lang w:val="sr-Cyrl-CS"/>
        </w:rPr>
        <w:t>ovog</w:t>
      </w:r>
      <w:r w:rsidR="00962FA1" w:rsidRPr="00E95BC4">
        <w:rPr>
          <w:lang w:val="sr-Cyrl-CS"/>
        </w:rPr>
        <w:t xml:space="preserve"> </w:t>
      </w:r>
      <w:r w:rsidR="005818C0">
        <w:rPr>
          <w:lang w:val="sr-Cyrl-CS"/>
        </w:rPr>
        <w:t>zakona</w:t>
      </w:r>
      <w:r w:rsidR="00962FA1" w:rsidRPr="00E95BC4">
        <w:rPr>
          <w:lang w:val="sr-Cyrl-CS"/>
        </w:rPr>
        <w:t xml:space="preserve"> </w:t>
      </w:r>
      <w:r w:rsidR="005818C0">
        <w:rPr>
          <w:lang w:val="sr-Cyrl-CS"/>
        </w:rPr>
        <w:t>kod</w:t>
      </w:r>
      <w:r w:rsidR="007F5C8D" w:rsidRPr="00E95BC4">
        <w:rPr>
          <w:lang w:val="sr-Cyrl-CS"/>
        </w:rPr>
        <w:t xml:space="preserve"> </w:t>
      </w:r>
      <w:r w:rsidR="005818C0">
        <w:rPr>
          <w:lang w:val="sr-Cyrl-CS"/>
        </w:rPr>
        <w:t>obveznika</w:t>
      </w:r>
      <w:r w:rsidR="00596F2E">
        <w:rPr>
          <w:lang w:val="sr-Cyrl-CS"/>
        </w:rPr>
        <w:t>,</w:t>
      </w:r>
      <w:r w:rsidR="00962FA1" w:rsidRPr="00E95BC4">
        <w:rPr>
          <w:lang w:val="sr-Cyrl-CS"/>
        </w:rPr>
        <w:t xml:space="preserve"> </w:t>
      </w:r>
      <w:r w:rsidR="005818C0">
        <w:rPr>
          <w:lang w:val="sr-Cyrl-CS"/>
        </w:rPr>
        <w:t>kao</w:t>
      </w:r>
      <w:r w:rsidR="00962FA1" w:rsidRPr="00E95BC4">
        <w:rPr>
          <w:lang w:val="sr-Cyrl-CS"/>
        </w:rPr>
        <w:t xml:space="preserve"> </w:t>
      </w:r>
      <w:r w:rsidR="005818C0">
        <w:rPr>
          <w:lang w:val="sr-Cyrl-CS"/>
        </w:rPr>
        <w:t>i</w:t>
      </w:r>
      <w:r w:rsidR="00962FA1" w:rsidRPr="00E95BC4">
        <w:rPr>
          <w:lang w:val="sr-Cyrl-CS"/>
        </w:rPr>
        <w:t xml:space="preserve"> </w:t>
      </w:r>
      <w:r w:rsidR="005818C0">
        <w:rPr>
          <w:lang w:val="sr-Cyrl-CS"/>
        </w:rPr>
        <w:t>kaznene</w:t>
      </w:r>
      <w:r w:rsidR="00962FA1" w:rsidRPr="00E95BC4">
        <w:rPr>
          <w:lang w:val="sr-Cyrl-CS"/>
        </w:rPr>
        <w:t xml:space="preserve"> </w:t>
      </w:r>
      <w:r w:rsidR="005818C0">
        <w:rPr>
          <w:lang w:val="sr-Cyrl-CS"/>
        </w:rPr>
        <w:t>odredbe</w:t>
      </w:r>
      <w:r w:rsidR="00962FA1" w:rsidRPr="00E95BC4">
        <w:rPr>
          <w:lang w:val="sr-Cyrl-CS"/>
        </w:rPr>
        <w:t xml:space="preserve"> </w:t>
      </w:r>
      <w:r w:rsidR="005818C0">
        <w:rPr>
          <w:lang w:val="sr-Cyrl-CS"/>
        </w:rPr>
        <w:t>za</w:t>
      </w:r>
      <w:r w:rsidR="00962FA1" w:rsidRPr="00E95BC4">
        <w:rPr>
          <w:lang w:val="sr-Cyrl-CS"/>
        </w:rPr>
        <w:t xml:space="preserve"> </w:t>
      </w:r>
      <w:r w:rsidR="005818C0">
        <w:rPr>
          <w:lang w:val="sr-Cyrl-CS"/>
        </w:rPr>
        <w:t>nepoštovanje</w:t>
      </w:r>
      <w:r w:rsidR="00962FA1" w:rsidRPr="00E95BC4">
        <w:rPr>
          <w:lang w:val="sr-Cyrl-CS"/>
        </w:rPr>
        <w:t xml:space="preserve"> </w:t>
      </w:r>
      <w:r w:rsidR="005818C0">
        <w:rPr>
          <w:lang w:val="sr-Cyrl-CS"/>
        </w:rPr>
        <w:t>odredaba</w:t>
      </w:r>
      <w:r w:rsidR="00962FA1" w:rsidRPr="00E95BC4">
        <w:rPr>
          <w:lang w:val="sr-Cyrl-CS"/>
        </w:rPr>
        <w:t xml:space="preserve"> </w:t>
      </w:r>
      <w:r w:rsidR="005818C0">
        <w:rPr>
          <w:lang w:val="sr-Cyrl-CS"/>
        </w:rPr>
        <w:t>ovog</w:t>
      </w:r>
      <w:r w:rsidR="00962FA1" w:rsidRPr="00E95BC4">
        <w:rPr>
          <w:lang w:val="sr-Cyrl-CS"/>
        </w:rPr>
        <w:t xml:space="preserve"> </w:t>
      </w:r>
      <w:r w:rsidR="005818C0">
        <w:rPr>
          <w:lang w:val="sr-Cyrl-CS"/>
        </w:rPr>
        <w:t>zakona</w:t>
      </w:r>
      <w:r w:rsidR="00962FA1" w:rsidRPr="00E95BC4">
        <w:rPr>
          <w:lang w:val="sr-Cyrl-CS"/>
        </w:rPr>
        <w:t>.</w:t>
      </w:r>
    </w:p>
    <w:p w:rsidR="007F5C8D" w:rsidRPr="00E95BC4" w:rsidRDefault="00934E82" w:rsidP="0023679E">
      <w:pPr>
        <w:ind w:firstLine="720"/>
        <w:jc w:val="both"/>
        <w:rPr>
          <w:b/>
          <w:iCs/>
          <w:lang w:val="sr-Cyrl-CS"/>
        </w:rPr>
      </w:pPr>
      <w:r>
        <w:rPr>
          <w:b/>
          <w:iCs/>
          <w:noProof/>
        </w:rPr>
        <w:pict>
          <v:shape id="Text Box 15" o:spid="_x0000_s1028" type="#_x0000_t202" style="position:absolute;left:0;text-align:left;margin-left:-1.5pt;margin-top:10.1pt;width:165.75pt;height:121.8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" fillcolor="#a5a5a5 [2092]" stroked="f" strokecolor="#f2f2f2 [3041]" strokeweight="3pt">
            <v:shadow color="#7f7f7f [1601]" opacity=".5" offset="1pt"/>
            <v:textbox>
              <w:txbxContent>
                <w:p w:rsidR="005818C0" w:rsidRPr="00C21C2C" w:rsidRDefault="005818C0" w:rsidP="00367ABB">
                  <w:pPr>
                    <w:pStyle w:val="ListParagraph"/>
                    <w:numPr>
                      <w:ilvl w:val="0"/>
                      <w:numId w:val="9"/>
                    </w:numPr>
                    <w:ind w:left="284" w:hanging="284"/>
                    <w:rPr>
                      <w:b/>
                      <w:iCs/>
                      <w:color w:val="FFFFFF" w:themeColor="background1"/>
                      <w:sz w:val="20"/>
                      <w:szCs w:val="20"/>
                    </w:rPr>
                  </w:pPr>
                  <w:r w:rsidRPr="00C21C2C">
                    <w:rPr>
                      <w:b/>
                      <w:iCs/>
                      <w:color w:val="FFFFFF" w:themeColor="background1"/>
                      <w:sz w:val="20"/>
                      <w:szCs w:val="20"/>
                    </w:rPr>
                    <w:t xml:space="preserve">Закон међународним мерама ограничавања </w:t>
                  </w:r>
                  <w:r w:rsidRPr="00C21C2C">
                    <w:rPr>
                      <w:iCs/>
                      <w:color w:val="FFFFFF" w:themeColor="background1"/>
                      <w:sz w:val="20"/>
                      <w:szCs w:val="20"/>
                    </w:rPr>
                    <w:t>(„Службени гласник РС”</w:t>
                  </w:r>
                  <w:r>
                    <w:rPr>
                      <w:iCs/>
                      <w:color w:val="FFFFFF" w:themeColor="background1"/>
                      <w:sz w:val="20"/>
                      <w:szCs w:val="20"/>
                      <w:lang/>
                    </w:rPr>
                    <w:t>,</w:t>
                  </w:r>
                  <w:r w:rsidRPr="00C21C2C">
                    <w:rPr>
                      <w:iCs/>
                      <w:color w:val="FFFFFF" w:themeColor="background1"/>
                      <w:sz w:val="20"/>
                      <w:szCs w:val="20"/>
                    </w:rPr>
                    <w:t xml:space="preserve"> број 10/16);</w:t>
                  </w:r>
                </w:p>
                <w:p w:rsidR="005818C0" w:rsidRPr="00C21C2C" w:rsidRDefault="005818C0" w:rsidP="00367ABB">
                  <w:pPr>
                    <w:pStyle w:val="ListParagraph"/>
                    <w:numPr>
                      <w:ilvl w:val="0"/>
                      <w:numId w:val="9"/>
                    </w:numPr>
                    <w:ind w:left="284" w:hanging="284"/>
                    <w:rPr>
                      <w:sz w:val="20"/>
                      <w:szCs w:val="20"/>
                    </w:rPr>
                  </w:pPr>
                  <w:r w:rsidRPr="00C21C2C">
                    <w:rPr>
                      <w:b/>
                      <w:iCs/>
                      <w:color w:val="FFFFFF" w:themeColor="background1"/>
                      <w:sz w:val="20"/>
                      <w:szCs w:val="20"/>
                    </w:rPr>
                    <w:t xml:space="preserve">Закон о ограничавању располагања имовином у циљу спречавања тероризма и ширења оружја за масовно уништење </w:t>
                  </w:r>
                  <w:r w:rsidRPr="00C21C2C">
                    <w:rPr>
                      <w:iCs/>
                      <w:color w:val="FFFFFF" w:themeColor="background1"/>
                      <w:sz w:val="20"/>
                      <w:szCs w:val="20"/>
                    </w:rPr>
                    <w:t>(„Службени гласник PC”, бр. 29/15, 113/17 и 41/18);</w:t>
                  </w:r>
                </w:p>
                <w:p w:rsidR="005818C0" w:rsidRPr="00C21C2C" w:rsidRDefault="005818C0" w:rsidP="00367ABB">
                  <w:pPr>
                    <w:ind w:left="284" w:hanging="284"/>
                    <w:rPr>
                      <w:color w:val="FFFFFF" w:themeColor="background1"/>
                      <w:sz w:val="20"/>
                      <w:szCs w:val="20"/>
                    </w:rPr>
                  </w:pPr>
                </w:p>
              </w:txbxContent>
            </v:textbox>
            <w10:wrap type="square"/>
          </v:shape>
        </w:pict>
      </w:r>
      <w:r w:rsidR="005818C0">
        <w:rPr>
          <w:b/>
          <w:iCs/>
          <w:lang w:val="sr-Cyrl-CS"/>
        </w:rPr>
        <w:t>Zakonom</w:t>
      </w:r>
      <w:r w:rsidR="007F5C8D" w:rsidRPr="00E95BC4">
        <w:rPr>
          <w:b/>
          <w:iCs/>
          <w:lang w:val="sr-Cyrl-CS"/>
        </w:rPr>
        <w:t xml:space="preserve"> </w:t>
      </w:r>
      <w:r w:rsidR="005818C0">
        <w:rPr>
          <w:b/>
          <w:iCs/>
          <w:lang w:val="sr-Cyrl-CS"/>
        </w:rPr>
        <w:t>o</w:t>
      </w:r>
      <w:r w:rsidR="007F5C8D" w:rsidRPr="00E95BC4">
        <w:rPr>
          <w:b/>
          <w:iCs/>
          <w:lang w:val="sr-Cyrl-CS"/>
        </w:rPr>
        <w:t xml:space="preserve"> </w:t>
      </w:r>
      <w:r w:rsidR="005818C0">
        <w:rPr>
          <w:b/>
          <w:iCs/>
          <w:lang w:val="sr-Cyrl-CS"/>
        </w:rPr>
        <w:t>međunarodnim</w:t>
      </w:r>
      <w:r w:rsidR="007F5C8D" w:rsidRPr="00E95BC4">
        <w:rPr>
          <w:b/>
          <w:iCs/>
          <w:lang w:val="sr-Cyrl-CS"/>
        </w:rPr>
        <w:t xml:space="preserve"> </w:t>
      </w:r>
      <w:r w:rsidR="005818C0">
        <w:rPr>
          <w:b/>
          <w:iCs/>
          <w:lang w:val="sr-Cyrl-CS"/>
        </w:rPr>
        <w:t>merama</w:t>
      </w:r>
      <w:r w:rsidR="007F5C8D" w:rsidRPr="00E95BC4">
        <w:rPr>
          <w:b/>
          <w:iCs/>
          <w:lang w:val="sr-Cyrl-CS"/>
        </w:rPr>
        <w:t xml:space="preserve"> </w:t>
      </w:r>
      <w:r w:rsidR="005818C0">
        <w:rPr>
          <w:b/>
          <w:iCs/>
          <w:lang w:val="sr-Cyrl-CS"/>
        </w:rPr>
        <w:t>ograničavanja</w:t>
      </w:r>
      <w:r w:rsidR="007F5C8D" w:rsidRPr="00E95BC4">
        <w:rPr>
          <w:iCs/>
          <w:lang w:val="sr-Cyrl-CS"/>
        </w:rPr>
        <w:t xml:space="preserve"> </w:t>
      </w:r>
      <w:r w:rsidR="005818C0">
        <w:rPr>
          <w:lang w:val="sr-Cyrl-CS"/>
        </w:rPr>
        <w:t>propisuje</w:t>
      </w:r>
      <w:r w:rsidR="007F5C8D" w:rsidRPr="00E95BC4">
        <w:rPr>
          <w:lang w:val="sr-Cyrl-CS"/>
        </w:rPr>
        <w:t xml:space="preserve"> </w:t>
      </w:r>
      <w:r w:rsidR="005818C0">
        <w:rPr>
          <w:lang w:val="sr-Cyrl-CS"/>
        </w:rPr>
        <w:t>se</w:t>
      </w:r>
      <w:r w:rsidR="007F5C8D" w:rsidRPr="00E95BC4">
        <w:rPr>
          <w:lang w:val="sr-Cyrl-CS"/>
        </w:rPr>
        <w:t xml:space="preserve"> </w:t>
      </w:r>
      <w:r w:rsidR="005818C0">
        <w:rPr>
          <w:lang w:val="sr-Cyrl-CS"/>
        </w:rPr>
        <w:t>postupak</w:t>
      </w:r>
      <w:r w:rsidR="007F5C8D" w:rsidRPr="00E95BC4">
        <w:rPr>
          <w:lang w:val="sr-Cyrl-CS"/>
        </w:rPr>
        <w:t xml:space="preserve"> </w:t>
      </w:r>
      <w:r w:rsidR="005818C0">
        <w:rPr>
          <w:lang w:val="sr-Cyrl-CS"/>
        </w:rPr>
        <w:t>sprovođenja</w:t>
      </w:r>
      <w:r w:rsidR="007F5C8D" w:rsidRPr="00E95BC4">
        <w:rPr>
          <w:lang w:val="sr-Cyrl-CS"/>
        </w:rPr>
        <w:t xml:space="preserve"> </w:t>
      </w:r>
      <w:r w:rsidR="005818C0">
        <w:rPr>
          <w:lang w:val="sr-Cyrl-CS"/>
        </w:rPr>
        <w:t>međunarodnih</w:t>
      </w:r>
      <w:r w:rsidR="007F5C8D" w:rsidRPr="00E95BC4">
        <w:rPr>
          <w:lang w:val="sr-Cyrl-CS"/>
        </w:rPr>
        <w:t xml:space="preserve"> </w:t>
      </w:r>
      <w:r w:rsidR="005818C0">
        <w:rPr>
          <w:lang w:val="sr-Cyrl-CS"/>
        </w:rPr>
        <w:t>mera</w:t>
      </w:r>
      <w:r w:rsidR="007F5C8D" w:rsidRPr="00E95BC4">
        <w:rPr>
          <w:lang w:val="sr-Cyrl-CS"/>
        </w:rPr>
        <w:t xml:space="preserve"> </w:t>
      </w:r>
      <w:r w:rsidR="005818C0">
        <w:rPr>
          <w:lang w:val="sr-Cyrl-CS"/>
        </w:rPr>
        <w:t>ograničavanja</w:t>
      </w:r>
      <w:r w:rsidR="007F5C8D" w:rsidRPr="00E95BC4">
        <w:rPr>
          <w:lang w:val="sr-Cyrl-CS"/>
        </w:rPr>
        <w:t xml:space="preserve"> </w:t>
      </w:r>
      <w:r w:rsidR="005818C0">
        <w:rPr>
          <w:lang w:val="sr-Cyrl-CS"/>
        </w:rPr>
        <w:t>koje</w:t>
      </w:r>
      <w:r w:rsidR="007F5C8D" w:rsidRPr="00E95BC4">
        <w:rPr>
          <w:lang w:val="sr-Cyrl-CS"/>
        </w:rPr>
        <w:t xml:space="preserve"> </w:t>
      </w:r>
      <w:r w:rsidR="005818C0">
        <w:rPr>
          <w:lang w:val="sr-Cyrl-CS"/>
        </w:rPr>
        <w:t>Republika</w:t>
      </w:r>
      <w:r w:rsidR="007F5C8D" w:rsidRPr="00E95BC4">
        <w:rPr>
          <w:lang w:val="sr-Cyrl-CS"/>
        </w:rPr>
        <w:t xml:space="preserve"> </w:t>
      </w:r>
      <w:r w:rsidR="005818C0">
        <w:rPr>
          <w:lang w:val="sr-Cyrl-CS"/>
        </w:rPr>
        <w:t>Srbija</w:t>
      </w:r>
      <w:r w:rsidR="007F5C8D" w:rsidRPr="00E95BC4">
        <w:rPr>
          <w:lang w:val="sr-Cyrl-CS"/>
        </w:rPr>
        <w:t xml:space="preserve"> </w:t>
      </w:r>
      <w:r w:rsidR="005818C0">
        <w:rPr>
          <w:lang w:val="sr-Cyrl-CS"/>
        </w:rPr>
        <w:t>uvodi</w:t>
      </w:r>
      <w:r w:rsidR="007F5C8D" w:rsidRPr="00E95BC4">
        <w:rPr>
          <w:lang w:val="sr-Cyrl-CS"/>
        </w:rPr>
        <w:t xml:space="preserve">, </w:t>
      </w:r>
      <w:r w:rsidR="005818C0">
        <w:rPr>
          <w:lang w:val="sr-Cyrl-CS"/>
        </w:rPr>
        <w:t>primenjuje</w:t>
      </w:r>
      <w:r w:rsidR="007F5C8D" w:rsidRPr="00E95BC4">
        <w:rPr>
          <w:lang w:val="sr-Cyrl-CS"/>
        </w:rPr>
        <w:t xml:space="preserve"> </w:t>
      </w:r>
      <w:r w:rsidR="005818C0">
        <w:rPr>
          <w:lang w:val="sr-Cyrl-CS"/>
        </w:rPr>
        <w:t>ili</w:t>
      </w:r>
      <w:r w:rsidR="007F5C8D" w:rsidRPr="00E95BC4">
        <w:rPr>
          <w:lang w:val="sr-Cyrl-CS"/>
        </w:rPr>
        <w:t xml:space="preserve"> </w:t>
      </w:r>
      <w:r w:rsidR="005818C0">
        <w:rPr>
          <w:lang w:val="sr-Cyrl-CS"/>
        </w:rPr>
        <w:t>ukida</w:t>
      </w:r>
      <w:r w:rsidR="007F5C8D" w:rsidRPr="00E95BC4">
        <w:rPr>
          <w:lang w:val="sr-Cyrl-CS"/>
        </w:rPr>
        <w:t xml:space="preserve"> </w:t>
      </w:r>
      <w:r w:rsidR="005818C0">
        <w:rPr>
          <w:lang w:val="sr-Cyrl-CS"/>
        </w:rPr>
        <w:t>na</w:t>
      </w:r>
      <w:r w:rsidR="007F5C8D" w:rsidRPr="00E95BC4">
        <w:rPr>
          <w:lang w:val="sr-Cyrl-CS"/>
        </w:rPr>
        <w:t xml:space="preserve"> </w:t>
      </w:r>
      <w:r w:rsidR="005818C0">
        <w:rPr>
          <w:lang w:val="sr-Cyrl-CS"/>
        </w:rPr>
        <w:t>osnovu</w:t>
      </w:r>
      <w:r w:rsidR="007F5C8D" w:rsidRPr="00E95BC4">
        <w:rPr>
          <w:lang w:val="sr-Cyrl-CS"/>
        </w:rPr>
        <w:t xml:space="preserve"> </w:t>
      </w:r>
      <w:r w:rsidR="005818C0">
        <w:rPr>
          <w:lang w:val="sr-Cyrl-CS"/>
        </w:rPr>
        <w:t>pravnih</w:t>
      </w:r>
      <w:r w:rsidR="007F5C8D" w:rsidRPr="00E95BC4">
        <w:rPr>
          <w:lang w:val="sr-Cyrl-CS"/>
        </w:rPr>
        <w:t xml:space="preserve"> </w:t>
      </w:r>
      <w:r w:rsidR="005818C0">
        <w:rPr>
          <w:lang w:val="sr-Cyrl-CS"/>
        </w:rPr>
        <w:t>akata</w:t>
      </w:r>
      <w:r w:rsidR="007F5C8D" w:rsidRPr="00E95BC4">
        <w:rPr>
          <w:lang w:val="sr-Cyrl-CS"/>
        </w:rPr>
        <w:t xml:space="preserve"> </w:t>
      </w:r>
      <w:r w:rsidR="005818C0">
        <w:rPr>
          <w:lang w:val="sr-Cyrl-CS"/>
        </w:rPr>
        <w:t>donetih</w:t>
      </w:r>
      <w:r w:rsidR="007F5C8D" w:rsidRPr="00E95BC4">
        <w:rPr>
          <w:lang w:val="sr-Cyrl-CS"/>
        </w:rPr>
        <w:t xml:space="preserve"> </w:t>
      </w:r>
      <w:r w:rsidR="005818C0">
        <w:rPr>
          <w:lang w:val="sr-Cyrl-CS"/>
        </w:rPr>
        <w:t>od</w:t>
      </w:r>
      <w:r w:rsidR="007F5C8D" w:rsidRPr="00E95BC4">
        <w:rPr>
          <w:lang w:val="sr-Cyrl-CS"/>
        </w:rPr>
        <w:t xml:space="preserve"> </w:t>
      </w:r>
      <w:r w:rsidR="005818C0">
        <w:rPr>
          <w:lang w:val="sr-Cyrl-CS"/>
        </w:rPr>
        <w:t>strane</w:t>
      </w:r>
      <w:r w:rsidR="007F5C8D" w:rsidRPr="00E95BC4">
        <w:rPr>
          <w:lang w:val="sr-Cyrl-CS"/>
        </w:rPr>
        <w:t xml:space="preserve"> </w:t>
      </w:r>
      <w:r w:rsidR="005818C0">
        <w:rPr>
          <w:lang w:val="sr-Cyrl-CS"/>
        </w:rPr>
        <w:t>Saveta</w:t>
      </w:r>
      <w:r w:rsidR="007F5C8D" w:rsidRPr="00E95BC4">
        <w:rPr>
          <w:lang w:val="sr-Cyrl-CS"/>
        </w:rPr>
        <w:t xml:space="preserve"> </w:t>
      </w:r>
      <w:r w:rsidR="005818C0">
        <w:rPr>
          <w:lang w:val="sr-Cyrl-CS"/>
        </w:rPr>
        <w:t>bezbednosti</w:t>
      </w:r>
      <w:r w:rsidR="007F5C8D" w:rsidRPr="00E95BC4">
        <w:rPr>
          <w:lang w:val="sr-Cyrl-CS"/>
        </w:rPr>
        <w:t xml:space="preserve"> </w:t>
      </w:r>
      <w:r w:rsidR="005818C0">
        <w:rPr>
          <w:lang w:val="sr-Cyrl-CS"/>
        </w:rPr>
        <w:t>Ujedinjenih</w:t>
      </w:r>
      <w:r w:rsidR="007F5C8D" w:rsidRPr="00E95BC4">
        <w:rPr>
          <w:lang w:val="sr-Cyrl-CS"/>
        </w:rPr>
        <w:t xml:space="preserve"> </w:t>
      </w:r>
      <w:r w:rsidR="005818C0">
        <w:rPr>
          <w:lang w:val="sr-Cyrl-CS"/>
        </w:rPr>
        <w:t>nacija</w:t>
      </w:r>
      <w:r w:rsidR="007F5C8D" w:rsidRPr="00E95BC4">
        <w:rPr>
          <w:lang w:val="sr-Cyrl-CS"/>
        </w:rPr>
        <w:t xml:space="preserve">, </w:t>
      </w:r>
      <w:r w:rsidR="005818C0">
        <w:rPr>
          <w:lang w:val="sr-Cyrl-CS"/>
        </w:rPr>
        <w:t>Organizacije</w:t>
      </w:r>
      <w:r w:rsidR="007F5C8D" w:rsidRPr="00E95BC4">
        <w:rPr>
          <w:lang w:val="sr-Cyrl-CS"/>
        </w:rPr>
        <w:t xml:space="preserve"> </w:t>
      </w:r>
      <w:r w:rsidR="005818C0">
        <w:rPr>
          <w:lang w:val="sr-Cyrl-CS"/>
        </w:rPr>
        <w:t>za</w:t>
      </w:r>
      <w:r w:rsidR="007F5C8D" w:rsidRPr="00E95BC4">
        <w:rPr>
          <w:lang w:val="sr-Cyrl-CS"/>
        </w:rPr>
        <w:t xml:space="preserve"> </w:t>
      </w:r>
      <w:r w:rsidR="005818C0">
        <w:rPr>
          <w:lang w:val="sr-Cyrl-CS"/>
        </w:rPr>
        <w:t>evropsku</w:t>
      </w:r>
      <w:r w:rsidR="007F5C8D" w:rsidRPr="00E95BC4">
        <w:rPr>
          <w:lang w:val="sr-Cyrl-CS"/>
        </w:rPr>
        <w:t xml:space="preserve"> </w:t>
      </w:r>
      <w:r w:rsidR="005818C0">
        <w:rPr>
          <w:lang w:val="sr-Cyrl-CS"/>
        </w:rPr>
        <w:t>bezbednost</w:t>
      </w:r>
      <w:r w:rsidR="007F5C8D" w:rsidRPr="00E95BC4">
        <w:rPr>
          <w:lang w:val="sr-Cyrl-CS"/>
        </w:rPr>
        <w:t xml:space="preserve"> </w:t>
      </w:r>
      <w:r w:rsidR="005818C0">
        <w:rPr>
          <w:lang w:val="sr-Cyrl-CS"/>
        </w:rPr>
        <w:t>i</w:t>
      </w:r>
      <w:r w:rsidR="007F5C8D" w:rsidRPr="00E95BC4">
        <w:rPr>
          <w:lang w:val="sr-Cyrl-CS"/>
        </w:rPr>
        <w:t xml:space="preserve"> </w:t>
      </w:r>
      <w:r w:rsidR="005818C0">
        <w:rPr>
          <w:lang w:val="sr-Cyrl-CS"/>
        </w:rPr>
        <w:t>saradnju</w:t>
      </w:r>
      <w:r w:rsidR="007F5C8D" w:rsidRPr="00E95BC4">
        <w:rPr>
          <w:lang w:val="sr-Cyrl-CS"/>
        </w:rPr>
        <w:t xml:space="preserve">, </w:t>
      </w:r>
      <w:r w:rsidR="005818C0">
        <w:rPr>
          <w:lang w:val="sr-Cyrl-CS"/>
        </w:rPr>
        <w:t>drugih</w:t>
      </w:r>
      <w:r w:rsidR="007F5C8D" w:rsidRPr="00E95BC4">
        <w:rPr>
          <w:lang w:val="sr-Cyrl-CS"/>
        </w:rPr>
        <w:t xml:space="preserve"> </w:t>
      </w:r>
      <w:r w:rsidR="005818C0">
        <w:rPr>
          <w:lang w:val="sr-Cyrl-CS"/>
        </w:rPr>
        <w:t>međunarodnih</w:t>
      </w:r>
      <w:r w:rsidR="007F5C8D" w:rsidRPr="00E95BC4">
        <w:rPr>
          <w:lang w:val="sr-Cyrl-CS"/>
        </w:rPr>
        <w:t xml:space="preserve"> </w:t>
      </w:r>
      <w:r w:rsidR="005818C0">
        <w:rPr>
          <w:lang w:val="sr-Cyrl-CS"/>
        </w:rPr>
        <w:t>organizacija</w:t>
      </w:r>
      <w:r w:rsidR="007F5C8D" w:rsidRPr="00E95BC4">
        <w:rPr>
          <w:lang w:val="sr-Cyrl-CS"/>
        </w:rPr>
        <w:t xml:space="preserve"> </w:t>
      </w:r>
      <w:r w:rsidR="005818C0">
        <w:rPr>
          <w:lang w:val="sr-Cyrl-CS"/>
        </w:rPr>
        <w:t>čiji</w:t>
      </w:r>
      <w:r w:rsidR="007F5C8D" w:rsidRPr="00E95BC4">
        <w:rPr>
          <w:lang w:val="sr-Cyrl-CS"/>
        </w:rPr>
        <w:t xml:space="preserve"> </w:t>
      </w:r>
      <w:r w:rsidR="005818C0">
        <w:rPr>
          <w:lang w:val="sr-Cyrl-CS"/>
        </w:rPr>
        <w:t>je</w:t>
      </w:r>
      <w:r w:rsidR="007F5C8D" w:rsidRPr="00E95BC4">
        <w:rPr>
          <w:lang w:val="sr-Cyrl-CS"/>
        </w:rPr>
        <w:t xml:space="preserve"> </w:t>
      </w:r>
      <w:r w:rsidR="005818C0">
        <w:rPr>
          <w:lang w:val="sr-Cyrl-CS"/>
        </w:rPr>
        <w:t>Republika</w:t>
      </w:r>
      <w:r w:rsidR="007F5C8D" w:rsidRPr="00E95BC4">
        <w:rPr>
          <w:lang w:val="sr-Cyrl-CS"/>
        </w:rPr>
        <w:t xml:space="preserve"> </w:t>
      </w:r>
      <w:r w:rsidR="005818C0">
        <w:rPr>
          <w:lang w:val="sr-Cyrl-CS"/>
        </w:rPr>
        <w:t>Srbija</w:t>
      </w:r>
      <w:r w:rsidR="007F5C8D" w:rsidRPr="00E95BC4">
        <w:rPr>
          <w:lang w:val="sr-Cyrl-CS"/>
        </w:rPr>
        <w:t xml:space="preserve"> </w:t>
      </w:r>
      <w:r w:rsidR="005818C0">
        <w:rPr>
          <w:lang w:val="sr-Cyrl-CS"/>
        </w:rPr>
        <w:t>član</w:t>
      </w:r>
      <w:r w:rsidR="007F5C8D" w:rsidRPr="00E95BC4">
        <w:rPr>
          <w:lang w:val="sr-Cyrl-CS"/>
        </w:rPr>
        <w:t xml:space="preserve">, </w:t>
      </w:r>
      <w:r w:rsidR="005818C0">
        <w:rPr>
          <w:lang w:val="sr-Cyrl-CS"/>
        </w:rPr>
        <w:t>kao</w:t>
      </w:r>
      <w:r w:rsidR="007F5C8D" w:rsidRPr="00E95BC4">
        <w:rPr>
          <w:lang w:val="sr-Cyrl-CS"/>
        </w:rPr>
        <w:t xml:space="preserve"> </w:t>
      </w:r>
      <w:r w:rsidR="005818C0">
        <w:rPr>
          <w:lang w:val="sr-Cyrl-CS"/>
        </w:rPr>
        <w:t>i</w:t>
      </w:r>
      <w:r w:rsidR="007F5C8D" w:rsidRPr="00E95BC4">
        <w:rPr>
          <w:lang w:val="sr-Cyrl-CS"/>
        </w:rPr>
        <w:t xml:space="preserve"> </w:t>
      </w:r>
      <w:r w:rsidR="005818C0">
        <w:rPr>
          <w:lang w:val="sr-Cyrl-CS"/>
        </w:rPr>
        <w:t>pravnih</w:t>
      </w:r>
      <w:r w:rsidR="007F5C8D" w:rsidRPr="00E95BC4">
        <w:rPr>
          <w:lang w:val="sr-Cyrl-CS"/>
        </w:rPr>
        <w:t xml:space="preserve"> </w:t>
      </w:r>
      <w:r w:rsidR="005818C0">
        <w:rPr>
          <w:lang w:val="sr-Cyrl-CS"/>
        </w:rPr>
        <w:t>akata</w:t>
      </w:r>
      <w:r w:rsidR="007F5C8D" w:rsidRPr="00E95BC4">
        <w:rPr>
          <w:lang w:val="sr-Cyrl-CS"/>
        </w:rPr>
        <w:t xml:space="preserve"> </w:t>
      </w:r>
      <w:r w:rsidR="005818C0">
        <w:rPr>
          <w:lang w:val="sr-Cyrl-CS"/>
        </w:rPr>
        <w:t>drugih</w:t>
      </w:r>
      <w:r w:rsidR="007F5C8D" w:rsidRPr="00E95BC4">
        <w:rPr>
          <w:lang w:val="sr-Cyrl-CS"/>
        </w:rPr>
        <w:t xml:space="preserve"> </w:t>
      </w:r>
      <w:r w:rsidR="005818C0">
        <w:rPr>
          <w:lang w:val="sr-Cyrl-CS"/>
        </w:rPr>
        <w:t>međunarodnih</w:t>
      </w:r>
      <w:r w:rsidR="007F5C8D" w:rsidRPr="00E95BC4">
        <w:rPr>
          <w:lang w:val="sr-Cyrl-CS"/>
        </w:rPr>
        <w:t xml:space="preserve"> </w:t>
      </w:r>
      <w:r w:rsidR="005818C0">
        <w:rPr>
          <w:lang w:val="sr-Cyrl-CS"/>
        </w:rPr>
        <w:t>organizacija</w:t>
      </w:r>
      <w:r w:rsidR="007F5C8D" w:rsidRPr="00E95BC4">
        <w:rPr>
          <w:lang w:val="sr-Cyrl-CS"/>
        </w:rPr>
        <w:t xml:space="preserve">, </w:t>
      </w:r>
      <w:r w:rsidR="005818C0">
        <w:rPr>
          <w:lang w:val="sr-Cyrl-CS"/>
        </w:rPr>
        <w:t>kada</w:t>
      </w:r>
      <w:r w:rsidR="007F5C8D" w:rsidRPr="00E95BC4">
        <w:rPr>
          <w:lang w:val="sr-Cyrl-CS"/>
        </w:rPr>
        <w:t xml:space="preserve"> </w:t>
      </w:r>
      <w:r w:rsidR="005818C0">
        <w:rPr>
          <w:lang w:val="sr-Cyrl-CS"/>
        </w:rPr>
        <w:t>je</w:t>
      </w:r>
      <w:r w:rsidR="007F5C8D" w:rsidRPr="00E95BC4">
        <w:rPr>
          <w:lang w:val="sr-Cyrl-CS"/>
        </w:rPr>
        <w:t xml:space="preserve"> </w:t>
      </w:r>
      <w:r w:rsidR="005818C0">
        <w:rPr>
          <w:lang w:val="sr-Cyrl-CS"/>
        </w:rPr>
        <w:t>to</w:t>
      </w:r>
      <w:r w:rsidR="007F5C8D" w:rsidRPr="00E95BC4">
        <w:rPr>
          <w:lang w:val="sr-Cyrl-CS"/>
        </w:rPr>
        <w:t xml:space="preserve"> </w:t>
      </w:r>
      <w:r w:rsidR="005818C0">
        <w:rPr>
          <w:lang w:val="sr-Cyrl-CS"/>
        </w:rPr>
        <w:t>u</w:t>
      </w:r>
      <w:r w:rsidR="007F5C8D" w:rsidRPr="00E95BC4">
        <w:rPr>
          <w:lang w:val="sr-Cyrl-CS"/>
        </w:rPr>
        <w:t xml:space="preserve"> </w:t>
      </w:r>
      <w:r w:rsidR="005818C0">
        <w:rPr>
          <w:lang w:val="sr-Cyrl-CS"/>
        </w:rPr>
        <w:t>spoljnopolitičkom</w:t>
      </w:r>
      <w:r w:rsidR="007F5C8D" w:rsidRPr="00E95BC4">
        <w:rPr>
          <w:lang w:val="sr-Cyrl-CS"/>
        </w:rPr>
        <w:t xml:space="preserve"> </w:t>
      </w:r>
      <w:r w:rsidR="005818C0">
        <w:rPr>
          <w:lang w:val="sr-Cyrl-CS"/>
        </w:rPr>
        <w:t>interesu</w:t>
      </w:r>
      <w:r w:rsidR="007F5C8D" w:rsidRPr="00E95BC4">
        <w:rPr>
          <w:lang w:val="sr-Cyrl-CS"/>
        </w:rPr>
        <w:t xml:space="preserve"> </w:t>
      </w:r>
      <w:r w:rsidR="005818C0">
        <w:rPr>
          <w:lang w:val="sr-Cyrl-CS"/>
        </w:rPr>
        <w:t>Republike</w:t>
      </w:r>
      <w:r w:rsidR="007F5C8D" w:rsidRPr="00E95BC4">
        <w:rPr>
          <w:lang w:val="sr-Cyrl-CS"/>
        </w:rPr>
        <w:t xml:space="preserve"> </w:t>
      </w:r>
      <w:r w:rsidR="005818C0">
        <w:rPr>
          <w:lang w:val="sr-Cyrl-CS"/>
        </w:rPr>
        <w:t>Srbije</w:t>
      </w:r>
      <w:r w:rsidR="007F5C8D" w:rsidRPr="00E95BC4">
        <w:rPr>
          <w:lang w:val="sr-Cyrl-CS"/>
        </w:rPr>
        <w:t xml:space="preserve">. </w:t>
      </w:r>
      <w:r w:rsidR="005818C0">
        <w:rPr>
          <w:lang w:val="sr-Cyrl-CS"/>
        </w:rPr>
        <w:t>Članom</w:t>
      </w:r>
      <w:r w:rsidR="007F5C8D" w:rsidRPr="00E95BC4">
        <w:rPr>
          <w:lang w:val="sr-Cyrl-CS"/>
        </w:rPr>
        <w:t xml:space="preserve"> 2. </w:t>
      </w:r>
      <w:r w:rsidR="005818C0">
        <w:rPr>
          <w:lang w:val="sr-Cyrl-CS"/>
        </w:rPr>
        <w:t>ovog</w:t>
      </w:r>
      <w:r w:rsidR="007F5C8D" w:rsidRPr="00E95BC4">
        <w:rPr>
          <w:lang w:val="sr-Cyrl-CS"/>
        </w:rPr>
        <w:t xml:space="preserve"> </w:t>
      </w:r>
      <w:r w:rsidR="005818C0">
        <w:rPr>
          <w:lang w:val="sr-Cyrl-CS"/>
        </w:rPr>
        <w:t>zakona</w:t>
      </w:r>
      <w:r w:rsidR="007F5C8D" w:rsidRPr="00E95BC4">
        <w:rPr>
          <w:lang w:val="sr-Cyrl-CS"/>
        </w:rPr>
        <w:t xml:space="preserve"> </w:t>
      </w:r>
      <w:r w:rsidR="005818C0">
        <w:rPr>
          <w:lang w:val="sr-Cyrl-CS"/>
        </w:rPr>
        <w:t>propisano</w:t>
      </w:r>
      <w:r w:rsidR="007F5C8D" w:rsidRPr="00E95BC4">
        <w:rPr>
          <w:lang w:val="sr-Cyrl-CS"/>
        </w:rPr>
        <w:t xml:space="preserve"> </w:t>
      </w:r>
      <w:r w:rsidR="005818C0">
        <w:rPr>
          <w:lang w:val="sr-Cyrl-CS"/>
        </w:rPr>
        <w:t>je</w:t>
      </w:r>
      <w:r w:rsidR="007F5C8D" w:rsidRPr="00E95BC4">
        <w:rPr>
          <w:lang w:val="sr-Cyrl-CS"/>
        </w:rPr>
        <w:t xml:space="preserve"> </w:t>
      </w:r>
      <w:r w:rsidR="005818C0">
        <w:rPr>
          <w:lang w:val="sr-Cyrl-CS"/>
        </w:rPr>
        <w:t>da</w:t>
      </w:r>
      <w:r w:rsidR="007F5C8D" w:rsidRPr="00E95BC4">
        <w:rPr>
          <w:lang w:val="sr-Cyrl-CS"/>
        </w:rPr>
        <w:t xml:space="preserve"> </w:t>
      </w:r>
      <w:r w:rsidR="005818C0">
        <w:rPr>
          <w:lang w:val="sr-Cyrl-CS"/>
        </w:rPr>
        <w:t>međunarodne</w:t>
      </w:r>
      <w:r w:rsidR="007F5C8D" w:rsidRPr="00E95BC4">
        <w:rPr>
          <w:lang w:val="sr-Cyrl-CS"/>
        </w:rPr>
        <w:t xml:space="preserve"> </w:t>
      </w:r>
      <w:r w:rsidR="005818C0">
        <w:rPr>
          <w:lang w:val="sr-Cyrl-CS"/>
        </w:rPr>
        <w:t>mere</w:t>
      </w:r>
      <w:r w:rsidR="007F5C8D" w:rsidRPr="00E95BC4">
        <w:rPr>
          <w:lang w:val="sr-Cyrl-CS"/>
        </w:rPr>
        <w:t xml:space="preserve"> </w:t>
      </w:r>
      <w:r w:rsidR="005818C0">
        <w:rPr>
          <w:lang w:val="sr-Cyrl-CS"/>
        </w:rPr>
        <w:t>ograničavanja</w:t>
      </w:r>
      <w:r w:rsidR="007F5C8D" w:rsidRPr="00E95BC4">
        <w:rPr>
          <w:lang w:val="sr-Cyrl-CS"/>
        </w:rPr>
        <w:t xml:space="preserve"> </w:t>
      </w:r>
      <w:r w:rsidR="005818C0">
        <w:rPr>
          <w:lang w:val="sr-Cyrl-CS"/>
        </w:rPr>
        <w:t>jesu</w:t>
      </w:r>
      <w:r w:rsidR="007F5C8D" w:rsidRPr="00E95BC4">
        <w:rPr>
          <w:lang w:val="sr-Cyrl-CS"/>
        </w:rPr>
        <w:t xml:space="preserve"> </w:t>
      </w:r>
      <w:r w:rsidR="005818C0">
        <w:rPr>
          <w:lang w:val="sr-Cyrl-CS"/>
        </w:rPr>
        <w:t>mere</w:t>
      </w:r>
      <w:r w:rsidR="007F5C8D" w:rsidRPr="00E95BC4">
        <w:rPr>
          <w:lang w:val="sr-Cyrl-CS"/>
        </w:rPr>
        <w:t xml:space="preserve"> </w:t>
      </w:r>
      <w:r w:rsidR="005818C0">
        <w:rPr>
          <w:lang w:val="sr-Cyrl-CS"/>
        </w:rPr>
        <w:t>koje</w:t>
      </w:r>
      <w:r w:rsidR="007F5C8D" w:rsidRPr="00E95BC4">
        <w:rPr>
          <w:lang w:val="sr-Cyrl-CS"/>
        </w:rPr>
        <w:t xml:space="preserve"> </w:t>
      </w:r>
      <w:r w:rsidR="005818C0">
        <w:rPr>
          <w:lang w:val="sr-Cyrl-CS"/>
        </w:rPr>
        <w:t>se</w:t>
      </w:r>
      <w:r w:rsidR="007F5C8D" w:rsidRPr="00E95BC4">
        <w:rPr>
          <w:lang w:val="sr-Cyrl-CS"/>
        </w:rPr>
        <w:t xml:space="preserve"> </w:t>
      </w:r>
      <w:r w:rsidR="005818C0">
        <w:rPr>
          <w:lang w:val="sr-Cyrl-CS"/>
        </w:rPr>
        <w:t>primenjuju</w:t>
      </w:r>
      <w:r w:rsidR="007F5C8D" w:rsidRPr="00E95BC4">
        <w:rPr>
          <w:lang w:val="sr-Cyrl-CS"/>
        </w:rPr>
        <w:t xml:space="preserve"> </w:t>
      </w:r>
      <w:r w:rsidR="005818C0">
        <w:rPr>
          <w:lang w:val="sr-Cyrl-CS"/>
        </w:rPr>
        <w:t>u</w:t>
      </w:r>
      <w:r w:rsidR="007F5C8D" w:rsidRPr="00E95BC4">
        <w:rPr>
          <w:lang w:val="sr-Cyrl-CS"/>
        </w:rPr>
        <w:t xml:space="preserve"> </w:t>
      </w:r>
      <w:r w:rsidR="005818C0">
        <w:rPr>
          <w:lang w:val="sr-Cyrl-CS"/>
        </w:rPr>
        <w:t>cilju</w:t>
      </w:r>
      <w:r w:rsidR="007F5C8D" w:rsidRPr="00E95BC4">
        <w:rPr>
          <w:lang w:val="sr-Cyrl-CS"/>
        </w:rPr>
        <w:t xml:space="preserve"> </w:t>
      </w:r>
      <w:r w:rsidR="005818C0">
        <w:rPr>
          <w:lang w:val="sr-Cyrl-CS"/>
        </w:rPr>
        <w:t>uspostavljanja</w:t>
      </w:r>
      <w:r w:rsidR="007F5C8D" w:rsidRPr="00E95BC4">
        <w:rPr>
          <w:lang w:val="sr-Cyrl-CS"/>
        </w:rPr>
        <w:t xml:space="preserve"> </w:t>
      </w:r>
      <w:r w:rsidR="005818C0">
        <w:rPr>
          <w:lang w:val="sr-Cyrl-CS"/>
        </w:rPr>
        <w:t>i</w:t>
      </w:r>
      <w:r w:rsidR="007F5C8D" w:rsidRPr="00E95BC4">
        <w:rPr>
          <w:lang w:val="sr-Cyrl-CS"/>
        </w:rPr>
        <w:t xml:space="preserve"> </w:t>
      </w:r>
      <w:r w:rsidR="005818C0">
        <w:rPr>
          <w:lang w:val="sr-Cyrl-CS"/>
        </w:rPr>
        <w:t>očuvanja</w:t>
      </w:r>
      <w:r w:rsidR="007F5C8D" w:rsidRPr="00E95BC4">
        <w:rPr>
          <w:lang w:val="sr-Cyrl-CS"/>
        </w:rPr>
        <w:t xml:space="preserve"> </w:t>
      </w:r>
      <w:r w:rsidR="005818C0">
        <w:rPr>
          <w:lang w:val="sr-Cyrl-CS"/>
        </w:rPr>
        <w:t>međunarodnog</w:t>
      </w:r>
      <w:r w:rsidR="007F5C8D" w:rsidRPr="00E95BC4">
        <w:rPr>
          <w:lang w:val="sr-Cyrl-CS"/>
        </w:rPr>
        <w:t xml:space="preserve"> </w:t>
      </w:r>
      <w:r w:rsidR="005818C0">
        <w:rPr>
          <w:lang w:val="sr-Cyrl-CS"/>
        </w:rPr>
        <w:t>mira</w:t>
      </w:r>
      <w:r w:rsidR="007F5C8D" w:rsidRPr="00E95BC4">
        <w:rPr>
          <w:lang w:val="sr-Cyrl-CS"/>
        </w:rPr>
        <w:t xml:space="preserve"> </w:t>
      </w:r>
      <w:r w:rsidR="005818C0">
        <w:rPr>
          <w:lang w:val="sr-Cyrl-CS"/>
        </w:rPr>
        <w:t>i</w:t>
      </w:r>
      <w:r w:rsidR="007F5C8D" w:rsidRPr="00E95BC4">
        <w:rPr>
          <w:lang w:val="sr-Cyrl-CS"/>
        </w:rPr>
        <w:t xml:space="preserve"> </w:t>
      </w:r>
      <w:r w:rsidR="005818C0">
        <w:rPr>
          <w:lang w:val="sr-Cyrl-CS"/>
        </w:rPr>
        <w:t>bezbednosti</w:t>
      </w:r>
      <w:r w:rsidR="007F5C8D" w:rsidRPr="00E95BC4">
        <w:rPr>
          <w:lang w:val="sr-Cyrl-CS"/>
        </w:rPr>
        <w:t xml:space="preserve">, </w:t>
      </w:r>
      <w:r w:rsidR="005818C0">
        <w:rPr>
          <w:lang w:val="sr-Cyrl-CS"/>
        </w:rPr>
        <w:t>poštovanja</w:t>
      </w:r>
      <w:r w:rsidR="007F5C8D" w:rsidRPr="00E95BC4">
        <w:rPr>
          <w:lang w:val="sr-Cyrl-CS"/>
        </w:rPr>
        <w:t xml:space="preserve"> </w:t>
      </w:r>
      <w:r w:rsidR="005818C0">
        <w:rPr>
          <w:lang w:val="sr-Cyrl-CS"/>
        </w:rPr>
        <w:t>međunarodnog</w:t>
      </w:r>
      <w:r w:rsidR="007F5C8D" w:rsidRPr="00E95BC4">
        <w:rPr>
          <w:lang w:val="sr-Cyrl-CS"/>
        </w:rPr>
        <w:t xml:space="preserve"> </w:t>
      </w:r>
      <w:r w:rsidR="005818C0">
        <w:rPr>
          <w:lang w:val="sr-Cyrl-CS"/>
        </w:rPr>
        <w:t>humanitarnog</w:t>
      </w:r>
      <w:r w:rsidR="007F5C8D" w:rsidRPr="00E95BC4">
        <w:rPr>
          <w:lang w:val="sr-Cyrl-CS"/>
        </w:rPr>
        <w:t xml:space="preserve"> </w:t>
      </w:r>
      <w:r w:rsidR="005818C0">
        <w:rPr>
          <w:lang w:val="sr-Cyrl-CS"/>
        </w:rPr>
        <w:t>prava</w:t>
      </w:r>
      <w:r w:rsidR="007F5C8D" w:rsidRPr="00E95BC4">
        <w:rPr>
          <w:lang w:val="sr-Cyrl-CS"/>
        </w:rPr>
        <w:t xml:space="preserve">, </w:t>
      </w:r>
      <w:r w:rsidR="005818C0">
        <w:rPr>
          <w:lang w:val="sr-Cyrl-CS"/>
        </w:rPr>
        <w:t>ljudskih</w:t>
      </w:r>
      <w:r w:rsidR="007F5C8D" w:rsidRPr="00E95BC4">
        <w:rPr>
          <w:lang w:val="sr-Cyrl-CS"/>
        </w:rPr>
        <w:t xml:space="preserve"> </w:t>
      </w:r>
      <w:r w:rsidR="005818C0">
        <w:rPr>
          <w:lang w:val="sr-Cyrl-CS"/>
        </w:rPr>
        <w:t>prava</w:t>
      </w:r>
      <w:r w:rsidR="007F5C8D" w:rsidRPr="00E95BC4">
        <w:rPr>
          <w:lang w:val="sr-Cyrl-CS"/>
        </w:rPr>
        <w:t xml:space="preserve"> </w:t>
      </w:r>
      <w:r w:rsidR="005818C0">
        <w:rPr>
          <w:lang w:val="sr-Cyrl-CS"/>
        </w:rPr>
        <w:t>i</w:t>
      </w:r>
      <w:r w:rsidR="007F5C8D" w:rsidRPr="00E95BC4">
        <w:rPr>
          <w:lang w:val="sr-Cyrl-CS"/>
        </w:rPr>
        <w:t xml:space="preserve"> </w:t>
      </w:r>
      <w:r w:rsidR="005818C0">
        <w:rPr>
          <w:lang w:val="sr-Cyrl-CS"/>
        </w:rPr>
        <w:t>osnovnih</w:t>
      </w:r>
      <w:r w:rsidR="007F5C8D" w:rsidRPr="00E95BC4">
        <w:rPr>
          <w:lang w:val="sr-Cyrl-CS"/>
        </w:rPr>
        <w:t xml:space="preserve"> </w:t>
      </w:r>
      <w:r w:rsidR="005818C0">
        <w:rPr>
          <w:lang w:val="sr-Cyrl-CS"/>
        </w:rPr>
        <w:t>sloboda</w:t>
      </w:r>
      <w:r w:rsidR="007F5C8D" w:rsidRPr="00E95BC4">
        <w:rPr>
          <w:lang w:val="sr-Cyrl-CS"/>
        </w:rPr>
        <w:t xml:space="preserve"> </w:t>
      </w:r>
      <w:r w:rsidR="005818C0">
        <w:rPr>
          <w:lang w:val="sr-Cyrl-CS"/>
        </w:rPr>
        <w:t>i</w:t>
      </w:r>
      <w:r w:rsidR="007F5C8D" w:rsidRPr="00E95BC4">
        <w:rPr>
          <w:lang w:val="sr-Cyrl-CS"/>
        </w:rPr>
        <w:t xml:space="preserve"> </w:t>
      </w:r>
      <w:r w:rsidR="005818C0">
        <w:rPr>
          <w:lang w:val="sr-Cyrl-CS"/>
        </w:rPr>
        <w:t>izvršavanja</w:t>
      </w:r>
      <w:r w:rsidR="007F5C8D" w:rsidRPr="00E95BC4">
        <w:rPr>
          <w:lang w:val="sr-Cyrl-CS"/>
        </w:rPr>
        <w:t xml:space="preserve"> </w:t>
      </w:r>
      <w:r w:rsidR="005818C0">
        <w:rPr>
          <w:lang w:val="sr-Cyrl-CS"/>
        </w:rPr>
        <w:t>drugih</w:t>
      </w:r>
      <w:r w:rsidR="007F5C8D" w:rsidRPr="00E95BC4">
        <w:rPr>
          <w:lang w:val="sr-Cyrl-CS"/>
        </w:rPr>
        <w:t xml:space="preserve"> </w:t>
      </w:r>
      <w:r w:rsidR="005818C0">
        <w:rPr>
          <w:lang w:val="sr-Cyrl-CS"/>
        </w:rPr>
        <w:t>međunarodnih</w:t>
      </w:r>
      <w:r w:rsidR="007F5C8D" w:rsidRPr="00E95BC4">
        <w:rPr>
          <w:lang w:val="sr-Cyrl-CS"/>
        </w:rPr>
        <w:t xml:space="preserve"> </w:t>
      </w:r>
      <w:r w:rsidR="005818C0">
        <w:rPr>
          <w:lang w:val="sr-Cyrl-CS"/>
        </w:rPr>
        <w:t>obaveza</w:t>
      </w:r>
      <w:r w:rsidR="007F5C8D" w:rsidRPr="00E95BC4">
        <w:rPr>
          <w:lang w:val="sr-Cyrl-CS"/>
        </w:rPr>
        <w:t>.</w:t>
      </w:r>
    </w:p>
    <w:p w:rsidR="007F5C8D" w:rsidRPr="00E95BC4" w:rsidRDefault="005818C0" w:rsidP="0064036A">
      <w:pPr>
        <w:pStyle w:val="Default"/>
        <w:ind w:firstLine="720"/>
        <w:jc w:val="both"/>
        <w:rPr>
          <w:rFonts w:ascii="Times New Roman" w:hAnsi="Times New Roman" w:cs="Times New Roman"/>
          <w:lang w:val="sr-Cyrl-CS"/>
        </w:rPr>
      </w:pPr>
      <w:r>
        <w:rPr>
          <w:rFonts w:ascii="Times New Roman" w:hAnsi="Times New Roman" w:cs="Times New Roman"/>
          <w:b/>
          <w:iCs/>
          <w:lang w:val="sr-Cyrl-CS"/>
        </w:rPr>
        <w:t>Zakonom</w:t>
      </w:r>
      <w:r w:rsidR="0064036A" w:rsidRPr="00E95BC4">
        <w:rPr>
          <w:rFonts w:ascii="Times New Roman" w:hAnsi="Times New Roman" w:cs="Times New Roman"/>
          <w:b/>
          <w:iCs/>
          <w:lang w:val="sr-Cyrl-CS"/>
        </w:rPr>
        <w:t xml:space="preserve"> </w:t>
      </w:r>
      <w:r>
        <w:rPr>
          <w:rFonts w:ascii="Times New Roman" w:hAnsi="Times New Roman" w:cs="Times New Roman"/>
          <w:b/>
          <w:iCs/>
          <w:lang w:val="sr-Cyrl-CS"/>
        </w:rPr>
        <w:t>o</w:t>
      </w:r>
      <w:r w:rsidR="0064036A" w:rsidRPr="00E95BC4">
        <w:rPr>
          <w:rFonts w:ascii="Times New Roman" w:hAnsi="Times New Roman" w:cs="Times New Roman"/>
          <w:b/>
          <w:iCs/>
          <w:lang w:val="sr-Cyrl-CS"/>
        </w:rPr>
        <w:t xml:space="preserve"> </w:t>
      </w:r>
      <w:r>
        <w:rPr>
          <w:rFonts w:ascii="Times New Roman" w:hAnsi="Times New Roman" w:cs="Times New Roman"/>
          <w:b/>
          <w:iCs/>
          <w:lang w:val="sr-Cyrl-CS"/>
        </w:rPr>
        <w:t>ograničavanju</w:t>
      </w:r>
      <w:r w:rsidR="0064036A" w:rsidRPr="00E95BC4">
        <w:rPr>
          <w:rFonts w:ascii="Times New Roman" w:hAnsi="Times New Roman" w:cs="Times New Roman"/>
          <w:b/>
          <w:iCs/>
          <w:lang w:val="sr-Cyrl-CS"/>
        </w:rPr>
        <w:t xml:space="preserve"> </w:t>
      </w:r>
      <w:r>
        <w:rPr>
          <w:rFonts w:ascii="Times New Roman" w:hAnsi="Times New Roman" w:cs="Times New Roman"/>
          <w:b/>
          <w:iCs/>
          <w:lang w:val="sr-Cyrl-CS"/>
        </w:rPr>
        <w:t>raspolaganja</w:t>
      </w:r>
      <w:r w:rsidR="0064036A" w:rsidRPr="00E95BC4">
        <w:rPr>
          <w:rFonts w:ascii="Times New Roman" w:hAnsi="Times New Roman" w:cs="Times New Roman"/>
          <w:b/>
          <w:iCs/>
          <w:lang w:val="sr-Cyrl-CS"/>
        </w:rPr>
        <w:t xml:space="preserve"> </w:t>
      </w:r>
      <w:r>
        <w:rPr>
          <w:rFonts w:ascii="Times New Roman" w:hAnsi="Times New Roman" w:cs="Times New Roman"/>
          <w:b/>
          <w:iCs/>
          <w:lang w:val="sr-Cyrl-CS"/>
        </w:rPr>
        <w:t>imovinom</w:t>
      </w:r>
      <w:r w:rsidR="0064036A" w:rsidRPr="00E95BC4">
        <w:rPr>
          <w:rFonts w:ascii="Times New Roman" w:hAnsi="Times New Roman" w:cs="Times New Roman"/>
          <w:b/>
          <w:iCs/>
          <w:lang w:val="sr-Cyrl-CS"/>
        </w:rPr>
        <w:t xml:space="preserve"> </w:t>
      </w:r>
      <w:r>
        <w:rPr>
          <w:rFonts w:ascii="Times New Roman" w:hAnsi="Times New Roman" w:cs="Times New Roman"/>
          <w:b/>
          <w:iCs/>
          <w:lang w:val="sr-Cyrl-CS"/>
        </w:rPr>
        <w:t>u</w:t>
      </w:r>
      <w:r w:rsidR="0064036A" w:rsidRPr="00E95BC4">
        <w:rPr>
          <w:rFonts w:ascii="Times New Roman" w:hAnsi="Times New Roman" w:cs="Times New Roman"/>
          <w:b/>
          <w:iCs/>
          <w:lang w:val="sr-Cyrl-CS"/>
        </w:rPr>
        <w:t xml:space="preserve"> </w:t>
      </w:r>
      <w:r>
        <w:rPr>
          <w:rFonts w:ascii="Times New Roman" w:hAnsi="Times New Roman" w:cs="Times New Roman"/>
          <w:b/>
          <w:iCs/>
          <w:lang w:val="sr-Cyrl-CS"/>
        </w:rPr>
        <w:t>cilju</w:t>
      </w:r>
      <w:r w:rsidR="0064036A" w:rsidRPr="00E95BC4">
        <w:rPr>
          <w:rFonts w:ascii="Times New Roman" w:hAnsi="Times New Roman" w:cs="Times New Roman"/>
          <w:b/>
          <w:iCs/>
          <w:lang w:val="sr-Cyrl-CS"/>
        </w:rPr>
        <w:t xml:space="preserve"> </w:t>
      </w:r>
      <w:r>
        <w:rPr>
          <w:rFonts w:ascii="Times New Roman" w:hAnsi="Times New Roman" w:cs="Times New Roman"/>
          <w:b/>
          <w:iCs/>
          <w:lang w:val="sr-Cyrl-CS"/>
        </w:rPr>
        <w:t>sprečavanja</w:t>
      </w:r>
      <w:r w:rsidR="0064036A" w:rsidRPr="00E95BC4">
        <w:rPr>
          <w:rFonts w:ascii="Times New Roman" w:hAnsi="Times New Roman" w:cs="Times New Roman"/>
          <w:b/>
          <w:iCs/>
          <w:lang w:val="sr-Cyrl-CS"/>
        </w:rPr>
        <w:t xml:space="preserve"> </w:t>
      </w:r>
      <w:r>
        <w:rPr>
          <w:rFonts w:ascii="Times New Roman" w:hAnsi="Times New Roman" w:cs="Times New Roman"/>
          <w:b/>
          <w:iCs/>
          <w:lang w:val="sr-Cyrl-CS"/>
        </w:rPr>
        <w:t>terorizma</w:t>
      </w:r>
      <w:r w:rsidR="0064036A" w:rsidRPr="00E95BC4">
        <w:rPr>
          <w:rFonts w:ascii="Times New Roman" w:hAnsi="Times New Roman" w:cs="Times New Roman"/>
          <w:b/>
          <w:iCs/>
          <w:lang w:val="sr-Cyrl-CS"/>
        </w:rPr>
        <w:t xml:space="preserve"> </w:t>
      </w:r>
      <w:r>
        <w:rPr>
          <w:rFonts w:ascii="Times New Roman" w:hAnsi="Times New Roman" w:cs="Times New Roman"/>
          <w:b/>
          <w:iCs/>
          <w:lang w:val="sr-Cyrl-CS"/>
        </w:rPr>
        <w:t>i</w:t>
      </w:r>
      <w:r w:rsidR="0064036A" w:rsidRPr="00E95BC4">
        <w:rPr>
          <w:rFonts w:ascii="Times New Roman" w:hAnsi="Times New Roman" w:cs="Times New Roman"/>
          <w:b/>
          <w:iCs/>
          <w:lang w:val="sr-Cyrl-CS"/>
        </w:rPr>
        <w:t xml:space="preserve"> </w:t>
      </w:r>
      <w:r>
        <w:rPr>
          <w:rFonts w:ascii="Times New Roman" w:hAnsi="Times New Roman" w:cs="Times New Roman"/>
          <w:b/>
          <w:iCs/>
          <w:lang w:val="sr-Cyrl-CS"/>
        </w:rPr>
        <w:t>širenja</w:t>
      </w:r>
      <w:r w:rsidR="0064036A" w:rsidRPr="00E95BC4">
        <w:rPr>
          <w:rFonts w:ascii="Times New Roman" w:hAnsi="Times New Roman" w:cs="Times New Roman"/>
          <w:b/>
          <w:iCs/>
          <w:lang w:val="sr-Cyrl-CS"/>
        </w:rPr>
        <w:t xml:space="preserve"> </w:t>
      </w:r>
      <w:r>
        <w:rPr>
          <w:rFonts w:ascii="Times New Roman" w:hAnsi="Times New Roman" w:cs="Times New Roman"/>
          <w:b/>
          <w:iCs/>
          <w:lang w:val="sr-Cyrl-CS"/>
        </w:rPr>
        <w:t>oružja</w:t>
      </w:r>
      <w:r w:rsidR="0064036A" w:rsidRPr="00E95BC4">
        <w:rPr>
          <w:rFonts w:ascii="Times New Roman" w:hAnsi="Times New Roman" w:cs="Times New Roman"/>
          <w:b/>
          <w:iCs/>
          <w:lang w:val="sr-Cyrl-CS"/>
        </w:rPr>
        <w:t xml:space="preserve"> </w:t>
      </w:r>
      <w:r>
        <w:rPr>
          <w:rFonts w:ascii="Times New Roman" w:hAnsi="Times New Roman" w:cs="Times New Roman"/>
          <w:b/>
          <w:iCs/>
          <w:lang w:val="sr-Cyrl-CS"/>
        </w:rPr>
        <w:t>za</w:t>
      </w:r>
      <w:r w:rsidR="0064036A" w:rsidRPr="00E95BC4">
        <w:rPr>
          <w:rFonts w:ascii="Times New Roman" w:hAnsi="Times New Roman" w:cs="Times New Roman"/>
          <w:b/>
          <w:iCs/>
          <w:lang w:val="sr-Cyrl-CS"/>
        </w:rPr>
        <w:t xml:space="preserve"> </w:t>
      </w:r>
      <w:r>
        <w:rPr>
          <w:rFonts w:ascii="Times New Roman" w:hAnsi="Times New Roman" w:cs="Times New Roman"/>
          <w:b/>
          <w:iCs/>
          <w:lang w:val="sr-Cyrl-CS"/>
        </w:rPr>
        <w:t>masovno</w:t>
      </w:r>
      <w:r w:rsidR="0064036A" w:rsidRPr="00E95BC4">
        <w:rPr>
          <w:rFonts w:ascii="Times New Roman" w:hAnsi="Times New Roman" w:cs="Times New Roman"/>
          <w:b/>
          <w:iCs/>
          <w:lang w:val="sr-Cyrl-CS"/>
        </w:rPr>
        <w:t xml:space="preserve"> </w:t>
      </w:r>
      <w:r>
        <w:rPr>
          <w:rFonts w:ascii="Times New Roman" w:hAnsi="Times New Roman" w:cs="Times New Roman"/>
          <w:b/>
          <w:iCs/>
          <w:lang w:val="sr-Cyrl-CS"/>
        </w:rPr>
        <w:t>uništenje</w:t>
      </w:r>
      <w:r w:rsidR="0064036A" w:rsidRPr="00E95BC4">
        <w:rPr>
          <w:rFonts w:ascii="Times New Roman" w:hAnsi="Times New Roman" w:cs="Times New Roman"/>
          <w:b/>
          <w:iCs/>
          <w:color w:val="FFFFFF" w:themeColor="background1"/>
          <w:lang w:val="sr-Cyrl-CS"/>
        </w:rPr>
        <w:t xml:space="preserve"> </w:t>
      </w:r>
      <w:r>
        <w:rPr>
          <w:rFonts w:ascii="Times New Roman" w:hAnsi="Times New Roman" w:cs="Times New Roman"/>
          <w:lang w:val="sr-Cyrl-CS"/>
        </w:rPr>
        <w:t>propisuju</w:t>
      </w:r>
      <w:r w:rsidR="007F5C8D" w:rsidRPr="00E95BC4">
        <w:rPr>
          <w:rFonts w:ascii="Times New Roman" w:hAnsi="Times New Roman" w:cs="Times New Roman"/>
          <w:lang w:val="sr-Cyrl-CS"/>
        </w:rPr>
        <w:t xml:space="preserve"> </w:t>
      </w:r>
      <w:r>
        <w:rPr>
          <w:rFonts w:ascii="Times New Roman" w:hAnsi="Times New Roman" w:cs="Times New Roman"/>
          <w:lang w:val="sr-Cyrl-CS"/>
        </w:rPr>
        <w:t>se</w:t>
      </w:r>
      <w:r w:rsidR="007F5C8D" w:rsidRPr="00E95BC4">
        <w:rPr>
          <w:rFonts w:ascii="Times New Roman" w:hAnsi="Times New Roman" w:cs="Times New Roman"/>
          <w:lang w:val="sr-Cyrl-CS"/>
        </w:rPr>
        <w:t xml:space="preserve">, </w:t>
      </w:r>
      <w:r>
        <w:rPr>
          <w:rFonts w:ascii="Times New Roman" w:hAnsi="Times New Roman" w:cs="Times New Roman"/>
          <w:lang w:val="sr-Cyrl-CS"/>
        </w:rPr>
        <w:t>u</w:t>
      </w:r>
      <w:r w:rsidR="007F5C8D" w:rsidRPr="00E95BC4">
        <w:rPr>
          <w:rFonts w:ascii="Times New Roman" w:hAnsi="Times New Roman" w:cs="Times New Roman"/>
          <w:lang w:val="sr-Cyrl-CS"/>
        </w:rPr>
        <w:t xml:space="preserve"> </w:t>
      </w:r>
      <w:r>
        <w:rPr>
          <w:rFonts w:ascii="Times New Roman" w:hAnsi="Times New Roman" w:cs="Times New Roman"/>
          <w:lang w:val="sr-Cyrl-CS"/>
        </w:rPr>
        <w:t>cilju</w:t>
      </w:r>
      <w:r w:rsidR="007F5C8D" w:rsidRPr="00E95BC4">
        <w:rPr>
          <w:rFonts w:ascii="Times New Roman" w:hAnsi="Times New Roman" w:cs="Times New Roman"/>
          <w:lang w:val="sr-Cyrl-CS"/>
        </w:rPr>
        <w:t xml:space="preserve"> </w:t>
      </w:r>
      <w:r>
        <w:rPr>
          <w:rFonts w:ascii="Times New Roman" w:hAnsi="Times New Roman" w:cs="Times New Roman"/>
          <w:lang w:val="sr-Cyrl-CS"/>
        </w:rPr>
        <w:t>sprečavanja</w:t>
      </w:r>
      <w:r w:rsidR="007F5C8D" w:rsidRPr="00E95BC4">
        <w:rPr>
          <w:rFonts w:ascii="Times New Roman" w:hAnsi="Times New Roman" w:cs="Times New Roman"/>
          <w:lang w:val="sr-Cyrl-CS"/>
        </w:rPr>
        <w:t xml:space="preserve"> </w:t>
      </w:r>
      <w:r>
        <w:rPr>
          <w:rFonts w:ascii="Times New Roman" w:hAnsi="Times New Roman" w:cs="Times New Roman"/>
          <w:lang w:val="sr-Cyrl-CS"/>
        </w:rPr>
        <w:t>terorizma</w:t>
      </w:r>
      <w:r w:rsidR="007F5C8D" w:rsidRPr="00E95BC4">
        <w:rPr>
          <w:rFonts w:ascii="Times New Roman" w:hAnsi="Times New Roman" w:cs="Times New Roman"/>
          <w:lang w:val="sr-Cyrl-CS"/>
        </w:rPr>
        <w:t xml:space="preserve"> </w:t>
      </w:r>
      <w:r>
        <w:rPr>
          <w:rFonts w:ascii="Times New Roman" w:hAnsi="Times New Roman" w:cs="Times New Roman"/>
          <w:lang w:val="sr-Cyrl-CS"/>
        </w:rPr>
        <w:t>i</w:t>
      </w:r>
      <w:r w:rsidR="007F5C8D" w:rsidRPr="00E95BC4">
        <w:rPr>
          <w:rFonts w:ascii="Times New Roman" w:hAnsi="Times New Roman" w:cs="Times New Roman"/>
          <w:lang w:val="sr-Cyrl-CS"/>
        </w:rPr>
        <w:t xml:space="preserve"> </w:t>
      </w:r>
      <w:r>
        <w:rPr>
          <w:rFonts w:ascii="Times New Roman" w:hAnsi="Times New Roman" w:cs="Times New Roman"/>
          <w:lang w:val="sr-Cyrl-CS"/>
        </w:rPr>
        <w:t>širenja</w:t>
      </w:r>
      <w:r w:rsidR="007F5C8D" w:rsidRPr="00E95BC4">
        <w:rPr>
          <w:rFonts w:ascii="Times New Roman" w:hAnsi="Times New Roman" w:cs="Times New Roman"/>
          <w:lang w:val="sr-Cyrl-CS"/>
        </w:rPr>
        <w:t xml:space="preserve"> </w:t>
      </w:r>
      <w:r>
        <w:rPr>
          <w:rFonts w:ascii="Times New Roman" w:hAnsi="Times New Roman" w:cs="Times New Roman"/>
          <w:lang w:val="sr-Cyrl-CS"/>
        </w:rPr>
        <w:t>oružja</w:t>
      </w:r>
      <w:r w:rsidR="007F5C8D" w:rsidRPr="00E95BC4">
        <w:rPr>
          <w:rFonts w:ascii="Times New Roman" w:hAnsi="Times New Roman" w:cs="Times New Roman"/>
          <w:lang w:val="sr-Cyrl-CS"/>
        </w:rPr>
        <w:t xml:space="preserve"> </w:t>
      </w:r>
      <w:r>
        <w:rPr>
          <w:rFonts w:ascii="Times New Roman" w:hAnsi="Times New Roman" w:cs="Times New Roman"/>
          <w:lang w:val="sr-Cyrl-CS"/>
        </w:rPr>
        <w:t>za</w:t>
      </w:r>
      <w:r w:rsidR="007F5C8D" w:rsidRPr="00E95BC4">
        <w:rPr>
          <w:rFonts w:ascii="Times New Roman" w:hAnsi="Times New Roman" w:cs="Times New Roman"/>
          <w:lang w:val="sr-Cyrl-CS"/>
        </w:rPr>
        <w:t xml:space="preserve"> </w:t>
      </w:r>
      <w:r>
        <w:rPr>
          <w:rFonts w:ascii="Times New Roman" w:hAnsi="Times New Roman" w:cs="Times New Roman"/>
          <w:lang w:val="sr-Cyrl-CS"/>
        </w:rPr>
        <w:t>masovno</w:t>
      </w:r>
      <w:r w:rsidR="007F5C8D" w:rsidRPr="00E95BC4">
        <w:rPr>
          <w:rFonts w:ascii="Times New Roman" w:hAnsi="Times New Roman" w:cs="Times New Roman"/>
          <w:lang w:val="sr-Cyrl-CS"/>
        </w:rPr>
        <w:t xml:space="preserve"> </w:t>
      </w:r>
      <w:r>
        <w:rPr>
          <w:rFonts w:ascii="Times New Roman" w:hAnsi="Times New Roman" w:cs="Times New Roman"/>
          <w:lang w:val="sr-Cyrl-CS"/>
        </w:rPr>
        <w:t>uništenje</w:t>
      </w:r>
      <w:r w:rsidR="0023679E">
        <w:rPr>
          <w:rFonts w:ascii="Times New Roman" w:hAnsi="Times New Roman" w:cs="Times New Roman"/>
          <w:lang w:val="sr-Cyrl-CS"/>
        </w:rPr>
        <w:t>,</w:t>
      </w:r>
      <w:r w:rsidR="007F5C8D" w:rsidRPr="00E95BC4">
        <w:rPr>
          <w:rFonts w:ascii="Times New Roman" w:hAnsi="Times New Roman" w:cs="Times New Roman"/>
          <w:lang w:val="sr-Cyrl-CS"/>
        </w:rPr>
        <w:t xml:space="preserve"> </w:t>
      </w:r>
      <w:r>
        <w:rPr>
          <w:rFonts w:ascii="Times New Roman" w:hAnsi="Times New Roman" w:cs="Times New Roman"/>
          <w:lang w:val="sr-Cyrl-CS"/>
        </w:rPr>
        <w:t>radnje</w:t>
      </w:r>
      <w:r w:rsidR="007F5C8D" w:rsidRPr="00E95BC4">
        <w:rPr>
          <w:rFonts w:ascii="Times New Roman" w:hAnsi="Times New Roman" w:cs="Times New Roman"/>
          <w:lang w:val="sr-Cyrl-CS"/>
        </w:rPr>
        <w:t xml:space="preserve"> </w:t>
      </w:r>
      <w:r>
        <w:rPr>
          <w:rFonts w:ascii="Times New Roman" w:hAnsi="Times New Roman" w:cs="Times New Roman"/>
          <w:lang w:val="sr-Cyrl-CS"/>
        </w:rPr>
        <w:t>i</w:t>
      </w:r>
      <w:r w:rsidR="007F5C8D" w:rsidRPr="00E95BC4">
        <w:rPr>
          <w:rFonts w:ascii="Times New Roman" w:hAnsi="Times New Roman" w:cs="Times New Roman"/>
          <w:lang w:val="sr-Cyrl-CS"/>
        </w:rPr>
        <w:t xml:space="preserve"> </w:t>
      </w:r>
      <w:r>
        <w:rPr>
          <w:rFonts w:ascii="Times New Roman" w:hAnsi="Times New Roman" w:cs="Times New Roman"/>
          <w:lang w:val="sr-Cyrl-CS"/>
        </w:rPr>
        <w:t>mere</w:t>
      </w:r>
      <w:r w:rsidR="007F5C8D" w:rsidRPr="00E95BC4">
        <w:rPr>
          <w:rFonts w:ascii="Times New Roman" w:hAnsi="Times New Roman" w:cs="Times New Roman"/>
          <w:lang w:val="sr-Cyrl-CS"/>
        </w:rPr>
        <w:t xml:space="preserve"> </w:t>
      </w:r>
      <w:r>
        <w:rPr>
          <w:rFonts w:ascii="Times New Roman" w:hAnsi="Times New Roman" w:cs="Times New Roman"/>
          <w:lang w:val="sr-Cyrl-CS"/>
        </w:rPr>
        <w:t>za</w:t>
      </w:r>
      <w:r w:rsidR="007F5C8D" w:rsidRPr="00E95BC4">
        <w:rPr>
          <w:rFonts w:ascii="Times New Roman" w:hAnsi="Times New Roman" w:cs="Times New Roman"/>
          <w:lang w:val="sr-Cyrl-CS"/>
        </w:rPr>
        <w:t xml:space="preserve"> </w:t>
      </w:r>
      <w:r>
        <w:rPr>
          <w:rFonts w:ascii="Times New Roman" w:hAnsi="Times New Roman" w:cs="Times New Roman"/>
          <w:lang w:val="sr-Cyrl-CS"/>
        </w:rPr>
        <w:t>ograničavanje</w:t>
      </w:r>
      <w:r w:rsidR="007F5C8D" w:rsidRPr="00E95BC4">
        <w:rPr>
          <w:rFonts w:ascii="Times New Roman" w:hAnsi="Times New Roman" w:cs="Times New Roman"/>
          <w:lang w:val="sr-Cyrl-CS"/>
        </w:rPr>
        <w:t xml:space="preserve"> </w:t>
      </w:r>
      <w:r>
        <w:rPr>
          <w:rFonts w:ascii="Times New Roman" w:hAnsi="Times New Roman" w:cs="Times New Roman"/>
          <w:lang w:val="sr-Cyrl-CS"/>
        </w:rPr>
        <w:t>raspolaganja</w:t>
      </w:r>
      <w:r w:rsidR="007F5C8D" w:rsidRPr="00E95BC4">
        <w:rPr>
          <w:rFonts w:ascii="Times New Roman" w:hAnsi="Times New Roman" w:cs="Times New Roman"/>
          <w:lang w:val="sr-Cyrl-CS"/>
        </w:rPr>
        <w:t xml:space="preserve"> </w:t>
      </w:r>
      <w:r>
        <w:rPr>
          <w:rFonts w:ascii="Times New Roman" w:hAnsi="Times New Roman" w:cs="Times New Roman"/>
          <w:lang w:val="sr-Cyrl-CS"/>
        </w:rPr>
        <w:t>imovinom</w:t>
      </w:r>
      <w:r w:rsidR="007F5C8D" w:rsidRPr="00E95BC4">
        <w:rPr>
          <w:rFonts w:ascii="Times New Roman" w:hAnsi="Times New Roman" w:cs="Times New Roman"/>
          <w:lang w:val="sr-Cyrl-CS"/>
        </w:rPr>
        <w:t xml:space="preserve"> </w:t>
      </w:r>
      <w:r>
        <w:rPr>
          <w:rFonts w:ascii="Times New Roman" w:hAnsi="Times New Roman" w:cs="Times New Roman"/>
          <w:lang w:val="sr-Cyrl-CS"/>
        </w:rPr>
        <w:t>označenih</w:t>
      </w:r>
      <w:r w:rsidR="007F5C8D" w:rsidRPr="00E95BC4">
        <w:rPr>
          <w:rFonts w:ascii="Times New Roman" w:hAnsi="Times New Roman" w:cs="Times New Roman"/>
          <w:lang w:val="sr-Cyrl-CS"/>
        </w:rPr>
        <w:t xml:space="preserve"> </w:t>
      </w:r>
      <w:r>
        <w:rPr>
          <w:rFonts w:ascii="Times New Roman" w:hAnsi="Times New Roman" w:cs="Times New Roman"/>
          <w:lang w:val="sr-Cyrl-CS"/>
        </w:rPr>
        <w:t>lica</w:t>
      </w:r>
      <w:r w:rsidR="007F5C8D" w:rsidRPr="00E95BC4">
        <w:rPr>
          <w:rFonts w:ascii="Times New Roman" w:hAnsi="Times New Roman" w:cs="Times New Roman"/>
          <w:lang w:val="sr-Cyrl-CS"/>
        </w:rPr>
        <w:t xml:space="preserve">, </w:t>
      </w:r>
      <w:r>
        <w:rPr>
          <w:rFonts w:ascii="Times New Roman" w:hAnsi="Times New Roman" w:cs="Times New Roman"/>
          <w:lang w:val="sr-Cyrl-CS"/>
        </w:rPr>
        <w:t>nadležnost</w:t>
      </w:r>
      <w:r w:rsidR="007F5C8D" w:rsidRPr="00E95BC4">
        <w:rPr>
          <w:rFonts w:ascii="Times New Roman" w:hAnsi="Times New Roman" w:cs="Times New Roman"/>
          <w:lang w:val="sr-Cyrl-CS"/>
        </w:rPr>
        <w:t xml:space="preserve"> </w:t>
      </w:r>
      <w:r>
        <w:rPr>
          <w:rFonts w:ascii="Times New Roman" w:hAnsi="Times New Roman" w:cs="Times New Roman"/>
          <w:lang w:val="sr-Cyrl-CS"/>
        </w:rPr>
        <w:t>državnih</w:t>
      </w:r>
      <w:r w:rsidR="007F5C8D" w:rsidRPr="00E95BC4">
        <w:rPr>
          <w:rFonts w:ascii="Times New Roman" w:hAnsi="Times New Roman" w:cs="Times New Roman"/>
          <w:lang w:val="sr-Cyrl-CS"/>
        </w:rPr>
        <w:t xml:space="preserve"> </w:t>
      </w:r>
      <w:r>
        <w:rPr>
          <w:rFonts w:ascii="Times New Roman" w:hAnsi="Times New Roman" w:cs="Times New Roman"/>
          <w:lang w:val="sr-Cyrl-CS"/>
        </w:rPr>
        <w:t>organa</w:t>
      </w:r>
      <w:r w:rsidR="007F5C8D" w:rsidRPr="00E95BC4">
        <w:rPr>
          <w:rFonts w:ascii="Times New Roman" w:hAnsi="Times New Roman" w:cs="Times New Roman"/>
          <w:lang w:val="sr-Cyrl-CS"/>
        </w:rPr>
        <w:t xml:space="preserve"> </w:t>
      </w:r>
      <w:r>
        <w:rPr>
          <w:rFonts w:ascii="Times New Roman" w:hAnsi="Times New Roman" w:cs="Times New Roman"/>
          <w:lang w:val="sr-Cyrl-CS"/>
        </w:rPr>
        <w:t>za</w:t>
      </w:r>
      <w:r w:rsidR="007F5C8D" w:rsidRPr="00E95BC4">
        <w:rPr>
          <w:rFonts w:ascii="Times New Roman" w:hAnsi="Times New Roman" w:cs="Times New Roman"/>
          <w:lang w:val="sr-Cyrl-CS"/>
        </w:rPr>
        <w:t xml:space="preserve"> </w:t>
      </w:r>
      <w:r>
        <w:rPr>
          <w:rFonts w:ascii="Times New Roman" w:hAnsi="Times New Roman" w:cs="Times New Roman"/>
          <w:lang w:val="sr-Cyrl-CS"/>
        </w:rPr>
        <w:t>primenu</w:t>
      </w:r>
      <w:r w:rsidR="007F5C8D" w:rsidRPr="00E95BC4">
        <w:rPr>
          <w:rFonts w:ascii="Times New Roman" w:hAnsi="Times New Roman" w:cs="Times New Roman"/>
          <w:lang w:val="sr-Cyrl-CS"/>
        </w:rPr>
        <w:t xml:space="preserve"> </w:t>
      </w:r>
      <w:r>
        <w:rPr>
          <w:rFonts w:ascii="Times New Roman" w:hAnsi="Times New Roman" w:cs="Times New Roman"/>
          <w:lang w:val="sr-Cyrl-CS"/>
        </w:rPr>
        <w:t>tih</w:t>
      </w:r>
      <w:r w:rsidR="007F5C8D" w:rsidRPr="00E95BC4">
        <w:rPr>
          <w:rFonts w:ascii="Times New Roman" w:hAnsi="Times New Roman" w:cs="Times New Roman"/>
          <w:lang w:val="sr-Cyrl-CS"/>
        </w:rPr>
        <w:t xml:space="preserve"> </w:t>
      </w:r>
      <w:r>
        <w:rPr>
          <w:rFonts w:ascii="Times New Roman" w:hAnsi="Times New Roman" w:cs="Times New Roman"/>
          <w:lang w:val="sr-Cyrl-CS"/>
        </w:rPr>
        <w:t>mera</w:t>
      </w:r>
      <w:r w:rsidR="007F5C8D" w:rsidRPr="00E95BC4">
        <w:rPr>
          <w:rFonts w:ascii="Times New Roman" w:hAnsi="Times New Roman" w:cs="Times New Roman"/>
          <w:lang w:val="sr-Cyrl-CS"/>
        </w:rPr>
        <w:t xml:space="preserve">, </w:t>
      </w:r>
      <w:r>
        <w:rPr>
          <w:rFonts w:ascii="Times New Roman" w:hAnsi="Times New Roman" w:cs="Times New Roman"/>
          <w:lang w:val="sr-Cyrl-CS"/>
        </w:rPr>
        <w:t>kao</w:t>
      </w:r>
      <w:r w:rsidR="007F5C8D" w:rsidRPr="00E95BC4">
        <w:rPr>
          <w:rFonts w:ascii="Times New Roman" w:hAnsi="Times New Roman" w:cs="Times New Roman"/>
          <w:lang w:val="sr-Cyrl-CS"/>
        </w:rPr>
        <w:t xml:space="preserve"> </w:t>
      </w:r>
      <w:r>
        <w:rPr>
          <w:rFonts w:ascii="Times New Roman" w:hAnsi="Times New Roman" w:cs="Times New Roman"/>
          <w:lang w:val="sr-Cyrl-CS"/>
        </w:rPr>
        <w:t>i</w:t>
      </w:r>
      <w:r w:rsidR="007F5C8D" w:rsidRPr="00E95BC4">
        <w:rPr>
          <w:rFonts w:ascii="Times New Roman" w:hAnsi="Times New Roman" w:cs="Times New Roman"/>
          <w:lang w:val="sr-Cyrl-CS"/>
        </w:rPr>
        <w:t xml:space="preserve"> </w:t>
      </w:r>
      <w:r>
        <w:rPr>
          <w:rFonts w:ascii="Times New Roman" w:hAnsi="Times New Roman" w:cs="Times New Roman"/>
          <w:lang w:val="sr-Cyrl-CS"/>
        </w:rPr>
        <w:t>prava</w:t>
      </w:r>
      <w:r w:rsidR="007F5C8D" w:rsidRPr="00E95BC4">
        <w:rPr>
          <w:rFonts w:ascii="Times New Roman" w:hAnsi="Times New Roman" w:cs="Times New Roman"/>
          <w:lang w:val="sr-Cyrl-CS"/>
        </w:rPr>
        <w:t xml:space="preserve"> </w:t>
      </w:r>
      <w:r>
        <w:rPr>
          <w:rFonts w:ascii="Times New Roman" w:hAnsi="Times New Roman" w:cs="Times New Roman"/>
          <w:lang w:val="sr-Cyrl-CS"/>
        </w:rPr>
        <w:t>i</w:t>
      </w:r>
      <w:r w:rsidR="007F5C8D" w:rsidRPr="00E95BC4">
        <w:rPr>
          <w:rFonts w:ascii="Times New Roman" w:hAnsi="Times New Roman" w:cs="Times New Roman"/>
          <w:lang w:val="sr-Cyrl-CS"/>
        </w:rPr>
        <w:t xml:space="preserve"> </w:t>
      </w:r>
      <w:r>
        <w:rPr>
          <w:rFonts w:ascii="Times New Roman" w:hAnsi="Times New Roman" w:cs="Times New Roman"/>
          <w:lang w:val="sr-Cyrl-CS"/>
        </w:rPr>
        <w:t>obaveze</w:t>
      </w:r>
      <w:r w:rsidR="007F5C8D" w:rsidRPr="00E95BC4">
        <w:rPr>
          <w:rFonts w:ascii="Times New Roman" w:hAnsi="Times New Roman" w:cs="Times New Roman"/>
          <w:lang w:val="sr-Cyrl-CS"/>
        </w:rPr>
        <w:t xml:space="preserve"> </w:t>
      </w:r>
      <w:r>
        <w:rPr>
          <w:rFonts w:ascii="Times New Roman" w:hAnsi="Times New Roman" w:cs="Times New Roman"/>
          <w:lang w:val="sr-Cyrl-CS"/>
        </w:rPr>
        <w:t>fizičkih</w:t>
      </w:r>
      <w:r w:rsidR="007F5C8D" w:rsidRPr="00E95BC4">
        <w:rPr>
          <w:rFonts w:ascii="Times New Roman" w:hAnsi="Times New Roman" w:cs="Times New Roman"/>
          <w:lang w:val="sr-Cyrl-CS"/>
        </w:rPr>
        <w:t xml:space="preserve"> </w:t>
      </w:r>
      <w:r>
        <w:rPr>
          <w:rFonts w:ascii="Times New Roman" w:hAnsi="Times New Roman" w:cs="Times New Roman"/>
          <w:lang w:val="sr-Cyrl-CS"/>
        </w:rPr>
        <w:t>i</w:t>
      </w:r>
      <w:r w:rsidR="007F5C8D" w:rsidRPr="00E95BC4">
        <w:rPr>
          <w:rFonts w:ascii="Times New Roman" w:hAnsi="Times New Roman" w:cs="Times New Roman"/>
          <w:lang w:val="sr-Cyrl-CS"/>
        </w:rPr>
        <w:t xml:space="preserve"> </w:t>
      </w:r>
      <w:r>
        <w:rPr>
          <w:rFonts w:ascii="Times New Roman" w:hAnsi="Times New Roman" w:cs="Times New Roman"/>
          <w:lang w:val="sr-Cyrl-CS"/>
        </w:rPr>
        <w:t>pravnih</w:t>
      </w:r>
      <w:r w:rsidR="007F5C8D" w:rsidRPr="00E95BC4">
        <w:rPr>
          <w:rFonts w:ascii="Times New Roman" w:hAnsi="Times New Roman" w:cs="Times New Roman"/>
          <w:lang w:val="sr-Cyrl-CS"/>
        </w:rPr>
        <w:t xml:space="preserve"> </w:t>
      </w:r>
      <w:r>
        <w:rPr>
          <w:rFonts w:ascii="Times New Roman" w:hAnsi="Times New Roman" w:cs="Times New Roman"/>
          <w:lang w:val="sr-Cyrl-CS"/>
        </w:rPr>
        <w:t>lica</w:t>
      </w:r>
      <w:r w:rsidR="007F5C8D" w:rsidRPr="00E95BC4">
        <w:rPr>
          <w:rFonts w:ascii="Times New Roman" w:hAnsi="Times New Roman" w:cs="Times New Roman"/>
          <w:lang w:val="sr-Cyrl-CS"/>
        </w:rPr>
        <w:t xml:space="preserve"> </w:t>
      </w:r>
      <w:r>
        <w:rPr>
          <w:rFonts w:ascii="Times New Roman" w:hAnsi="Times New Roman" w:cs="Times New Roman"/>
          <w:lang w:val="sr-Cyrl-CS"/>
        </w:rPr>
        <w:t>u</w:t>
      </w:r>
      <w:r w:rsidR="007F5C8D" w:rsidRPr="00E95BC4">
        <w:rPr>
          <w:rFonts w:ascii="Times New Roman" w:hAnsi="Times New Roman" w:cs="Times New Roman"/>
          <w:lang w:val="sr-Cyrl-CS"/>
        </w:rPr>
        <w:t xml:space="preserve"> </w:t>
      </w:r>
      <w:r>
        <w:rPr>
          <w:rFonts w:ascii="Times New Roman" w:hAnsi="Times New Roman" w:cs="Times New Roman"/>
          <w:lang w:val="sr-Cyrl-CS"/>
        </w:rPr>
        <w:t>primeni</w:t>
      </w:r>
      <w:r w:rsidR="007F5C8D" w:rsidRPr="00E95BC4">
        <w:rPr>
          <w:rFonts w:ascii="Times New Roman" w:hAnsi="Times New Roman" w:cs="Times New Roman"/>
          <w:lang w:val="sr-Cyrl-CS"/>
        </w:rPr>
        <w:t xml:space="preserve"> </w:t>
      </w:r>
      <w:r>
        <w:rPr>
          <w:rFonts w:ascii="Times New Roman" w:hAnsi="Times New Roman" w:cs="Times New Roman"/>
          <w:lang w:val="sr-Cyrl-CS"/>
        </w:rPr>
        <w:t>odredaba</w:t>
      </w:r>
      <w:r w:rsidR="007F5C8D" w:rsidRPr="00E95BC4">
        <w:rPr>
          <w:rFonts w:ascii="Times New Roman" w:hAnsi="Times New Roman" w:cs="Times New Roman"/>
          <w:lang w:val="sr-Cyrl-CS"/>
        </w:rPr>
        <w:t xml:space="preserve"> </w:t>
      </w:r>
      <w:r>
        <w:rPr>
          <w:rFonts w:ascii="Times New Roman" w:hAnsi="Times New Roman" w:cs="Times New Roman"/>
          <w:lang w:val="sr-Cyrl-CS"/>
        </w:rPr>
        <w:t>ovog</w:t>
      </w:r>
      <w:r w:rsidR="007F5C8D" w:rsidRPr="00E95BC4">
        <w:rPr>
          <w:rFonts w:ascii="Times New Roman" w:hAnsi="Times New Roman" w:cs="Times New Roman"/>
          <w:lang w:val="sr-Cyrl-CS"/>
        </w:rPr>
        <w:t xml:space="preserve"> </w:t>
      </w:r>
      <w:r>
        <w:rPr>
          <w:rFonts w:ascii="Times New Roman" w:hAnsi="Times New Roman" w:cs="Times New Roman"/>
          <w:lang w:val="sr-Cyrl-CS"/>
        </w:rPr>
        <w:t>zakona</w:t>
      </w:r>
      <w:r w:rsidR="009B6F9B" w:rsidRPr="00E95BC4">
        <w:rPr>
          <w:rFonts w:ascii="Times New Roman" w:hAnsi="Times New Roman" w:cs="Times New Roman"/>
          <w:lang w:val="sr-Cyrl-CS"/>
        </w:rPr>
        <w:t>. „</w:t>
      </w:r>
      <w:r>
        <w:rPr>
          <w:rFonts w:ascii="Times New Roman" w:hAnsi="Times New Roman" w:cs="Times New Roman"/>
          <w:lang w:val="sr-Cyrl-CS"/>
        </w:rPr>
        <w:t>Ograničavanje</w:t>
      </w:r>
      <w:r w:rsidR="007F5C8D" w:rsidRPr="00E95BC4">
        <w:rPr>
          <w:rFonts w:ascii="Times New Roman" w:hAnsi="Times New Roman" w:cs="Times New Roman"/>
          <w:lang w:val="sr-Cyrl-CS"/>
        </w:rPr>
        <w:t xml:space="preserve"> </w:t>
      </w:r>
      <w:r>
        <w:rPr>
          <w:rFonts w:ascii="Times New Roman" w:hAnsi="Times New Roman" w:cs="Times New Roman"/>
          <w:lang w:val="sr-Cyrl-CS"/>
        </w:rPr>
        <w:t>raspolaganja</w:t>
      </w:r>
      <w:r w:rsidR="007F5C8D" w:rsidRPr="00E95BC4">
        <w:rPr>
          <w:rFonts w:ascii="Times New Roman" w:hAnsi="Times New Roman" w:cs="Times New Roman"/>
          <w:lang w:val="sr-Cyrl-CS"/>
        </w:rPr>
        <w:t xml:space="preserve"> </w:t>
      </w:r>
      <w:r>
        <w:rPr>
          <w:rFonts w:ascii="Times New Roman" w:hAnsi="Times New Roman" w:cs="Times New Roman"/>
          <w:lang w:val="sr-Cyrl-CS"/>
        </w:rPr>
        <w:t>imovinom</w:t>
      </w:r>
      <w:r w:rsidR="009B6F9B" w:rsidRPr="00E95BC4">
        <w:rPr>
          <w:rFonts w:ascii="Times New Roman" w:hAnsi="Times New Roman" w:cs="Times New Roman"/>
          <w:lang w:val="sr-Cyrl-CS"/>
        </w:rPr>
        <w:t>”</w:t>
      </w:r>
      <w:r w:rsidR="007F5C8D" w:rsidRPr="00E95BC4">
        <w:rPr>
          <w:rFonts w:ascii="Times New Roman" w:hAnsi="Times New Roman" w:cs="Times New Roman"/>
          <w:lang w:val="sr-Cyrl-CS"/>
        </w:rPr>
        <w:t xml:space="preserve"> </w:t>
      </w:r>
      <w:r>
        <w:rPr>
          <w:rFonts w:ascii="Times New Roman" w:hAnsi="Times New Roman" w:cs="Times New Roman"/>
          <w:lang w:val="sr-Cyrl-CS"/>
        </w:rPr>
        <w:t>je</w:t>
      </w:r>
      <w:r w:rsidR="007F5C8D" w:rsidRPr="00E95BC4">
        <w:rPr>
          <w:rFonts w:ascii="Times New Roman" w:hAnsi="Times New Roman" w:cs="Times New Roman"/>
          <w:lang w:val="sr-Cyrl-CS"/>
        </w:rPr>
        <w:t xml:space="preserve"> </w:t>
      </w:r>
      <w:r>
        <w:rPr>
          <w:rFonts w:ascii="Times New Roman" w:hAnsi="Times New Roman" w:cs="Times New Roman"/>
          <w:lang w:val="sr-Cyrl-CS"/>
        </w:rPr>
        <w:t>privremena</w:t>
      </w:r>
      <w:r w:rsidR="007F5C8D" w:rsidRPr="00E95BC4">
        <w:rPr>
          <w:rFonts w:ascii="Times New Roman" w:hAnsi="Times New Roman" w:cs="Times New Roman"/>
          <w:lang w:val="sr-Cyrl-CS"/>
        </w:rPr>
        <w:t xml:space="preserve"> </w:t>
      </w:r>
      <w:r>
        <w:rPr>
          <w:rFonts w:ascii="Times New Roman" w:hAnsi="Times New Roman" w:cs="Times New Roman"/>
          <w:lang w:val="sr-Cyrl-CS"/>
        </w:rPr>
        <w:t>zabrana</w:t>
      </w:r>
      <w:r w:rsidR="007F5C8D" w:rsidRPr="00E95BC4">
        <w:rPr>
          <w:rFonts w:ascii="Times New Roman" w:hAnsi="Times New Roman" w:cs="Times New Roman"/>
          <w:lang w:val="sr-Cyrl-CS"/>
        </w:rPr>
        <w:t xml:space="preserve"> </w:t>
      </w:r>
      <w:r>
        <w:rPr>
          <w:rFonts w:ascii="Times New Roman" w:hAnsi="Times New Roman" w:cs="Times New Roman"/>
          <w:lang w:val="sr-Cyrl-CS"/>
        </w:rPr>
        <w:t>prenosa</w:t>
      </w:r>
      <w:r w:rsidR="007F5C8D" w:rsidRPr="00E95BC4">
        <w:rPr>
          <w:rFonts w:ascii="Times New Roman" w:hAnsi="Times New Roman" w:cs="Times New Roman"/>
          <w:lang w:val="sr-Cyrl-CS"/>
        </w:rPr>
        <w:t xml:space="preserve">, </w:t>
      </w:r>
      <w:r>
        <w:rPr>
          <w:rFonts w:ascii="Times New Roman" w:hAnsi="Times New Roman" w:cs="Times New Roman"/>
          <w:lang w:val="sr-Cyrl-CS"/>
        </w:rPr>
        <w:t>konverzije</w:t>
      </w:r>
      <w:r w:rsidR="007F5C8D" w:rsidRPr="00E95BC4">
        <w:rPr>
          <w:rFonts w:ascii="Times New Roman" w:hAnsi="Times New Roman" w:cs="Times New Roman"/>
          <w:lang w:val="sr-Cyrl-CS"/>
        </w:rPr>
        <w:t xml:space="preserve">, </w:t>
      </w:r>
      <w:r>
        <w:rPr>
          <w:rFonts w:ascii="Times New Roman" w:hAnsi="Times New Roman" w:cs="Times New Roman"/>
          <w:lang w:val="sr-Cyrl-CS"/>
        </w:rPr>
        <w:t>raspolaganja</w:t>
      </w:r>
      <w:r w:rsidR="007F5C8D" w:rsidRPr="00E95BC4">
        <w:rPr>
          <w:rFonts w:ascii="Times New Roman" w:hAnsi="Times New Roman" w:cs="Times New Roman"/>
          <w:lang w:val="sr-Cyrl-CS"/>
        </w:rPr>
        <w:t xml:space="preserve"> </w:t>
      </w:r>
      <w:r>
        <w:rPr>
          <w:rFonts w:ascii="Times New Roman" w:hAnsi="Times New Roman" w:cs="Times New Roman"/>
          <w:lang w:val="sr-Cyrl-CS"/>
        </w:rPr>
        <w:t>i</w:t>
      </w:r>
      <w:r w:rsidR="007F5C8D" w:rsidRPr="00E95BC4">
        <w:rPr>
          <w:rFonts w:ascii="Times New Roman" w:hAnsi="Times New Roman" w:cs="Times New Roman"/>
          <w:lang w:val="sr-Cyrl-CS"/>
        </w:rPr>
        <w:t xml:space="preserve"> </w:t>
      </w:r>
      <w:r>
        <w:rPr>
          <w:rFonts w:ascii="Times New Roman" w:hAnsi="Times New Roman" w:cs="Times New Roman"/>
          <w:lang w:val="sr-Cyrl-CS"/>
        </w:rPr>
        <w:t>premeštanja</w:t>
      </w:r>
      <w:r w:rsidR="007F5C8D" w:rsidRPr="00E95BC4">
        <w:rPr>
          <w:rFonts w:ascii="Times New Roman" w:hAnsi="Times New Roman" w:cs="Times New Roman"/>
          <w:lang w:val="sr-Cyrl-CS"/>
        </w:rPr>
        <w:t xml:space="preserve"> </w:t>
      </w:r>
      <w:r>
        <w:rPr>
          <w:rFonts w:ascii="Times New Roman" w:hAnsi="Times New Roman" w:cs="Times New Roman"/>
          <w:lang w:val="sr-Cyrl-CS"/>
        </w:rPr>
        <w:t>imovine</w:t>
      </w:r>
      <w:r w:rsidR="007F5C8D" w:rsidRPr="00E95BC4">
        <w:rPr>
          <w:rFonts w:ascii="Times New Roman" w:hAnsi="Times New Roman" w:cs="Times New Roman"/>
          <w:lang w:val="sr-Cyrl-CS"/>
        </w:rPr>
        <w:t xml:space="preserve"> </w:t>
      </w:r>
      <w:r>
        <w:rPr>
          <w:rFonts w:ascii="Times New Roman" w:hAnsi="Times New Roman" w:cs="Times New Roman"/>
          <w:lang w:val="sr-Cyrl-CS"/>
        </w:rPr>
        <w:t>ili</w:t>
      </w:r>
      <w:r w:rsidR="007F5C8D" w:rsidRPr="00E95BC4">
        <w:rPr>
          <w:rFonts w:ascii="Times New Roman" w:hAnsi="Times New Roman" w:cs="Times New Roman"/>
          <w:lang w:val="sr-Cyrl-CS"/>
        </w:rPr>
        <w:t xml:space="preserve"> </w:t>
      </w:r>
      <w:r>
        <w:rPr>
          <w:rFonts w:ascii="Times New Roman" w:hAnsi="Times New Roman" w:cs="Times New Roman"/>
          <w:lang w:val="sr-Cyrl-CS"/>
        </w:rPr>
        <w:t>privremeno</w:t>
      </w:r>
      <w:r w:rsidR="007F5C8D" w:rsidRPr="00E95BC4">
        <w:rPr>
          <w:rFonts w:ascii="Times New Roman" w:hAnsi="Times New Roman" w:cs="Times New Roman"/>
          <w:lang w:val="sr-Cyrl-CS"/>
        </w:rPr>
        <w:t xml:space="preserve"> </w:t>
      </w:r>
      <w:r>
        <w:rPr>
          <w:rFonts w:ascii="Times New Roman" w:hAnsi="Times New Roman" w:cs="Times New Roman"/>
          <w:lang w:val="sr-Cyrl-CS"/>
        </w:rPr>
        <w:t>upravljanje</w:t>
      </w:r>
      <w:r w:rsidR="007F5C8D" w:rsidRPr="00E95BC4">
        <w:rPr>
          <w:rFonts w:ascii="Times New Roman" w:hAnsi="Times New Roman" w:cs="Times New Roman"/>
          <w:lang w:val="sr-Cyrl-CS"/>
        </w:rPr>
        <w:t xml:space="preserve"> </w:t>
      </w:r>
      <w:r>
        <w:rPr>
          <w:rFonts w:ascii="Times New Roman" w:hAnsi="Times New Roman" w:cs="Times New Roman"/>
          <w:lang w:val="sr-Cyrl-CS"/>
        </w:rPr>
        <w:t>tom</w:t>
      </w:r>
      <w:r w:rsidR="007F5C8D" w:rsidRPr="00E95BC4">
        <w:rPr>
          <w:rFonts w:ascii="Times New Roman" w:hAnsi="Times New Roman" w:cs="Times New Roman"/>
          <w:lang w:val="sr-Cyrl-CS"/>
        </w:rPr>
        <w:t xml:space="preserve"> </w:t>
      </w:r>
      <w:r>
        <w:rPr>
          <w:rFonts w:ascii="Times New Roman" w:hAnsi="Times New Roman" w:cs="Times New Roman"/>
          <w:lang w:val="sr-Cyrl-CS"/>
        </w:rPr>
        <w:t>imovinom</w:t>
      </w:r>
      <w:r w:rsidR="007F5C8D" w:rsidRPr="00E95BC4">
        <w:rPr>
          <w:rFonts w:ascii="Times New Roman" w:hAnsi="Times New Roman" w:cs="Times New Roman"/>
          <w:lang w:val="sr-Cyrl-CS"/>
        </w:rPr>
        <w:t xml:space="preserve"> </w:t>
      </w:r>
      <w:r>
        <w:rPr>
          <w:rFonts w:ascii="Times New Roman" w:hAnsi="Times New Roman" w:cs="Times New Roman"/>
          <w:lang w:val="sr-Cyrl-CS"/>
        </w:rPr>
        <w:t>na</w:t>
      </w:r>
      <w:r w:rsidR="007F5C8D" w:rsidRPr="00E95BC4">
        <w:rPr>
          <w:rFonts w:ascii="Times New Roman" w:hAnsi="Times New Roman" w:cs="Times New Roman"/>
          <w:lang w:val="sr-Cyrl-CS"/>
        </w:rPr>
        <w:t xml:space="preserve"> </w:t>
      </w:r>
      <w:r>
        <w:rPr>
          <w:rFonts w:ascii="Times New Roman" w:hAnsi="Times New Roman" w:cs="Times New Roman"/>
          <w:lang w:val="sr-Cyrl-CS"/>
        </w:rPr>
        <w:t>osnovu</w:t>
      </w:r>
      <w:r w:rsidR="007F5C8D" w:rsidRPr="00E95BC4">
        <w:rPr>
          <w:rFonts w:ascii="Times New Roman" w:hAnsi="Times New Roman" w:cs="Times New Roman"/>
          <w:lang w:val="sr-Cyrl-CS"/>
        </w:rPr>
        <w:t xml:space="preserve"> </w:t>
      </w:r>
      <w:r>
        <w:rPr>
          <w:rFonts w:ascii="Times New Roman" w:hAnsi="Times New Roman" w:cs="Times New Roman"/>
          <w:lang w:val="sr-Cyrl-CS"/>
        </w:rPr>
        <w:t>odluke</w:t>
      </w:r>
      <w:r w:rsidR="007F5C8D" w:rsidRPr="00E95BC4">
        <w:rPr>
          <w:rFonts w:ascii="Times New Roman" w:hAnsi="Times New Roman" w:cs="Times New Roman"/>
          <w:lang w:val="sr-Cyrl-CS"/>
        </w:rPr>
        <w:t xml:space="preserve"> </w:t>
      </w:r>
      <w:r>
        <w:rPr>
          <w:rFonts w:ascii="Times New Roman" w:hAnsi="Times New Roman" w:cs="Times New Roman"/>
          <w:lang w:val="sr-Cyrl-CS"/>
        </w:rPr>
        <w:t>nadležnog</w:t>
      </w:r>
      <w:r w:rsidR="007F5C8D" w:rsidRPr="00E95BC4">
        <w:rPr>
          <w:rFonts w:ascii="Times New Roman" w:hAnsi="Times New Roman" w:cs="Times New Roman"/>
          <w:lang w:val="sr-Cyrl-CS"/>
        </w:rPr>
        <w:t xml:space="preserve"> </w:t>
      </w:r>
      <w:r>
        <w:rPr>
          <w:rFonts w:ascii="Times New Roman" w:hAnsi="Times New Roman" w:cs="Times New Roman"/>
          <w:lang w:val="sr-Cyrl-CS"/>
        </w:rPr>
        <w:t>državnog</w:t>
      </w:r>
      <w:r w:rsidR="007F5C8D" w:rsidRPr="00E95BC4">
        <w:rPr>
          <w:rFonts w:ascii="Times New Roman" w:hAnsi="Times New Roman" w:cs="Times New Roman"/>
          <w:lang w:val="sr-Cyrl-CS"/>
        </w:rPr>
        <w:t xml:space="preserve"> </w:t>
      </w:r>
      <w:r>
        <w:rPr>
          <w:rFonts w:ascii="Times New Roman" w:hAnsi="Times New Roman" w:cs="Times New Roman"/>
          <w:lang w:val="sr-Cyrl-CS"/>
        </w:rPr>
        <w:t>organa</w:t>
      </w:r>
      <w:r w:rsidR="007F5C8D" w:rsidRPr="00E95BC4">
        <w:rPr>
          <w:rFonts w:ascii="Times New Roman" w:hAnsi="Times New Roman" w:cs="Times New Roman"/>
          <w:lang w:val="sr-Cyrl-CS"/>
        </w:rPr>
        <w:t>.</w:t>
      </w:r>
    </w:p>
    <w:p w:rsidR="007F5C8D" w:rsidRPr="00E95BC4" w:rsidRDefault="00934E82" w:rsidP="00236EB6">
      <w:pPr>
        <w:pStyle w:val="ListParagraph"/>
        <w:ind w:left="0" w:firstLine="720"/>
        <w:jc w:val="both"/>
        <w:rPr>
          <w:i/>
          <w:lang w:val="sr-Cyrl-CS"/>
        </w:rPr>
      </w:pPr>
      <w:r w:rsidRPr="00934E82">
        <w:rPr>
          <w:iCs/>
          <w:noProof/>
          <w:color w:val="auto"/>
        </w:rPr>
        <w:lastRenderedPageBreak/>
        <w:pict>
          <v:shape id="Text Box 17" o:spid="_x0000_s1029" type="#_x0000_t202" style="position:absolute;left:0;text-align:left;margin-left:1.85pt;margin-top:78pt;width:466.85pt;height:347.2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" fillcolor="#a5a5a5 [2092]" stroked="f" strokecolor="#f2f2f2 [3041]" strokeweight="3pt">
            <v:shadow color="#7f7f7f [1601]" opacity=".5" offset="1pt"/>
            <v:textbox>
              <w:txbxContent>
                <w:p w:rsidR="005818C0" w:rsidRPr="00C21C2C" w:rsidRDefault="005818C0" w:rsidP="001A18C8">
                  <w:pPr>
                    <w:pStyle w:val="ListParagraph"/>
                    <w:numPr>
                      <w:ilvl w:val="0"/>
                      <w:numId w:val="9"/>
                    </w:numPr>
                    <w:ind w:left="284" w:hanging="284"/>
                    <w:rPr>
                      <w:iCs/>
                      <w:color w:val="FFFFFF" w:themeColor="background1"/>
                      <w:sz w:val="18"/>
                      <w:szCs w:val="18"/>
                    </w:rPr>
                  </w:pPr>
                  <w:r w:rsidRPr="00C21C2C">
                    <w:rPr>
                      <w:b/>
                      <w:iCs/>
                      <w:color w:val="FFFFFF" w:themeColor="background1"/>
                      <w:sz w:val="18"/>
                      <w:szCs w:val="18"/>
                    </w:rPr>
                    <w:t>Закон о банкама („</w:t>
                  </w:r>
                  <w:r>
                    <w:rPr>
                      <w:iCs/>
                      <w:color w:val="FFFFFF" w:themeColor="background1"/>
                      <w:sz w:val="18"/>
                      <w:szCs w:val="18"/>
                    </w:rPr>
                    <w:t>Службени гласник РС”, бр. 107/05, 91/10 и 14/</w:t>
                  </w:r>
                  <w:r w:rsidRPr="00C21C2C">
                    <w:rPr>
                      <w:iCs/>
                      <w:color w:val="FFFFFF" w:themeColor="background1"/>
                      <w:sz w:val="18"/>
                      <w:szCs w:val="18"/>
                    </w:rPr>
                    <w:t>15);</w:t>
                  </w:r>
                </w:p>
                <w:p w:rsidR="005818C0" w:rsidRPr="00C21C2C" w:rsidRDefault="005818C0" w:rsidP="00FA5629">
                  <w:pPr>
                    <w:pStyle w:val="ListParagraph"/>
                    <w:numPr>
                      <w:ilvl w:val="0"/>
                      <w:numId w:val="9"/>
                    </w:numPr>
                    <w:ind w:left="284" w:hanging="284"/>
                    <w:rPr>
                      <w:iCs/>
                      <w:color w:val="FFFFFF" w:themeColor="background1"/>
                      <w:sz w:val="18"/>
                      <w:szCs w:val="18"/>
                    </w:rPr>
                  </w:pPr>
                  <w:r w:rsidRPr="00C21C2C">
                    <w:rPr>
                      <w:b/>
                      <w:iCs/>
                      <w:color w:val="FFFFFF" w:themeColor="background1"/>
                      <w:sz w:val="18"/>
                      <w:szCs w:val="18"/>
                    </w:rPr>
                    <w:t>Закон о осигурању</w:t>
                  </w:r>
                  <w:r>
                    <w:rPr>
                      <w:iCs/>
                      <w:color w:val="FFFFFF" w:themeColor="background1"/>
                      <w:sz w:val="18"/>
                      <w:szCs w:val="18"/>
                    </w:rPr>
                    <w:t> („Службени гласник РС”, број 139/</w:t>
                  </w:r>
                  <w:r w:rsidRPr="00C21C2C">
                    <w:rPr>
                      <w:iCs/>
                      <w:color w:val="FFFFFF" w:themeColor="background1"/>
                      <w:sz w:val="18"/>
                      <w:szCs w:val="18"/>
                    </w:rPr>
                    <w:t>14);</w:t>
                  </w:r>
                </w:p>
                <w:p w:rsidR="005818C0" w:rsidRPr="00C21C2C" w:rsidRDefault="005818C0" w:rsidP="00FA5629">
                  <w:pPr>
                    <w:pStyle w:val="ListParagraph"/>
                    <w:numPr>
                      <w:ilvl w:val="0"/>
                      <w:numId w:val="9"/>
                    </w:numPr>
                    <w:ind w:left="284" w:hanging="284"/>
                    <w:rPr>
                      <w:iCs/>
                      <w:color w:val="FFFFFF" w:themeColor="background1"/>
                      <w:sz w:val="18"/>
                      <w:szCs w:val="18"/>
                    </w:rPr>
                  </w:pPr>
                  <w:r w:rsidRPr="00C21C2C">
                    <w:rPr>
                      <w:b/>
                      <w:iCs/>
                      <w:color w:val="FFFFFF" w:themeColor="background1"/>
                      <w:sz w:val="18"/>
                      <w:szCs w:val="18"/>
                    </w:rPr>
                    <w:t>Закон о добровољним пензијским фондовима и пензијским плановима</w:t>
                  </w:r>
                  <w:r w:rsidRPr="00C21C2C">
                    <w:rPr>
                      <w:iCs/>
                      <w:color w:val="FFFFFF" w:themeColor="background1"/>
                      <w:sz w:val="18"/>
                      <w:szCs w:val="18"/>
                    </w:rPr>
                    <w:t xml:space="preserve"> („Службени гласни</w:t>
                  </w:r>
                  <w:r>
                    <w:rPr>
                      <w:iCs/>
                      <w:color w:val="FFFFFF" w:themeColor="background1"/>
                      <w:sz w:val="18"/>
                      <w:szCs w:val="18"/>
                    </w:rPr>
                    <w:t>к РС”, бр. 85/05, 31/</w:t>
                  </w:r>
                  <w:r w:rsidRPr="00C21C2C">
                    <w:rPr>
                      <w:iCs/>
                      <w:color w:val="FFFFFF" w:themeColor="background1"/>
                      <w:sz w:val="18"/>
                      <w:szCs w:val="18"/>
                    </w:rPr>
                    <w:t>11);</w:t>
                  </w:r>
                </w:p>
                <w:p w:rsidR="005818C0" w:rsidRPr="00C21C2C" w:rsidRDefault="005818C0" w:rsidP="00FA5629">
                  <w:pPr>
                    <w:pStyle w:val="ListParagraph"/>
                    <w:numPr>
                      <w:ilvl w:val="0"/>
                      <w:numId w:val="9"/>
                    </w:numPr>
                    <w:ind w:left="284" w:hanging="284"/>
                    <w:rPr>
                      <w:iCs/>
                      <w:color w:val="FFFFFF" w:themeColor="background1"/>
                      <w:sz w:val="18"/>
                      <w:szCs w:val="18"/>
                    </w:rPr>
                  </w:pPr>
                  <w:r w:rsidRPr="00C21C2C">
                    <w:rPr>
                      <w:b/>
                      <w:iCs/>
                      <w:color w:val="FFFFFF" w:themeColor="background1"/>
                      <w:sz w:val="18"/>
                      <w:szCs w:val="18"/>
                    </w:rPr>
                    <w:t>Закон о финансијском лизингу</w:t>
                  </w:r>
                  <w:r w:rsidRPr="00C21C2C">
                    <w:rPr>
                      <w:color w:val="FFFFFF" w:themeColor="background1"/>
                      <w:sz w:val="18"/>
                      <w:szCs w:val="18"/>
                    </w:rPr>
                    <w:t xml:space="preserve"> </w:t>
                  </w:r>
                  <w:r w:rsidRPr="00C21C2C">
                    <w:rPr>
                      <w:iCs/>
                      <w:color w:val="FFFFFF" w:themeColor="background1"/>
                      <w:sz w:val="18"/>
                      <w:szCs w:val="18"/>
                    </w:rPr>
                    <w:t>(</w:t>
                  </w:r>
                  <w:r>
                    <w:rPr>
                      <w:iCs/>
                      <w:color w:val="FFFFFF" w:themeColor="background1"/>
                      <w:sz w:val="18"/>
                      <w:szCs w:val="18"/>
                    </w:rPr>
                    <w:t>„Службени гласник РС”, бр. 55/03, 61/05, 31/11, 99/11-др. закон и 99/11-</w:t>
                  </w:r>
                  <w:r w:rsidRPr="00C21C2C">
                    <w:rPr>
                      <w:iCs/>
                      <w:color w:val="FFFFFF" w:themeColor="background1"/>
                      <w:sz w:val="18"/>
                      <w:szCs w:val="18"/>
                    </w:rPr>
                    <w:t>др. закон);</w:t>
                  </w:r>
                </w:p>
                <w:p w:rsidR="005818C0" w:rsidRPr="00C21C2C" w:rsidRDefault="005818C0" w:rsidP="00FA5629">
                  <w:pPr>
                    <w:pStyle w:val="ListParagraph"/>
                    <w:numPr>
                      <w:ilvl w:val="0"/>
                      <w:numId w:val="9"/>
                    </w:numPr>
                    <w:ind w:left="284" w:hanging="284"/>
                    <w:rPr>
                      <w:iCs/>
                      <w:color w:val="FFFFFF" w:themeColor="background1"/>
                      <w:sz w:val="18"/>
                      <w:szCs w:val="18"/>
                    </w:rPr>
                  </w:pPr>
                  <w:r w:rsidRPr="00C21C2C">
                    <w:rPr>
                      <w:b/>
                      <w:iCs/>
                      <w:color w:val="FFFFFF" w:themeColor="background1"/>
                      <w:sz w:val="18"/>
                      <w:szCs w:val="18"/>
                    </w:rPr>
                    <w:t>Закон о платним услугама</w:t>
                  </w:r>
                  <w:r w:rsidRPr="00C21C2C">
                    <w:rPr>
                      <w:iCs/>
                      <w:color w:val="FFFFFF" w:themeColor="background1"/>
                      <w:sz w:val="18"/>
                      <w:szCs w:val="18"/>
                    </w:rPr>
                    <w:t xml:space="preserve"> („</w:t>
                  </w:r>
                  <w:r>
                    <w:rPr>
                      <w:iCs/>
                      <w:color w:val="FFFFFF" w:themeColor="background1"/>
                      <w:sz w:val="18"/>
                      <w:szCs w:val="18"/>
                    </w:rPr>
                    <w:t>Службени гласник РС”, бр. 139/14 и 44/</w:t>
                  </w:r>
                  <w:r w:rsidRPr="00C21C2C">
                    <w:rPr>
                      <w:iCs/>
                      <w:color w:val="FFFFFF" w:themeColor="background1"/>
                      <w:sz w:val="18"/>
                      <w:szCs w:val="18"/>
                    </w:rPr>
                    <w:t>18);</w:t>
                  </w:r>
                </w:p>
                <w:p w:rsidR="005818C0" w:rsidRPr="00C21C2C" w:rsidRDefault="005818C0" w:rsidP="00FA5629">
                  <w:pPr>
                    <w:pStyle w:val="ListParagraph"/>
                    <w:numPr>
                      <w:ilvl w:val="0"/>
                      <w:numId w:val="9"/>
                    </w:numPr>
                    <w:ind w:left="284" w:hanging="284"/>
                    <w:rPr>
                      <w:iCs/>
                      <w:color w:val="FFFFFF" w:themeColor="background1"/>
                      <w:sz w:val="18"/>
                      <w:szCs w:val="18"/>
                    </w:rPr>
                  </w:pPr>
                  <w:r w:rsidRPr="00C21C2C">
                    <w:rPr>
                      <w:b/>
                      <w:iCs/>
                      <w:color w:val="FFFFFF" w:themeColor="background1"/>
                      <w:sz w:val="18"/>
                      <w:szCs w:val="18"/>
                    </w:rPr>
                    <w:t>Закон о платном промету</w:t>
                  </w:r>
                  <w:r w:rsidRPr="00C21C2C">
                    <w:rPr>
                      <w:iCs/>
                      <w:color w:val="FFFFFF" w:themeColor="background1"/>
                      <w:sz w:val="18"/>
                      <w:szCs w:val="18"/>
                    </w:rPr>
                    <w:t xml:space="preserve"> </w:t>
                  </w:r>
                  <w:r>
                    <w:rPr>
                      <w:iCs/>
                      <w:color w:val="FFFFFF" w:themeColor="background1"/>
                      <w:sz w:val="18"/>
                      <w:szCs w:val="18"/>
                    </w:rPr>
                    <w:t>(„Службени лист СРЈ”, број 3/</w:t>
                  </w:r>
                  <w:r w:rsidRPr="00C21C2C">
                    <w:rPr>
                      <w:iCs/>
                      <w:color w:val="FFFFFF" w:themeColor="background1"/>
                      <w:sz w:val="18"/>
                      <w:szCs w:val="18"/>
                    </w:rPr>
                    <w:t>02,</w:t>
                  </w:r>
                  <w:r>
                    <w:rPr>
                      <w:iCs/>
                      <w:color w:val="FFFFFF" w:themeColor="background1"/>
                      <w:sz w:val="18"/>
                      <w:szCs w:val="18"/>
                    </w:rPr>
                    <w:t xml:space="preserve"> „Службени гласник РС”, бр. 5/03, 43/04, 62/06, 111/09 – др. закон, 31/11 и 139/</w:t>
                  </w:r>
                  <w:r w:rsidRPr="00C21C2C">
                    <w:rPr>
                      <w:iCs/>
                      <w:color w:val="FFFFFF" w:themeColor="background1"/>
                      <w:sz w:val="18"/>
                      <w:szCs w:val="18"/>
                    </w:rPr>
                    <w:t>14 – др. закон);</w:t>
                  </w:r>
                </w:p>
                <w:p w:rsidR="005818C0" w:rsidRPr="00C21C2C" w:rsidRDefault="005818C0" w:rsidP="00FA5629">
                  <w:pPr>
                    <w:pStyle w:val="ListParagraph"/>
                    <w:numPr>
                      <w:ilvl w:val="0"/>
                      <w:numId w:val="9"/>
                    </w:numPr>
                    <w:ind w:left="284" w:hanging="284"/>
                    <w:rPr>
                      <w:iCs/>
                      <w:color w:val="FFFFFF" w:themeColor="background1"/>
                      <w:sz w:val="18"/>
                      <w:szCs w:val="18"/>
                    </w:rPr>
                  </w:pPr>
                  <w:r w:rsidRPr="00C21C2C">
                    <w:rPr>
                      <w:b/>
                      <w:iCs/>
                      <w:color w:val="FFFFFF" w:themeColor="background1"/>
                      <w:sz w:val="18"/>
                      <w:szCs w:val="18"/>
                    </w:rPr>
                    <w:t>Закон о девизном пословању</w:t>
                  </w:r>
                  <w:r w:rsidRPr="00C21C2C">
                    <w:rPr>
                      <w:iCs/>
                      <w:color w:val="FFFFFF" w:themeColor="background1"/>
                      <w:sz w:val="18"/>
                      <w:szCs w:val="18"/>
                    </w:rPr>
                    <w:t> (</w:t>
                  </w:r>
                  <w:r>
                    <w:rPr>
                      <w:iCs/>
                      <w:color w:val="FFFFFF" w:themeColor="background1"/>
                      <w:sz w:val="18"/>
                      <w:szCs w:val="18"/>
                    </w:rPr>
                    <w:t>„Службени гласник РС”, бр. 62/06, 31/11, 119/12, 139/14 и 30/</w:t>
                  </w:r>
                  <w:r w:rsidRPr="00C21C2C">
                    <w:rPr>
                      <w:iCs/>
                      <w:color w:val="FFFFFF" w:themeColor="background1"/>
                      <w:sz w:val="18"/>
                      <w:szCs w:val="18"/>
                    </w:rPr>
                    <w:t>18);</w:t>
                  </w:r>
                </w:p>
                <w:p w:rsidR="005818C0" w:rsidRPr="00C21C2C" w:rsidRDefault="005818C0" w:rsidP="00FA5629">
                  <w:pPr>
                    <w:pStyle w:val="ListParagraph"/>
                    <w:numPr>
                      <w:ilvl w:val="0"/>
                      <w:numId w:val="9"/>
                    </w:numPr>
                    <w:ind w:left="284" w:hanging="284"/>
                    <w:rPr>
                      <w:iCs/>
                      <w:color w:val="FFFFFF" w:themeColor="background1"/>
                      <w:sz w:val="18"/>
                      <w:szCs w:val="18"/>
                    </w:rPr>
                  </w:pPr>
                  <w:r w:rsidRPr="00C21C2C">
                    <w:rPr>
                      <w:b/>
                      <w:iCs/>
                      <w:color w:val="FFFFFF" w:themeColor="background1"/>
                      <w:sz w:val="18"/>
                      <w:szCs w:val="18"/>
                    </w:rPr>
                    <w:t>Закон о рачуноводству</w:t>
                  </w:r>
                  <w:r w:rsidRPr="00C21C2C">
                    <w:rPr>
                      <w:iCs/>
                      <w:color w:val="FFFFFF" w:themeColor="background1"/>
                      <w:sz w:val="18"/>
                      <w:szCs w:val="18"/>
                    </w:rPr>
                    <w:t xml:space="preserve"> (</w:t>
                  </w:r>
                  <w:r>
                    <w:rPr>
                      <w:iCs/>
                      <w:color w:val="FFFFFF" w:themeColor="background1"/>
                      <w:sz w:val="18"/>
                      <w:szCs w:val="18"/>
                    </w:rPr>
                    <w:t>„Службени гласник РС”, број 73/</w:t>
                  </w:r>
                  <w:r w:rsidRPr="00C21C2C">
                    <w:rPr>
                      <w:iCs/>
                      <w:color w:val="FFFFFF" w:themeColor="background1"/>
                      <w:sz w:val="18"/>
                      <w:szCs w:val="18"/>
                    </w:rPr>
                    <w:t>19);</w:t>
                  </w:r>
                </w:p>
                <w:p w:rsidR="005818C0" w:rsidRPr="00C21C2C" w:rsidRDefault="005818C0" w:rsidP="00FA5629">
                  <w:pPr>
                    <w:pStyle w:val="ListParagraph"/>
                    <w:numPr>
                      <w:ilvl w:val="0"/>
                      <w:numId w:val="9"/>
                    </w:numPr>
                    <w:ind w:left="284" w:hanging="284"/>
                    <w:rPr>
                      <w:iCs/>
                      <w:color w:val="FFFFFF" w:themeColor="background1"/>
                      <w:sz w:val="18"/>
                      <w:szCs w:val="18"/>
                    </w:rPr>
                  </w:pPr>
                  <w:r w:rsidRPr="00C21C2C">
                    <w:rPr>
                      <w:b/>
                      <w:iCs/>
                      <w:color w:val="FFFFFF" w:themeColor="background1"/>
                      <w:sz w:val="18"/>
                      <w:szCs w:val="18"/>
                    </w:rPr>
                    <w:t>Закон о ревизији</w:t>
                  </w:r>
                  <w:r>
                    <w:rPr>
                      <w:iCs/>
                      <w:color w:val="FFFFFF" w:themeColor="background1"/>
                      <w:sz w:val="18"/>
                      <w:szCs w:val="18"/>
                    </w:rPr>
                    <w:t>, („Службени гласник РС”, број</w:t>
                  </w:r>
                  <w:r>
                    <w:rPr>
                      <w:iCs/>
                      <w:color w:val="FFFFFF" w:themeColor="background1"/>
                      <w:sz w:val="18"/>
                      <w:szCs w:val="18"/>
                      <w:lang/>
                    </w:rPr>
                    <w:t xml:space="preserve"> </w:t>
                  </w:r>
                  <w:r>
                    <w:rPr>
                      <w:iCs/>
                      <w:color w:val="FFFFFF" w:themeColor="background1"/>
                      <w:sz w:val="18"/>
                      <w:szCs w:val="18"/>
                    </w:rPr>
                    <w:t>73/</w:t>
                  </w:r>
                  <w:r w:rsidRPr="00C21C2C">
                    <w:rPr>
                      <w:iCs/>
                      <w:color w:val="FFFFFF" w:themeColor="background1"/>
                      <w:sz w:val="18"/>
                      <w:szCs w:val="18"/>
                    </w:rPr>
                    <w:t>19);</w:t>
                  </w:r>
                </w:p>
                <w:p w:rsidR="005818C0" w:rsidRPr="00C21C2C" w:rsidRDefault="005818C0" w:rsidP="00FA5629">
                  <w:pPr>
                    <w:pStyle w:val="ListParagraph"/>
                    <w:numPr>
                      <w:ilvl w:val="0"/>
                      <w:numId w:val="9"/>
                    </w:numPr>
                    <w:ind w:left="284" w:hanging="284"/>
                    <w:rPr>
                      <w:iCs/>
                      <w:color w:val="FFFFFF" w:themeColor="background1"/>
                      <w:sz w:val="18"/>
                      <w:szCs w:val="18"/>
                    </w:rPr>
                  </w:pPr>
                  <w:r w:rsidRPr="005056EA">
                    <w:rPr>
                      <w:b/>
                      <w:iCs/>
                      <w:color w:val="FFFFFF" w:themeColor="background1"/>
                      <w:sz w:val="18"/>
                      <w:szCs w:val="18"/>
                    </w:rPr>
                    <w:t>Закон о играма на срећу</w:t>
                  </w:r>
                  <w:r>
                    <w:rPr>
                      <w:iCs/>
                      <w:color w:val="FFFFFF" w:themeColor="background1"/>
                      <w:sz w:val="18"/>
                      <w:szCs w:val="18"/>
                    </w:rPr>
                    <w:t xml:space="preserve"> („Службени гласник РС”, бр. 88/11, 93/12 - др. закон, 30/18, 95/18 и 91/</w:t>
                  </w:r>
                  <w:r w:rsidRPr="00C21C2C">
                    <w:rPr>
                      <w:iCs/>
                      <w:color w:val="FFFFFF" w:themeColor="background1"/>
                      <w:sz w:val="18"/>
                      <w:szCs w:val="18"/>
                    </w:rPr>
                    <w:t>19);</w:t>
                  </w:r>
                </w:p>
                <w:p w:rsidR="005818C0" w:rsidRPr="00C21C2C" w:rsidRDefault="005818C0" w:rsidP="00FA5629">
                  <w:pPr>
                    <w:pStyle w:val="ListParagraph"/>
                    <w:numPr>
                      <w:ilvl w:val="0"/>
                      <w:numId w:val="9"/>
                    </w:numPr>
                    <w:ind w:left="284" w:hanging="284"/>
                    <w:rPr>
                      <w:iCs/>
                      <w:color w:val="FFFFFF" w:themeColor="background1"/>
                      <w:sz w:val="18"/>
                      <w:szCs w:val="18"/>
                    </w:rPr>
                  </w:pPr>
                  <w:r w:rsidRPr="00C21C2C">
                    <w:rPr>
                      <w:b/>
                      <w:iCs/>
                      <w:color w:val="FFFFFF" w:themeColor="background1"/>
                      <w:sz w:val="18"/>
                      <w:szCs w:val="18"/>
                    </w:rPr>
                    <w:t>Закон о тржишту капитала</w:t>
                  </w:r>
                  <w:r w:rsidRPr="00C21C2C">
                    <w:rPr>
                      <w:iCs/>
                      <w:color w:val="FFFFFF" w:themeColor="background1"/>
                      <w:sz w:val="18"/>
                      <w:szCs w:val="18"/>
                    </w:rPr>
                    <w:t xml:space="preserve"> („Службени гласник </w:t>
                  </w:r>
                  <w:r>
                    <w:rPr>
                      <w:iCs/>
                      <w:color w:val="FFFFFF" w:themeColor="background1"/>
                      <w:sz w:val="18"/>
                      <w:szCs w:val="18"/>
                    </w:rPr>
                    <w:t>РС”, бр. 31/11, 112/15, 108/16 и 9/</w:t>
                  </w:r>
                  <w:r w:rsidRPr="00C21C2C">
                    <w:rPr>
                      <w:iCs/>
                      <w:color w:val="FFFFFF" w:themeColor="background1"/>
                      <w:sz w:val="18"/>
                      <w:szCs w:val="18"/>
                    </w:rPr>
                    <w:t>20)</w:t>
                  </w:r>
                </w:p>
                <w:p w:rsidR="005818C0" w:rsidRPr="00C21C2C" w:rsidRDefault="005818C0" w:rsidP="00FA5629">
                  <w:pPr>
                    <w:pStyle w:val="ListParagraph"/>
                    <w:numPr>
                      <w:ilvl w:val="0"/>
                      <w:numId w:val="9"/>
                    </w:numPr>
                    <w:ind w:left="284" w:hanging="284"/>
                    <w:rPr>
                      <w:iCs/>
                      <w:color w:val="FFFFFF" w:themeColor="background1"/>
                      <w:sz w:val="18"/>
                      <w:szCs w:val="18"/>
                    </w:rPr>
                  </w:pPr>
                  <w:r w:rsidRPr="00C21C2C">
                    <w:rPr>
                      <w:iCs/>
                      <w:color w:val="FFFFFF" w:themeColor="background1"/>
                      <w:sz w:val="18"/>
                      <w:szCs w:val="18"/>
                    </w:rPr>
                    <w:t>За</w:t>
                  </w:r>
                  <w:r w:rsidRPr="00C21C2C">
                    <w:rPr>
                      <w:b/>
                      <w:iCs/>
                      <w:color w:val="FFFFFF" w:themeColor="background1"/>
                      <w:sz w:val="18"/>
                      <w:szCs w:val="18"/>
                    </w:rPr>
                    <w:t xml:space="preserve">кон о обављању плаћања правних лица, предузетника и физичких лица која не обављају делатност </w:t>
                  </w:r>
                  <w:r>
                    <w:rPr>
                      <w:iCs/>
                      <w:color w:val="FFFFFF" w:themeColor="background1"/>
                      <w:sz w:val="18"/>
                      <w:szCs w:val="18"/>
                    </w:rPr>
                    <w:t>(„Службени гласник РС”, број 68/</w:t>
                  </w:r>
                  <w:r w:rsidRPr="00C21C2C">
                    <w:rPr>
                      <w:iCs/>
                      <w:color w:val="FFFFFF" w:themeColor="background1"/>
                      <w:sz w:val="18"/>
                      <w:szCs w:val="18"/>
                    </w:rPr>
                    <w:t>15);</w:t>
                  </w:r>
                </w:p>
                <w:p w:rsidR="005818C0" w:rsidRPr="00C21C2C" w:rsidRDefault="005818C0" w:rsidP="00FA5629">
                  <w:pPr>
                    <w:pStyle w:val="ListParagraph"/>
                    <w:numPr>
                      <w:ilvl w:val="0"/>
                      <w:numId w:val="9"/>
                    </w:numPr>
                    <w:ind w:left="284" w:hanging="284"/>
                    <w:rPr>
                      <w:iCs/>
                      <w:color w:val="FFFFFF" w:themeColor="background1"/>
                      <w:sz w:val="18"/>
                      <w:szCs w:val="18"/>
                    </w:rPr>
                  </w:pPr>
                  <w:r w:rsidRPr="00C21C2C">
                    <w:rPr>
                      <w:b/>
                      <w:iCs/>
                      <w:color w:val="FFFFFF" w:themeColor="background1"/>
                      <w:sz w:val="18"/>
                      <w:szCs w:val="18"/>
                    </w:rPr>
                    <w:t>Закон о преузимању акционарских друштава</w:t>
                  </w:r>
                  <w:r w:rsidRPr="00C21C2C">
                    <w:rPr>
                      <w:iCs/>
                      <w:color w:val="FFFFFF" w:themeColor="background1"/>
                      <w:sz w:val="18"/>
                      <w:szCs w:val="18"/>
                    </w:rPr>
                    <w:t xml:space="preserve"> (</w:t>
                  </w:r>
                  <w:r>
                    <w:rPr>
                      <w:iCs/>
                      <w:color w:val="FFFFFF" w:themeColor="background1"/>
                      <w:sz w:val="18"/>
                      <w:szCs w:val="18"/>
                    </w:rPr>
                    <w:t>„Службени гласник PC”, бр. 46/</w:t>
                  </w:r>
                  <w:r w:rsidRPr="00C21C2C">
                    <w:rPr>
                      <w:iCs/>
                      <w:color w:val="FFFFFF" w:themeColor="background1"/>
                      <w:sz w:val="18"/>
                      <w:szCs w:val="18"/>
                    </w:rPr>
                    <w:t>06</w:t>
                  </w:r>
                  <w:r>
                    <w:rPr>
                      <w:iCs/>
                      <w:color w:val="FFFFFF" w:themeColor="background1"/>
                      <w:sz w:val="18"/>
                      <w:szCs w:val="18"/>
                    </w:rPr>
                    <w:t>, 107/09, 99/11 и 108/</w:t>
                  </w:r>
                  <w:r w:rsidRPr="00C21C2C">
                    <w:rPr>
                      <w:iCs/>
                      <w:color w:val="FFFFFF" w:themeColor="background1"/>
                      <w:sz w:val="18"/>
                      <w:szCs w:val="18"/>
                    </w:rPr>
                    <w:t>16);</w:t>
                  </w:r>
                </w:p>
                <w:p w:rsidR="005818C0" w:rsidRPr="00C21C2C" w:rsidRDefault="005818C0" w:rsidP="00FA5629">
                  <w:pPr>
                    <w:pStyle w:val="ListParagraph"/>
                    <w:numPr>
                      <w:ilvl w:val="0"/>
                      <w:numId w:val="9"/>
                    </w:numPr>
                    <w:ind w:left="284" w:hanging="284"/>
                    <w:rPr>
                      <w:iCs/>
                      <w:color w:val="FFFFFF" w:themeColor="background1"/>
                      <w:sz w:val="18"/>
                      <w:szCs w:val="18"/>
                    </w:rPr>
                  </w:pPr>
                  <w:r w:rsidRPr="00C21C2C">
                    <w:rPr>
                      <w:b/>
                      <w:iCs/>
                      <w:color w:val="FFFFFF" w:themeColor="background1"/>
                      <w:sz w:val="18"/>
                      <w:szCs w:val="18"/>
                    </w:rPr>
                    <w:t>Закон о инвестиционим фондовима</w:t>
                  </w:r>
                  <w:r w:rsidRPr="00C21C2C">
                    <w:rPr>
                      <w:iCs/>
                      <w:color w:val="FFFFFF" w:themeColor="background1"/>
                      <w:sz w:val="18"/>
                      <w:szCs w:val="18"/>
                    </w:rPr>
                    <w:t xml:space="preserve"> (</w:t>
                  </w:r>
                  <w:r>
                    <w:rPr>
                      <w:iCs/>
                      <w:color w:val="FFFFFF" w:themeColor="background1"/>
                      <w:sz w:val="18"/>
                      <w:szCs w:val="18"/>
                    </w:rPr>
                    <w:t>„Службени гласник PC”, бр. 46/06, 51/09, 31/11 и 115/</w:t>
                  </w:r>
                  <w:r w:rsidRPr="00C21C2C">
                    <w:rPr>
                      <w:iCs/>
                      <w:color w:val="FFFFFF" w:themeColor="background1"/>
                      <w:sz w:val="18"/>
                      <w:szCs w:val="18"/>
                    </w:rPr>
                    <w:t>14);</w:t>
                  </w:r>
                </w:p>
                <w:p w:rsidR="005818C0" w:rsidRPr="00C21C2C" w:rsidRDefault="005818C0" w:rsidP="00FA5629">
                  <w:pPr>
                    <w:pStyle w:val="ListParagraph"/>
                    <w:numPr>
                      <w:ilvl w:val="0"/>
                      <w:numId w:val="9"/>
                    </w:numPr>
                    <w:ind w:left="284" w:hanging="284"/>
                    <w:rPr>
                      <w:iCs/>
                      <w:color w:val="FFFFFF" w:themeColor="background1"/>
                      <w:sz w:val="18"/>
                      <w:szCs w:val="18"/>
                    </w:rPr>
                  </w:pPr>
                  <w:r w:rsidRPr="00C21C2C">
                    <w:rPr>
                      <w:b/>
                      <w:iCs/>
                      <w:color w:val="FFFFFF" w:themeColor="background1"/>
                      <w:sz w:val="18"/>
                      <w:szCs w:val="18"/>
                    </w:rPr>
                    <w:t>Закон о алтернативним инвестиционим фондовима</w:t>
                  </w:r>
                  <w:r w:rsidRPr="00C21C2C">
                    <w:rPr>
                      <w:iCs/>
                      <w:color w:val="FFFFFF" w:themeColor="background1"/>
                      <w:sz w:val="18"/>
                      <w:szCs w:val="18"/>
                    </w:rPr>
                    <w:t xml:space="preserve"> („</w:t>
                  </w:r>
                  <w:r>
                    <w:rPr>
                      <w:iCs/>
                      <w:color w:val="FFFFFF" w:themeColor="background1"/>
                      <w:sz w:val="18"/>
                      <w:szCs w:val="18"/>
                    </w:rPr>
                    <w:t>Службени гласник РС”, број 73/</w:t>
                  </w:r>
                  <w:r w:rsidRPr="00C21C2C">
                    <w:rPr>
                      <w:iCs/>
                      <w:color w:val="FFFFFF" w:themeColor="background1"/>
                      <w:sz w:val="18"/>
                      <w:szCs w:val="18"/>
                    </w:rPr>
                    <w:t>19) у примени од априла 2020;</w:t>
                  </w:r>
                </w:p>
                <w:p w:rsidR="005818C0" w:rsidRPr="00C21C2C" w:rsidRDefault="005818C0" w:rsidP="00FA5629">
                  <w:pPr>
                    <w:pStyle w:val="ListParagraph"/>
                    <w:numPr>
                      <w:ilvl w:val="0"/>
                      <w:numId w:val="9"/>
                    </w:numPr>
                    <w:ind w:left="284" w:hanging="284"/>
                    <w:rPr>
                      <w:iCs/>
                      <w:color w:val="FFFFFF" w:themeColor="background1"/>
                      <w:sz w:val="18"/>
                      <w:szCs w:val="18"/>
                    </w:rPr>
                  </w:pPr>
                  <w:r w:rsidRPr="00C21C2C">
                    <w:rPr>
                      <w:b/>
                      <w:iCs/>
                      <w:color w:val="FFFFFF" w:themeColor="background1"/>
                      <w:sz w:val="18"/>
                      <w:szCs w:val="18"/>
                    </w:rPr>
                    <w:t>Закон о отвореним инвестиционим фондовима са јавном понудом</w:t>
                  </w:r>
                  <w:r w:rsidRPr="00C21C2C">
                    <w:rPr>
                      <w:iCs/>
                      <w:color w:val="FFFFFF" w:themeColor="background1"/>
                      <w:sz w:val="18"/>
                      <w:szCs w:val="18"/>
                    </w:rPr>
                    <w:t xml:space="preserve"> (</w:t>
                  </w:r>
                  <w:r>
                    <w:rPr>
                      <w:iCs/>
                      <w:color w:val="FFFFFF" w:themeColor="background1"/>
                      <w:sz w:val="18"/>
                      <w:szCs w:val="18"/>
                    </w:rPr>
                    <w:t>„Службени гласник РС”, бр</w:t>
                  </w:r>
                  <w:r>
                    <w:rPr>
                      <w:iCs/>
                      <w:color w:val="FFFFFF" w:themeColor="background1"/>
                      <w:sz w:val="18"/>
                      <w:szCs w:val="18"/>
                      <w:lang/>
                    </w:rPr>
                    <w:t>ој</w:t>
                  </w:r>
                  <w:r>
                    <w:rPr>
                      <w:iCs/>
                      <w:color w:val="FFFFFF" w:themeColor="background1"/>
                      <w:sz w:val="18"/>
                      <w:szCs w:val="18"/>
                    </w:rPr>
                    <w:t xml:space="preserve"> 73/19)</w:t>
                  </w:r>
                  <w:r w:rsidRPr="00C21C2C">
                    <w:rPr>
                      <w:iCs/>
                      <w:color w:val="FFFFFF" w:themeColor="background1"/>
                      <w:sz w:val="18"/>
                      <w:szCs w:val="18"/>
                    </w:rPr>
                    <w:t xml:space="preserve"> у примени од априла 2020;</w:t>
                  </w:r>
                </w:p>
                <w:p w:rsidR="005818C0" w:rsidRPr="00C21C2C" w:rsidRDefault="005818C0" w:rsidP="00FA5629">
                  <w:pPr>
                    <w:pStyle w:val="ListParagraph"/>
                    <w:numPr>
                      <w:ilvl w:val="0"/>
                      <w:numId w:val="9"/>
                    </w:numPr>
                    <w:ind w:left="284" w:hanging="284"/>
                    <w:rPr>
                      <w:iCs/>
                      <w:color w:val="FFFFFF" w:themeColor="background1"/>
                      <w:sz w:val="18"/>
                      <w:szCs w:val="18"/>
                    </w:rPr>
                  </w:pPr>
                  <w:r w:rsidRPr="00C21C2C">
                    <w:rPr>
                      <w:b/>
                      <w:iCs/>
                      <w:color w:val="FFFFFF" w:themeColor="background1"/>
                      <w:sz w:val="18"/>
                      <w:szCs w:val="18"/>
                    </w:rPr>
                    <w:t>Закон о пореском поступку и пореској администрацији</w:t>
                  </w:r>
                  <w:r w:rsidRPr="00C21C2C">
                    <w:rPr>
                      <w:iCs/>
                      <w:color w:val="FFFFFF" w:themeColor="background1"/>
                      <w:sz w:val="18"/>
                      <w:szCs w:val="18"/>
                    </w:rPr>
                    <w:t xml:space="preserve"> (</w:t>
                  </w:r>
                  <w:r>
                    <w:rPr>
                      <w:iCs/>
                      <w:color w:val="FFFFFF" w:themeColor="background1"/>
                      <w:sz w:val="18"/>
                      <w:szCs w:val="18"/>
                    </w:rPr>
                    <w:t>„Службени гласник РС”, бр. 80/02, 84/</w:t>
                  </w:r>
                  <w:r w:rsidRPr="00C21C2C">
                    <w:rPr>
                      <w:iCs/>
                      <w:color w:val="FFFFFF" w:themeColor="background1"/>
                      <w:sz w:val="18"/>
                      <w:szCs w:val="18"/>
                    </w:rPr>
                    <w:t>02</w:t>
                  </w:r>
                  <w:r>
                    <w:rPr>
                      <w:iCs/>
                      <w:color w:val="FFFFFF" w:themeColor="background1"/>
                      <w:sz w:val="18"/>
                      <w:szCs w:val="18"/>
                    </w:rPr>
                    <w:t xml:space="preserve"> - испр</w:t>
                  </w:r>
                  <w:r>
                    <w:rPr>
                      <w:iCs/>
                      <w:color w:val="FFFFFF" w:themeColor="background1"/>
                      <w:sz w:val="18"/>
                      <w:szCs w:val="18"/>
                      <w:lang/>
                    </w:rPr>
                    <w:t>авка</w:t>
                  </w:r>
                  <w:r>
                    <w:rPr>
                      <w:iCs/>
                      <w:color w:val="FFFFFF" w:themeColor="background1"/>
                      <w:sz w:val="18"/>
                      <w:szCs w:val="18"/>
                    </w:rPr>
                    <w:t>, 23/03 - испр</w:t>
                  </w:r>
                  <w:r>
                    <w:rPr>
                      <w:iCs/>
                      <w:color w:val="FFFFFF" w:themeColor="background1"/>
                      <w:sz w:val="18"/>
                      <w:szCs w:val="18"/>
                      <w:lang/>
                    </w:rPr>
                    <w:t>авка</w:t>
                  </w:r>
                  <w:r>
                    <w:rPr>
                      <w:iCs/>
                      <w:color w:val="FFFFFF" w:themeColor="background1"/>
                      <w:sz w:val="18"/>
                      <w:szCs w:val="18"/>
                    </w:rPr>
                    <w:t>, 70/03, 55/04, 61/05, 85/05 - др. закон, 62/06 - др. закон, 63/06 - испр</w:t>
                  </w:r>
                  <w:r>
                    <w:rPr>
                      <w:iCs/>
                      <w:color w:val="FFFFFF" w:themeColor="background1"/>
                      <w:sz w:val="18"/>
                      <w:szCs w:val="18"/>
                      <w:lang/>
                    </w:rPr>
                    <w:t>авка</w:t>
                  </w:r>
                  <w:r>
                    <w:rPr>
                      <w:iCs/>
                      <w:color w:val="FFFFFF" w:themeColor="background1"/>
                      <w:sz w:val="18"/>
                      <w:szCs w:val="18"/>
                    </w:rPr>
                    <w:t xml:space="preserve"> др. закона, 61/07, 20/09, 72/09 – др. закон, 53/10, 101/11, 2/12 - испр</w:t>
                  </w:r>
                  <w:r>
                    <w:rPr>
                      <w:iCs/>
                      <w:color w:val="FFFFFF" w:themeColor="background1"/>
                      <w:sz w:val="18"/>
                      <w:szCs w:val="18"/>
                      <w:lang/>
                    </w:rPr>
                    <w:t>авка</w:t>
                  </w:r>
                  <w:r>
                    <w:rPr>
                      <w:iCs/>
                      <w:color w:val="FFFFFF" w:themeColor="background1"/>
                      <w:sz w:val="18"/>
                      <w:szCs w:val="18"/>
                    </w:rPr>
                    <w:t>, 93/12, 47/13, 108/13, 68/14, 105/14, 91/15 – аутентично тумачење, 112/15, 15/16, 108/</w:t>
                  </w:r>
                  <w:r w:rsidRPr="00C21C2C">
                    <w:rPr>
                      <w:iCs/>
                      <w:color w:val="FFFFFF" w:themeColor="background1"/>
                      <w:sz w:val="18"/>
                      <w:szCs w:val="18"/>
                    </w:rPr>
                    <w:t>16, 3</w:t>
                  </w:r>
                  <w:r>
                    <w:rPr>
                      <w:iCs/>
                      <w:color w:val="FFFFFF" w:themeColor="background1"/>
                      <w:sz w:val="18"/>
                      <w:szCs w:val="18"/>
                    </w:rPr>
                    <w:t>0/18, 95/18 и 86/</w:t>
                  </w:r>
                  <w:r w:rsidRPr="00C21C2C">
                    <w:rPr>
                      <w:iCs/>
                      <w:color w:val="FFFFFF" w:themeColor="background1"/>
                      <w:sz w:val="18"/>
                      <w:szCs w:val="18"/>
                    </w:rPr>
                    <w:t>19);</w:t>
                  </w:r>
                </w:p>
                <w:p w:rsidR="005818C0" w:rsidRPr="00C21C2C" w:rsidRDefault="005818C0" w:rsidP="008E4671">
                  <w:pPr>
                    <w:pStyle w:val="ListParagraph"/>
                    <w:numPr>
                      <w:ilvl w:val="0"/>
                      <w:numId w:val="9"/>
                    </w:numPr>
                    <w:ind w:left="284" w:hanging="284"/>
                    <w:rPr>
                      <w:iCs/>
                      <w:color w:val="FFFFFF" w:themeColor="background1"/>
                      <w:sz w:val="18"/>
                      <w:szCs w:val="18"/>
                    </w:rPr>
                  </w:pPr>
                  <w:bookmarkStart w:id="2" w:name="_Hlk32242770"/>
                  <w:r w:rsidRPr="003D6E69">
                    <w:rPr>
                      <w:b/>
                      <w:iCs/>
                      <w:color w:val="FFFFFF" w:themeColor="background1"/>
                      <w:sz w:val="18"/>
                      <w:szCs w:val="18"/>
                    </w:rPr>
                    <w:t>Закон о поштанским услугама</w:t>
                  </w:r>
                  <w:r>
                    <w:rPr>
                      <w:iCs/>
                      <w:color w:val="FFFFFF" w:themeColor="background1"/>
                      <w:sz w:val="18"/>
                      <w:szCs w:val="18"/>
                    </w:rPr>
                    <w:t xml:space="preserve"> („Службени гласник РС”, број 77/</w:t>
                  </w:r>
                  <w:r w:rsidRPr="00C21C2C">
                    <w:rPr>
                      <w:iCs/>
                      <w:color w:val="FFFFFF" w:themeColor="background1"/>
                      <w:sz w:val="18"/>
                      <w:szCs w:val="18"/>
                    </w:rPr>
                    <w:t>19);</w:t>
                  </w:r>
                </w:p>
                <w:bookmarkEnd w:id="2"/>
                <w:p w:rsidR="005818C0" w:rsidRPr="00C21C2C" w:rsidRDefault="005818C0" w:rsidP="000B0BBF">
                  <w:pPr>
                    <w:pStyle w:val="ListParagraph"/>
                    <w:numPr>
                      <w:ilvl w:val="0"/>
                      <w:numId w:val="9"/>
                    </w:numPr>
                    <w:ind w:left="284" w:hanging="284"/>
                    <w:rPr>
                      <w:iCs/>
                      <w:color w:val="FFFFFF" w:themeColor="background1"/>
                      <w:sz w:val="18"/>
                      <w:szCs w:val="18"/>
                    </w:rPr>
                  </w:pPr>
                  <w:r w:rsidRPr="003D6E69">
                    <w:rPr>
                      <w:b/>
                      <w:iCs/>
                      <w:color w:val="FFFFFF" w:themeColor="background1"/>
                      <w:sz w:val="18"/>
                      <w:szCs w:val="18"/>
                    </w:rPr>
                    <w:t>Закон о посредовању у промету и закупу непокретности</w:t>
                  </w:r>
                  <w:r w:rsidRPr="00C21C2C">
                    <w:rPr>
                      <w:iCs/>
                      <w:color w:val="FFFFFF" w:themeColor="background1"/>
                      <w:sz w:val="18"/>
                      <w:szCs w:val="18"/>
                    </w:rPr>
                    <w:t xml:space="preserve"> („Службени гласник РС</w:t>
                  </w:r>
                  <w:r>
                    <w:rPr>
                      <w:iCs/>
                      <w:color w:val="FFFFFF" w:themeColor="background1"/>
                      <w:sz w:val="18"/>
                      <w:szCs w:val="18"/>
                    </w:rPr>
                    <w:t>”, бр.</w:t>
                  </w:r>
                  <w:r w:rsidRPr="00C21C2C">
                    <w:rPr>
                      <w:sz w:val="18"/>
                      <w:szCs w:val="18"/>
                    </w:rPr>
                    <w:t xml:space="preserve"> </w:t>
                  </w:r>
                  <w:r>
                    <w:rPr>
                      <w:iCs/>
                      <w:color w:val="FFFFFF" w:themeColor="background1"/>
                      <w:sz w:val="18"/>
                      <w:szCs w:val="18"/>
                    </w:rPr>
                    <w:t>95/13, 41/18 и 91/</w:t>
                  </w:r>
                  <w:r w:rsidRPr="00C21C2C">
                    <w:rPr>
                      <w:iCs/>
                      <w:color w:val="FFFFFF" w:themeColor="background1"/>
                      <w:sz w:val="18"/>
                      <w:szCs w:val="18"/>
                    </w:rPr>
                    <w:t>19);</w:t>
                  </w:r>
                </w:p>
                <w:p w:rsidR="005818C0" w:rsidRPr="00C21C2C" w:rsidRDefault="005818C0" w:rsidP="001A18C8">
                  <w:pPr>
                    <w:ind w:left="426" w:hanging="284"/>
                    <w:rPr>
                      <w:color w:val="FFFFFF" w:themeColor="background1"/>
                      <w:sz w:val="18"/>
                      <w:szCs w:val="18"/>
                    </w:rPr>
                  </w:pPr>
                </w:p>
              </w:txbxContent>
            </v:textbox>
            <w10:wrap type="square"/>
          </v:shape>
        </w:pict>
      </w:r>
      <w:r w:rsidR="005818C0">
        <w:rPr>
          <w:lang w:val="sr-Cyrl-CS"/>
        </w:rPr>
        <w:t>U</w:t>
      </w:r>
      <w:r w:rsidR="001A18C8" w:rsidRPr="00E95BC4">
        <w:rPr>
          <w:lang w:val="sr-Cyrl-CS"/>
        </w:rPr>
        <w:t xml:space="preserve"> </w:t>
      </w:r>
      <w:r w:rsidR="005818C0">
        <w:rPr>
          <w:lang w:val="sr-Cyrl-CS"/>
        </w:rPr>
        <w:t>nizu</w:t>
      </w:r>
      <w:r w:rsidR="001A18C8" w:rsidRPr="00E95BC4">
        <w:rPr>
          <w:lang w:val="sr-Cyrl-CS"/>
        </w:rPr>
        <w:t xml:space="preserve"> </w:t>
      </w:r>
      <w:r w:rsidR="005818C0">
        <w:rPr>
          <w:lang w:val="sr-Cyrl-CS"/>
        </w:rPr>
        <w:t>zakona</w:t>
      </w:r>
      <w:r w:rsidR="001A18C8" w:rsidRPr="00E95BC4">
        <w:rPr>
          <w:lang w:val="sr-Cyrl-CS"/>
        </w:rPr>
        <w:t xml:space="preserve"> </w:t>
      </w:r>
      <w:r w:rsidR="005818C0">
        <w:rPr>
          <w:lang w:val="sr-Cyrl-CS"/>
        </w:rPr>
        <w:t>koji</w:t>
      </w:r>
      <w:r w:rsidR="00903B60" w:rsidRPr="00E95BC4">
        <w:rPr>
          <w:lang w:val="sr-Cyrl-CS"/>
        </w:rPr>
        <w:t xml:space="preserve"> </w:t>
      </w:r>
      <w:r w:rsidR="005818C0">
        <w:rPr>
          <w:lang w:val="sr-Cyrl-CS"/>
        </w:rPr>
        <w:t>se</w:t>
      </w:r>
      <w:r w:rsidR="00903B60" w:rsidRPr="00E95BC4">
        <w:rPr>
          <w:lang w:val="sr-Cyrl-CS"/>
        </w:rPr>
        <w:t xml:space="preserve"> </w:t>
      </w:r>
      <w:r w:rsidR="005818C0">
        <w:rPr>
          <w:lang w:val="sr-Cyrl-CS"/>
        </w:rPr>
        <w:t>navode</w:t>
      </w:r>
      <w:r w:rsidR="00903B60" w:rsidRPr="00E95BC4">
        <w:rPr>
          <w:lang w:val="sr-Cyrl-CS"/>
        </w:rPr>
        <w:t xml:space="preserve"> </w:t>
      </w:r>
      <w:r w:rsidR="005818C0">
        <w:rPr>
          <w:lang w:val="sr-Cyrl-CS"/>
        </w:rPr>
        <w:t>u</w:t>
      </w:r>
      <w:r w:rsidR="00903B60" w:rsidRPr="00E95BC4">
        <w:rPr>
          <w:lang w:val="sr-Cyrl-CS"/>
        </w:rPr>
        <w:t xml:space="preserve"> </w:t>
      </w:r>
      <w:r w:rsidR="005818C0">
        <w:rPr>
          <w:lang w:val="sr-Cyrl-CS"/>
        </w:rPr>
        <w:t>nastavku</w:t>
      </w:r>
      <w:r w:rsidR="00903B60" w:rsidRPr="00E95BC4">
        <w:rPr>
          <w:lang w:val="sr-Cyrl-CS"/>
        </w:rPr>
        <w:t xml:space="preserve"> </w:t>
      </w:r>
      <w:r w:rsidR="005818C0">
        <w:rPr>
          <w:lang w:val="sr-Cyrl-CS"/>
        </w:rPr>
        <w:t>reguliše</w:t>
      </w:r>
      <w:r w:rsidR="001A18C8" w:rsidRPr="00E95BC4">
        <w:rPr>
          <w:lang w:val="sr-Cyrl-CS"/>
        </w:rPr>
        <w:t xml:space="preserve"> </w:t>
      </w:r>
      <w:r w:rsidR="005818C0">
        <w:rPr>
          <w:lang w:val="sr-Cyrl-CS"/>
        </w:rPr>
        <w:t>se</w:t>
      </w:r>
      <w:r w:rsidR="001A18C8" w:rsidRPr="00E95BC4">
        <w:rPr>
          <w:lang w:val="sr-Cyrl-CS"/>
        </w:rPr>
        <w:t xml:space="preserve"> </w:t>
      </w:r>
      <w:r w:rsidR="005818C0">
        <w:rPr>
          <w:lang w:val="sr-Cyrl-CS"/>
        </w:rPr>
        <w:t>poslovanje</w:t>
      </w:r>
      <w:r w:rsidR="001A18C8" w:rsidRPr="00E95BC4">
        <w:rPr>
          <w:lang w:val="sr-Cyrl-CS"/>
        </w:rPr>
        <w:t xml:space="preserve"> </w:t>
      </w:r>
      <w:r w:rsidR="005818C0">
        <w:rPr>
          <w:lang w:val="sr-Cyrl-CS"/>
        </w:rPr>
        <w:t>obveznika</w:t>
      </w:r>
      <w:r w:rsidR="001A18C8" w:rsidRPr="00E95BC4">
        <w:rPr>
          <w:lang w:val="sr-Cyrl-CS"/>
        </w:rPr>
        <w:t xml:space="preserve"> </w:t>
      </w:r>
      <w:r w:rsidR="005818C0">
        <w:rPr>
          <w:lang w:val="sr-Cyrl-CS"/>
        </w:rPr>
        <w:t>po</w:t>
      </w:r>
      <w:r w:rsidR="001A18C8" w:rsidRPr="00E95BC4">
        <w:rPr>
          <w:lang w:val="sr-Cyrl-CS"/>
        </w:rPr>
        <w:t xml:space="preserve"> </w:t>
      </w:r>
      <w:r w:rsidR="005818C0">
        <w:rPr>
          <w:lang w:val="sr-Cyrl-CS"/>
        </w:rPr>
        <w:t>zakonu</w:t>
      </w:r>
      <w:r w:rsidR="001A18C8" w:rsidRPr="00E95BC4">
        <w:rPr>
          <w:lang w:val="sr-Cyrl-CS"/>
        </w:rPr>
        <w:t xml:space="preserve">, </w:t>
      </w:r>
      <w:r w:rsidR="005818C0">
        <w:rPr>
          <w:lang w:val="sr-Cyrl-CS"/>
        </w:rPr>
        <w:t>bilo</w:t>
      </w:r>
      <w:r w:rsidR="001A18C8" w:rsidRPr="00E95BC4">
        <w:rPr>
          <w:lang w:val="sr-Cyrl-CS"/>
        </w:rPr>
        <w:t xml:space="preserve"> </w:t>
      </w:r>
      <w:r w:rsidR="005818C0">
        <w:rPr>
          <w:lang w:val="sr-Cyrl-CS"/>
        </w:rPr>
        <w:t>da</w:t>
      </w:r>
      <w:r w:rsidR="001A18C8" w:rsidRPr="00E95BC4">
        <w:rPr>
          <w:lang w:val="sr-Cyrl-CS"/>
        </w:rPr>
        <w:t xml:space="preserve"> </w:t>
      </w:r>
      <w:r w:rsidR="005818C0">
        <w:rPr>
          <w:lang w:val="sr-Cyrl-CS"/>
        </w:rPr>
        <w:t>su</w:t>
      </w:r>
      <w:r w:rsidR="001A18C8" w:rsidRPr="00E95BC4">
        <w:rPr>
          <w:lang w:val="sr-Cyrl-CS"/>
        </w:rPr>
        <w:t xml:space="preserve"> </w:t>
      </w:r>
      <w:r w:rsidR="005818C0">
        <w:rPr>
          <w:lang w:val="sr-Cyrl-CS"/>
        </w:rPr>
        <w:t>u</w:t>
      </w:r>
      <w:r w:rsidR="001A18C8" w:rsidRPr="00E95BC4">
        <w:rPr>
          <w:lang w:val="sr-Cyrl-CS"/>
        </w:rPr>
        <w:t xml:space="preserve"> </w:t>
      </w:r>
      <w:r w:rsidR="005818C0">
        <w:rPr>
          <w:lang w:val="sr-Cyrl-CS"/>
        </w:rPr>
        <w:t>finansijskom</w:t>
      </w:r>
      <w:r w:rsidR="001A18C8" w:rsidRPr="00E95BC4">
        <w:rPr>
          <w:lang w:val="sr-Cyrl-CS"/>
        </w:rPr>
        <w:t xml:space="preserve"> </w:t>
      </w:r>
      <w:r w:rsidR="005818C0">
        <w:rPr>
          <w:lang w:val="sr-Cyrl-CS"/>
        </w:rPr>
        <w:t>ili</w:t>
      </w:r>
      <w:r w:rsidR="001A18C8" w:rsidRPr="00E95BC4">
        <w:rPr>
          <w:lang w:val="sr-Cyrl-CS"/>
        </w:rPr>
        <w:t xml:space="preserve"> </w:t>
      </w:r>
      <w:r w:rsidR="005818C0">
        <w:rPr>
          <w:lang w:val="sr-Cyrl-CS"/>
        </w:rPr>
        <w:t>nefinansijskom</w:t>
      </w:r>
      <w:r w:rsidR="001A18C8" w:rsidRPr="00E95BC4">
        <w:rPr>
          <w:lang w:val="sr-Cyrl-CS"/>
        </w:rPr>
        <w:t xml:space="preserve"> </w:t>
      </w:r>
      <w:r w:rsidR="005818C0">
        <w:rPr>
          <w:lang w:val="sr-Cyrl-CS"/>
        </w:rPr>
        <w:t>sektoru</w:t>
      </w:r>
      <w:r w:rsidR="001A18C8" w:rsidRPr="00E95BC4">
        <w:rPr>
          <w:lang w:val="sr-Cyrl-CS"/>
        </w:rPr>
        <w:t xml:space="preserve"> </w:t>
      </w:r>
      <w:r w:rsidR="005818C0">
        <w:rPr>
          <w:lang w:val="sr-Cyrl-CS"/>
        </w:rPr>
        <w:t>i</w:t>
      </w:r>
      <w:r w:rsidR="001A18C8" w:rsidRPr="00E95BC4">
        <w:rPr>
          <w:lang w:val="sr-Cyrl-CS"/>
        </w:rPr>
        <w:t xml:space="preserve"> </w:t>
      </w:r>
      <w:r w:rsidR="005818C0">
        <w:rPr>
          <w:lang w:val="sr-Cyrl-CS"/>
        </w:rPr>
        <w:t>drugih</w:t>
      </w:r>
      <w:r w:rsidR="001A18C8" w:rsidRPr="00E95BC4">
        <w:rPr>
          <w:lang w:val="sr-Cyrl-CS"/>
        </w:rPr>
        <w:t xml:space="preserve"> </w:t>
      </w:r>
      <w:r w:rsidR="005818C0">
        <w:rPr>
          <w:lang w:val="sr-Cyrl-CS"/>
        </w:rPr>
        <w:t>subjekata</w:t>
      </w:r>
      <w:r w:rsidR="001A18C8" w:rsidRPr="00E95BC4">
        <w:rPr>
          <w:lang w:val="sr-Cyrl-CS"/>
        </w:rPr>
        <w:t xml:space="preserve">. </w:t>
      </w:r>
      <w:r w:rsidR="005818C0">
        <w:rPr>
          <w:lang w:val="sr-Cyrl-CS"/>
        </w:rPr>
        <w:t>Naročito</w:t>
      </w:r>
      <w:r w:rsidR="001A18C8" w:rsidRPr="00E95BC4">
        <w:rPr>
          <w:lang w:val="sr-Cyrl-CS"/>
        </w:rPr>
        <w:t xml:space="preserve">, </w:t>
      </w:r>
      <w:r w:rsidR="005818C0">
        <w:rPr>
          <w:lang w:val="sr-Cyrl-CS"/>
        </w:rPr>
        <w:t>kada</w:t>
      </w:r>
      <w:r w:rsidR="001A18C8" w:rsidRPr="00E95BC4">
        <w:rPr>
          <w:lang w:val="sr-Cyrl-CS"/>
        </w:rPr>
        <w:t xml:space="preserve"> </w:t>
      </w:r>
      <w:r w:rsidR="005818C0">
        <w:rPr>
          <w:lang w:val="sr-Cyrl-CS"/>
        </w:rPr>
        <w:t>je</w:t>
      </w:r>
      <w:r w:rsidR="001A18C8" w:rsidRPr="00E95BC4">
        <w:rPr>
          <w:lang w:val="sr-Cyrl-CS"/>
        </w:rPr>
        <w:t xml:space="preserve"> </w:t>
      </w:r>
      <w:r w:rsidR="005818C0">
        <w:rPr>
          <w:lang w:val="sr-Cyrl-CS"/>
        </w:rPr>
        <w:t>u</w:t>
      </w:r>
      <w:r w:rsidR="001A18C8" w:rsidRPr="00E95BC4">
        <w:rPr>
          <w:lang w:val="sr-Cyrl-CS"/>
        </w:rPr>
        <w:t xml:space="preserve"> </w:t>
      </w:r>
      <w:r w:rsidR="005818C0">
        <w:rPr>
          <w:lang w:val="sr-Cyrl-CS"/>
        </w:rPr>
        <w:t>pitanju</w:t>
      </w:r>
      <w:r w:rsidR="001A18C8" w:rsidRPr="00E95BC4">
        <w:rPr>
          <w:lang w:val="sr-Cyrl-CS"/>
        </w:rPr>
        <w:t xml:space="preserve">, </w:t>
      </w:r>
      <w:r w:rsidR="005818C0">
        <w:rPr>
          <w:lang w:val="sr-Cyrl-CS"/>
        </w:rPr>
        <w:t>na</w:t>
      </w:r>
      <w:r w:rsidR="001A18C8" w:rsidRPr="00E95BC4">
        <w:rPr>
          <w:lang w:val="sr-Cyrl-CS"/>
        </w:rPr>
        <w:t xml:space="preserve"> </w:t>
      </w:r>
      <w:r w:rsidR="005818C0">
        <w:rPr>
          <w:lang w:val="sr-Cyrl-CS"/>
        </w:rPr>
        <w:t>primer</w:t>
      </w:r>
      <w:r w:rsidR="001A18C8" w:rsidRPr="00E95BC4">
        <w:rPr>
          <w:lang w:val="sr-Cyrl-CS"/>
        </w:rPr>
        <w:t xml:space="preserve">, </w:t>
      </w:r>
      <w:r w:rsidR="005818C0">
        <w:rPr>
          <w:lang w:val="sr-Cyrl-CS"/>
        </w:rPr>
        <w:t>osnivanje</w:t>
      </w:r>
      <w:r w:rsidR="001A18C8" w:rsidRPr="00E95BC4">
        <w:rPr>
          <w:lang w:val="sr-Cyrl-CS"/>
        </w:rPr>
        <w:t xml:space="preserve"> </w:t>
      </w:r>
      <w:r w:rsidR="005818C0">
        <w:rPr>
          <w:lang w:val="sr-Cyrl-CS"/>
        </w:rPr>
        <w:t>tih</w:t>
      </w:r>
      <w:r w:rsidR="001A18C8" w:rsidRPr="00E95BC4">
        <w:rPr>
          <w:lang w:val="sr-Cyrl-CS"/>
        </w:rPr>
        <w:t xml:space="preserve"> </w:t>
      </w:r>
      <w:r w:rsidR="005818C0">
        <w:rPr>
          <w:lang w:val="sr-Cyrl-CS"/>
        </w:rPr>
        <w:t>subjekata</w:t>
      </w:r>
      <w:r w:rsidR="001A18C8" w:rsidRPr="00E95BC4">
        <w:rPr>
          <w:lang w:val="sr-Cyrl-CS"/>
        </w:rPr>
        <w:t xml:space="preserve">, </w:t>
      </w:r>
      <w:r w:rsidR="005818C0">
        <w:rPr>
          <w:lang w:val="sr-Cyrl-CS"/>
        </w:rPr>
        <w:t>ovi</w:t>
      </w:r>
      <w:r w:rsidR="001A18C8" w:rsidRPr="00E95BC4">
        <w:rPr>
          <w:lang w:val="sr-Cyrl-CS"/>
        </w:rPr>
        <w:t xml:space="preserve"> </w:t>
      </w:r>
      <w:r w:rsidR="005818C0">
        <w:rPr>
          <w:lang w:val="sr-Cyrl-CS"/>
        </w:rPr>
        <w:t>zakoni</w:t>
      </w:r>
      <w:r w:rsidR="001A18C8" w:rsidRPr="00E95BC4">
        <w:rPr>
          <w:lang w:val="sr-Cyrl-CS"/>
        </w:rPr>
        <w:t xml:space="preserve"> </w:t>
      </w:r>
      <w:r w:rsidR="005818C0">
        <w:rPr>
          <w:lang w:val="sr-Cyrl-CS"/>
        </w:rPr>
        <w:t>i</w:t>
      </w:r>
      <w:r w:rsidR="001A18C8" w:rsidRPr="00E95BC4">
        <w:rPr>
          <w:lang w:val="sr-Cyrl-CS"/>
        </w:rPr>
        <w:t xml:space="preserve"> </w:t>
      </w:r>
      <w:r w:rsidR="005818C0">
        <w:rPr>
          <w:lang w:val="sr-Cyrl-CS"/>
        </w:rPr>
        <w:t>relevantni</w:t>
      </w:r>
      <w:r w:rsidR="001A18C8" w:rsidRPr="00E95BC4">
        <w:rPr>
          <w:lang w:val="sr-Cyrl-CS"/>
        </w:rPr>
        <w:t xml:space="preserve"> </w:t>
      </w:r>
      <w:r w:rsidR="005818C0">
        <w:rPr>
          <w:lang w:val="sr-Cyrl-CS"/>
        </w:rPr>
        <w:t>podzakonski</w:t>
      </w:r>
      <w:r w:rsidR="001A18C8" w:rsidRPr="00E95BC4">
        <w:rPr>
          <w:lang w:val="sr-Cyrl-CS"/>
        </w:rPr>
        <w:t xml:space="preserve"> </w:t>
      </w:r>
      <w:r w:rsidR="005818C0">
        <w:rPr>
          <w:lang w:val="sr-Cyrl-CS"/>
        </w:rPr>
        <w:t>akti</w:t>
      </w:r>
      <w:r w:rsidR="001A18C8" w:rsidRPr="00E95BC4">
        <w:rPr>
          <w:lang w:val="sr-Cyrl-CS"/>
        </w:rPr>
        <w:t xml:space="preserve">, </w:t>
      </w:r>
      <w:r w:rsidR="005818C0">
        <w:rPr>
          <w:lang w:val="sr-Cyrl-CS"/>
        </w:rPr>
        <w:t>sadrže</w:t>
      </w:r>
      <w:r w:rsidR="001A18C8" w:rsidRPr="00E95BC4">
        <w:rPr>
          <w:lang w:val="sr-Cyrl-CS"/>
        </w:rPr>
        <w:t xml:space="preserve"> </w:t>
      </w:r>
      <w:r w:rsidR="005818C0">
        <w:rPr>
          <w:lang w:val="sr-Cyrl-CS"/>
        </w:rPr>
        <w:t>odredbe</w:t>
      </w:r>
      <w:r w:rsidR="001A18C8" w:rsidRPr="00E95BC4">
        <w:rPr>
          <w:lang w:val="sr-Cyrl-CS"/>
        </w:rPr>
        <w:t xml:space="preserve"> </w:t>
      </w:r>
      <w:r w:rsidR="005818C0">
        <w:rPr>
          <w:lang w:val="sr-Cyrl-CS"/>
        </w:rPr>
        <w:t>o</w:t>
      </w:r>
      <w:r w:rsidR="001A18C8" w:rsidRPr="00E95BC4">
        <w:rPr>
          <w:lang w:val="sr-Cyrl-CS"/>
        </w:rPr>
        <w:t xml:space="preserve"> </w:t>
      </w:r>
      <w:r w:rsidR="005818C0">
        <w:rPr>
          <w:lang w:val="sr-Cyrl-CS"/>
        </w:rPr>
        <w:t>standardima</w:t>
      </w:r>
      <w:r w:rsidR="001A18C8" w:rsidRPr="00E95BC4">
        <w:rPr>
          <w:lang w:val="sr-Cyrl-CS"/>
        </w:rPr>
        <w:t xml:space="preserve"> </w:t>
      </w:r>
      <w:r w:rsidR="005818C0">
        <w:rPr>
          <w:lang w:val="sr-Cyrl-CS"/>
        </w:rPr>
        <w:t>stručnosti</w:t>
      </w:r>
      <w:r w:rsidR="001A18C8" w:rsidRPr="00E95BC4">
        <w:rPr>
          <w:lang w:val="sr-Cyrl-CS"/>
        </w:rPr>
        <w:t xml:space="preserve"> </w:t>
      </w:r>
      <w:r w:rsidR="005818C0">
        <w:rPr>
          <w:lang w:val="sr-Cyrl-CS"/>
        </w:rPr>
        <w:t>i</w:t>
      </w:r>
      <w:r w:rsidR="001A18C8" w:rsidRPr="00E95BC4">
        <w:rPr>
          <w:lang w:val="sr-Cyrl-CS"/>
        </w:rPr>
        <w:t xml:space="preserve"> </w:t>
      </w:r>
      <w:r w:rsidR="005818C0">
        <w:rPr>
          <w:lang w:val="sr-Cyrl-CS"/>
        </w:rPr>
        <w:t>podobnosti</w:t>
      </w:r>
      <w:r w:rsidR="00903B60" w:rsidRPr="00E95BC4">
        <w:rPr>
          <w:lang w:val="sr-Cyrl-CS"/>
        </w:rPr>
        <w:t xml:space="preserve"> (</w:t>
      </w:r>
      <w:r w:rsidR="005818C0">
        <w:rPr>
          <w:lang w:val="sr-Cyrl-CS"/>
        </w:rPr>
        <w:t>engl</w:t>
      </w:r>
      <w:r w:rsidR="00903B60" w:rsidRPr="00E95BC4">
        <w:rPr>
          <w:lang w:val="sr-Cyrl-CS"/>
        </w:rPr>
        <w:t xml:space="preserve">. </w:t>
      </w:r>
      <w:r w:rsidR="00903B60" w:rsidRPr="00E95BC4">
        <w:rPr>
          <w:i/>
          <w:lang w:val="sr-Cyrl-CS"/>
        </w:rPr>
        <w:t>fit and proper</w:t>
      </w:r>
      <w:r w:rsidR="00903B60" w:rsidRPr="00E95BC4">
        <w:rPr>
          <w:lang w:val="sr-Cyrl-CS"/>
        </w:rPr>
        <w:t>).</w:t>
      </w:r>
    </w:p>
    <w:p w:rsidR="0064036A" w:rsidRPr="00E95BC4" w:rsidRDefault="0064036A" w:rsidP="001A18C8">
      <w:pPr>
        <w:pStyle w:val="ListParagraph"/>
        <w:jc w:val="both"/>
        <w:rPr>
          <w:iCs/>
          <w:color w:val="auto"/>
          <w:lang w:val="sr-Cyrl-CS"/>
        </w:rPr>
      </w:pPr>
    </w:p>
    <w:p w:rsidR="00FA5629" w:rsidRPr="00E95BC4" w:rsidRDefault="00934E82" w:rsidP="00FA5629">
      <w:pPr>
        <w:ind w:firstLine="720"/>
        <w:jc w:val="both"/>
        <w:rPr>
          <w:color w:val="auto"/>
          <w:lang w:val="sr-Cyrl-CS"/>
        </w:rPr>
      </w:pPr>
      <w:r w:rsidRPr="00934E82">
        <w:rPr>
          <w:iCs/>
          <w:noProof/>
          <w:color w:val="auto"/>
        </w:rPr>
        <w:pict>
          <v:shape id="Text Box 16" o:spid="_x0000_s1030" type="#_x0000_t202" style="position:absolute;left:0;text-align:left;margin-left:1.85pt;margin-top:36.3pt;width:466.85pt;height:127.7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" fillcolor="#a5a5a5 [2092]" stroked="f" strokecolor="#f2f2f2 [3041]" strokeweight="3pt">
            <v:shadow color="#7f7f7f [1601]" opacity=".5" offset="1pt"/>
            <v:textbox>
              <w:txbxContent>
                <w:p w:rsidR="005818C0" w:rsidRPr="00C21C2C" w:rsidRDefault="005818C0" w:rsidP="00FA5629">
                  <w:pPr>
                    <w:pStyle w:val="ListParagraph"/>
                    <w:numPr>
                      <w:ilvl w:val="0"/>
                      <w:numId w:val="9"/>
                    </w:numPr>
                    <w:ind w:left="284" w:hanging="284"/>
                    <w:rPr>
                      <w:iCs/>
                      <w:color w:val="FFFFFF" w:themeColor="background1"/>
                      <w:sz w:val="18"/>
                      <w:szCs w:val="18"/>
                    </w:rPr>
                  </w:pPr>
                  <w:r w:rsidRPr="00C21C2C">
                    <w:rPr>
                      <w:b/>
                      <w:iCs/>
                      <w:color w:val="FFFFFF" w:themeColor="background1"/>
                      <w:sz w:val="18"/>
                      <w:szCs w:val="18"/>
                    </w:rPr>
                    <w:t>Закон о инспекцијском надзору</w:t>
                  </w:r>
                  <w:r w:rsidRPr="00C21C2C">
                    <w:rPr>
                      <w:iCs/>
                      <w:color w:val="FFFFFF" w:themeColor="background1"/>
                      <w:sz w:val="18"/>
                      <w:szCs w:val="18"/>
                    </w:rPr>
                    <w:t xml:space="preserve"> („Службени гласник </w:t>
                  </w:r>
                  <w:r>
                    <w:rPr>
                      <w:iCs/>
                      <w:color w:val="FFFFFF" w:themeColor="background1"/>
                      <w:sz w:val="18"/>
                      <w:szCs w:val="18"/>
                    </w:rPr>
                    <w:t>РС</w:t>
                  </w:r>
                  <w:r w:rsidRPr="00C21C2C">
                    <w:rPr>
                      <w:color w:val="FFFFFF" w:themeColor="background1"/>
                      <w:kern w:val="0"/>
                      <w:sz w:val="18"/>
                      <w:szCs w:val="18"/>
                    </w:rPr>
                    <w:t>”</w:t>
                  </w:r>
                  <w:r>
                    <w:rPr>
                      <w:iCs/>
                      <w:color w:val="FFFFFF" w:themeColor="background1"/>
                      <w:sz w:val="18"/>
                      <w:szCs w:val="18"/>
                    </w:rPr>
                    <w:t xml:space="preserve"> бр. 36/15, 44/18 - др. закон и 95/</w:t>
                  </w:r>
                  <w:r w:rsidRPr="00C21C2C">
                    <w:rPr>
                      <w:iCs/>
                      <w:color w:val="FFFFFF" w:themeColor="background1"/>
                      <w:sz w:val="18"/>
                      <w:szCs w:val="18"/>
                    </w:rPr>
                    <w:t>18);</w:t>
                  </w:r>
                </w:p>
                <w:p w:rsidR="005818C0" w:rsidRPr="00C21C2C" w:rsidRDefault="005818C0" w:rsidP="00FA5629">
                  <w:pPr>
                    <w:pStyle w:val="ListParagraph"/>
                    <w:numPr>
                      <w:ilvl w:val="0"/>
                      <w:numId w:val="9"/>
                    </w:numPr>
                    <w:ind w:left="284" w:hanging="284"/>
                    <w:rPr>
                      <w:color w:val="FFFFFF" w:themeColor="background1"/>
                      <w:kern w:val="0"/>
                      <w:sz w:val="18"/>
                      <w:szCs w:val="18"/>
                    </w:rPr>
                  </w:pPr>
                  <w:r w:rsidRPr="00C21C2C">
                    <w:rPr>
                      <w:rFonts w:eastAsia="Times New Roman"/>
                      <w:b/>
                      <w:color w:val="FFFFFF" w:themeColor="background1"/>
                      <w:kern w:val="0"/>
                      <w:sz w:val="18"/>
                      <w:szCs w:val="18"/>
                    </w:rPr>
                    <w:t>Закон о Народној банци Србије</w:t>
                  </w:r>
                  <w:r w:rsidRPr="00C21C2C">
                    <w:rPr>
                      <w:rFonts w:eastAsia="Times New Roman"/>
                      <w:color w:val="FFFFFF" w:themeColor="background1"/>
                      <w:kern w:val="0"/>
                      <w:sz w:val="18"/>
                      <w:szCs w:val="18"/>
                    </w:rPr>
                    <w:t xml:space="preserve"> </w:t>
                  </w:r>
                  <w:r w:rsidRPr="00C21C2C">
                    <w:rPr>
                      <w:color w:val="FFFFFF" w:themeColor="background1"/>
                      <w:kern w:val="0"/>
                      <w:sz w:val="18"/>
                      <w:szCs w:val="18"/>
                    </w:rPr>
                    <w:t xml:space="preserve">(„Службени гласник PC”, бр. </w:t>
                  </w:r>
                  <w:r>
                    <w:rPr>
                      <w:bCs/>
                      <w:color w:val="FFFFFF" w:themeColor="background1"/>
                      <w:sz w:val="18"/>
                      <w:szCs w:val="18"/>
                    </w:rPr>
                    <w:t>72/03, 55/04, 85/05 - др. закон, 44/10, 76/12, 106/12, 14/15, 40/15</w:t>
                  </w:r>
                  <w:r>
                    <w:rPr>
                      <w:bCs/>
                      <w:color w:val="FFFFFF" w:themeColor="background1"/>
                      <w:sz w:val="18"/>
                      <w:szCs w:val="18"/>
                      <w:lang/>
                    </w:rPr>
                    <w:t xml:space="preserve"> </w:t>
                  </w:r>
                  <w:r>
                    <w:rPr>
                      <w:bCs/>
                      <w:color w:val="FFFFFF" w:themeColor="background1"/>
                      <w:sz w:val="18"/>
                      <w:szCs w:val="18"/>
                    </w:rPr>
                    <w:t>-</w:t>
                  </w:r>
                  <w:r>
                    <w:rPr>
                      <w:bCs/>
                      <w:color w:val="FFFFFF" w:themeColor="background1"/>
                      <w:sz w:val="18"/>
                      <w:szCs w:val="18"/>
                      <w:lang/>
                    </w:rPr>
                    <w:t xml:space="preserve"> </w:t>
                  </w:r>
                  <w:r>
                    <w:rPr>
                      <w:bCs/>
                      <w:color w:val="FFFFFF" w:themeColor="background1"/>
                      <w:sz w:val="18"/>
                      <w:szCs w:val="18"/>
                    </w:rPr>
                    <w:t>УС и 44/</w:t>
                  </w:r>
                  <w:r w:rsidRPr="00C21C2C">
                    <w:rPr>
                      <w:bCs/>
                      <w:color w:val="FFFFFF" w:themeColor="background1"/>
                      <w:sz w:val="18"/>
                      <w:szCs w:val="18"/>
                    </w:rPr>
                    <w:t>18</w:t>
                  </w:r>
                  <w:r w:rsidRPr="00C21C2C">
                    <w:rPr>
                      <w:color w:val="FFFFFF" w:themeColor="background1"/>
                      <w:kern w:val="0"/>
                      <w:sz w:val="18"/>
                      <w:szCs w:val="18"/>
                    </w:rPr>
                    <w:t>);</w:t>
                  </w:r>
                </w:p>
                <w:p w:rsidR="005818C0" w:rsidRPr="00C21C2C" w:rsidRDefault="005818C0" w:rsidP="00FA5629">
                  <w:pPr>
                    <w:pStyle w:val="ListParagraph"/>
                    <w:numPr>
                      <w:ilvl w:val="0"/>
                      <w:numId w:val="9"/>
                    </w:numPr>
                    <w:ind w:left="284" w:hanging="284"/>
                    <w:rPr>
                      <w:iCs/>
                      <w:color w:val="FFFFFF" w:themeColor="background1"/>
                      <w:sz w:val="18"/>
                      <w:szCs w:val="18"/>
                    </w:rPr>
                  </w:pPr>
                  <w:r w:rsidRPr="00C21C2C">
                    <w:rPr>
                      <w:b/>
                      <w:iCs/>
                      <w:color w:val="FFFFFF" w:themeColor="background1"/>
                      <w:sz w:val="18"/>
                      <w:szCs w:val="18"/>
                    </w:rPr>
                    <w:t>Закон о Агенцији за борбу против корупције</w:t>
                  </w:r>
                  <w:r w:rsidRPr="00C21C2C">
                    <w:rPr>
                      <w:iCs/>
                      <w:color w:val="FFFFFF" w:themeColor="background1"/>
                      <w:sz w:val="18"/>
                      <w:szCs w:val="18"/>
                    </w:rPr>
                    <w:t xml:space="preserve"> (</w:t>
                  </w:r>
                  <w:r>
                    <w:rPr>
                      <w:iCs/>
                      <w:color w:val="FFFFFF" w:themeColor="background1"/>
                      <w:sz w:val="18"/>
                      <w:szCs w:val="18"/>
                    </w:rPr>
                    <w:t xml:space="preserve">„Службени гласник РС”, бр. 97/08, 53/10, 66/11 </w:t>
                  </w:r>
                  <w:r>
                    <w:rPr>
                      <w:iCs/>
                      <w:color w:val="FFFFFF" w:themeColor="background1"/>
                      <w:sz w:val="18"/>
                      <w:szCs w:val="18"/>
                      <w:lang/>
                    </w:rPr>
                    <w:t>-</w:t>
                  </w:r>
                  <w:r>
                    <w:rPr>
                      <w:iCs/>
                      <w:color w:val="FFFFFF" w:themeColor="background1"/>
                      <w:sz w:val="18"/>
                      <w:szCs w:val="18"/>
                    </w:rPr>
                    <w:t xml:space="preserve"> УС, 67/13 -</w:t>
                  </w:r>
                  <w:r>
                    <w:rPr>
                      <w:iCs/>
                      <w:color w:val="FFFFFF" w:themeColor="background1"/>
                      <w:sz w:val="18"/>
                      <w:szCs w:val="18"/>
                      <w:lang/>
                    </w:rPr>
                    <w:t xml:space="preserve"> </w:t>
                  </w:r>
                  <w:r>
                    <w:rPr>
                      <w:iCs/>
                      <w:color w:val="FFFFFF" w:themeColor="background1"/>
                      <w:sz w:val="18"/>
                      <w:szCs w:val="18"/>
                    </w:rPr>
                    <w:t>УС, 112/13 – аутентично тумачење и 8/15 –</w:t>
                  </w:r>
                  <w:r w:rsidRPr="00C21C2C">
                    <w:rPr>
                      <w:iCs/>
                      <w:color w:val="FFFFFF" w:themeColor="background1"/>
                      <w:sz w:val="18"/>
                      <w:szCs w:val="18"/>
                    </w:rPr>
                    <w:t>УС);</w:t>
                  </w:r>
                </w:p>
                <w:p w:rsidR="005818C0" w:rsidRPr="00C21C2C" w:rsidRDefault="005818C0" w:rsidP="00FA5629">
                  <w:pPr>
                    <w:pStyle w:val="ListParagraph"/>
                    <w:numPr>
                      <w:ilvl w:val="0"/>
                      <w:numId w:val="9"/>
                    </w:numPr>
                    <w:ind w:left="284" w:hanging="284"/>
                    <w:rPr>
                      <w:iCs/>
                      <w:color w:val="FFFFFF" w:themeColor="background1"/>
                      <w:sz w:val="18"/>
                      <w:szCs w:val="18"/>
                    </w:rPr>
                  </w:pPr>
                  <w:r w:rsidRPr="00C21C2C">
                    <w:rPr>
                      <w:b/>
                      <w:iCs/>
                      <w:color w:val="FFFFFF" w:themeColor="background1"/>
                      <w:sz w:val="18"/>
                      <w:szCs w:val="18"/>
                    </w:rPr>
                    <w:t>Закон о спречавању корупције</w:t>
                  </w:r>
                  <w:r w:rsidRPr="00C21C2C">
                    <w:rPr>
                      <w:iCs/>
                      <w:color w:val="FFFFFF" w:themeColor="background1"/>
                      <w:sz w:val="18"/>
                      <w:szCs w:val="18"/>
                    </w:rPr>
                    <w:t xml:space="preserve"> („</w:t>
                  </w:r>
                  <w:r>
                    <w:rPr>
                      <w:iCs/>
                      <w:color w:val="FFFFFF" w:themeColor="background1"/>
                      <w:sz w:val="18"/>
                      <w:szCs w:val="18"/>
                    </w:rPr>
                    <w:t>Службени гласник РС</w:t>
                  </w:r>
                  <w:r w:rsidRPr="00C21C2C">
                    <w:rPr>
                      <w:color w:val="FFFFFF" w:themeColor="background1"/>
                      <w:kern w:val="0"/>
                      <w:sz w:val="18"/>
                      <w:szCs w:val="18"/>
                    </w:rPr>
                    <w:t>”</w:t>
                  </w:r>
                  <w:r>
                    <w:rPr>
                      <w:iCs/>
                      <w:color w:val="FFFFFF" w:themeColor="background1"/>
                      <w:sz w:val="18"/>
                      <w:szCs w:val="18"/>
                    </w:rPr>
                    <w:t>, број 35/</w:t>
                  </w:r>
                  <w:r w:rsidRPr="00C21C2C">
                    <w:rPr>
                      <w:iCs/>
                      <w:color w:val="FFFFFF" w:themeColor="background1"/>
                      <w:sz w:val="18"/>
                      <w:szCs w:val="18"/>
                    </w:rPr>
                    <w:t>19)</w:t>
                  </w:r>
                </w:p>
                <w:p w:rsidR="005818C0" w:rsidRPr="00C21C2C" w:rsidRDefault="005818C0" w:rsidP="00FA5629">
                  <w:pPr>
                    <w:pStyle w:val="ListParagraph"/>
                    <w:numPr>
                      <w:ilvl w:val="0"/>
                      <w:numId w:val="9"/>
                    </w:numPr>
                    <w:ind w:left="284" w:hanging="284"/>
                    <w:rPr>
                      <w:iCs/>
                      <w:color w:val="FFFFFF" w:themeColor="background1"/>
                      <w:sz w:val="18"/>
                      <w:szCs w:val="18"/>
                    </w:rPr>
                  </w:pPr>
                  <w:r w:rsidRPr="00C21C2C">
                    <w:rPr>
                      <w:b/>
                      <w:iCs/>
                      <w:color w:val="FFFFFF" w:themeColor="background1"/>
                      <w:sz w:val="18"/>
                      <w:szCs w:val="18"/>
                    </w:rPr>
                    <w:t>Закон о удружењима</w:t>
                  </w:r>
                  <w:r w:rsidRPr="00C21C2C">
                    <w:rPr>
                      <w:iCs/>
                      <w:color w:val="FFFFFF" w:themeColor="background1"/>
                      <w:sz w:val="18"/>
                      <w:szCs w:val="18"/>
                    </w:rPr>
                    <w:t xml:space="preserve"> („Службени гласник РС</w:t>
                  </w:r>
                  <w:r>
                    <w:rPr>
                      <w:iCs/>
                      <w:color w:val="FFFFFF" w:themeColor="background1"/>
                      <w:sz w:val="18"/>
                      <w:szCs w:val="18"/>
                    </w:rPr>
                    <w:t>”</w:t>
                  </w:r>
                  <w:r w:rsidRPr="00C21C2C">
                    <w:rPr>
                      <w:iCs/>
                      <w:color w:val="FFFFFF" w:themeColor="background1"/>
                      <w:sz w:val="18"/>
                      <w:szCs w:val="18"/>
                    </w:rPr>
                    <w:t xml:space="preserve">, </w:t>
                  </w:r>
                  <w:r>
                    <w:rPr>
                      <w:iCs/>
                      <w:color w:val="FFFFFF" w:themeColor="background1"/>
                      <w:sz w:val="18"/>
                      <w:szCs w:val="18"/>
                    </w:rPr>
                    <w:t>бр. 51/09, 99/11 - др. закони и 44/</w:t>
                  </w:r>
                  <w:r w:rsidRPr="00C21C2C">
                    <w:rPr>
                      <w:iCs/>
                      <w:color w:val="FFFFFF" w:themeColor="background1"/>
                      <w:sz w:val="18"/>
                      <w:szCs w:val="18"/>
                    </w:rPr>
                    <w:t>18 - др. закон);</w:t>
                  </w:r>
                </w:p>
                <w:p w:rsidR="005818C0" w:rsidRPr="00C21C2C" w:rsidRDefault="005818C0" w:rsidP="00FA5629">
                  <w:pPr>
                    <w:pStyle w:val="ListParagraph"/>
                    <w:numPr>
                      <w:ilvl w:val="0"/>
                      <w:numId w:val="9"/>
                    </w:numPr>
                    <w:ind w:left="284" w:hanging="284"/>
                    <w:rPr>
                      <w:iCs/>
                      <w:color w:val="FFFFFF" w:themeColor="background1"/>
                      <w:sz w:val="18"/>
                      <w:szCs w:val="18"/>
                    </w:rPr>
                  </w:pPr>
                  <w:r w:rsidRPr="00C21C2C">
                    <w:rPr>
                      <w:b/>
                      <w:iCs/>
                      <w:color w:val="FFFFFF" w:themeColor="background1"/>
                      <w:sz w:val="18"/>
                      <w:szCs w:val="18"/>
                    </w:rPr>
                    <w:t>Закон о задужбинама и фондацијама</w:t>
                  </w:r>
                  <w:r>
                    <w:rPr>
                      <w:iCs/>
                      <w:color w:val="FFFFFF" w:themeColor="background1"/>
                      <w:sz w:val="18"/>
                      <w:szCs w:val="18"/>
                    </w:rPr>
                    <w:t xml:space="preserve"> („Службени гласник РС”, бр. 88/10, 99/11 - др. закон и 44/</w:t>
                  </w:r>
                  <w:r w:rsidRPr="00C21C2C">
                    <w:rPr>
                      <w:iCs/>
                      <w:color w:val="FFFFFF" w:themeColor="background1"/>
                      <w:sz w:val="18"/>
                      <w:szCs w:val="18"/>
                    </w:rPr>
                    <w:t>18 - др. закон)</w:t>
                  </w:r>
                </w:p>
                <w:p w:rsidR="005818C0" w:rsidRPr="00C21C2C" w:rsidRDefault="005818C0" w:rsidP="00FA5629">
                  <w:pPr>
                    <w:pStyle w:val="ListParagraph"/>
                    <w:numPr>
                      <w:ilvl w:val="0"/>
                      <w:numId w:val="9"/>
                    </w:numPr>
                    <w:ind w:left="284" w:hanging="284"/>
                    <w:rPr>
                      <w:iCs/>
                      <w:color w:val="FFFFFF" w:themeColor="background1"/>
                      <w:sz w:val="18"/>
                      <w:szCs w:val="18"/>
                    </w:rPr>
                  </w:pPr>
                  <w:r w:rsidRPr="00C21C2C">
                    <w:rPr>
                      <w:b/>
                      <w:iCs/>
                      <w:color w:val="FFFFFF" w:themeColor="background1"/>
                      <w:sz w:val="18"/>
                      <w:szCs w:val="18"/>
                    </w:rPr>
                    <w:t>Закон о централној евиденцији стварних власника</w:t>
                  </w:r>
                  <w:r>
                    <w:rPr>
                      <w:iCs/>
                      <w:color w:val="FFFFFF" w:themeColor="background1"/>
                      <w:sz w:val="18"/>
                      <w:szCs w:val="18"/>
                    </w:rPr>
                    <w:t xml:space="preserve"> („Службени гласник РС”, бр.</w:t>
                  </w:r>
                  <w:r w:rsidRPr="00C21C2C">
                    <w:rPr>
                      <w:iCs/>
                      <w:color w:val="FFFFFF" w:themeColor="background1"/>
                      <w:sz w:val="18"/>
                      <w:szCs w:val="18"/>
                    </w:rPr>
                    <w:t xml:space="preserve"> 41/18 и 91/19).</w:t>
                  </w:r>
                </w:p>
                <w:p w:rsidR="005818C0" w:rsidRPr="00C21C2C" w:rsidRDefault="005818C0" w:rsidP="001A18C8">
                  <w:pPr>
                    <w:rPr>
                      <w:color w:val="FFFFFF" w:themeColor="background1"/>
                      <w:sz w:val="18"/>
                      <w:szCs w:val="18"/>
                    </w:rPr>
                  </w:pPr>
                </w:p>
              </w:txbxContent>
            </v:textbox>
            <w10:wrap type="square"/>
          </v:shape>
        </w:pict>
      </w:r>
      <w:r w:rsidR="005818C0">
        <w:rPr>
          <w:color w:val="auto"/>
          <w:lang w:val="sr-Cyrl-CS"/>
        </w:rPr>
        <w:t>Takođe</w:t>
      </w:r>
      <w:r w:rsidR="00FA5629" w:rsidRPr="00E95BC4">
        <w:rPr>
          <w:color w:val="auto"/>
          <w:lang w:val="sr-Cyrl-CS"/>
        </w:rPr>
        <w:t xml:space="preserve">, </w:t>
      </w:r>
      <w:r w:rsidR="005818C0">
        <w:rPr>
          <w:color w:val="auto"/>
          <w:lang w:val="sr-Cyrl-CS"/>
        </w:rPr>
        <w:t>među</w:t>
      </w:r>
      <w:r w:rsidR="00FA5629" w:rsidRPr="00E95BC4">
        <w:rPr>
          <w:color w:val="auto"/>
          <w:lang w:val="sr-Cyrl-CS"/>
        </w:rPr>
        <w:t xml:space="preserve"> </w:t>
      </w:r>
      <w:r w:rsidR="005818C0">
        <w:rPr>
          <w:color w:val="auto"/>
          <w:lang w:val="sr-Cyrl-CS"/>
        </w:rPr>
        <w:t>relevantnim</w:t>
      </w:r>
      <w:r w:rsidR="00FA5629" w:rsidRPr="00E95BC4">
        <w:rPr>
          <w:color w:val="auto"/>
          <w:lang w:val="sr-Cyrl-CS"/>
        </w:rPr>
        <w:t xml:space="preserve"> </w:t>
      </w:r>
      <w:r w:rsidR="005818C0">
        <w:rPr>
          <w:color w:val="auto"/>
          <w:lang w:val="sr-Cyrl-CS"/>
        </w:rPr>
        <w:t>zakonima</w:t>
      </w:r>
      <w:r w:rsidR="00FA5629" w:rsidRPr="00E95BC4">
        <w:rPr>
          <w:color w:val="auto"/>
          <w:lang w:val="sr-Cyrl-CS"/>
        </w:rPr>
        <w:t xml:space="preserve"> </w:t>
      </w:r>
      <w:r w:rsidR="005818C0">
        <w:rPr>
          <w:color w:val="auto"/>
          <w:lang w:val="sr-Cyrl-CS"/>
        </w:rPr>
        <w:t>koji</w:t>
      </w:r>
      <w:r w:rsidR="00FA5629" w:rsidRPr="00E95BC4">
        <w:rPr>
          <w:color w:val="auto"/>
          <w:lang w:val="sr-Cyrl-CS"/>
        </w:rPr>
        <w:t xml:space="preserve"> </w:t>
      </w:r>
      <w:r w:rsidR="005818C0">
        <w:rPr>
          <w:color w:val="auto"/>
          <w:lang w:val="sr-Cyrl-CS"/>
        </w:rPr>
        <w:t>su</w:t>
      </w:r>
      <w:r w:rsidR="00FA5629" w:rsidRPr="00E95BC4">
        <w:rPr>
          <w:color w:val="auto"/>
          <w:lang w:val="sr-Cyrl-CS"/>
        </w:rPr>
        <w:t xml:space="preserve"> </w:t>
      </w:r>
      <w:r w:rsidR="005818C0">
        <w:rPr>
          <w:color w:val="auto"/>
          <w:lang w:val="sr-Cyrl-CS"/>
        </w:rPr>
        <w:t>bitni</w:t>
      </w:r>
      <w:r w:rsidR="00FA5629" w:rsidRPr="00E95BC4">
        <w:rPr>
          <w:color w:val="auto"/>
          <w:lang w:val="sr-Cyrl-CS"/>
        </w:rPr>
        <w:t xml:space="preserve"> </w:t>
      </w:r>
      <w:r w:rsidR="005818C0">
        <w:rPr>
          <w:color w:val="auto"/>
          <w:lang w:val="sr-Cyrl-CS"/>
        </w:rPr>
        <w:t>za</w:t>
      </w:r>
      <w:r w:rsidR="00FA5629" w:rsidRPr="00E95BC4">
        <w:rPr>
          <w:color w:val="auto"/>
          <w:lang w:val="sr-Cyrl-CS"/>
        </w:rPr>
        <w:t xml:space="preserve"> </w:t>
      </w:r>
      <w:r w:rsidR="005818C0">
        <w:rPr>
          <w:color w:val="auto"/>
          <w:lang w:val="sr-Cyrl-CS"/>
        </w:rPr>
        <w:t>rad</w:t>
      </w:r>
      <w:r w:rsidR="00FA5629" w:rsidRPr="00E95BC4">
        <w:rPr>
          <w:color w:val="auto"/>
          <w:lang w:val="sr-Cyrl-CS"/>
        </w:rPr>
        <w:t xml:space="preserve"> </w:t>
      </w:r>
      <w:r w:rsidR="005818C0">
        <w:rPr>
          <w:color w:val="auto"/>
          <w:lang w:val="sr-Cyrl-CS"/>
        </w:rPr>
        <w:t>nadležnih</w:t>
      </w:r>
      <w:r w:rsidR="00FA5629" w:rsidRPr="00E95BC4">
        <w:rPr>
          <w:color w:val="auto"/>
          <w:lang w:val="sr-Cyrl-CS"/>
        </w:rPr>
        <w:t xml:space="preserve"> </w:t>
      </w:r>
      <w:r w:rsidR="005818C0">
        <w:rPr>
          <w:color w:val="auto"/>
          <w:lang w:val="sr-Cyrl-CS"/>
        </w:rPr>
        <w:t>institucija</w:t>
      </w:r>
      <w:r w:rsidR="00FA5629" w:rsidRPr="00E95BC4">
        <w:rPr>
          <w:color w:val="auto"/>
          <w:lang w:val="sr-Cyrl-CS"/>
        </w:rPr>
        <w:t xml:space="preserve"> </w:t>
      </w:r>
      <w:r w:rsidR="005818C0">
        <w:rPr>
          <w:color w:val="auto"/>
          <w:lang w:val="sr-Cyrl-CS"/>
        </w:rPr>
        <w:t>i</w:t>
      </w:r>
      <w:r w:rsidR="00FA5629" w:rsidRPr="00E95BC4">
        <w:rPr>
          <w:color w:val="auto"/>
          <w:lang w:val="sr-Cyrl-CS"/>
        </w:rPr>
        <w:t xml:space="preserve"> </w:t>
      </w:r>
      <w:r w:rsidR="005818C0">
        <w:rPr>
          <w:color w:val="auto"/>
          <w:lang w:val="sr-Cyrl-CS"/>
        </w:rPr>
        <w:t>drugih</w:t>
      </w:r>
      <w:r w:rsidR="00FA5629" w:rsidRPr="00E95BC4">
        <w:rPr>
          <w:color w:val="auto"/>
          <w:lang w:val="sr-Cyrl-CS"/>
        </w:rPr>
        <w:t xml:space="preserve"> </w:t>
      </w:r>
      <w:r w:rsidR="005818C0">
        <w:rPr>
          <w:color w:val="auto"/>
          <w:lang w:val="sr-Cyrl-CS"/>
        </w:rPr>
        <w:t>učesnika</w:t>
      </w:r>
      <w:r w:rsidR="00FA5629" w:rsidRPr="00E95BC4">
        <w:rPr>
          <w:color w:val="auto"/>
          <w:lang w:val="sr-Cyrl-CS"/>
        </w:rPr>
        <w:t xml:space="preserve"> </w:t>
      </w:r>
      <w:r w:rsidR="005818C0">
        <w:rPr>
          <w:color w:val="auto"/>
          <w:lang w:val="sr-Cyrl-CS"/>
        </w:rPr>
        <w:t>u</w:t>
      </w:r>
      <w:r w:rsidR="00FA5629" w:rsidRPr="00E95BC4">
        <w:rPr>
          <w:color w:val="auto"/>
          <w:lang w:val="sr-Cyrl-CS"/>
        </w:rPr>
        <w:t xml:space="preserve"> </w:t>
      </w:r>
      <w:r w:rsidR="005818C0">
        <w:rPr>
          <w:color w:val="auto"/>
          <w:lang w:val="sr-Cyrl-CS"/>
        </w:rPr>
        <w:t>sistemu</w:t>
      </w:r>
      <w:r w:rsidR="00FA5629" w:rsidRPr="00E95BC4">
        <w:rPr>
          <w:color w:val="auto"/>
          <w:lang w:val="sr-Cyrl-CS"/>
        </w:rPr>
        <w:t xml:space="preserve"> </w:t>
      </w:r>
      <w:r w:rsidR="005818C0">
        <w:rPr>
          <w:color w:val="auto"/>
          <w:lang w:val="sr-Cyrl-CS"/>
        </w:rPr>
        <w:t>borbe</w:t>
      </w:r>
      <w:r w:rsidR="00FA5629" w:rsidRPr="00E95BC4">
        <w:rPr>
          <w:color w:val="auto"/>
          <w:lang w:val="sr-Cyrl-CS"/>
        </w:rPr>
        <w:t xml:space="preserve"> </w:t>
      </w:r>
      <w:r w:rsidR="005818C0">
        <w:rPr>
          <w:color w:val="auto"/>
          <w:lang w:val="sr-Cyrl-CS"/>
        </w:rPr>
        <w:t>protiv</w:t>
      </w:r>
      <w:r w:rsidR="00FA5629" w:rsidRPr="00E95BC4">
        <w:rPr>
          <w:color w:val="auto"/>
          <w:lang w:val="sr-Cyrl-CS"/>
        </w:rPr>
        <w:t xml:space="preserve"> </w:t>
      </w:r>
      <w:r w:rsidR="005818C0">
        <w:rPr>
          <w:color w:val="auto"/>
          <w:lang w:val="sr-Cyrl-CS"/>
        </w:rPr>
        <w:t>pranja</w:t>
      </w:r>
      <w:r w:rsidR="00FA5629" w:rsidRPr="00E95BC4">
        <w:rPr>
          <w:color w:val="auto"/>
          <w:lang w:val="sr-Cyrl-CS"/>
        </w:rPr>
        <w:t xml:space="preserve"> </w:t>
      </w:r>
      <w:r w:rsidR="005818C0">
        <w:rPr>
          <w:color w:val="auto"/>
          <w:lang w:val="sr-Cyrl-CS"/>
        </w:rPr>
        <w:t>novca</w:t>
      </w:r>
      <w:r w:rsidR="00FA5629" w:rsidRPr="00E95BC4">
        <w:rPr>
          <w:color w:val="auto"/>
          <w:lang w:val="sr-Cyrl-CS"/>
        </w:rPr>
        <w:t xml:space="preserve"> </w:t>
      </w:r>
      <w:r w:rsidR="005818C0">
        <w:rPr>
          <w:color w:val="auto"/>
          <w:lang w:val="sr-Cyrl-CS"/>
        </w:rPr>
        <w:t>i</w:t>
      </w:r>
      <w:r w:rsidR="00FA5629" w:rsidRPr="00E95BC4">
        <w:rPr>
          <w:color w:val="auto"/>
          <w:lang w:val="sr-Cyrl-CS"/>
        </w:rPr>
        <w:t xml:space="preserve"> </w:t>
      </w:r>
      <w:r w:rsidR="005818C0">
        <w:rPr>
          <w:color w:val="auto"/>
          <w:lang w:val="sr-Cyrl-CS"/>
        </w:rPr>
        <w:t>finansiranja</w:t>
      </w:r>
      <w:r w:rsidR="00FA5629" w:rsidRPr="00E95BC4">
        <w:rPr>
          <w:color w:val="auto"/>
          <w:lang w:val="sr-Cyrl-CS"/>
        </w:rPr>
        <w:t xml:space="preserve"> </w:t>
      </w:r>
      <w:r w:rsidR="005818C0">
        <w:rPr>
          <w:color w:val="auto"/>
          <w:lang w:val="sr-Cyrl-CS"/>
        </w:rPr>
        <w:t>terorizma</w:t>
      </w:r>
      <w:r w:rsidR="00FA5629" w:rsidRPr="00E95BC4">
        <w:rPr>
          <w:color w:val="auto"/>
          <w:lang w:val="sr-Cyrl-CS"/>
        </w:rPr>
        <w:t xml:space="preserve"> </w:t>
      </w:r>
      <w:r w:rsidR="005818C0">
        <w:rPr>
          <w:color w:val="auto"/>
          <w:lang w:val="sr-Cyrl-CS"/>
        </w:rPr>
        <w:t>su</w:t>
      </w:r>
      <w:r w:rsidR="00FA5629" w:rsidRPr="00E95BC4">
        <w:rPr>
          <w:color w:val="auto"/>
          <w:lang w:val="sr-Cyrl-CS"/>
        </w:rPr>
        <w:t xml:space="preserve"> </w:t>
      </w:r>
      <w:r w:rsidR="005818C0">
        <w:rPr>
          <w:color w:val="auto"/>
          <w:lang w:val="sr-Cyrl-CS"/>
        </w:rPr>
        <w:t>i</w:t>
      </w:r>
      <w:r w:rsidR="00FA5629" w:rsidRPr="00E95BC4">
        <w:rPr>
          <w:color w:val="auto"/>
          <w:lang w:val="sr-Cyrl-CS"/>
        </w:rPr>
        <w:t>:</w:t>
      </w:r>
    </w:p>
    <w:p w:rsidR="001A18C8" w:rsidRPr="00E95BC4" w:rsidRDefault="001A18C8" w:rsidP="00285FD7">
      <w:pPr>
        <w:ind w:firstLine="720"/>
        <w:jc w:val="both"/>
        <w:rPr>
          <w:color w:val="auto"/>
          <w:lang w:val="sr-Cyrl-CS"/>
        </w:rPr>
      </w:pPr>
    </w:p>
    <w:p w:rsidR="00FA5629" w:rsidRPr="00E95BC4" w:rsidRDefault="00FA5629" w:rsidP="00285FD7">
      <w:pPr>
        <w:ind w:firstLine="720"/>
        <w:jc w:val="both"/>
        <w:rPr>
          <w:color w:val="auto"/>
          <w:lang w:val="sr-Cyrl-CS"/>
        </w:rPr>
      </w:pPr>
    </w:p>
    <w:p w:rsidR="00713C9A" w:rsidRPr="00E95BC4" w:rsidRDefault="005818C0" w:rsidP="00285FD7">
      <w:pPr>
        <w:ind w:firstLine="720"/>
        <w:jc w:val="both"/>
        <w:rPr>
          <w:color w:val="auto"/>
          <w:lang w:val="sr-Cyrl-CS"/>
        </w:rPr>
      </w:pPr>
      <w:r>
        <w:rPr>
          <w:color w:val="auto"/>
          <w:lang w:val="sr-Cyrl-CS"/>
        </w:rPr>
        <w:t>Napred</w:t>
      </w:r>
      <w:r w:rsidR="00713C9A" w:rsidRPr="00E95BC4">
        <w:rPr>
          <w:color w:val="auto"/>
          <w:lang w:val="sr-Cyrl-CS"/>
        </w:rPr>
        <w:t xml:space="preserve"> </w:t>
      </w:r>
      <w:r>
        <w:rPr>
          <w:color w:val="auto"/>
          <w:lang w:val="sr-Cyrl-CS"/>
        </w:rPr>
        <w:t>navedeni</w:t>
      </w:r>
      <w:r w:rsidR="00713C9A" w:rsidRPr="00E95BC4">
        <w:rPr>
          <w:color w:val="auto"/>
          <w:lang w:val="sr-Cyrl-CS"/>
        </w:rPr>
        <w:t xml:space="preserve"> (</w:t>
      </w:r>
      <w:r>
        <w:rPr>
          <w:color w:val="auto"/>
          <w:lang w:val="sr-Cyrl-CS"/>
        </w:rPr>
        <w:t>otvoreni</w:t>
      </w:r>
      <w:r w:rsidR="00713C9A" w:rsidRPr="00E95BC4">
        <w:rPr>
          <w:color w:val="auto"/>
          <w:lang w:val="sr-Cyrl-CS"/>
        </w:rPr>
        <w:t xml:space="preserve">) </w:t>
      </w:r>
      <w:r>
        <w:rPr>
          <w:color w:val="auto"/>
          <w:lang w:val="sr-Cyrl-CS"/>
        </w:rPr>
        <w:t>spisak</w:t>
      </w:r>
      <w:r w:rsidR="00713C9A" w:rsidRPr="00E95BC4">
        <w:rPr>
          <w:color w:val="auto"/>
          <w:lang w:val="sr-Cyrl-CS"/>
        </w:rPr>
        <w:t xml:space="preserve"> </w:t>
      </w:r>
      <w:r>
        <w:rPr>
          <w:color w:val="auto"/>
          <w:lang w:val="sr-Cyrl-CS"/>
        </w:rPr>
        <w:t>zakona</w:t>
      </w:r>
      <w:r w:rsidR="00713C9A" w:rsidRPr="00E95BC4">
        <w:rPr>
          <w:color w:val="auto"/>
          <w:lang w:val="sr-Cyrl-CS"/>
        </w:rPr>
        <w:t xml:space="preserve"> </w:t>
      </w:r>
      <w:r>
        <w:rPr>
          <w:color w:val="auto"/>
          <w:lang w:val="sr-Cyrl-CS"/>
        </w:rPr>
        <w:t>razrađuje</w:t>
      </w:r>
      <w:r w:rsidR="00713C9A" w:rsidRPr="00E95BC4">
        <w:rPr>
          <w:color w:val="auto"/>
          <w:lang w:val="sr-Cyrl-CS"/>
        </w:rPr>
        <w:t xml:space="preserve"> </w:t>
      </w:r>
      <w:r>
        <w:rPr>
          <w:color w:val="auto"/>
          <w:lang w:val="sr-Cyrl-CS"/>
        </w:rPr>
        <w:t>se</w:t>
      </w:r>
      <w:r w:rsidR="00713C9A" w:rsidRPr="00E95BC4">
        <w:rPr>
          <w:color w:val="auto"/>
          <w:lang w:val="sr-Cyrl-CS"/>
        </w:rPr>
        <w:t xml:space="preserve"> </w:t>
      </w:r>
      <w:r>
        <w:rPr>
          <w:color w:val="auto"/>
          <w:lang w:val="sr-Cyrl-CS"/>
        </w:rPr>
        <w:t>kroz</w:t>
      </w:r>
      <w:r w:rsidR="00713C9A" w:rsidRPr="00E95BC4">
        <w:rPr>
          <w:color w:val="auto"/>
          <w:lang w:val="sr-Cyrl-CS"/>
        </w:rPr>
        <w:t xml:space="preserve"> </w:t>
      </w:r>
      <w:r>
        <w:rPr>
          <w:color w:val="auto"/>
          <w:lang w:val="sr-Cyrl-CS"/>
        </w:rPr>
        <w:t>brojna</w:t>
      </w:r>
      <w:r w:rsidR="00713C9A" w:rsidRPr="00E95BC4">
        <w:rPr>
          <w:color w:val="auto"/>
          <w:lang w:val="sr-Cyrl-CS"/>
        </w:rPr>
        <w:t xml:space="preserve"> </w:t>
      </w:r>
      <w:r>
        <w:rPr>
          <w:color w:val="auto"/>
          <w:lang w:val="sr-Cyrl-CS"/>
        </w:rPr>
        <w:t>podzakonska</w:t>
      </w:r>
      <w:r w:rsidR="00713C9A" w:rsidRPr="00E95BC4">
        <w:rPr>
          <w:color w:val="auto"/>
          <w:lang w:val="sr-Cyrl-CS"/>
        </w:rPr>
        <w:t xml:space="preserve"> </w:t>
      </w:r>
      <w:r>
        <w:rPr>
          <w:color w:val="auto"/>
          <w:lang w:val="sr-Cyrl-CS"/>
        </w:rPr>
        <w:t>akta</w:t>
      </w:r>
      <w:r w:rsidR="00713C9A" w:rsidRPr="00E95BC4">
        <w:rPr>
          <w:color w:val="auto"/>
          <w:lang w:val="sr-Cyrl-CS"/>
        </w:rPr>
        <w:t xml:space="preserve">, </w:t>
      </w:r>
      <w:r>
        <w:rPr>
          <w:color w:val="auto"/>
          <w:lang w:val="sr-Cyrl-CS"/>
        </w:rPr>
        <w:t>uputstva</w:t>
      </w:r>
      <w:r w:rsidR="00713C9A" w:rsidRPr="00E95BC4">
        <w:rPr>
          <w:color w:val="auto"/>
          <w:lang w:val="sr-Cyrl-CS"/>
        </w:rPr>
        <w:t xml:space="preserve">, </w:t>
      </w:r>
      <w:r>
        <w:rPr>
          <w:color w:val="auto"/>
          <w:lang w:val="sr-Cyrl-CS"/>
        </w:rPr>
        <w:t>smernice</w:t>
      </w:r>
      <w:r w:rsidR="00713C9A" w:rsidRPr="00E95BC4">
        <w:rPr>
          <w:color w:val="auto"/>
          <w:lang w:val="sr-Cyrl-CS"/>
        </w:rPr>
        <w:t xml:space="preserve">, </w:t>
      </w:r>
      <w:r>
        <w:rPr>
          <w:color w:val="auto"/>
          <w:lang w:val="sr-Cyrl-CS"/>
        </w:rPr>
        <w:t>vodiče</w:t>
      </w:r>
      <w:r w:rsidR="00713C9A" w:rsidRPr="00E95BC4">
        <w:rPr>
          <w:color w:val="auto"/>
          <w:lang w:val="sr-Cyrl-CS"/>
        </w:rPr>
        <w:t xml:space="preserve"> </w:t>
      </w:r>
      <w:r>
        <w:rPr>
          <w:color w:val="auto"/>
          <w:lang w:val="sr-Cyrl-CS"/>
        </w:rPr>
        <w:t>i</w:t>
      </w:r>
      <w:r w:rsidR="00713C9A" w:rsidRPr="00E95BC4">
        <w:rPr>
          <w:color w:val="auto"/>
          <w:lang w:val="sr-Cyrl-CS"/>
        </w:rPr>
        <w:t xml:space="preserve"> </w:t>
      </w:r>
      <w:r>
        <w:rPr>
          <w:color w:val="auto"/>
          <w:lang w:val="sr-Cyrl-CS"/>
        </w:rPr>
        <w:t>druga</w:t>
      </w:r>
      <w:r w:rsidR="00713C9A" w:rsidRPr="00E95BC4">
        <w:rPr>
          <w:color w:val="auto"/>
          <w:lang w:val="sr-Cyrl-CS"/>
        </w:rPr>
        <w:t xml:space="preserve"> </w:t>
      </w:r>
      <w:r>
        <w:rPr>
          <w:color w:val="auto"/>
          <w:lang w:val="sr-Cyrl-CS"/>
        </w:rPr>
        <w:t>dokumenta</w:t>
      </w:r>
      <w:r w:rsidR="00713C9A" w:rsidRPr="00E95BC4">
        <w:rPr>
          <w:color w:val="auto"/>
          <w:lang w:val="sr-Cyrl-CS"/>
        </w:rPr>
        <w:t xml:space="preserve"> </w:t>
      </w:r>
      <w:r>
        <w:rPr>
          <w:color w:val="auto"/>
          <w:lang w:val="sr-Cyrl-CS"/>
        </w:rPr>
        <w:t>kojima</w:t>
      </w:r>
      <w:r w:rsidR="00713C9A" w:rsidRPr="00E95BC4">
        <w:rPr>
          <w:color w:val="auto"/>
          <w:lang w:val="sr-Cyrl-CS"/>
        </w:rPr>
        <w:t xml:space="preserve"> </w:t>
      </w:r>
      <w:r>
        <w:rPr>
          <w:color w:val="auto"/>
          <w:lang w:val="sr-Cyrl-CS"/>
        </w:rPr>
        <w:t>se</w:t>
      </w:r>
      <w:r w:rsidR="00713C9A" w:rsidRPr="00E95BC4">
        <w:rPr>
          <w:color w:val="auto"/>
          <w:lang w:val="sr-Cyrl-CS"/>
        </w:rPr>
        <w:t xml:space="preserve"> </w:t>
      </w:r>
      <w:r>
        <w:rPr>
          <w:color w:val="auto"/>
          <w:lang w:val="sr-Cyrl-CS"/>
        </w:rPr>
        <w:t>operacionalizuju</w:t>
      </w:r>
      <w:r w:rsidR="00713C9A" w:rsidRPr="00E95BC4">
        <w:rPr>
          <w:color w:val="auto"/>
          <w:lang w:val="sr-Cyrl-CS"/>
        </w:rPr>
        <w:t xml:space="preserve"> </w:t>
      </w:r>
      <w:r>
        <w:rPr>
          <w:color w:val="auto"/>
          <w:lang w:val="sr-Cyrl-CS"/>
        </w:rPr>
        <w:t>mere</w:t>
      </w:r>
      <w:r w:rsidR="00713C9A" w:rsidRPr="00E95BC4">
        <w:rPr>
          <w:color w:val="auto"/>
          <w:lang w:val="sr-Cyrl-CS"/>
        </w:rPr>
        <w:t xml:space="preserve"> </w:t>
      </w:r>
      <w:r>
        <w:rPr>
          <w:color w:val="auto"/>
          <w:lang w:val="sr-Cyrl-CS"/>
        </w:rPr>
        <w:t>i</w:t>
      </w:r>
      <w:r w:rsidR="00713C9A" w:rsidRPr="00E95BC4">
        <w:rPr>
          <w:color w:val="auto"/>
          <w:lang w:val="sr-Cyrl-CS"/>
        </w:rPr>
        <w:t xml:space="preserve"> </w:t>
      </w:r>
      <w:r>
        <w:rPr>
          <w:color w:val="auto"/>
          <w:lang w:val="sr-Cyrl-CS"/>
        </w:rPr>
        <w:t>aktivnosti</w:t>
      </w:r>
      <w:r w:rsidR="00713C9A" w:rsidRPr="00E95BC4">
        <w:rPr>
          <w:color w:val="auto"/>
          <w:lang w:val="sr-Cyrl-CS"/>
        </w:rPr>
        <w:t xml:space="preserve"> </w:t>
      </w:r>
      <w:r>
        <w:rPr>
          <w:color w:val="auto"/>
          <w:lang w:val="sr-Cyrl-CS"/>
        </w:rPr>
        <w:t>za</w:t>
      </w:r>
      <w:r w:rsidR="00713C9A" w:rsidRPr="00E95BC4">
        <w:rPr>
          <w:color w:val="auto"/>
          <w:lang w:val="sr-Cyrl-CS"/>
        </w:rPr>
        <w:t xml:space="preserve"> </w:t>
      </w:r>
      <w:r>
        <w:rPr>
          <w:color w:val="auto"/>
          <w:lang w:val="sr-Cyrl-CS"/>
        </w:rPr>
        <w:t>borbu</w:t>
      </w:r>
      <w:r w:rsidR="00713C9A" w:rsidRPr="00E95BC4">
        <w:rPr>
          <w:color w:val="auto"/>
          <w:lang w:val="sr-Cyrl-CS"/>
        </w:rPr>
        <w:t xml:space="preserve"> </w:t>
      </w:r>
      <w:r>
        <w:rPr>
          <w:color w:val="auto"/>
          <w:lang w:val="sr-Cyrl-CS"/>
        </w:rPr>
        <w:t>protiv</w:t>
      </w:r>
      <w:r w:rsidR="00713C9A" w:rsidRPr="00E95BC4">
        <w:rPr>
          <w:color w:val="auto"/>
          <w:lang w:val="sr-Cyrl-CS"/>
        </w:rPr>
        <w:t xml:space="preserve"> </w:t>
      </w:r>
      <w:r>
        <w:rPr>
          <w:color w:val="auto"/>
          <w:lang w:val="sr-Cyrl-CS"/>
        </w:rPr>
        <w:t>pranja</w:t>
      </w:r>
      <w:r w:rsidR="00713C9A" w:rsidRPr="00E95BC4">
        <w:rPr>
          <w:color w:val="auto"/>
          <w:lang w:val="sr-Cyrl-CS"/>
        </w:rPr>
        <w:t xml:space="preserve"> </w:t>
      </w:r>
      <w:r>
        <w:rPr>
          <w:color w:val="auto"/>
          <w:lang w:val="sr-Cyrl-CS"/>
        </w:rPr>
        <w:t>novca</w:t>
      </w:r>
      <w:r w:rsidR="00713C9A" w:rsidRPr="00E95BC4">
        <w:rPr>
          <w:color w:val="auto"/>
          <w:lang w:val="sr-Cyrl-CS"/>
        </w:rPr>
        <w:t xml:space="preserve">, </w:t>
      </w:r>
      <w:r>
        <w:rPr>
          <w:color w:val="auto"/>
          <w:lang w:val="sr-Cyrl-CS"/>
        </w:rPr>
        <w:t>finansiranja</w:t>
      </w:r>
      <w:r w:rsidR="00713C9A" w:rsidRPr="00E95BC4">
        <w:rPr>
          <w:color w:val="auto"/>
          <w:lang w:val="sr-Cyrl-CS"/>
        </w:rPr>
        <w:t xml:space="preserve"> </w:t>
      </w:r>
      <w:r>
        <w:rPr>
          <w:color w:val="auto"/>
          <w:lang w:val="sr-Cyrl-CS"/>
        </w:rPr>
        <w:t>terorizma</w:t>
      </w:r>
      <w:r w:rsidR="00713C9A" w:rsidRPr="00E95BC4">
        <w:rPr>
          <w:color w:val="auto"/>
          <w:lang w:val="sr-Cyrl-CS"/>
        </w:rPr>
        <w:t xml:space="preserve"> </w:t>
      </w:r>
      <w:r>
        <w:rPr>
          <w:color w:val="auto"/>
          <w:lang w:val="sr-Cyrl-CS"/>
        </w:rPr>
        <w:t>i</w:t>
      </w:r>
      <w:r w:rsidR="00713C9A" w:rsidRPr="00E95BC4">
        <w:rPr>
          <w:color w:val="auto"/>
          <w:lang w:val="sr-Cyrl-CS"/>
        </w:rPr>
        <w:t xml:space="preserve"> </w:t>
      </w:r>
      <w:r>
        <w:rPr>
          <w:color w:val="auto"/>
          <w:lang w:val="sr-Cyrl-CS"/>
        </w:rPr>
        <w:t>širenja</w:t>
      </w:r>
      <w:r w:rsidR="00713C9A" w:rsidRPr="00E95BC4">
        <w:rPr>
          <w:color w:val="auto"/>
          <w:lang w:val="sr-Cyrl-CS"/>
        </w:rPr>
        <w:t xml:space="preserve"> </w:t>
      </w:r>
      <w:r>
        <w:rPr>
          <w:color w:val="auto"/>
          <w:lang w:val="sr-Cyrl-CS"/>
        </w:rPr>
        <w:t>oružja</w:t>
      </w:r>
      <w:r w:rsidR="00713C9A" w:rsidRPr="00E95BC4">
        <w:rPr>
          <w:color w:val="auto"/>
          <w:lang w:val="sr-Cyrl-CS"/>
        </w:rPr>
        <w:t xml:space="preserve"> </w:t>
      </w:r>
      <w:r>
        <w:rPr>
          <w:color w:val="auto"/>
          <w:lang w:val="sr-Cyrl-CS"/>
        </w:rPr>
        <w:t>za</w:t>
      </w:r>
      <w:r w:rsidR="00713C9A" w:rsidRPr="00E95BC4">
        <w:rPr>
          <w:color w:val="auto"/>
          <w:lang w:val="sr-Cyrl-CS"/>
        </w:rPr>
        <w:t xml:space="preserve"> </w:t>
      </w:r>
      <w:r>
        <w:rPr>
          <w:color w:val="auto"/>
          <w:lang w:val="sr-Cyrl-CS"/>
        </w:rPr>
        <w:t>masovno</w:t>
      </w:r>
      <w:r w:rsidR="00713C9A" w:rsidRPr="00E95BC4">
        <w:rPr>
          <w:color w:val="auto"/>
          <w:lang w:val="sr-Cyrl-CS"/>
        </w:rPr>
        <w:t xml:space="preserve"> </w:t>
      </w:r>
      <w:r>
        <w:rPr>
          <w:color w:val="auto"/>
          <w:lang w:val="sr-Cyrl-CS"/>
        </w:rPr>
        <w:t>uništenje</w:t>
      </w:r>
      <w:r w:rsidR="00713C9A" w:rsidRPr="00E95BC4">
        <w:rPr>
          <w:color w:val="auto"/>
          <w:lang w:val="sr-Cyrl-CS"/>
        </w:rPr>
        <w:t xml:space="preserve">, </w:t>
      </w:r>
      <w:r>
        <w:rPr>
          <w:color w:val="auto"/>
          <w:lang w:val="sr-Cyrl-CS"/>
        </w:rPr>
        <w:t>a</w:t>
      </w:r>
      <w:r w:rsidR="00713C9A" w:rsidRPr="00E95BC4">
        <w:rPr>
          <w:color w:val="auto"/>
          <w:lang w:val="sr-Cyrl-CS"/>
        </w:rPr>
        <w:t xml:space="preserve"> </w:t>
      </w:r>
      <w:r>
        <w:rPr>
          <w:color w:val="auto"/>
          <w:lang w:val="sr-Cyrl-CS"/>
        </w:rPr>
        <w:t>s</w:t>
      </w:r>
      <w:r w:rsidR="00713C9A" w:rsidRPr="00E95BC4">
        <w:rPr>
          <w:color w:val="auto"/>
          <w:lang w:val="sr-Cyrl-CS"/>
        </w:rPr>
        <w:t xml:space="preserve"> </w:t>
      </w:r>
      <w:r>
        <w:rPr>
          <w:color w:val="auto"/>
          <w:lang w:val="sr-Cyrl-CS"/>
        </w:rPr>
        <w:t>druge</w:t>
      </w:r>
      <w:r w:rsidR="00713C9A" w:rsidRPr="00E95BC4">
        <w:rPr>
          <w:color w:val="auto"/>
          <w:lang w:val="sr-Cyrl-CS"/>
        </w:rPr>
        <w:t xml:space="preserve"> </w:t>
      </w:r>
      <w:r>
        <w:rPr>
          <w:color w:val="auto"/>
          <w:lang w:val="sr-Cyrl-CS"/>
        </w:rPr>
        <w:t>strane</w:t>
      </w:r>
      <w:r w:rsidR="00713C9A" w:rsidRPr="00E95BC4">
        <w:rPr>
          <w:color w:val="auto"/>
          <w:lang w:val="sr-Cyrl-CS"/>
        </w:rPr>
        <w:t xml:space="preserve"> </w:t>
      </w:r>
      <w:r>
        <w:rPr>
          <w:color w:val="auto"/>
          <w:lang w:val="sr-Cyrl-CS"/>
        </w:rPr>
        <w:t>dokazuje</w:t>
      </w:r>
      <w:r w:rsidR="00713C9A" w:rsidRPr="00E95BC4">
        <w:rPr>
          <w:color w:val="auto"/>
          <w:lang w:val="sr-Cyrl-CS"/>
        </w:rPr>
        <w:t xml:space="preserve"> </w:t>
      </w:r>
      <w:r>
        <w:rPr>
          <w:color w:val="auto"/>
          <w:lang w:val="sr-Cyrl-CS"/>
        </w:rPr>
        <w:t>delotvornost</w:t>
      </w:r>
      <w:r w:rsidR="00713C9A" w:rsidRPr="00E95BC4">
        <w:rPr>
          <w:color w:val="auto"/>
          <w:lang w:val="sr-Cyrl-CS"/>
        </w:rPr>
        <w:t xml:space="preserve"> </w:t>
      </w:r>
      <w:r>
        <w:rPr>
          <w:color w:val="auto"/>
          <w:lang w:val="sr-Cyrl-CS"/>
        </w:rPr>
        <w:t>sistema</w:t>
      </w:r>
      <w:r w:rsidR="00713C9A" w:rsidRPr="00E95BC4">
        <w:rPr>
          <w:color w:val="auto"/>
          <w:lang w:val="sr-Cyrl-CS"/>
        </w:rPr>
        <w:t>.</w:t>
      </w:r>
    </w:p>
    <w:p w:rsidR="00F21E30" w:rsidRPr="00E95BC4" w:rsidRDefault="00F21E30" w:rsidP="00285FD7">
      <w:pPr>
        <w:ind w:firstLine="720"/>
        <w:jc w:val="both"/>
        <w:rPr>
          <w:color w:val="auto"/>
          <w:lang w:val="sr-Cyrl-CS"/>
        </w:rPr>
      </w:pPr>
    </w:p>
    <w:p w:rsidR="00713C9A" w:rsidRPr="00E95BC4" w:rsidRDefault="005818C0" w:rsidP="00285FD7">
      <w:pPr>
        <w:ind w:firstLine="720"/>
        <w:jc w:val="both"/>
        <w:rPr>
          <w:color w:val="auto"/>
          <w:lang w:val="sr-Cyrl-CS"/>
        </w:rPr>
      </w:pPr>
      <w:r>
        <w:rPr>
          <w:b/>
          <w:color w:val="auto"/>
          <w:lang w:val="sr-Cyrl-CS"/>
        </w:rPr>
        <w:t>Nacionalne</w:t>
      </w:r>
      <w:r w:rsidR="00713C9A" w:rsidRPr="00E95BC4">
        <w:rPr>
          <w:b/>
          <w:color w:val="auto"/>
          <w:lang w:val="sr-Cyrl-CS"/>
        </w:rPr>
        <w:t xml:space="preserve"> </w:t>
      </w:r>
      <w:r>
        <w:rPr>
          <w:b/>
          <w:color w:val="auto"/>
          <w:lang w:val="sr-Cyrl-CS"/>
        </w:rPr>
        <w:t>strategije</w:t>
      </w:r>
      <w:r w:rsidR="00713C9A" w:rsidRPr="00E95BC4">
        <w:rPr>
          <w:b/>
          <w:color w:val="auto"/>
          <w:lang w:val="sr-Cyrl-CS"/>
        </w:rPr>
        <w:t xml:space="preserve">, </w:t>
      </w:r>
      <w:r>
        <w:rPr>
          <w:b/>
          <w:color w:val="auto"/>
          <w:lang w:val="sr-Cyrl-CS"/>
        </w:rPr>
        <w:t>akcioni</w:t>
      </w:r>
      <w:r w:rsidR="00713C9A" w:rsidRPr="00E95BC4">
        <w:rPr>
          <w:b/>
          <w:color w:val="auto"/>
          <w:lang w:val="sr-Cyrl-CS"/>
        </w:rPr>
        <w:t xml:space="preserve"> </w:t>
      </w:r>
      <w:r>
        <w:rPr>
          <w:b/>
          <w:color w:val="auto"/>
          <w:lang w:val="sr-Cyrl-CS"/>
        </w:rPr>
        <w:t>planovi</w:t>
      </w:r>
      <w:r w:rsidR="00713C9A" w:rsidRPr="00E95BC4">
        <w:rPr>
          <w:b/>
          <w:color w:val="auto"/>
          <w:lang w:val="sr-Cyrl-CS"/>
        </w:rPr>
        <w:t xml:space="preserve">. </w:t>
      </w:r>
      <w:r>
        <w:rPr>
          <w:color w:val="auto"/>
          <w:lang w:val="sr-Cyrl-CS"/>
        </w:rPr>
        <w:t>Postoji</w:t>
      </w:r>
      <w:r w:rsidR="00713C9A" w:rsidRPr="00E95BC4">
        <w:rPr>
          <w:color w:val="auto"/>
          <w:lang w:val="sr-Cyrl-CS"/>
        </w:rPr>
        <w:t xml:space="preserve"> </w:t>
      </w:r>
      <w:r>
        <w:rPr>
          <w:color w:val="auto"/>
          <w:lang w:val="sr-Cyrl-CS"/>
        </w:rPr>
        <w:t>više</w:t>
      </w:r>
      <w:r w:rsidR="00713C9A" w:rsidRPr="00E95BC4">
        <w:rPr>
          <w:color w:val="auto"/>
          <w:lang w:val="sr-Cyrl-CS"/>
        </w:rPr>
        <w:t xml:space="preserve"> </w:t>
      </w:r>
      <w:r>
        <w:rPr>
          <w:color w:val="auto"/>
          <w:lang w:val="sr-Cyrl-CS"/>
        </w:rPr>
        <w:t>dokumenata</w:t>
      </w:r>
      <w:r w:rsidR="00713C9A" w:rsidRPr="00E95BC4">
        <w:rPr>
          <w:color w:val="auto"/>
          <w:lang w:val="sr-Cyrl-CS"/>
        </w:rPr>
        <w:t xml:space="preserve"> </w:t>
      </w:r>
      <w:r>
        <w:rPr>
          <w:color w:val="auto"/>
          <w:lang w:val="sr-Cyrl-CS"/>
        </w:rPr>
        <w:t>javne</w:t>
      </w:r>
      <w:r w:rsidR="00713C9A" w:rsidRPr="00E95BC4">
        <w:rPr>
          <w:color w:val="auto"/>
          <w:lang w:val="sr-Cyrl-CS"/>
        </w:rPr>
        <w:t xml:space="preserve"> </w:t>
      </w:r>
      <w:r>
        <w:rPr>
          <w:color w:val="auto"/>
          <w:lang w:val="sr-Cyrl-CS"/>
        </w:rPr>
        <w:t>politike</w:t>
      </w:r>
      <w:r w:rsidR="00713C9A" w:rsidRPr="00E95BC4">
        <w:rPr>
          <w:color w:val="auto"/>
          <w:lang w:val="sr-Cyrl-CS"/>
        </w:rPr>
        <w:t xml:space="preserve"> </w:t>
      </w:r>
      <w:r>
        <w:rPr>
          <w:color w:val="auto"/>
          <w:lang w:val="sr-Cyrl-CS"/>
        </w:rPr>
        <w:t>u</w:t>
      </w:r>
      <w:r w:rsidR="00713C9A" w:rsidRPr="00E95BC4">
        <w:rPr>
          <w:color w:val="auto"/>
          <w:lang w:val="sr-Cyrl-CS"/>
        </w:rPr>
        <w:t xml:space="preserve"> </w:t>
      </w:r>
      <w:r>
        <w:rPr>
          <w:color w:val="auto"/>
          <w:lang w:val="sr-Cyrl-CS"/>
        </w:rPr>
        <w:t>ovoj</w:t>
      </w:r>
      <w:r w:rsidR="00713C9A" w:rsidRPr="00E95BC4">
        <w:rPr>
          <w:color w:val="auto"/>
          <w:lang w:val="sr-Cyrl-CS"/>
        </w:rPr>
        <w:t xml:space="preserve"> </w:t>
      </w:r>
      <w:r>
        <w:rPr>
          <w:color w:val="auto"/>
          <w:lang w:val="sr-Cyrl-CS"/>
        </w:rPr>
        <w:t>oblasti</w:t>
      </w:r>
      <w:r w:rsidR="00713C9A" w:rsidRPr="00E95BC4">
        <w:rPr>
          <w:color w:val="auto"/>
          <w:lang w:val="sr-Cyrl-CS"/>
        </w:rPr>
        <w:t xml:space="preserve">, </w:t>
      </w:r>
      <w:r>
        <w:rPr>
          <w:color w:val="auto"/>
          <w:lang w:val="sr-Cyrl-CS"/>
        </w:rPr>
        <w:t>a</w:t>
      </w:r>
      <w:r w:rsidR="00713C9A" w:rsidRPr="00E95BC4">
        <w:rPr>
          <w:color w:val="auto"/>
          <w:lang w:val="sr-Cyrl-CS"/>
        </w:rPr>
        <w:t xml:space="preserve"> </w:t>
      </w:r>
      <w:r>
        <w:rPr>
          <w:color w:val="auto"/>
          <w:lang w:val="sr-Cyrl-CS"/>
        </w:rPr>
        <w:t>najznačajniji</w:t>
      </w:r>
      <w:r w:rsidR="00713C9A" w:rsidRPr="00E95BC4">
        <w:rPr>
          <w:color w:val="auto"/>
          <w:lang w:val="sr-Cyrl-CS"/>
        </w:rPr>
        <w:t xml:space="preserve"> </w:t>
      </w:r>
      <w:r>
        <w:rPr>
          <w:color w:val="auto"/>
          <w:lang w:val="sr-Cyrl-CS"/>
        </w:rPr>
        <w:t>su</w:t>
      </w:r>
      <w:r w:rsidR="00713C9A" w:rsidRPr="00E95BC4">
        <w:rPr>
          <w:color w:val="auto"/>
          <w:lang w:val="sr-Cyrl-CS"/>
        </w:rPr>
        <w:t xml:space="preserve"> </w:t>
      </w:r>
      <w:r>
        <w:rPr>
          <w:color w:val="auto"/>
          <w:lang w:val="sr-Cyrl-CS"/>
        </w:rPr>
        <w:t>sledeći</w:t>
      </w:r>
      <w:r w:rsidR="00713C9A" w:rsidRPr="00E95BC4">
        <w:rPr>
          <w:color w:val="auto"/>
          <w:lang w:val="sr-Cyrl-CS"/>
        </w:rPr>
        <w:t>:</w:t>
      </w:r>
    </w:p>
    <w:p w:rsidR="002219B5" w:rsidRPr="00E95BC4" w:rsidRDefault="005818C0" w:rsidP="002219B5">
      <w:pPr>
        <w:pStyle w:val="ListParagraph"/>
        <w:numPr>
          <w:ilvl w:val="0"/>
          <w:numId w:val="10"/>
        </w:numPr>
        <w:jc w:val="both"/>
        <w:rPr>
          <w:iCs/>
          <w:color w:val="auto"/>
          <w:lang w:val="sr-Cyrl-CS"/>
        </w:rPr>
      </w:pPr>
      <w:r>
        <w:rPr>
          <w:iCs/>
          <w:color w:val="auto"/>
          <w:lang w:val="sr-Cyrl-CS"/>
        </w:rPr>
        <w:t>Strategija</w:t>
      </w:r>
      <w:r w:rsidR="002219B5" w:rsidRPr="00E95BC4">
        <w:rPr>
          <w:iCs/>
          <w:color w:val="auto"/>
          <w:lang w:val="sr-Cyrl-CS"/>
        </w:rPr>
        <w:t xml:space="preserve"> </w:t>
      </w:r>
      <w:r>
        <w:rPr>
          <w:iCs/>
          <w:color w:val="auto"/>
          <w:lang w:val="sr-Cyrl-CS"/>
        </w:rPr>
        <w:t>nacionalne</w:t>
      </w:r>
      <w:r w:rsidR="002219B5" w:rsidRPr="00E95BC4">
        <w:rPr>
          <w:iCs/>
          <w:color w:val="auto"/>
          <w:lang w:val="sr-Cyrl-CS"/>
        </w:rPr>
        <w:t xml:space="preserve"> </w:t>
      </w:r>
      <w:r>
        <w:rPr>
          <w:iCs/>
          <w:color w:val="auto"/>
          <w:lang w:val="sr-Cyrl-CS"/>
        </w:rPr>
        <w:t>bezbednosti</w:t>
      </w:r>
      <w:r w:rsidR="002219B5" w:rsidRPr="00E95BC4">
        <w:rPr>
          <w:iCs/>
          <w:color w:val="auto"/>
          <w:lang w:val="sr-Cyrl-CS"/>
        </w:rPr>
        <w:t xml:space="preserve"> </w:t>
      </w:r>
      <w:r>
        <w:rPr>
          <w:iCs/>
          <w:color w:val="auto"/>
          <w:lang w:val="sr-Cyrl-CS"/>
        </w:rPr>
        <w:t>Republike</w:t>
      </w:r>
      <w:r w:rsidR="002219B5" w:rsidRPr="00E95BC4">
        <w:rPr>
          <w:iCs/>
          <w:color w:val="auto"/>
          <w:lang w:val="sr-Cyrl-CS"/>
        </w:rPr>
        <w:t xml:space="preserve"> </w:t>
      </w:r>
      <w:r>
        <w:rPr>
          <w:iCs/>
          <w:color w:val="auto"/>
          <w:lang w:val="sr-Cyrl-CS"/>
        </w:rPr>
        <w:t>Srbije</w:t>
      </w:r>
      <w:r w:rsidR="002219B5" w:rsidRPr="00E95BC4">
        <w:rPr>
          <w:iCs/>
          <w:color w:val="auto"/>
          <w:lang w:val="sr-Cyrl-CS"/>
        </w:rPr>
        <w:t xml:space="preserve"> („</w:t>
      </w:r>
      <w:r>
        <w:rPr>
          <w:iCs/>
          <w:color w:val="auto"/>
          <w:lang w:val="sr-Cyrl-CS"/>
        </w:rPr>
        <w:t>Službeni</w:t>
      </w:r>
      <w:r w:rsidR="002219B5" w:rsidRPr="00E95BC4">
        <w:rPr>
          <w:iCs/>
          <w:color w:val="auto"/>
          <w:lang w:val="sr-Cyrl-CS"/>
        </w:rPr>
        <w:t xml:space="preserve"> </w:t>
      </w:r>
      <w:r>
        <w:rPr>
          <w:iCs/>
          <w:color w:val="auto"/>
          <w:lang w:val="sr-Cyrl-CS"/>
        </w:rPr>
        <w:t>glasnik</w:t>
      </w:r>
      <w:r w:rsidR="002219B5" w:rsidRPr="00E95BC4">
        <w:rPr>
          <w:iCs/>
          <w:color w:val="auto"/>
          <w:lang w:val="sr-Cyrl-CS"/>
        </w:rPr>
        <w:t xml:space="preserve"> </w:t>
      </w:r>
      <w:r>
        <w:rPr>
          <w:iCs/>
          <w:color w:val="auto"/>
          <w:lang w:val="sr-Cyrl-CS"/>
        </w:rPr>
        <w:t>RS</w:t>
      </w:r>
      <w:r w:rsidR="003067CB" w:rsidRPr="00E95BC4">
        <w:rPr>
          <w:iCs/>
          <w:color w:val="auto"/>
          <w:lang w:val="sr-Cyrl-CS"/>
        </w:rPr>
        <w:t>”</w:t>
      </w:r>
      <w:r w:rsidR="002219B5" w:rsidRPr="00E95BC4">
        <w:rPr>
          <w:iCs/>
          <w:color w:val="auto"/>
          <w:lang w:val="sr-Cyrl-CS"/>
        </w:rPr>
        <w:t xml:space="preserve">, </w:t>
      </w:r>
      <w:r>
        <w:rPr>
          <w:iCs/>
          <w:color w:val="auto"/>
          <w:lang w:val="sr-Cyrl-CS"/>
        </w:rPr>
        <w:t>broj</w:t>
      </w:r>
      <w:r w:rsidR="002219B5" w:rsidRPr="00E95BC4">
        <w:rPr>
          <w:iCs/>
          <w:color w:val="auto"/>
          <w:lang w:val="sr-Cyrl-CS"/>
        </w:rPr>
        <w:t xml:space="preserve"> 94/19),</w:t>
      </w:r>
    </w:p>
    <w:p w:rsidR="00713C9A" w:rsidRPr="00E95BC4" w:rsidRDefault="005818C0" w:rsidP="00AC7277">
      <w:pPr>
        <w:pStyle w:val="ListParagraph"/>
        <w:numPr>
          <w:ilvl w:val="0"/>
          <w:numId w:val="10"/>
        </w:numPr>
        <w:jc w:val="both"/>
        <w:rPr>
          <w:iCs/>
          <w:color w:val="auto"/>
          <w:lang w:val="sr-Cyrl-CS"/>
        </w:rPr>
      </w:pPr>
      <w:r>
        <w:rPr>
          <w:iCs/>
          <w:color w:val="auto"/>
          <w:lang w:val="sr-Cyrl-CS"/>
        </w:rPr>
        <w:t>Strategija</w:t>
      </w:r>
      <w:r w:rsidR="00713C9A" w:rsidRPr="00E95BC4">
        <w:rPr>
          <w:iCs/>
          <w:color w:val="auto"/>
          <w:lang w:val="sr-Cyrl-CS"/>
        </w:rPr>
        <w:t xml:space="preserve"> </w:t>
      </w:r>
      <w:r>
        <w:rPr>
          <w:iCs/>
          <w:color w:val="auto"/>
          <w:lang w:val="sr-Cyrl-CS"/>
        </w:rPr>
        <w:t>za</w:t>
      </w:r>
      <w:r w:rsidR="00713C9A" w:rsidRPr="00E95BC4">
        <w:rPr>
          <w:iCs/>
          <w:color w:val="auto"/>
          <w:lang w:val="sr-Cyrl-CS"/>
        </w:rPr>
        <w:t xml:space="preserve"> </w:t>
      </w:r>
      <w:r>
        <w:rPr>
          <w:iCs/>
          <w:color w:val="auto"/>
          <w:lang w:val="sr-Cyrl-CS"/>
        </w:rPr>
        <w:t>za</w:t>
      </w:r>
      <w:r w:rsidR="00713C9A" w:rsidRPr="00E95BC4">
        <w:rPr>
          <w:iCs/>
          <w:color w:val="auto"/>
          <w:lang w:val="sr-Cyrl-CS"/>
        </w:rPr>
        <w:t xml:space="preserve"> </w:t>
      </w:r>
      <w:r>
        <w:rPr>
          <w:iCs/>
          <w:color w:val="auto"/>
          <w:lang w:val="sr-Cyrl-CS"/>
        </w:rPr>
        <w:t>sprečavanje</w:t>
      </w:r>
      <w:r w:rsidR="00713C9A" w:rsidRPr="00E95BC4">
        <w:rPr>
          <w:iCs/>
          <w:color w:val="auto"/>
          <w:lang w:val="sr-Cyrl-CS"/>
        </w:rPr>
        <w:t xml:space="preserve"> </w:t>
      </w:r>
      <w:r>
        <w:rPr>
          <w:iCs/>
          <w:color w:val="auto"/>
          <w:lang w:val="sr-Cyrl-CS"/>
        </w:rPr>
        <w:t>i</w:t>
      </w:r>
      <w:r w:rsidR="00713C9A" w:rsidRPr="00E95BC4">
        <w:rPr>
          <w:iCs/>
          <w:color w:val="auto"/>
          <w:lang w:val="sr-Cyrl-CS"/>
        </w:rPr>
        <w:t xml:space="preserve"> </w:t>
      </w:r>
      <w:r>
        <w:rPr>
          <w:iCs/>
          <w:color w:val="auto"/>
          <w:lang w:val="sr-Cyrl-CS"/>
        </w:rPr>
        <w:t>borbu</w:t>
      </w:r>
      <w:r w:rsidR="00713C9A" w:rsidRPr="00E95BC4">
        <w:rPr>
          <w:iCs/>
          <w:color w:val="auto"/>
          <w:lang w:val="sr-Cyrl-CS"/>
        </w:rPr>
        <w:t xml:space="preserve"> </w:t>
      </w:r>
      <w:r>
        <w:rPr>
          <w:iCs/>
          <w:color w:val="auto"/>
          <w:lang w:val="sr-Cyrl-CS"/>
        </w:rPr>
        <w:t>protiv</w:t>
      </w:r>
      <w:r w:rsidR="00713C9A" w:rsidRPr="00E95BC4">
        <w:rPr>
          <w:iCs/>
          <w:color w:val="auto"/>
          <w:lang w:val="sr-Cyrl-CS"/>
        </w:rPr>
        <w:t xml:space="preserve"> </w:t>
      </w:r>
      <w:r>
        <w:rPr>
          <w:iCs/>
          <w:color w:val="auto"/>
          <w:lang w:val="sr-Cyrl-CS"/>
        </w:rPr>
        <w:t>terorizma</w:t>
      </w:r>
      <w:r w:rsidR="00713C9A" w:rsidRPr="00E95BC4">
        <w:rPr>
          <w:iCs/>
          <w:color w:val="auto"/>
          <w:lang w:val="sr-Cyrl-CS"/>
        </w:rPr>
        <w:t xml:space="preserve"> </w:t>
      </w:r>
      <w:r>
        <w:rPr>
          <w:iCs/>
          <w:color w:val="auto"/>
          <w:lang w:val="sr-Cyrl-CS"/>
        </w:rPr>
        <w:t>za</w:t>
      </w:r>
      <w:r w:rsidR="00713C9A" w:rsidRPr="00E95BC4">
        <w:rPr>
          <w:iCs/>
          <w:color w:val="auto"/>
          <w:lang w:val="sr-Cyrl-CS"/>
        </w:rPr>
        <w:t xml:space="preserve"> </w:t>
      </w:r>
      <w:r>
        <w:rPr>
          <w:iCs/>
          <w:color w:val="auto"/>
          <w:lang w:val="sr-Cyrl-CS"/>
        </w:rPr>
        <w:t>period</w:t>
      </w:r>
      <w:r w:rsidR="00713C9A" w:rsidRPr="00E95BC4">
        <w:rPr>
          <w:iCs/>
          <w:color w:val="auto"/>
          <w:lang w:val="sr-Cyrl-CS"/>
        </w:rPr>
        <w:t xml:space="preserve"> 2017–202</w:t>
      </w:r>
      <w:r w:rsidR="0001093D" w:rsidRPr="00E95BC4">
        <w:rPr>
          <w:iCs/>
          <w:color w:val="auto"/>
          <w:lang w:val="sr-Cyrl-CS"/>
        </w:rPr>
        <w:t xml:space="preserve">1. </w:t>
      </w:r>
      <w:r>
        <w:rPr>
          <w:iCs/>
          <w:color w:val="auto"/>
          <w:lang w:val="sr-Cyrl-CS"/>
        </w:rPr>
        <w:t>godine</w:t>
      </w:r>
      <w:r w:rsidR="0001093D" w:rsidRPr="00E95BC4">
        <w:rPr>
          <w:iCs/>
          <w:color w:val="auto"/>
          <w:lang w:val="sr-Cyrl-CS"/>
        </w:rPr>
        <w:t xml:space="preserve"> („</w:t>
      </w:r>
      <w:r>
        <w:rPr>
          <w:iCs/>
          <w:color w:val="auto"/>
          <w:lang w:val="sr-Cyrl-CS"/>
        </w:rPr>
        <w:t>Službeni</w:t>
      </w:r>
      <w:r w:rsidR="0001093D" w:rsidRPr="00E95BC4">
        <w:rPr>
          <w:iCs/>
          <w:color w:val="auto"/>
          <w:lang w:val="sr-Cyrl-CS"/>
        </w:rPr>
        <w:t xml:space="preserve"> </w:t>
      </w:r>
      <w:r>
        <w:rPr>
          <w:iCs/>
          <w:color w:val="auto"/>
          <w:lang w:val="sr-Cyrl-CS"/>
        </w:rPr>
        <w:t>glasnik</w:t>
      </w:r>
      <w:r w:rsidR="0001093D" w:rsidRPr="00E95BC4">
        <w:rPr>
          <w:iCs/>
          <w:color w:val="auto"/>
          <w:lang w:val="sr-Cyrl-CS"/>
        </w:rPr>
        <w:t xml:space="preserve"> </w:t>
      </w:r>
      <w:r>
        <w:rPr>
          <w:iCs/>
          <w:color w:val="auto"/>
          <w:lang w:val="sr-Cyrl-CS"/>
        </w:rPr>
        <w:t>RS</w:t>
      </w:r>
      <w:r w:rsidR="0001093D" w:rsidRPr="00E95BC4">
        <w:rPr>
          <w:iCs/>
          <w:color w:val="auto"/>
          <w:lang w:val="sr-Cyrl-CS"/>
        </w:rPr>
        <w:t xml:space="preserve">”, </w:t>
      </w:r>
      <w:r>
        <w:rPr>
          <w:iCs/>
          <w:color w:val="auto"/>
          <w:lang w:val="sr-Cyrl-CS"/>
        </w:rPr>
        <w:t>broj</w:t>
      </w:r>
      <w:r w:rsidR="0001093D" w:rsidRPr="00E95BC4">
        <w:rPr>
          <w:iCs/>
          <w:color w:val="auto"/>
          <w:lang w:val="sr-Cyrl-CS"/>
        </w:rPr>
        <w:t xml:space="preserve"> 94/</w:t>
      </w:r>
      <w:r w:rsidR="00713C9A" w:rsidRPr="00E95BC4">
        <w:rPr>
          <w:iCs/>
          <w:color w:val="auto"/>
          <w:lang w:val="sr-Cyrl-CS"/>
        </w:rPr>
        <w:t>17)</w:t>
      </w:r>
      <w:r w:rsidR="00B02F59" w:rsidRPr="00E95BC4">
        <w:rPr>
          <w:iCs/>
          <w:color w:val="auto"/>
          <w:lang w:val="sr-Cyrl-CS"/>
        </w:rPr>
        <w:t>,</w:t>
      </w:r>
    </w:p>
    <w:p w:rsidR="00713C9A" w:rsidRPr="00E95BC4" w:rsidRDefault="005818C0" w:rsidP="00AC7277">
      <w:pPr>
        <w:pStyle w:val="ListParagraph"/>
        <w:numPr>
          <w:ilvl w:val="0"/>
          <w:numId w:val="10"/>
        </w:numPr>
        <w:jc w:val="both"/>
        <w:rPr>
          <w:iCs/>
          <w:color w:val="auto"/>
          <w:lang w:val="sr-Cyrl-CS"/>
        </w:rPr>
      </w:pPr>
      <w:r>
        <w:rPr>
          <w:iCs/>
          <w:color w:val="auto"/>
          <w:lang w:val="sr-Cyrl-CS"/>
        </w:rPr>
        <w:t>Nacionalna</w:t>
      </w:r>
      <w:r w:rsidR="00713C9A" w:rsidRPr="00E95BC4">
        <w:rPr>
          <w:iCs/>
          <w:color w:val="auto"/>
          <w:lang w:val="sr-Cyrl-CS"/>
        </w:rPr>
        <w:t xml:space="preserve"> </w:t>
      </w:r>
      <w:r>
        <w:rPr>
          <w:iCs/>
          <w:color w:val="auto"/>
          <w:lang w:val="sr-Cyrl-CS"/>
        </w:rPr>
        <w:t>strategija</w:t>
      </w:r>
      <w:r w:rsidR="00713C9A" w:rsidRPr="00E95BC4">
        <w:rPr>
          <w:iCs/>
          <w:color w:val="auto"/>
          <w:lang w:val="sr-Cyrl-CS"/>
        </w:rPr>
        <w:t xml:space="preserve"> </w:t>
      </w:r>
      <w:r>
        <w:rPr>
          <w:iCs/>
          <w:color w:val="auto"/>
          <w:lang w:val="sr-Cyrl-CS"/>
        </w:rPr>
        <w:t>za</w:t>
      </w:r>
      <w:r w:rsidR="00713C9A" w:rsidRPr="00E95BC4">
        <w:rPr>
          <w:iCs/>
          <w:color w:val="auto"/>
          <w:lang w:val="sr-Cyrl-CS"/>
        </w:rPr>
        <w:t xml:space="preserve"> </w:t>
      </w:r>
      <w:r>
        <w:rPr>
          <w:iCs/>
          <w:color w:val="auto"/>
          <w:lang w:val="sr-Cyrl-CS"/>
        </w:rPr>
        <w:t>borbu</w:t>
      </w:r>
      <w:r w:rsidR="00713C9A" w:rsidRPr="00E95BC4">
        <w:rPr>
          <w:iCs/>
          <w:color w:val="auto"/>
          <w:lang w:val="sr-Cyrl-CS"/>
        </w:rPr>
        <w:t xml:space="preserve"> </w:t>
      </w:r>
      <w:r>
        <w:rPr>
          <w:iCs/>
          <w:color w:val="auto"/>
          <w:lang w:val="sr-Cyrl-CS"/>
        </w:rPr>
        <w:t>protiv</w:t>
      </w:r>
      <w:r w:rsidR="00713C9A" w:rsidRPr="00E95BC4">
        <w:rPr>
          <w:iCs/>
          <w:color w:val="auto"/>
          <w:lang w:val="sr-Cyrl-CS"/>
        </w:rPr>
        <w:t xml:space="preserve"> </w:t>
      </w:r>
      <w:r>
        <w:rPr>
          <w:iCs/>
          <w:color w:val="auto"/>
          <w:lang w:val="sr-Cyrl-CS"/>
        </w:rPr>
        <w:t>organizovanog</w:t>
      </w:r>
      <w:r w:rsidR="00713C9A" w:rsidRPr="00E95BC4">
        <w:rPr>
          <w:iCs/>
          <w:color w:val="auto"/>
          <w:lang w:val="sr-Cyrl-CS"/>
        </w:rPr>
        <w:t xml:space="preserve"> </w:t>
      </w:r>
      <w:r>
        <w:rPr>
          <w:iCs/>
          <w:color w:val="auto"/>
          <w:lang w:val="sr-Cyrl-CS"/>
        </w:rPr>
        <w:t>kriminala</w:t>
      </w:r>
      <w:r w:rsidR="00713C9A" w:rsidRPr="00E95BC4">
        <w:rPr>
          <w:iCs/>
          <w:color w:val="auto"/>
          <w:lang w:val="sr-Cyrl-CS"/>
        </w:rPr>
        <w:t xml:space="preserve"> </w:t>
      </w:r>
      <w:r>
        <w:rPr>
          <w:iCs/>
          <w:color w:val="auto"/>
          <w:lang w:val="sr-Cyrl-CS"/>
        </w:rPr>
        <w:t>iz</w:t>
      </w:r>
      <w:r w:rsidR="00713C9A" w:rsidRPr="00E95BC4">
        <w:rPr>
          <w:iCs/>
          <w:color w:val="auto"/>
          <w:lang w:val="sr-Cyrl-CS"/>
        </w:rPr>
        <w:t xml:space="preserve"> 2009</w:t>
      </w:r>
      <w:r w:rsidR="0001093D" w:rsidRPr="00E95BC4">
        <w:rPr>
          <w:iCs/>
          <w:color w:val="auto"/>
          <w:lang w:val="sr-Cyrl-CS"/>
        </w:rPr>
        <w:t xml:space="preserve">. </w:t>
      </w:r>
      <w:r>
        <w:rPr>
          <w:iCs/>
          <w:color w:val="auto"/>
          <w:lang w:val="sr-Cyrl-CS"/>
        </w:rPr>
        <w:t>godine</w:t>
      </w:r>
      <w:r w:rsidR="00B02F59" w:rsidRPr="00E95BC4">
        <w:rPr>
          <w:iCs/>
          <w:color w:val="auto"/>
          <w:lang w:val="sr-Cyrl-CS"/>
        </w:rPr>
        <w:t>,</w:t>
      </w:r>
    </w:p>
    <w:p w:rsidR="00713C9A" w:rsidRPr="00E95BC4" w:rsidRDefault="005818C0" w:rsidP="00AC7277">
      <w:pPr>
        <w:pStyle w:val="ListParagraph"/>
        <w:numPr>
          <w:ilvl w:val="0"/>
          <w:numId w:val="10"/>
        </w:numPr>
        <w:jc w:val="both"/>
        <w:rPr>
          <w:iCs/>
          <w:color w:val="auto"/>
          <w:lang w:val="sr-Cyrl-CS"/>
        </w:rPr>
      </w:pPr>
      <w:r>
        <w:rPr>
          <w:iCs/>
          <w:color w:val="auto"/>
          <w:lang w:val="sr-Cyrl-CS"/>
        </w:rPr>
        <w:lastRenderedPageBreak/>
        <w:t>Akcioni</w:t>
      </w:r>
      <w:r w:rsidR="00713C9A" w:rsidRPr="00E95BC4">
        <w:rPr>
          <w:iCs/>
          <w:color w:val="auto"/>
          <w:lang w:val="sr-Cyrl-CS"/>
        </w:rPr>
        <w:t xml:space="preserve"> </w:t>
      </w:r>
      <w:r>
        <w:rPr>
          <w:iCs/>
          <w:color w:val="auto"/>
          <w:lang w:val="sr-Cyrl-CS"/>
        </w:rPr>
        <w:t>plan</w:t>
      </w:r>
      <w:r w:rsidR="00713C9A" w:rsidRPr="00E95BC4">
        <w:rPr>
          <w:iCs/>
          <w:color w:val="auto"/>
          <w:lang w:val="sr-Cyrl-CS"/>
        </w:rPr>
        <w:t xml:space="preserve"> </w:t>
      </w:r>
      <w:r>
        <w:rPr>
          <w:iCs/>
          <w:color w:val="auto"/>
          <w:lang w:val="sr-Cyrl-CS"/>
        </w:rPr>
        <w:t>za</w:t>
      </w:r>
      <w:r w:rsidR="00713C9A" w:rsidRPr="00E95BC4">
        <w:rPr>
          <w:iCs/>
          <w:color w:val="auto"/>
          <w:lang w:val="sr-Cyrl-CS"/>
        </w:rPr>
        <w:t xml:space="preserve"> </w:t>
      </w:r>
      <w:r>
        <w:rPr>
          <w:iCs/>
          <w:color w:val="auto"/>
          <w:lang w:val="sr-Cyrl-CS"/>
        </w:rPr>
        <w:t>Pregovaračko</w:t>
      </w:r>
      <w:r w:rsidR="00713C9A" w:rsidRPr="00E95BC4">
        <w:rPr>
          <w:iCs/>
          <w:color w:val="auto"/>
          <w:lang w:val="sr-Cyrl-CS"/>
        </w:rPr>
        <w:t xml:space="preserve"> </w:t>
      </w:r>
      <w:r>
        <w:rPr>
          <w:iCs/>
          <w:color w:val="auto"/>
          <w:lang w:val="sr-Cyrl-CS"/>
        </w:rPr>
        <w:t>poglavlje</w:t>
      </w:r>
      <w:r w:rsidR="00713C9A" w:rsidRPr="00E95BC4">
        <w:rPr>
          <w:iCs/>
          <w:color w:val="auto"/>
          <w:lang w:val="sr-Cyrl-CS"/>
        </w:rPr>
        <w:t xml:space="preserve"> 24</w:t>
      </w:r>
      <w:r w:rsidR="007C4E60">
        <w:rPr>
          <w:iCs/>
          <w:color w:val="auto"/>
          <w:lang w:val="sr-Cyrl-CS"/>
        </w:rPr>
        <w:t>,</w:t>
      </w:r>
      <w:r w:rsidR="00713C9A" w:rsidRPr="00E95BC4">
        <w:rPr>
          <w:iCs/>
          <w:color w:val="auto"/>
          <w:vertAlign w:val="superscript"/>
          <w:lang w:val="sr-Cyrl-CS"/>
        </w:rPr>
        <w:footnoteReference w:id="2"/>
      </w:r>
    </w:p>
    <w:p w:rsidR="002219B5" w:rsidRPr="00E95BC4" w:rsidRDefault="005818C0" w:rsidP="002219B5">
      <w:pPr>
        <w:pStyle w:val="ListParagraph"/>
        <w:numPr>
          <w:ilvl w:val="0"/>
          <w:numId w:val="10"/>
        </w:numPr>
        <w:jc w:val="both"/>
        <w:rPr>
          <w:iCs/>
          <w:color w:val="auto"/>
          <w:lang w:val="sr-Cyrl-CS"/>
        </w:rPr>
      </w:pPr>
      <w:r>
        <w:rPr>
          <w:iCs/>
          <w:color w:val="auto"/>
          <w:lang w:val="sr-Cyrl-CS"/>
        </w:rPr>
        <w:t>Akcioni</w:t>
      </w:r>
      <w:r w:rsidR="00713C9A" w:rsidRPr="00E95BC4">
        <w:rPr>
          <w:iCs/>
          <w:color w:val="auto"/>
          <w:lang w:val="sr-Cyrl-CS"/>
        </w:rPr>
        <w:t xml:space="preserve"> </w:t>
      </w:r>
      <w:r>
        <w:rPr>
          <w:iCs/>
          <w:color w:val="auto"/>
          <w:lang w:val="sr-Cyrl-CS"/>
        </w:rPr>
        <w:t>plan</w:t>
      </w:r>
      <w:r w:rsidR="00713C9A" w:rsidRPr="00E95BC4">
        <w:rPr>
          <w:iCs/>
          <w:color w:val="auto"/>
          <w:lang w:val="sr-Cyrl-CS"/>
        </w:rPr>
        <w:t xml:space="preserve"> </w:t>
      </w:r>
      <w:r>
        <w:rPr>
          <w:iCs/>
          <w:color w:val="auto"/>
          <w:lang w:val="sr-Cyrl-CS"/>
        </w:rPr>
        <w:t>za</w:t>
      </w:r>
      <w:r w:rsidR="00713C9A" w:rsidRPr="00E95BC4">
        <w:rPr>
          <w:iCs/>
          <w:color w:val="auto"/>
          <w:lang w:val="sr-Cyrl-CS"/>
        </w:rPr>
        <w:t xml:space="preserve"> </w:t>
      </w:r>
      <w:r>
        <w:rPr>
          <w:iCs/>
          <w:color w:val="auto"/>
          <w:lang w:val="sr-Cyrl-CS"/>
        </w:rPr>
        <w:t>Pregovaračko</w:t>
      </w:r>
      <w:r w:rsidR="00713C9A" w:rsidRPr="00E95BC4">
        <w:rPr>
          <w:iCs/>
          <w:color w:val="auto"/>
          <w:lang w:val="sr-Cyrl-CS"/>
        </w:rPr>
        <w:t xml:space="preserve"> </w:t>
      </w:r>
      <w:r>
        <w:rPr>
          <w:iCs/>
          <w:color w:val="auto"/>
          <w:lang w:val="sr-Cyrl-CS"/>
        </w:rPr>
        <w:t>poglavlje</w:t>
      </w:r>
      <w:r w:rsidR="00713C9A" w:rsidRPr="00E95BC4">
        <w:rPr>
          <w:color w:val="auto"/>
          <w:lang w:val="sr-Cyrl-CS"/>
        </w:rPr>
        <w:t xml:space="preserve"> 23</w:t>
      </w:r>
      <w:r w:rsidR="007C4E60">
        <w:rPr>
          <w:color w:val="auto"/>
          <w:lang w:val="sr-Cyrl-CS"/>
        </w:rPr>
        <w:t>,</w:t>
      </w:r>
      <w:r w:rsidR="00713C9A" w:rsidRPr="00E95BC4">
        <w:rPr>
          <w:rStyle w:val="FootnoteReference"/>
          <w:color w:val="auto"/>
          <w:lang w:val="sr-Cyrl-CS"/>
        </w:rPr>
        <w:footnoteReference w:id="3"/>
      </w:r>
    </w:p>
    <w:p w:rsidR="00F172E0" w:rsidRPr="00E95BC4" w:rsidRDefault="005818C0" w:rsidP="00F172E0">
      <w:pPr>
        <w:pStyle w:val="ListParagraph"/>
        <w:numPr>
          <w:ilvl w:val="0"/>
          <w:numId w:val="10"/>
        </w:numPr>
        <w:rPr>
          <w:color w:val="auto"/>
          <w:lang w:val="sr-Cyrl-CS"/>
        </w:rPr>
      </w:pPr>
      <w:r>
        <w:rPr>
          <w:color w:val="auto"/>
          <w:lang w:val="sr-Cyrl-CS"/>
        </w:rPr>
        <w:t>Rezultati</w:t>
      </w:r>
      <w:r w:rsidR="00F172E0" w:rsidRPr="00E95BC4">
        <w:rPr>
          <w:color w:val="auto"/>
          <w:lang w:val="sr-Cyrl-CS"/>
        </w:rPr>
        <w:t xml:space="preserve"> </w:t>
      </w:r>
      <w:r>
        <w:rPr>
          <w:color w:val="auto"/>
          <w:lang w:val="sr-Cyrl-CS"/>
        </w:rPr>
        <w:t>dosadašnjih</w:t>
      </w:r>
      <w:r w:rsidR="00F172E0" w:rsidRPr="00E95BC4">
        <w:rPr>
          <w:color w:val="auto"/>
          <w:lang w:val="sr-Cyrl-CS"/>
        </w:rPr>
        <w:t xml:space="preserve"> </w:t>
      </w:r>
      <w:r>
        <w:rPr>
          <w:color w:val="auto"/>
          <w:lang w:val="sr-Cyrl-CS"/>
        </w:rPr>
        <w:t>aktivnosti</w:t>
      </w:r>
      <w:r w:rsidR="00F172E0" w:rsidRPr="00E95BC4">
        <w:rPr>
          <w:color w:val="auto"/>
          <w:lang w:val="sr-Cyrl-CS"/>
        </w:rPr>
        <w:t xml:space="preserve"> </w:t>
      </w:r>
      <w:r>
        <w:rPr>
          <w:color w:val="auto"/>
          <w:lang w:val="sr-Cyrl-CS"/>
        </w:rPr>
        <w:t>u</w:t>
      </w:r>
      <w:r w:rsidR="00F172E0" w:rsidRPr="00E95BC4">
        <w:rPr>
          <w:color w:val="auto"/>
          <w:lang w:val="sr-Cyrl-CS"/>
        </w:rPr>
        <w:t xml:space="preserve"> </w:t>
      </w:r>
      <w:r>
        <w:rPr>
          <w:color w:val="auto"/>
          <w:lang w:val="sr-Cyrl-CS"/>
        </w:rPr>
        <w:t>Pregovaračkom</w:t>
      </w:r>
      <w:r w:rsidR="00F172E0" w:rsidRPr="00E95BC4">
        <w:rPr>
          <w:color w:val="auto"/>
          <w:lang w:val="sr-Cyrl-CS"/>
        </w:rPr>
        <w:t xml:space="preserve"> </w:t>
      </w:r>
      <w:r>
        <w:rPr>
          <w:color w:val="auto"/>
          <w:lang w:val="sr-Cyrl-CS"/>
        </w:rPr>
        <w:t>poglavlju</w:t>
      </w:r>
      <w:r w:rsidR="00F172E0" w:rsidRPr="00E95BC4">
        <w:rPr>
          <w:color w:val="auto"/>
          <w:lang w:val="sr-Cyrl-CS"/>
        </w:rPr>
        <w:t xml:space="preserve"> 4.</w:t>
      </w:r>
    </w:p>
    <w:p w:rsidR="00F21E30" w:rsidRPr="00E95BC4" w:rsidRDefault="00F21E30" w:rsidP="00F21E30">
      <w:pPr>
        <w:rPr>
          <w:color w:val="auto"/>
          <w:lang w:val="sr-Cyrl-CS"/>
        </w:rPr>
      </w:pPr>
    </w:p>
    <w:p w:rsidR="00A278FF" w:rsidRPr="00E95BC4" w:rsidRDefault="005818C0" w:rsidP="00285FD7">
      <w:pPr>
        <w:pStyle w:val="Heading1"/>
        <w:spacing w:before="0"/>
        <w:ind w:firstLine="720"/>
        <w:rPr>
          <w:rFonts w:ascii="Times New Roman" w:hAnsi="Times New Roman" w:cs="Times New Roman"/>
          <w:color w:val="auto"/>
          <w:sz w:val="24"/>
          <w:szCs w:val="24"/>
          <w:lang w:val="sr-Cyrl-CS"/>
        </w:rPr>
      </w:pPr>
      <w:bookmarkStart w:id="3" w:name="_Toc32409893"/>
      <w:r>
        <w:rPr>
          <w:rFonts w:ascii="Times New Roman" w:hAnsi="Times New Roman" w:cs="Times New Roman"/>
          <w:color w:val="auto"/>
          <w:sz w:val="24"/>
          <w:szCs w:val="24"/>
          <w:lang w:val="sr-Cyrl-CS"/>
        </w:rPr>
        <w:t>Opis</w:t>
      </w:r>
      <w:r w:rsidR="00A278FF" w:rsidRPr="00E95BC4">
        <w:rPr>
          <w:rFonts w:ascii="Times New Roman" w:hAnsi="Times New Roman" w:cs="Times New Roman"/>
          <w:color w:val="auto"/>
          <w:sz w:val="24"/>
          <w:szCs w:val="24"/>
          <w:lang w:val="sr-Cyrl-CS"/>
        </w:rPr>
        <w:t xml:space="preserve"> </w:t>
      </w:r>
      <w:r>
        <w:rPr>
          <w:rFonts w:ascii="Times New Roman" w:hAnsi="Times New Roman" w:cs="Times New Roman"/>
          <w:color w:val="auto"/>
          <w:sz w:val="24"/>
          <w:szCs w:val="24"/>
          <w:lang w:val="sr-Cyrl-CS"/>
        </w:rPr>
        <w:t>postojećeg</w:t>
      </w:r>
      <w:r w:rsidR="00A278FF" w:rsidRPr="00E95BC4">
        <w:rPr>
          <w:rFonts w:ascii="Times New Roman" w:hAnsi="Times New Roman" w:cs="Times New Roman"/>
          <w:color w:val="auto"/>
          <w:sz w:val="24"/>
          <w:szCs w:val="24"/>
          <w:lang w:val="sr-Cyrl-CS"/>
        </w:rPr>
        <w:t xml:space="preserve"> </w:t>
      </w:r>
      <w:r>
        <w:rPr>
          <w:rFonts w:ascii="Times New Roman" w:hAnsi="Times New Roman" w:cs="Times New Roman"/>
          <w:color w:val="auto"/>
          <w:sz w:val="24"/>
          <w:szCs w:val="24"/>
          <w:lang w:val="sr-Cyrl-CS"/>
        </w:rPr>
        <w:t>stanja</w:t>
      </w:r>
      <w:bookmarkEnd w:id="3"/>
      <w:r w:rsidR="00A278FF" w:rsidRPr="00E95BC4">
        <w:rPr>
          <w:rFonts w:ascii="Times New Roman" w:hAnsi="Times New Roman" w:cs="Times New Roman"/>
          <w:color w:val="auto"/>
          <w:sz w:val="24"/>
          <w:szCs w:val="24"/>
          <w:lang w:val="sr-Cyrl-CS"/>
        </w:rPr>
        <w:t xml:space="preserve"> </w:t>
      </w:r>
    </w:p>
    <w:p w:rsidR="0004492D" w:rsidRPr="00E95BC4" w:rsidRDefault="0004492D" w:rsidP="00285FD7">
      <w:pPr>
        <w:ind w:firstLine="720"/>
        <w:rPr>
          <w:b/>
          <w:color w:val="auto"/>
          <w:lang w:val="sr-Cyrl-CS"/>
        </w:rPr>
      </w:pPr>
    </w:p>
    <w:p w:rsidR="00FC3049" w:rsidRPr="00E95BC4" w:rsidRDefault="005818C0" w:rsidP="00BD0633">
      <w:pPr>
        <w:ind w:firstLine="720"/>
        <w:jc w:val="both"/>
        <w:rPr>
          <w:color w:val="auto"/>
          <w:lang w:val="sr-Cyrl-CS"/>
        </w:rPr>
      </w:pPr>
      <w:r>
        <w:rPr>
          <w:b/>
          <w:color w:val="auto"/>
          <w:lang w:val="sr-Cyrl-CS"/>
        </w:rPr>
        <w:t>Analiza</w:t>
      </w:r>
      <w:r w:rsidR="004232FE" w:rsidRPr="00E95BC4">
        <w:rPr>
          <w:b/>
          <w:color w:val="auto"/>
          <w:lang w:val="sr-Cyrl-CS"/>
        </w:rPr>
        <w:t xml:space="preserve"> </w:t>
      </w:r>
      <w:r>
        <w:rPr>
          <w:b/>
          <w:color w:val="auto"/>
          <w:lang w:val="sr-Cyrl-CS"/>
        </w:rPr>
        <w:t>postojećeg</w:t>
      </w:r>
      <w:r w:rsidR="004232FE" w:rsidRPr="00E95BC4">
        <w:rPr>
          <w:b/>
          <w:color w:val="auto"/>
          <w:lang w:val="sr-Cyrl-CS"/>
        </w:rPr>
        <w:t xml:space="preserve"> </w:t>
      </w:r>
      <w:r>
        <w:rPr>
          <w:b/>
          <w:color w:val="auto"/>
          <w:lang w:val="sr-Cyrl-CS"/>
        </w:rPr>
        <w:t>stanja</w:t>
      </w:r>
      <w:r w:rsidR="002F2585" w:rsidRPr="00E95BC4">
        <w:rPr>
          <w:b/>
          <w:color w:val="auto"/>
          <w:lang w:val="sr-Cyrl-CS"/>
        </w:rPr>
        <w:t xml:space="preserve">. </w:t>
      </w:r>
      <w:r>
        <w:rPr>
          <w:color w:val="auto"/>
          <w:lang w:val="sr-Cyrl-CS"/>
        </w:rPr>
        <w:t>Osnovni</w:t>
      </w:r>
      <w:r w:rsidR="00FC3049" w:rsidRPr="00E95BC4">
        <w:rPr>
          <w:color w:val="auto"/>
          <w:lang w:val="sr-Cyrl-CS"/>
        </w:rPr>
        <w:t xml:space="preserve"> </w:t>
      </w:r>
      <w:r>
        <w:rPr>
          <w:i/>
          <w:color w:val="auto"/>
          <w:lang w:val="sr-Cyrl-CS"/>
        </w:rPr>
        <w:t>pokazatelji</w:t>
      </w:r>
      <w:r w:rsidR="00FC3049" w:rsidRPr="00E95BC4">
        <w:rPr>
          <w:color w:val="auto"/>
          <w:lang w:val="sr-Cyrl-CS"/>
        </w:rPr>
        <w:t xml:space="preserve"> </w:t>
      </w:r>
      <w:r>
        <w:rPr>
          <w:color w:val="auto"/>
          <w:lang w:val="sr-Cyrl-CS"/>
        </w:rPr>
        <w:t>stanja</w:t>
      </w:r>
      <w:r w:rsidR="00FC3049" w:rsidRPr="00E95BC4">
        <w:rPr>
          <w:color w:val="auto"/>
          <w:lang w:val="sr-Cyrl-CS"/>
        </w:rPr>
        <w:t xml:space="preserve"> </w:t>
      </w:r>
      <w:r>
        <w:rPr>
          <w:color w:val="auto"/>
          <w:lang w:val="sr-Cyrl-CS"/>
        </w:rPr>
        <w:t>u</w:t>
      </w:r>
      <w:r w:rsidR="00FC3049" w:rsidRPr="00E95BC4">
        <w:rPr>
          <w:color w:val="auto"/>
          <w:lang w:val="sr-Cyrl-CS"/>
        </w:rPr>
        <w:t xml:space="preserve"> </w:t>
      </w:r>
      <w:r>
        <w:rPr>
          <w:color w:val="auto"/>
          <w:lang w:val="sr-Cyrl-CS"/>
        </w:rPr>
        <w:t>oblasti</w:t>
      </w:r>
      <w:r w:rsidR="00FC3049" w:rsidRPr="00E95BC4">
        <w:rPr>
          <w:color w:val="auto"/>
          <w:lang w:val="sr-Cyrl-CS"/>
        </w:rPr>
        <w:t xml:space="preserve"> </w:t>
      </w:r>
      <w:r>
        <w:rPr>
          <w:color w:val="auto"/>
          <w:lang w:val="sr-Cyrl-CS"/>
        </w:rPr>
        <w:t>borbe</w:t>
      </w:r>
      <w:r w:rsidR="00FC3049" w:rsidRPr="00E95BC4">
        <w:rPr>
          <w:color w:val="auto"/>
          <w:lang w:val="sr-Cyrl-CS"/>
        </w:rPr>
        <w:t xml:space="preserve"> </w:t>
      </w:r>
      <w:r>
        <w:rPr>
          <w:color w:val="auto"/>
          <w:lang w:val="sr-Cyrl-CS"/>
        </w:rPr>
        <w:t>protiv</w:t>
      </w:r>
      <w:r w:rsidR="00FC3049" w:rsidRPr="00E95BC4">
        <w:rPr>
          <w:color w:val="auto"/>
          <w:lang w:val="sr-Cyrl-CS"/>
        </w:rPr>
        <w:t xml:space="preserve"> </w:t>
      </w:r>
      <w:r>
        <w:rPr>
          <w:color w:val="auto"/>
          <w:lang w:val="sr-Cyrl-CS"/>
        </w:rPr>
        <w:t>pranja</w:t>
      </w:r>
      <w:r w:rsidR="00FC3049" w:rsidRPr="00E95BC4">
        <w:rPr>
          <w:color w:val="auto"/>
          <w:lang w:val="sr-Cyrl-CS"/>
        </w:rPr>
        <w:t xml:space="preserve"> </w:t>
      </w:r>
      <w:r>
        <w:rPr>
          <w:color w:val="auto"/>
          <w:lang w:val="sr-Cyrl-CS"/>
        </w:rPr>
        <w:t>novca</w:t>
      </w:r>
      <w:r w:rsidR="00FC3049" w:rsidRPr="00E95BC4">
        <w:rPr>
          <w:color w:val="auto"/>
          <w:lang w:val="sr-Cyrl-CS"/>
        </w:rPr>
        <w:t xml:space="preserve"> </w:t>
      </w:r>
      <w:r>
        <w:rPr>
          <w:color w:val="auto"/>
          <w:lang w:val="sr-Cyrl-CS"/>
        </w:rPr>
        <w:t>i</w:t>
      </w:r>
      <w:r w:rsidR="00FC3049" w:rsidRPr="00E95BC4">
        <w:rPr>
          <w:color w:val="auto"/>
          <w:lang w:val="sr-Cyrl-CS"/>
        </w:rPr>
        <w:t xml:space="preserve"> </w:t>
      </w:r>
      <w:r>
        <w:rPr>
          <w:color w:val="auto"/>
          <w:lang w:val="sr-Cyrl-CS"/>
        </w:rPr>
        <w:t>finansiranja</w:t>
      </w:r>
      <w:r w:rsidR="00FC3049" w:rsidRPr="00E95BC4">
        <w:rPr>
          <w:color w:val="auto"/>
          <w:lang w:val="sr-Cyrl-CS"/>
        </w:rPr>
        <w:t xml:space="preserve"> </w:t>
      </w:r>
      <w:r>
        <w:rPr>
          <w:color w:val="auto"/>
          <w:lang w:val="sr-Cyrl-CS"/>
        </w:rPr>
        <w:t>terorizma</w:t>
      </w:r>
      <w:r w:rsidR="00FC3049" w:rsidRPr="00E95BC4">
        <w:rPr>
          <w:color w:val="auto"/>
          <w:lang w:val="sr-Cyrl-CS"/>
        </w:rPr>
        <w:t xml:space="preserve"> </w:t>
      </w:r>
      <w:r>
        <w:rPr>
          <w:color w:val="auto"/>
          <w:lang w:val="sr-Cyrl-CS"/>
        </w:rPr>
        <w:t>i</w:t>
      </w:r>
      <w:r w:rsidR="00FC3049" w:rsidRPr="00E95BC4">
        <w:rPr>
          <w:color w:val="auto"/>
          <w:lang w:val="sr-Cyrl-CS"/>
        </w:rPr>
        <w:t xml:space="preserve"> </w:t>
      </w:r>
      <w:r>
        <w:rPr>
          <w:color w:val="auto"/>
          <w:lang w:val="sr-Cyrl-CS"/>
        </w:rPr>
        <w:t>širenja</w:t>
      </w:r>
      <w:r w:rsidR="00FC3049" w:rsidRPr="00E95BC4">
        <w:rPr>
          <w:color w:val="auto"/>
          <w:lang w:val="sr-Cyrl-CS"/>
        </w:rPr>
        <w:t xml:space="preserve"> </w:t>
      </w:r>
      <w:r>
        <w:rPr>
          <w:color w:val="auto"/>
          <w:lang w:val="sr-Cyrl-CS"/>
        </w:rPr>
        <w:t>oružja</w:t>
      </w:r>
      <w:r w:rsidR="00BD0633" w:rsidRPr="00E95BC4">
        <w:rPr>
          <w:color w:val="auto"/>
          <w:lang w:val="sr-Cyrl-CS"/>
        </w:rPr>
        <w:t xml:space="preserve"> </w:t>
      </w:r>
      <w:r>
        <w:rPr>
          <w:color w:val="auto"/>
          <w:lang w:val="sr-Cyrl-CS"/>
        </w:rPr>
        <w:t>za</w:t>
      </w:r>
      <w:r w:rsidR="00BD0633" w:rsidRPr="00E95BC4">
        <w:rPr>
          <w:color w:val="auto"/>
          <w:lang w:val="sr-Cyrl-CS"/>
        </w:rPr>
        <w:t xml:space="preserve"> </w:t>
      </w:r>
      <w:r>
        <w:rPr>
          <w:color w:val="auto"/>
          <w:lang w:val="sr-Cyrl-CS"/>
        </w:rPr>
        <w:t>masovno</w:t>
      </w:r>
      <w:r w:rsidR="00BD0633" w:rsidRPr="00E95BC4">
        <w:rPr>
          <w:color w:val="auto"/>
          <w:lang w:val="sr-Cyrl-CS"/>
        </w:rPr>
        <w:t xml:space="preserve"> </w:t>
      </w:r>
      <w:r>
        <w:rPr>
          <w:color w:val="auto"/>
          <w:lang w:val="sr-Cyrl-CS"/>
        </w:rPr>
        <w:t>uništenje</w:t>
      </w:r>
      <w:r w:rsidR="00FC3049" w:rsidRPr="00E95BC4">
        <w:rPr>
          <w:color w:val="auto"/>
          <w:lang w:val="sr-Cyrl-CS"/>
        </w:rPr>
        <w:t xml:space="preserve"> </w:t>
      </w:r>
      <w:r>
        <w:rPr>
          <w:color w:val="auto"/>
          <w:lang w:val="sr-Cyrl-CS"/>
        </w:rPr>
        <w:t>definisani</w:t>
      </w:r>
      <w:r w:rsidR="00FC3049" w:rsidRPr="00E95BC4">
        <w:rPr>
          <w:color w:val="auto"/>
          <w:lang w:val="sr-Cyrl-CS"/>
        </w:rPr>
        <w:t xml:space="preserve"> </w:t>
      </w:r>
      <w:r>
        <w:rPr>
          <w:color w:val="auto"/>
          <w:lang w:val="sr-Cyrl-CS"/>
        </w:rPr>
        <w:t>su</w:t>
      </w:r>
      <w:r w:rsidR="00FC3049" w:rsidRPr="00E95BC4">
        <w:rPr>
          <w:color w:val="auto"/>
          <w:lang w:val="sr-Cyrl-CS"/>
        </w:rPr>
        <w:t xml:space="preserve"> </w:t>
      </w:r>
      <w:r>
        <w:rPr>
          <w:color w:val="auto"/>
          <w:lang w:val="sr-Cyrl-CS"/>
        </w:rPr>
        <w:t>metodologijama</w:t>
      </w:r>
      <w:r w:rsidR="00FC3049" w:rsidRPr="00E95BC4">
        <w:rPr>
          <w:color w:val="auto"/>
          <w:lang w:val="sr-Cyrl-CS"/>
        </w:rPr>
        <w:t xml:space="preserve"> </w:t>
      </w:r>
      <w:r>
        <w:rPr>
          <w:color w:val="auto"/>
          <w:lang w:val="sr-Cyrl-CS"/>
        </w:rPr>
        <w:t>za</w:t>
      </w:r>
      <w:r w:rsidR="00FC3049" w:rsidRPr="00E95BC4">
        <w:rPr>
          <w:color w:val="auto"/>
          <w:lang w:val="sr-Cyrl-CS"/>
        </w:rPr>
        <w:t xml:space="preserve"> </w:t>
      </w:r>
      <w:r>
        <w:rPr>
          <w:color w:val="auto"/>
          <w:lang w:val="sr-Cyrl-CS"/>
        </w:rPr>
        <w:t>uzajamnu</w:t>
      </w:r>
      <w:r w:rsidR="00FC3049" w:rsidRPr="00E95BC4">
        <w:rPr>
          <w:color w:val="auto"/>
          <w:lang w:val="sr-Cyrl-CS"/>
        </w:rPr>
        <w:t xml:space="preserve"> </w:t>
      </w:r>
      <w:r>
        <w:rPr>
          <w:color w:val="auto"/>
          <w:lang w:val="sr-Cyrl-CS"/>
        </w:rPr>
        <w:t>evaluaciju</w:t>
      </w:r>
      <w:r w:rsidR="00FC3049" w:rsidRPr="00E95BC4">
        <w:rPr>
          <w:rStyle w:val="FootnoteReference"/>
          <w:color w:val="auto"/>
          <w:lang w:val="sr-Cyrl-CS"/>
        </w:rPr>
        <w:footnoteReference w:id="4"/>
      </w:r>
      <w:r w:rsidR="0096670D" w:rsidRPr="00E95BC4">
        <w:rPr>
          <w:color w:val="auto"/>
          <w:lang w:val="sr-Cyrl-CS"/>
        </w:rPr>
        <w:t xml:space="preserve"> </w:t>
      </w:r>
      <w:r>
        <w:rPr>
          <w:color w:val="auto"/>
          <w:lang w:val="sr-Cyrl-CS"/>
        </w:rPr>
        <w:t>i</w:t>
      </w:r>
      <w:r w:rsidR="0096670D" w:rsidRPr="00E95BC4">
        <w:rPr>
          <w:color w:val="auto"/>
          <w:lang w:val="sr-Cyrl-CS"/>
        </w:rPr>
        <w:t xml:space="preserve"> </w:t>
      </w:r>
      <w:r>
        <w:rPr>
          <w:color w:val="auto"/>
          <w:lang w:val="sr-Cyrl-CS"/>
        </w:rPr>
        <w:t>metodologijama</w:t>
      </w:r>
      <w:r w:rsidR="0096670D" w:rsidRPr="00E95BC4">
        <w:rPr>
          <w:color w:val="auto"/>
          <w:lang w:val="sr-Cyrl-CS"/>
        </w:rPr>
        <w:t xml:space="preserve"> </w:t>
      </w:r>
      <w:r>
        <w:rPr>
          <w:color w:val="auto"/>
          <w:lang w:val="sr-Cyrl-CS"/>
        </w:rPr>
        <w:t>nacionalne</w:t>
      </w:r>
      <w:r w:rsidR="0096670D" w:rsidRPr="00E95BC4">
        <w:rPr>
          <w:color w:val="auto"/>
          <w:lang w:val="sr-Cyrl-CS"/>
        </w:rPr>
        <w:t xml:space="preserve"> </w:t>
      </w:r>
      <w:r>
        <w:rPr>
          <w:color w:val="auto"/>
          <w:lang w:val="sr-Cyrl-CS"/>
        </w:rPr>
        <w:t>procene</w:t>
      </w:r>
      <w:r w:rsidR="0096670D" w:rsidRPr="00E95BC4">
        <w:rPr>
          <w:color w:val="auto"/>
          <w:lang w:val="sr-Cyrl-CS"/>
        </w:rPr>
        <w:t xml:space="preserve"> </w:t>
      </w:r>
      <w:r>
        <w:rPr>
          <w:color w:val="auto"/>
          <w:lang w:val="sr-Cyrl-CS"/>
        </w:rPr>
        <w:t>rizika</w:t>
      </w:r>
      <w:r w:rsidR="0096670D" w:rsidRPr="00E95BC4">
        <w:rPr>
          <w:rStyle w:val="FootnoteReference"/>
          <w:color w:val="auto"/>
          <w:lang w:val="sr-Cyrl-CS"/>
        </w:rPr>
        <w:footnoteReference w:id="5"/>
      </w:r>
      <w:r w:rsidR="0096670D" w:rsidRPr="00E95BC4">
        <w:rPr>
          <w:color w:val="auto"/>
          <w:lang w:val="sr-Cyrl-CS"/>
        </w:rPr>
        <w:t xml:space="preserve">, </w:t>
      </w:r>
      <w:r>
        <w:rPr>
          <w:color w:val="auto"/>
          <w:lang w:val="sr-Cyrl-CS"/>
        </w:rPr>
        <w:t>kao</w:t>
      </w:r>
      <w:r w:rsidR="0008634A">
        <w:rPr>
          <w:color w:val="auto"/>
          <w:lang w:val="sr-Cyrl-CS"/>
        </w:rPr>
        <w:t xml:space="preserve"> </w:t>
      </w:r>
      <w:r>
        <w:rPr>
          <w:color w:val="auto"/>
          <w:lang w:val="sr-Cyrl-CS"/>
        </w:rPr>
        <w:t>i</w:t>
      </w:r>
      <w:r w:rsidR="0008634A">
        <w:rPr>
          <w:color w:val="auto"/>
          <w:lang w:val="sr-Cyrl-CS"/>
        </w:rPr>
        <w:t xml:space="preserve"> </w:t>
      </w:r>
      <w:r>
        <w:rPr>
          <w:color w:val="auto"/>
          <w:lang w:val="sr-Cyrl-CS"/>
        </w:rPr>
        <w:t>nekim</w:t>
      </w:r>
      <w:r w:rsidR="0008634A">
        <w:rPr>
          <w:color w:val="auto"/>
          <w:lang w:val="sr-Cyrl-CS"/>
        </w:rPr>
        <w:t xml:space="preserve"> </w:t>
      </w:r>
      <w:r>
        <w:rPr>
          <w:color w:val="auto"/>
          <w:lang w:val="sr-Cyrl-CS"/>
        </w:rPr>
        <w:t>drugim</w:t>
      </w:r>
      <w:r w:rsidR="0008634A">
        <w:rPr>
          <w:color w:val="auto"/>
          <w:lang w:val="sr-Cyrl-CS"/>
        </w:rPr>
        <w:t xml:space="preserve"> </w:t>
      </w:r>
      <w:r>
        <w:rPr>
          <w:color w:val="auto"/>
          <w:lang w:val="sr-Cyrl-CS"/>
        </w:rPr>
        <w:t>pokazateljima</w:t>
      </w:r>
      <w:r w:rsidR="0096670D" w:rsidRPr="00E95BC4">
        <w:rPr>
          <w:rStyle w:val="FootnoteReference"/>
          <w:color w:val="auto"/>
          <w:lang w:val="sr-Cyrl-CS"/>
        </w:rPr>
        <w:footnoteReference w:id="6"/>
      </w:r>
      <w:r w:rsidR="0008634A">
        <w:rPr>
          <w:color w:val="auto"/>
        </w:rPr>
        <w:t>.</w:t>
      </w:r>
      <w:r w:rsidR="0096670D" w:rsidRPr="00E95BC4">
        <w:rPr>
          <w:color w:val="auto"/>
          <w:lang w:val="sr-Cyrl-CS"/>
        </w:rPr>
        <w:t xml:space="preserve"> </w:t>
      </w:r>
      <w:r>
        <w:rPr>
          <w:color w:val="auto"/>
          <w:lang w:val="sr-Cyrl-CS"/>
        </w:rPr>
        <w:t>Ovi</w:t>
      </w:r>
      <w:r w:rsidR="0096670D" w:rsidRPr="00E95BC4">
        <w:rPr>
          <w:color w:val="auto"/>
          <w:lang w:val="sr-Cyrl-CS"/>
        </w:rPr>
        <w:t xml:space="preserve"> </w:t>
      </w:r>
      <w:r>
        <w:rPr>
          <w:color w:val="auto"/>
          <w:lang w:val="sr-Cyrl-CS"/>
        </w:rPr>
        <w:t>pokazatelji</w:t>
      </w:r>
      <w:r w:rsidR="0096670D" w:rsidRPr="00E95BC4">
        <w:rPr>
          <w:color w:val="auto"/>
          <w:lang w:val="sr-Cyrl-CS"/>
        </w:rPr>
        <w:t xml:space="preserve"> </w:t>
      </w:r>
      <w:r>
        <w:rPr>
          <w:color w:val="auto"/>
          <w:lang w:val="sr-Cyrl-CS"/>
        </w:rPr>
        <w:t>su</w:t>
      </w:r>
      <w:r w:rsidR="0096670D" w:rsidRPr="00E95BC4">
        <w:rPr>
          <w:color w:val="auto"/>
          <w:lang w:val="sr-Cyrl-CS"/>
        </w:rPr>
        <w:t xml:space="preserve"> </w:t>
      </w:r>
      <w:r>
        <w:rPr>
          <w:color w:val="auto"/>
          <w:lang w:val="sr-Cyrl-CS"/>
        </w:rPr>
        <w:t>izabrani</w:t>
      </w:r>
      <w:r w:rsidR="0096670D" w:rsidRPr="00E95BC4">
        <w:rPr>
          <w:color w:val="auto"/>
          <w:lang w:val="sr-Cyrl-CS"/>
        </w:rPr>
        <w:t xml:space="preserve"> </w:t>
      </w:r>
      <w:r>
        <w:rPr>
          <w:color w:val="auto"/>
          <w:lang w:val="sr-Cyrl-CS"/>
        </w:rPr>
        <w:t>i</w:t>
      </w:r>
      <w:r w:rsidR="0096670D" w:rsidRPr="00E95BC4">
        <w:rPr>
          <w:color w:val="auto"/>
          <w:lang w:val="sr-Cyrl-CS"/>
        </w:rPr>
        <w:t xml:space="preserve"> </w:t>
      </w:r>
      <w:r>
        <w:rPr>
          <w:color w:val="auto"/>
          <w:lang w:val="sr-Cyrl-CS"/>
        </w:rPr>
        <w:t>za</w:t>
      </w:r>
      <w:r w:rsidR="0096670D" w:rsidRPr="00E95BC4">
        <w:rPr>
          <w:color w:val="auto"/>
          <w:lang w:val="sr-Cyrl-CS"/>
        </w:rPr>
        <w:t xml:space="preserve"> </w:t>
      </w:r>
      <w:r>
        <w:rPr>
          <w:color w:val="auto"/>
          <w:lang w:val="sr-Cyrl-CS"/>
        </w:rPr>
        <w:t>potrebe</w:t>
      </w:r>
      <w:r w:rsidR="0096670D" w:rsidRPr="00E95BC4">
        <w:rPr>
          <w:color w:val="auto"/>
          <w:lang w:val="sr-Cyrl-CS"/>
        </w:rPr>
        <w:t xml:space="preserve"> </w:t>
      </w:r>
      <w:r>
        <w:rPr>
          <w:color w:val="auto"/>
          <w:lang w:val="sr-Cyrl-CS"/>
        </w:rPr>
        <w:t>ove</w:t>
      </w:r>
      <w:r w:rsidR="0096670D" w:rsidRPr="00E95BC4">
        <w:rPr>
          <w:color w:val="auto"/>
          <w:lang w:val="sr-Cyrl-CS"/>
        </w:rPr>
        <w:t xml:space="preserve"> </w:t>
      </w:r>
      <w:r>
        <w:rPr>
          <w:color w:val="auto"/>
          <w:lang w:val="sr-Cyrl-CS"/>
        </w:rPr>
        <w:t>analize</w:t>
      </w:r>
      <w:r w:rsidR="0096670D" w:rsidRPr="00E95BC4">
        <w:rPr>
          <w:color w:val="auto"/>
          <w:lang w:val="sr-Cyrl-CS"/>
        </w:rPr>
        <w:t xml:space="preserve"> </w:t>
      </w:r>
      <w:r>
        <w:rPr>
          <w:color w:val="auto"/>
          <w:lang w:val="sr-Cyrl-CS"/>
        </w:rPr>
        <w:t>jer</w:t>
      </w:r>
      <w:r w:rsidR="0096670D" w:rsidRPr="00E95BC4">
        <w:rPr>
          <w:color w:val="auto"/>
          <w:lang w:val="sr-Cyrl-CS"/>
        </w:rPr>
        <w:t xml:space="preserve"> </w:t>
      </w:r>
      <w:r>
        <w:rPr>
          <w:color w:val="auto"/>
          <w:lang w:val="sr-Cyrl-CS"/>
        </w:rPr>
        <w:t>su</w:t>
      </w:r>
      <w:r w:rsidR="0096670D" w:rsidRPr="00E95BC4">
        <w:rPr>
          <w:color w:val="auto"/>
          <w:lang w:val="sr-Cyrl-CS"/>
        </w:rPr>
        <w:t xml:space="preserve"> </w:t>
      </w:r>
      <w:r>
        <w:rPr>
          <w:color w:val="auto"/>
          <w:lang w:val="sr-Cyrl-CS"/>
        </w:rPr>
        <w:t>najvalidniji</w:t>
      </w:r>
      <w:r w:rsidR="0096670D" w:rsidRPr="00E95BC4">
        <w:rPr>
          <w:color w:val="auto"/>
          <w:lang w:val="sr-Cyrl-CS"/>
        </w:rPr>
        <w:t xml:space="preserve"> </w:t>
      </w:r>
      <w:r>
        <w:rPr>
          <w:color w:val="auto"/>
          <w:lang w:val="sr-Cyrl-CS"/>
        </w:rPr>
        <w:t>za</w:t>
      </w:r>
      <w:r w:rsidR="00FC3049" w:rsidRPr="00E95BC4">
        <w:rPr>
          <w:color w:val="auto"/>
          <w:lang w:val="sr-Cyrl-CS"/>
        </w:rPr>
        <w:t xml:space="preserve"> </w:t>
      </w:r>
      <w:r>
        <w:rPr>
          <w:color w:val="auto"/>
          <w:lang w:val="sr-Cyrl-CS"/>
        </w:rPr>
        <w:t>ocenu</w:t>
      </w:r>
      <w:r w:rsidR="00FC3049" w:rsidRPr="00E95BC4">
        <w:rPr>
          <w:color w:val="auto"/>
          <w:lang w:val="sr-Cyrl-CS"/>
        </w:rPr>
        <w:t xml:space="preserve"> </w:t>
      </w:r>
      <w:r>
        <w:rPr>
          <w:color w:val="auto"/>
          <w:lang w:val="sr-Cyrl-CS"/>
        </w:rPr>
        <w:t>stanja</w:t>
      </w:r>
      <w:r w:rsidR="00FC3049" w:rsidRPr="00E95BC4">
        <w:rPr>
          <w:color w:val="auto"/>
          <w:lang w:val="sr-Cyrl-CS"/>
        </w:rPr>
        <w:t xml:space="preserve"> </w:t>
      </w:r>
      <w:r>
        <w:rPr>
          <w:color w:val="auto"/>
          <w:lang w:val="sr-Cyrl-CS"/>
        </w:rPr>
        <w:t>u</w:t>
      </w:r>
      <w:r w:rsidR="00FC3049" w:rsidRPr="00E95BC4">
        <w:rPr>
          <w:color w:val="auto"/>
          <w:lang w:val="sr-Cyrl-CS"/>
        </w:rPr>
        <w:t xml:space="preserve"> </w:t>
      </w:r>
      <w:r>
        <w:rPr>
          <w:color w:val="auto"/>
          <w:lang w:val="sr-Cyrl-CS"/>
        </w:rPr>
        <w:t>ovoj</w:t>
      </w:r>
      <w:r w:rsidR="0096670D" w:rsidRPr="00E95BC4">
        <w:rPr>
          <w:color w:val="auto"/>
          <w:lang w:val="sr-Cyrl-CS"/>
        </w:rPr>
        <w:t xml:space="preserve"> </w:t>
      </w:r>
      <w:r>
        <w:rPr>
          <w:color w:val="auto"/>
          <w:lang w:val="sr-Cyrl-CS"/>
        </w:rPr>
        <w:t>oblasti</w:t>
      </w:r>
      <w:r w:rsidR="0096670D" w:rsidRPr="00E95BC4">
        <w:rPr>
          <w:color w:val="auto"/>
          <w:lang w:val="sr-Cyrl-CS"/>
        </w:rPr>
        <w:t>.</w:t>
      </w:r>
      <w:r w:rsidR="000B0BBF" w:rsidRPr="00E95BC4">
        <w:rPr>
          <w:color w:val="auto"/>
          <w:lang w:val="sr-Cyrl-CS"/>
        </w:rPr>
        <w:t xml:space="preserve"> </w:t>
      </w:r>
    </w:p>
    <w:p w:rsidR="0034189E" w:rsidRPr="00E95BC4" w:rsidRDefault="005818C0" w:rsidP="00285FD7">
      <w:pPr>
        <w:ind w:firstLine="720"/>
        <w:jc w:val="both"/>
        <w:rPr>
          <w:color w:val="auto"/>
          <w:lang w:val="sr-Cyrl-CS"/>
        </w:rPr>
      </w:pPr>
      <w:r>
        <w:rPr>
          <w:color w:val="auto"/>
          <w:lang w:val="sr-Cyrl-CS"/>
        </w:rPr>
        <w:t>Najbitniji</w:t>
      </w:r>
      <w:r w:rsidR="0034189E" w:rsidRPr="00E95BC4">
        <w:rPr>
          <w:color w:val="auto"/>
          <w:lang w:val="sr-Cyrl-CS"/>
        </w:rPr>
        <w:t xml:space="preserve"> </w:t>
      </w:r>
      <w:r>
        <w:rPr>
          <w:i/>
          <w:color w:val="auto"/>
          <w:lang w:val="sr-Cyrl-CS"/>
        </w:rPr>
        <w:t>izvori</w:t>
      </w:r>
      <w:r w:rsidR="0034189E" w:rsidRPr="00E95BC4">
        <w:rPr>
          <w:color w:val="auto"/>
          <w:lang w:val="sr-Cyrl-CS"/>
        </w:rPr>
        <w:t xml:space="preserve"> </w:t>
      </w:r>
      <w:r>
        <w:rPr>
          <w:color w:val="auto"/>
          <w:lang w:val="sr-Cyrl-CS"/>
        </w:rPr>
        <w:t>pokazatelja</w:t>
      </w:r>
      <w:r w:rsidR="0096670D" w:rsidRPr="00E95BC4">
        <w:rPr>
          <w:color w:val="auto"/>
          <w:lang w:val="sr-Cyrl-CS"/>
        </w:rPr>
        <w:t xml:space="preserve"> </w:t>
      </w:r>
      <w:r>
        <w:rPr>
          <w:color w:val="auto"/>
          <w:lang w:val="sr-Cyrl-CS"/>
        </w:rPr>
        <w:t>i</w:t>
      </w:r>
      <w:r w:rsidR="0096670D" w:rsidRPr="00E95BC4">
        <w:rPr>
          <w:color w:val="auto"/>
          <w:lang w:val="sr-Cyrl-CS"/>
        </w:rPr>
        <w:t xml:space="preserve"> </w:t>
      </w:r>
      <w:r>
        <w:rPr>
          <w:color w:val="auto"/>
          <w:lang w:val="sr-Cyrl-CS"/>
        </w:rPr>
        <w:t>informacija</w:t>
      </w:r>
      <w:r w:rsidR="0034189E" w:rsidRPr="00E95BC4">
        <w:rPr>
          <w:color w:val="auto"/>
          <w:lang w:val="sr-Cyrl-CS"/>
        </w:rPr>
        <w:t xml:space="preserve"> </w:t>
      </w:r>
      <w:r>
        <w:rPr>
          <w:color w:val="auto"/>
          <w:lang w:val="sr-Cyrl-CS"/>
        </w:rPr>
        <w:t>o</w:t>
      </w:r>
      <w:r w:rsidR="0034189E" w:rsidRPr="00E95BC4">
        <w:rPr>
          <w:color w:val="auto"/>
          <w:lang w:val="sr-Cyrl-CS"/>
        </w:rPr>
        <w:t xml:space="preserve"> </w:t>
      </w:r>
      <w:r>
        <w:rPr>
          <w:color w:val="auto"/>
          <w:lang w:val="sr-Cyrl-CS"/>
        </w:rPr>
        <w:t>stanju</w:t>
      </w:r>
      <w:r w:rsidR="0034189E" w:rsidRPr="00E95BC4">
        <w:rPr>
          <w:color w:val="auto"/>
          <w:lang w:val="sr-Cyrl-CS"/>
        </w:rPr>
        <w:t xml:space="preserve"> </w:t>
      </w:r>
      <w:r>
        <w:rPr>
          <w:color w:val="auto"/>
          <w:lang w:val="sr-Cyrl-CS"/>
        </w:rPr>
        <w:t>sistema</w:t>
      </w:r>
      <w:r w:rsidR="0034189E" w:rsidRPr="00E95BC4">
        <w:rPr>
          <w:color w:val="auto"/>
          <w:lang w:val="sr-Cyrl-CS"/>
        </w:rPr>
        <w:t xml:space="preserve"> </w:t>
      </w:r>
      <w:r>
        <w:rPr>
          <w:color w:val="auto"/>
          <w:lang w:val="sr-Cyrl-CS"/>
        </w:rPr>
        <w:t>za</w:t>
      </w:r>
      <w:r w:rsidR="0034189E" w:rsidRPr="00E95BC4">
        <w:rPr>
          <w:color w:val="auto"/>
          <w:lang w:val="sr-Cyrl-CS"/>
        </w:rPr>
        <w:t xml:space="preserve"> </w:t>
      </w:r>
      <w:r>
        <w:rPr>
          <w:color w:val="auto"/>
          <w:lang w:val="sr-Cyrl-CS"/>
        </w:rPr>
        <w:t>borbu</w:t>
      </w:r>
      <w:r w:rsidR="0034189E" w:rsidRPr="00E95BC4">
        <w:rPr>
          <w:color w:val="auto"/>
          <w:lang w:val="sr-Cyrl-CS"/>
        </w:rPr>
        <w:t xml:space="preserve"> </w:t>
      </w:r>
      <w:r>
        <w:rPr>
          <w:color w:val="auto"/>
          <w:lang w:val="sr-Cyrl-CS"/>
        </w:rPr>
        <w:t>protiv</w:t>
      </w:r>
      <w:r w:rsidR="0034189E" w:rsidRPr="00E95BC4">
        <w:rPr>
          <w:color w:val="auto"/>
          <w:lang w:val="sr-Cyrl-CS"/>
        </w:rPr>
        <w:t xml:space="preserve"> </w:t>
      </w:r>
      <w:r>
        <w:rPr>
          <w:color w:val="auto"/>
          <w:lang w:val="sr-Cyrl-CS"/>
        </w:rPr>
        <w:t>pranja</w:t>
      </w:r>
      <w:r w:rsidR="0034189E" w:rsidRPr="00E95BC4">
        <w:rPr>
          <w:color w:val="auto"/>
          <w:lang w:val="sr-Cyrl-CS"/>
        </w:rPr>
        <w:t xml:space="preserve"> </w:t>
      </w:r>
      <w:r>
        <w:rPr>
          <w:color w:val="auto"/>
          <w:lang w:val="sr-Cyrl-CS"/>
        </w:rPr>
        <w:t>novca</w:t>
      </w:r>
      <w:r w:rsidR="0034189E" w:rsidRPr="00E95BC4">
        <w:rPr>
          <w:color w:val="auto"/>
          <w:lang w:val="sr-Cyrl-CS"/>
        </w:rPr>
        <w:t xml:space="preserve"> </w:t>
      </w:r>
      <w:r>
        <w:rPr>
          <w:color w:val="auto"/>
          <w:lang w:val="sr-Cyrl-CS"/>
        </w:rPr>
        <w:t>i</w:t>
      </w:r>
      <w:r w:rsidR="0034189E" w:rsidRPr="00E95BC4">
        <w:rPr>
          <w:color w:val="auto"/>
          <w:lang w:val="sr-Cyrl-CS"/>
        </w:rPr>
        <w:t xml:space="preserve"> </w:t>
      </w:r>
      <w:r>
        <w:rPr>
          <w:color w:val="auto"/>
          <w:lang w:val="sr-Cyrl-CS"/>
        </w:rPr>
        <w:t>finansiranja</w:t>
      </w:r>
      <w:r w:rsidR="0034189E" w:rsidRPr="00E95BC4">
        <w:rPr>
          <w:color w:val="auto"/>
          <w:lang w:val="sr-Cyrl-CS"/>
        </w:rPr>
        <w:t xml:space="preserve"> </w:t>
      </w:r>
      <w:r>
        <w:rPr>
          <w:color w:val="auto"/>
          <w:lang w:val="sr-Cyrl-CS"/>
        </w:rPr>
        <w:t>terorizma</w:t>
      </w:r>
      <w:r w:rsidR="0034189E" w:rsidRPr="00E95BC4">
        <w:rPr>
          <w:color w:val="auto"/>
          <w:lang w:val="sr-Cyrl-CS"/>
        </w:rPr>
        <w:t xml:space="preserve"> </w:t>
      </w:r>
      <w:r>
        <w:rPr>
          <w:color w:val="auto"/>
          <w:lang w:val="sr-Cyrl-CS"/>
        </w:rPr>
        <w:t>u</w:t>
      </w:r>
      <w:r w:rsidR="0034189E" w:rsidRPr="00E95BC4">
        <w:rPr>
          <w:color w:val="auto"/>
          <w:lang w:val="sr-Cyrl-CS"/>
        </w:rPr>
        <w:t xml:space="preserve"> </w:t>
      </w:r>
      <w:r>
        <w:rPr>
          <w:color w:val="auto"/>
          <w:lang w:val="sr-Cyrl-CS"/>
        </w:rPr>
        <w:t>Republici</w:t>
      </w:r>
      <w:r w:rsidR="0034189E" w:rsidRPr="00E95BC4">
        <w:rPr>
          <w:color w:val="auto"/>
          <w:lang w:val="sr-Cyrl-CS"/>
        </w:rPr>
        <w:t xml:space="preserve"> </w:t>
      </w:r>
      <w:r>
        <w:rPr>
          <w:color w:val="auto"/>
          <w:lang w:val="sr-Cyrl-CS"/>
        </w:rPr>
        <w:t>Srbiji</w:t>
      </w:r>
      <w:r w:rsidR="0034189E" w:rsidRPr="00E95BC4">
        <w:rPr>
          <w:color w:val="auto"/>
          <w:lang w:val="sr-Cyrl-CS"/>
        </w:rPr>
        <w:t xml:space="preserve"> </w:t>
      </w:r>
      <w:r>
        <w:rPr>
          <w:color w:val="auto"/>
          <w:lang w:val="sr-Cyrl-CS"/>
        </w:rPr>
        <w:t>nalaze</w:t>
      </w:r>
      <w:r w:rsidR="0034189E" w:rsidRPr="00E95BC4">
        <w:rPr>
          <w:color w:val="auto"/>
          <w:lang w:val="sr-Cyrl-CS"/>
        </w:rPr>
        <w:t xml:space="preserve"> </w:t>
      </w:r>
      <w:r>
        <w:rPr>
          <w:color w:val="auto"/>
          <w:lang w:val="sr-Cyrl-CS"/>
        </w:rPr>
        <w:t>se</w:t>
      </w:r>
      <w:r w:rsidR="0034189E" w:rsidRPr="00E95BC4">
        <w:rPr>
          <w:color w:val="auto"/>
          <w:lang w:val="sr-Cyrl-CS"/>
        </w:rPr>
        <w:t xml:space="preserve"> </w:t>
      </w:r>
      <w:r>
        <w:rPr>
          <w:color w:val="auto"/>
          <w:lang w:val="sr-Cyrl-CS"/>
        </w:rPr>
        <w:t>u</w:t>
      </w:r>
      <w:r w:rsidR="0034189E" w:rsidRPr="00E95BC4">
        <w:rPr>
          <w:color w:val="auto"/>
          <w:lang w:val="sr-Cyrl-CS"/>
        </w:rPr>
        <w:t xml:space="preserve"> </w:t>
      </w:r>
      <w:r>
        <w:rPr>
          <w:color w:val="auto"/>
          <w:lang w:val="sr-Cyrl-CS"/>
        </w:rPr>
        <w:t>sledećim</w:t>
      </w:r>
      <w:r w:rsidR="002F2585" w:rsidRPr="00E95BC4">
        <w:rPr>
          <w:color w:val="auto"/>
          <w:lang w:val="sr-Cyrl-CS"/>
        </w:rPr>
        <w:t xml:space="preserve"> </w:t>
      </w:r>
      <w:r>
        <w:rPr>
          <w:color w:val="auto"/>
          <w:lang w:val="sr-Cyrl-CS"/>
        </w:rPr>
        <w:t>međunarodnim</w:t>
      </w:r>
      <w:r w:rsidR="002F2585" w:rsidRPr="00E95BC4">
        <w:rPr>
          <w:color w:val="auto"/>
          <w:lang w:val="sr-Cyrl-CS"/>
        </w:rPr>
        <w:t xml:space="preserve"> </w:t>
      </w:r>
      <w:r>
        <w:rPr>
          <w:color w:val="auto"/>
          <w:lang w:val="sr-Cyrl-CS"/>
        </w:rPr>
        <w:t>i</w:t>
      </w:r>
      <w:r w:rsidR="002F2585" w:rsidRPr="00E95BC4">
        <w:rPr>
          <w:color w:val="auto"/>
          <w:lang w:val="sr-Cyrl-CS"/>
        </w:rPr>
        <w:t xml:space="preserve"> </w:t>
      </w:r>
      <w:r>
        <w:rPr>
          <w:color w:val="auto"/>
          <w:lang w:val="sr-Cyrl-CS"/>
        </w:rPr>
        <w:t>domaćim</w:t>
      </w:r>
      <w:r w:rsidR="002F2585" w:rsidRPr="00E95BC4">
        <w:rPr>
          <w:color w:val="auto"/>
          <w:lang w:val="sr-Cyrl-CS"/>
        </w:rPr>
        <w:t xml:space="preserve"> </w:t>
      </w:r>
      <w:r>
        <w:rPr>
          <w:color w:val="auto"/>
          <w:lang w:val="sr-Cyrl-CS"/>
        </w:rPr>
        <w:t>izvorima</w:t>
      </w:r>
      <w:r w:rsidR="0034189E" w:rsidRPr="00E95BC4">
        <w:rPr>
          <w:color w:val="auto"/>
          <w:lang w:val="sr-Cyrl-CS"/>
        </w:rPr>
        <w:t>:</w:t>
      </w:r>
    </w:p>
    <w:p w:rsidR="00B02F59" w:rsidRPr="00E95BC4" w:rsidRDefault="00B02F59" w:rsidP="00285FD7">
      <w:pPr>
        <w:ind w:firstLine="720"/>
        <w:jc w:val="both"/>
        <w:rPr>
          <w:b/>
          <w:color w:val="auto"/>
          <w:lang w:val="sr-Cyrl-CS"/>
        </w:rPr>
      </w:pPr>
    </w:p>
    <w:p w:rsidR="002F2585" w:rsidRPr="00E95BC4" w:rsidRDefault="005818C0" w:rsidP="00285FD7">
      <w:pPr>
        <w:ind w:firstLine="720"/>
        <w:jc w:val="both"/>
        <w:rPr>
          <w:b/>
          <w:color w:val="auto"/>
          <w:lang w:val="sr-Cyrl-CS"/>
        </w:rPr>
      </w:pPr>
      <w:r>
        <w:rPr>
          <w:b/>
          <w:color w:val="auto"/>
          <w:lang w:val="sr-Cyrl-CS"/>
        </w:rPr>
        <w:t>Međunarodni</w:t>
      </w:r>
      <w:r w:rsidR="002F2585" w:rsidRPr="00E95BC4">
        <w:rPr>
          <w:b/>
          <w:color w:val="auto"/>
          <w:lang w:val="sr-Cyrl-CS"/>
        </w:rPr>
        <w:t xml:space="preserve"> </w:t>
      </w:r>
      <w:r>
        <w:rPr>
          <w:b/>
          <w:color w:val="auto"/>
          <w:lang w:val="sr-Cyrl-CS"/>
        </w:rPr>
        <w:t>izvori</w:t>
      </w:r>
      <w:r w:rsidR="002F2585" w:rsidRPr="00E95BC4">
        <w:rPr>
          <w:b/>
          <w:color w:val="auto"/>
          <w:lang w:val="sr-Cyrl-CS"/>
        </w:rPr>
        <w:t>:</w:t>
      </w:r>
    </w:p>
    <w:p w:rsidR="000B0BBF" w:rsidRPr="00E95BC4" w:rsidRDefault="000B0BBF" w:rsidP="00285FD7">
      <w:pPr>
        <w:ind w:firstLine="720"/>
        <w:jc w:val="both"/>
        <w:rPr>
          <w:b/>
          <w:color w:val="auto"/>
          <w:lang w:val="sr-Cyrl-CS"/>
        </w:rPr>
      </w:pPr>
    </w:p>
    <w:p w:rsidR="0034189E" w:rsidRPr="00E95BC4" w:rsidRDefault="005818C0" w:rsidP="00285FD7">
      <w:pPr>
        <w:ind w:firstLine="720"/>
        <w:jc w:val="both"/>
        <w:rPr>
          <w:b/>
          <w:color w:val="auto"/>
          <w:lang w:val="sr-Cyrl-CS"/>
        </w:rPr>
      </w:pPr>
      <w:r>
        <w:rPr>
          <w:b/>
          <w:color w:val="auto"/>
          <w:lang w:val="sr-Cyrl-CS"/>
        </w:rPr>
        <w:t>Komitet</w:t>
      </w:r>
      <w:r w:rsidR="0034189E" w:rsidRPr="00E95BC4">
        <w:rPr>
          <w:b/>
          <w:color w:val="auto"/>
          <w:lang w:val="sr-Cyrl-CS"/>
        </w:rPr>
        <w:t xml:space="preserve"> </w:t>
      </w:r>
      <w:r>
        <w:rPr>
          <w:b/>
          <w:color w:val="auto"/>
          <w:lang w:val="sr-Cyrl-CS"/>
        </w:rPr>
        <w:t>Saveta</w:t>
      </w:r>
      <w:r w:rsidR="0034189E" w:rsidRPr="00E95BC4">
        <w:rPr>
          <w:b/>
          <w:color w:val="auto"/>
          <w:lang w:val="sr-Cyrl-CS"/>
        </w:rPr>
        <w:t xml:space="preserve"> </w:t>
      </w:r>
      <w:r>
        <w:rPr>
          <w:b/>
          <w:color w:val="auto"/>
          <w:lang w:val="sr-Cyrl-CS"/>
        </w:rPr>
        <w:t>Evrope</w:t>
      </w:r>
      <w:r w:rsidR="0034189E" w:rsidRPr="00E95BC4">
        <w:rPr>
          <w:b/>
          <w:color w:val="auto"/>
          <w:lang w:val="sr-Cyrl-CS"/>
        </w:rPr>
        <w:t xml:space="preserve"> – </w:t>
      </w:r>
      <w:r>
        <w:rPr>
          <w:b/>
          <w:color w:val="auto"/>
          <w:lang w:val="sr-Cyrl-CS"/>
        </w:rPr>
        <w:t>Manival</w:t>
      </w:r>
      <w:r w:rsidR="006C15FB" w:rsidRPr="00E95BC4">
        <w:rPr>
          <w:rStyle w:val="FootnoteReference"/>
          <w:b/>
          <w:color w:val="auto"/>
          <w:lang w:val="sr-Cyrl-CS"/>
        </w:rPr>
        <w:footnoteReference w:id="7"/>
      </w:r>
    </w:p>
    <w:p w:rsidR="0034189E" w:rsidRPr="00E95BC4" w:rsidRDefault="005818C0" w:rsidP="00285FD7">
      <w:pPr>
        <w:pStyle w:val="ListParagraph"/>
        <w:numPr>
          <w:ilvl w:val="0"/>
          <w:numId w:val="1"/>
        </w:numPr>
        <w:jc w:val="both"/>
        <w:rPr>
          <w:color w:val="auto"/>
          <w:lang w:val="sr-Cyrl-CS"/>
        </w:rPr>
      </w:pPr>
      <w:r>
        <w:rPr>
          <w:color w:val="auto"/>
          <w:lang w:val="sr-Cyrl-CS"/>
        </w:rPr>
        <w:t>Izveštaj</w:t>
      </w:r>
      <w:r w:rsidR="0034189E" w:rsidRPr="00E95BC4">
        <w:rPr>
          <w:color w:val="auto"/>
          <w:lang w:val="sr-Cyrl-CS"/>
        </w:rPr>
        <w:t xml:space="preserve"> </w:t>
      </w:r>
      <w:r>
        <w:rPr>
          <w:color w:val="auto"/>
          <w:lang w:val="sr-Cyrl-CS"/>
        </w:rPr>
        <w:t>o</w:t>
      </w:r>
      <w:r w:rsidR="0034189E" w:rsidRPr="00E95BC4">
        <w:rPr>
          <w:color w:val="auto"/>
          <w:lang w:val="sr-Cyrl-CS"/>
        </w:rPr>
        <w:t xml:space="preserve"> </w:t>
      </w:r>
      <w:r>
        <w:rPr>
          <w:color w:val="auto"/>
          <w:lang w:val="sr-Cyrl-CS"/>
        </w:rPr>
        <w:t>uzajamnoj</w:t>
      </w:r>
      <w:r w:rsidR="0034189E" w:rsidRPr="00E95BC4">
        <w:rPr>
          <w:color w:val="auto"/>
          <w:lang w:val="sr-Cyrl-CS"/>
        </w:rPr>
        <w:t xml:space="preserve"> </w:t>
      </w:r>
      <w:r>
        <w:rPr>
          <w:color w:val="auto"/>
          <w:lang w:val="sr-Cyrl-CS"/>
        </w:rPr>
        <w:t>evaluaciji</w:t>
      </w:r>
      <w:r w:rsidR="0034189E" w:rsidRPr="00E95BC4">
        <w:rPr>
          <w:color w:val="auto"/>
          <w:lang w:val="sr-Cyrl-CS"/>
        </w:rPr>
        <w:t xml:space="preserve"> </w:t>
      </w:r>
      <w:r>
        <w:rPr>
          <w:color w:val="auto"/>
          <w:lang w:val="sr-Cyrl-CS"/>
        </w:rPr>
        <w:t>od</w:t>
      </w:r>
      <w:r w:rsidR="006C15FB" w:rsidRPr="00E95BC4">
        <w:rPr>
          <w:color w:val="auto"/>
          <w:lang w:val="sr-Cyrl-CS"/>
        </w:rPr>
        <w:t xml:space="preserve"> 13. </w:t>
      </w:r>
      <w:r>
        <w:rPr>
          <w:color w:val="auto"/>
          <w:lang w:val="sr-Cyrl-CS"/>
        </w:rPr>
        <w:t>aprila</w:t>
      </w:r>
      <w:r w:rsidR="006C15FB" w:rsidRPr="00E95BC4">
        <w:rPr>
          <w:color w:val="auto"/>
          <w:lang w:val="sr-Cyrl-CS"/>
        </w:rPr>
        <w:t xml:space="preserve"> </w:t>
      </w:r>
      <w:r w:rsidR="0034189E" w:rsidRPr="00E95BC4">
        <w:rPr>
          <w:color w:val="auto"/>
          <w:lang w:val="sr-Cyrl-CS"/>
        </w:rPr>
        <w:t xml:space="preserve">2016. </w:t>
      </w:r>
      <w:r>
        <w:rPr>
          <w:color w:val="auto"/>
          <w:lang w:val="sr-Cyrl-CS"/>
        </w:rPr>
        <w:t>godine</w:t>
      </w:r>
      <w:r w:rsidR="007C4E60">
        <w:rPr>
          <w:color w:val="auto"/>
          <w:lang w:val="sr-Cyrl-CS"/>
        </w:rPr>
        <w:t>,</w:t>
      </w:r>
      <w:r w:rsidR="006C15FB" w:rsidRPr="00E95BC4">
        <w:rPr>
          <w:rStyle w:val="FootnoteReference"/>
          <w:color w:val="auto"/>
          <w:lang w:val="sr-Cyrl-CS"/>
        </w:rPr>
        <w:footnoteReference w:id="8"/>
      </w:r>
    </w:p>
    <w:p w:rsidR="000D4757" w:rsidRPr="00E95BC4" w:rsidRDefault="005818C0" w:rsidP="000D4757">
      <w:pPr>
        <w:pStyle w:val="ListParagraph"/>
        <w:numPr>
          <w:ilvl w:val="0"/>
          <w:numId w:val="1"/>
        </w:numPr>
        <w:rPr>
          <w:color w:val="auto"/>
          <w:lang w:val="sr-Cyrl-CS"/>
        </w:rPr>
      </w:pPr>
      <w:r>
        <w:rPr>
          <w:color w:val="auto"/>
          <w:lang w:val="sr-Cyrl-CS"/>
        </w:rPr>
        <w:t>Prvi</w:t>
      </w:r>
      <w:r w:rsidR="000D4757" w:rsidRPr="00E95BC4">
        <w:rPr>
          <w:color w:val="auto"/>
          <w:lang w:val="sr-Cyrl-CS"/>
        </w:rPr>
        <w:t xml:space="preserve"> </w:t>
      </w:r>
      <w:r>
        <w:rPr>
          <w:color w:val="auto"/>
          <w:lang w:val="sr-Cyrl-CS"/>
        </w:rPr>
        <w:t>izveštaj</w:t>
      </w:r>
      <w:r w:rsidR="000D4757" w:rsidRPr="00E95BC4">
        <w:rPr>
          <w:color w:val="auto"/>
          <w:lang w:val="sr-Cyrl-CS"/>
        </w:rPr>
        <w:t xml:space="preserve"> </w:t>
      </w:r>
      <w:r>
        <w:rPr>
          <w:color w:val="auto"/>
          <w:lang w:val="sr-Cyrl-CS"/>
        </w:rPr>
        <w:t>o</w:t>
      </w:r>
      <w:r w:rsidR="000D4757" w:rsidRPr="00E95BC4">
        <w:rPr>
          <w:color w:val="auto"/>
          <w:lang w:val="sr-Cyrl-CS"/>
        </w:rPr>
        <w:t xml:space="preserve"> </w:t>
      </w:r>
      <w:r>
        <w:rPr>
          <w:color w:val="auto"/>
          <w:lang w:val="sr-Cyrl-CS"/>
        </w:rPr>
        <w:t>pojačanom</w:t>
      </w:r>
      <w:r w:rsidR="000D4757" w:rsidRPr="00E95BC4">
        <w:rPr>
          <w:color w:val="auto"/>
          <w:lang w:val="sr-Cyrl-CS"/>
        </w:rPr>
        <w:t xml:space="preserve"> </w:t>
      </w:r>
      <w:r>
        <w:rPr>
          <w:color w:val="auto"/>
          <w:lang w:val="sr-Cyrl-CS"/>
        </w:rPr>
        <w:t>praćenju</w:t>
      </w:r>
      <w:r w:rsidR="000D4757" w:rsidRPr="00E95BC4">
        <w:rPr>
          <w:color w:val="auto"/>
          <w:lang w:val="sr-Cyrl-CS"/>
        </w:rPr>
        <w:t xml:space="preserve"> </w:t>
      </w:r>
      <w:r>
        <w:rPr>
          <w:color w:val="auto"/>
          <w:lang w:val="sr-Cyrl-CS"/>
        </w:rPr>
        <w:t>Republike</w:t>
      </w:r>
      <w:r w:rsidR="000D4757" w:rsidRPr="00E95BC4">
        <w:rPr>
          <w:color w:val="auto"/>
          <w:lang w:val="sr-Cyrl-CS"/>
        </w:rPr>
        <w:t xml:space="preserve"> </w:t>
      </w:r>
      <w:r>
        <w:rPr>
          <w:color w:val="auto"/>
          <w:lang w:val="sr-Cyrl-CS"/>
        </w:rPr>
        <w:t>Srbije</w:t>
      </w:r>
      <w:r w:rsidR="000D4757" w:rsidRPr="00E95BC4">
        <w:rPr>
          <w:color w:val="auto"/>
          <w:lang w:val="sr-Cyrl-CS"/>
        </w:rPr>
        <w:t xml:space="preserve"> </w:t>
      </w:r>
      <w:r>
        <w:rPr>
          <w:color w:val="auto"/>
          <w:lang w:val="sr-Cyrl-CS"/>
        </w:rPr>
        <w:t>iz</w:t>
      </w:r>
      <w:r w:rsidR="000D4757" w:rsidRPr="00E95BC4">
        <w:rPr>
          <w:color w:val="auto"/>
          <w:lang w:val="sr-Cyrl-CS"/>
        </w:rPr>
        <w:t xml:space="preserve"> </w:t>
      </w:r>
      <w:r>
        <w:rPr>
          <w:color w:val="auto"/>
          <w:lang w:val="sr-Cyrl-CS"/>
        </w:rPr>
        <w:t>decembra</w:t>
      </w:r>
      <w:r w:rsidR="000D4757" w:rsidRPr="00E95BC4">
        <w:rPr>
          <w:color w:val="auto"/>
          <w:lang w:val="sr-Cyrl-CS"/>
        </w:rPr>
        <w:t xml:space="preserve"> 2017.</w:t>
      </w:r>
      <w:r w:rsidR="007E03E4" w:rsidRPr="00E95BC4">
        <w:rPr>
          <w:color w:val="auto"/>
          <w:lang w:val="sr-Cyrl-CS"/>
        </w:rPr>
        <w:t xml:space="preserve"> </w:t>
      </w:r>
      <w:r>
        <w:rPr>
          <w:color w:val="auto"/>
          <w:lang w:val="sr-Cyrl-CS"/>
        </w:rPr>
        <w:t>godine</w:t>
      </w:r>
      <w:r w:rsidR="007E03E4" w:rsidRPr="00E95BC4">
        <w:rPr>
          <w:rStyle w:val="FootnoteReference"/>
          <w:color w:val="auto"/>
          <w:lang w:val="sr-Cyrl-CS"/>
        </w:rPr>
        <w:t xml:space="preserve"> </w:t>
      </w:r>
      <w:r w:rsidR="007C4E60">
        <w:rPr>
          <w:color w:val="auto"/>
          <w:lang w:val="sr-Cyrl-CS"/>
        </w:rPr>
        <w:t>,</w:t>
      </w:r>
      <w:r w:rsidR="000D4757" w:rsidRPr="00E95BC4">
        <w:rPr>
          <w:rStyle w:val="FootnoteReference"/>
          <w:color w:val="auto"/>
          <w:lang w:val="sr-Cyrl-CS"/>
        </w:rPr>
        <w:footnoteReference w:id="9"/>
      </w:r>
    </w:p>
    <w:p w:rsidR="0034189E" w:rsidRPr="00E95BC4" w:rsidRDefault="005818C0" w:rsidP="00285FD7">
      <w:pPr>
        <w:pStyle w:val="ListParagraph"/>
        <w:numPr>
          <w:ilvl w:val="0"/>
          <w:numId w:val="1"/>
        </w:numPr>
        <w:rPr>
          <w:color w:val="auto"/>
          <w:lang w:val="sr-Cyrl-CS"/>
        </w:rPr>
      </w:pPr>
      <w:r>
        <w:rPr>
          <w:color w:val="auto"/>
          <w:lang w:val="sr-Cyrl-CS"/>
        </w:rPr>
        <w:t>Drugi</w:t>
      </w:r>
      <w:r w:rsidR="0034189E" w:rsidRPr="00E95BC4">
        <w:rPr>
          <w:color w:val="auto"/>
          <w:lang w:val="sr-Cyrl-CS"/>
        </w:rPr>
        <w:t xml:space="preserve"> </w:t>
      </w:r>
      <w:r>
        <w:rPr>
          <w:color w:val="auto"/>
          <w:lang w:val="sr-Cyrl-CS"/>
        </w:rPr>
        <w:t>izveštaj</w:t>
      </w:r>
      <w:r w:rsidR="0034189E" w:rsidRPr="00E95BC4">
        <w:rPr>
          <w:color w:val="auto"/>
          <w:lang w:val="sr-Cyrl-CS"/>
        </w:rPr>
        <w:t xml:space="preserve"> </w:t>
      </w:r>
      <w:r>
        <w:rPr>
          <w:color w:val="auto"/>
          <w:lang w:val="sr-Cyrl-CS"/>
        </w:rPr>
        <w:t>o</w:t>
      </w:r>
      <w:r w:rsidR="0034189E" w:rsidRPr="00E95BC4">
        <w:rPr>
          <w:color w:val="auto"/>
          <w:lang w:val="sr-Cyrl-CS"/>
        </w:rPr>
        <w:t xml:space="preserve"> </w:t>
      </w:r>
      <w:r>
        <w:rPr>
          <w:color w:val="auto"/>
          <w:lang w:val="sr-Cyrl-CS"/>
        </w:rPr>
        <w:t>pojačanom</w:t>
      </w:r>
      <w:r w:rsidR="0034189E" w:rsidRPr="00E95BC4">
        <w:rPr>
          <w:color w:val="auto"/>
          <w:lang w:val="sr-Cyrl-CS"/>
        </w:rPr>
        <w:t xml:space="preserve"> </w:t>
      </w:r>
      <w:r>
        <w:rPr>
          <w:color w:val="auto"/>
          <w:lang w:val="sr-Cyrl-CS"/>
        </w:rPr>
        <w:t>praćenju</w:t>
      </w:r>
      <w:r w:rsidR="0034189E" w:rsidRPr="00E95BC4">
        <w:rPr>
          <w:color w:val="auto"/>
          <w:lang w:val="sr-Cyrl-CS"/>
        </w:rPr>
        <w:t xml:space="preserve"> </w:t>
      </w:r>
      <w:r>
        <w:rPr>
          <w:color w:val="auto"/>
          <w:lang w:val="sr-Cyrl-CS"/>
        </w:rPr>
        <w:t>Republike</w:t>
      </w:r>
      <w:r w:rsidR="0034189E" w:rsidRPr="00E95BC4">
        <w:rPr>
          <w:color w:val="auto"/>
          <w:lang w:val="sr-Cyrl-CS"/>
        </w:rPr>
        <w:t xml:space="preserve"> </w:t>
      </w:r>
      <w:r>
        <w:rPr>
          <w:color w:val="auto"/>
          <w:lang w:val="sr-Cyrl-CS"/>
        </w:rPr>
        <w:t>Srbije</w:t>
      </w:r>
      <w:r w:rsidR="0034189E" w:rsidRPr="00E95BC4">
        <w:rPr>
          <w:color w:val="auto"/>
          <w:lang w:val="sr-Cyrl-CS"/>
        </w:rPr>
        <w:t xml:space="preserve"> </w:t>
      </w:r>
      <w:r>
        <w:rPr>
          <w:color w:val="auto"/>
          <w:lang w:val="sr-Cyrl-CS"/>
        </w:rPr>
        <w:t>iz</w:t>
      </w:r>
      <w:r w:rsidR="006C15FB" w:rsidRPr="00E95BC4">
        <w:rPr>
          <w:color w:val="auto"/>
          <w:lang w:val="sr-Cyrl-CS"/>
        </w:rPr>
        <w:t xml:space="preserve"> </w:t>
      </w:r>
      <w:r>
        <w:rPr>
          <w:color w:val="auto"/>
          <w:lang w:val="sr-Cyrl-CS"/>
        </w:rPr>
        <w:t>decembra</w:t>
      </w:r>
      <w:r w:rsidR="0034189E" w:rsidRPr="00E95BC4">
        <w:rPr>
          <w:color w:val="auto"/>
          <w:lang w:val="sr-Cyrl-CS"/>
        </w:rPr>
        <w:t xml:space="preserve"> 2018</w:t>
      </w:r>
      <w:r w:rsidR="006C15FB" w:rsidRPr="00E95BC4">
        <w:rPr>
          <w:color w:val="auto"/>
          <w:lang w:val="sr-Cyrl-CS"/>
        </w:rPr>
        <w:t>.</w:t>
      </w:r>
      <w:r w:rsidR="0008634A">
        <w:rPr>
          <w:color w:val="auto"/>
          <w:lang w:val="sr-Cyrl-CS"/>
        </w:rPr>
        <w:t xml:space="preserve"> </w:t>
      </w:r>
      <w:r>
        <w:rPr>
          <w:color w:val="auto"/>
          <w:lang w:val="sr-Cyrl-CS"/>
        </w:rPr>
        <w:t>godine</w:t>
      </w:r>
      <w:r w:rsidR="007E03E4" w:rsidRPr="00E95BC4">
        <w:rPr>
          <w:rStyle w:val="FootnoteReference"/>
          <w:color w:val="auto"/>
          <w:lang w:val="sr-Cyrl-CS"/>
        </w:rPr>
        <w:t xml:space="preserve"> </w:t>
      </w:r>
      <w:r w:rsidR="007C4E60">
        <w:rPr>
          <w:color w:val="auto"/>
          <w:lang w:val="sr-Cyrl-CS"/>
        </w:rPr>
        <w:t>,</w:t>
      </w:r>
      <w:r w:rsidR="006C15FB" w:rsidRPr="00E95BC4">
        <w:rPr>
          <w:rStyle w:val="FootnoteReference"/>
          <w:color w:val="auto"/>
          <w:sz w:val="22"/>
          <w:szCs w:val="22"/>
          <w:lang w:val="sr-Cyrl-CS"/>
        </w:rPr>
        <w:footnoteReference w:id="10"/>
      </w:r>
    </w:p>
    <w:p w:rsidR="006C3281" w:rsidRPr="00E95BC4" w:rsidRDefault="005818C0" w:rsidP="00285FD7">
      <w:pPr>
        <w:pStyle w:val="ListParagraph"/>
        <w:numPr>
          <w:ilvl w:val="0"/>
          <w:numId w:val="1"/>
        </w:numPr>
        <w:jc w:val="both"/>
        <w:rPr>
          <w:lang w:val="sr-Cyrl-CS"/>
        </w:rPr>
      </w:pPr>
      <w:r>
        <w:rPr>
          <w:lang w:val="sr-Cyrl-CS"/>
        </w:rPr>
        <w:t>Treći</w:t>
      </w:r>
      <w:r w:rsidR="006C3281" w:rsidRPr="00E95BC4">
        <w:rPr>
          <w:lang w:val="sr-Cyrl-CS"/>
        </w:rPr>
        <w:t xml:space="preserve"> </w:t>
      </w:r>
      <w:r>
        <w:rPr>
          <w:lang w:val="sr-Cyrl-CS"/>
        </w:rPr>
        <w:t>izveštaj</w:t>
      </w:r>
      <w:r w:rsidR="006C3281" w:rsidRPr="00E95BC4">
        <w:rPr>
          <w:lang w:val="sr-Cyrl-CS"/>
        </w:rPr>
        <w:t xml:space="preserve"> </w:t>
      </w:r>
      <w:r>
        <w:rPr>
          <w:lang w:val="sr-Cyrl-CS"/>
        </w:rPr>
        <w:t>o</w:t>
      </w:r>
      <w:r w:rsidR="006C3281" w:rsidRPr="00E95BC4">
        <w:rPr>
          <w:lang w:val="sr-Cyrl-CS"/>
        </w:rPr>
        <w:t xml:space="preserve"> </w:t>
      </w:r>
      <w:r>
        <w:rPr>
          <w:lang w:val="sr-Cyrl-CS"/>
        </w:rPr>
        <w:t>pojačanom</w:t>
      </w:r>
      <w:r w:rsidR="006C3281" w:rsidRPr="00E95BC4">
        <w:rPr>
          <w:lang w:val="sr-Cyrl-CS"/>
        </w:rPr>
        <w:t xml:space="preserve"> </w:t>
      </w:r>
      <w:r>
        <w:rPr>
          <w:lang w:val="sr-Cyrl-CS"/>
        </w:rPr>
        <w:t>praćenju</w:t>
      </w:r>
      <w:r w:rsidR="006C15FB" w:rsidRPr="00E95BC4">
        <w:rPr>
          <w:lang w:val="sr-Cyrl-CS"/>
        </w:rPr>
        <w:t xml:space="preserve"> </w:t>
      </w:r>
      <w:r>
        <w:rPr>
          <w:lang w:val="sr-Cyrl-CS"/>
        </w:rPr>
        <w:t>Republike</w:t>
      </w:r>
      <w:r w:rsidR="006C15FB" w:rsidRPr="00E95BC4">
        <w:rPr>
          <w:lang w:val="sr-Cyrl-CS"/>
        </w:rPr>
        <w:t xml:space="preserve"> </w:t>
      </w:r>
      <w:r>
        <w:rPr>
          <w:lang w:val="sr-Cyrl-CS"/>
        </w:rPr>
        <w:t>Srbije</w:t>
      </w:r>
      <w:r w:rsidR="006C15FB" w:rsidRPr="00E95BC4">
        <w:rPr>
          <w:lang w:val="sr-Cyrl-CS"/>
        </w:rPr>
        <w:t xml:space="preserve"> </w:t>
      </w:r>
      <w:r>
        <w:rPr>
          <w:lang w:val="sr-Cyrl-CS"/>
        </w:rPr>
        <w:t>iz</w:t>
      </w:r>
      <w:r w:rsidR="006C15FB" w:rsidRPr="00E95BC4">
        <w:rPr>
          <w:lang w:val="sr-Cyrl-CS"/>
        </w:rPr>
        <w:t xml:space="preserve"> </w:t>
      </w:r>
      <w:r>
        <w:rPr>
          <w:lang w:val="sr-Cyrl-CS"/>
        </w:rPr>
        <w:t>decembra</w:t>
      </w:r>
      <w:r w:rsidR="006C15FB" w:rsidRPr="00E95BC4">
        <w:rPr>
          <w:lang w:val="sr-Cyrl-CS"/>
        </w:rPr>
        <w:t xml:space="preserve"> 2019.</w:t>
      </w:r>
      <w:r w:rsidR="007E03E4" w:rsidRPr="00E95BC4">
        <w:rPr>
          <w:lang w:val="sr-Cyrl-CS"/>
        </w:rPr>
        <w:t xml:space="preserve"> </w:t>
      </w:r>
      <w:r>
        <w:rPr>
          <w:color w:val="auto"/>
          <w:lang w:val="sr-Cyrl-CS"/>
        </w:rPr>
        <w:t>godine</w:t>
      </w:r>
      <w:r w:rsidR="007C4E60">
        <w:rPr>
          <w:color w:val="auto"/>
          <w:lang w:val="sr-Cyrl-CS"/>
        </w:rPr>
        <w:t>.</w:t>
      </w:r>
      <w:r w:rsidR="006C15FB" w:rsidRPr="00E95BC4">
        <w:rPr>
          <w:rStyle w:val="FootnoteReference"/>
          <w:lang w:val="sr-Cyrl-CS"/>
        </w:rPr>
        <w:footnoteReference w:id="11"/>
      </w:r>
    </w:p>
    <w:p w:rsidR="000B0BBF" w:rsidRPr="00E95BC4" w:rsidRDefault="000B0BBF" w:rsidP="007E03E4">
      <w:pPr>
        <w:jc w:val="both"/>
        <w:rPr>
          <w:b/>
          <w:lang w:val="sr-Cyrl-CS"/>
        </w:rPr>
      </w:pPr>
    </w:p>
    <w:p w:rsidR="002219B5" w:rsidRPr="00E95BC4" w:rsidRDefault="005818C0" w:rsidP="002219B5">
      <w:pPr>
        <w:ind w:firstLine="720"/>
        <w:jc w:val="both"/>
        <w:rPr>
          <w:b/>
          <w:lang w:val="sr-Cyrl-CS"/>
        </w:rPr>
      </w:pPr>
      <w:r>
        <w:rPr>
          <w:b/>
          <w:lang w:val="sr-Cyrl-CS"/>
        </w:rPr>
        <w:t>Evropska</w:t>
      </w:r>
      <w:r w:rsidR="002219B5" w:rsidRPr="00E95BC4">
        <w:rPr>
          <w:b/>
          <w:lang w:val="sr-Cyrl-CS"/>
        </w:rPr>
        <w:t xml:space="preserve"> </w:t>
      </w:r>
      <w:r>
        <w:rPr>
          <w:b/>
          <w:lang w:val="sr-Cyrl-CS"/>
        </w:rPr>
        <w:t>unija</w:t>
      </w:r>
    </w:p>
    <w:p w:rsidR="00320EA9" w:rsidRPr="00E95BC4" w:rsidRDefault="005818C0" w:rsidP="00320EA9">
      <w:pPr>
        <w:pStyle w:val="ListParagraph"/>
        <w:numPr>
          <w:ilvl w:val="0"/>
          <w:numId w:val="2"/>
        </w:numPr>
        <w:jc w:val="both"/>
        <w:rPr>
          <w:lang w:val="sr-Cyrl-CS"/>
        </w:rPr>
      </w:pPr>
      <w:r>
        <w:rPr>
          <w:lang w:val="sr-Cyrl-CS"/>
        </w:rPr>
        <w:t>Godišnji</w:t>
      </w:r>
      <w:r w:rsidR="00320EA9" w:rsidRPr="00E95BC4">
        <w:rPr>
          <w:lang w:val="sr-Cyrl-CS"/>
        </w:rPr>
        <w:t xml:space="preserve"> </w:t>
      </w:r>
      <w:r>
        <w:rPr>
          <w:lang w:val="sr-Cyrl-CS"/>
        </w:rPr>
        <w:t>izveštaj</w:t>
      </w:r>
      <w:r w:rsidR="00320EA9" w:rsidRPr="00E95BC4">
        <w:rPr>
          <w:lang w:val="sr-Cyrl-CS"/>
        </w:rPr>
        <w:t xml:space="preserve"> </w:t>
      </w:r>
      <w:r>
        <w:rPr>
          <w:lang w:val="sr-Cyrl-CS"/>
        </w:rPr>
        <w:t>za</w:t>
      </w:r>
      <w:r w:rsidR="00320EA9" w:rsidRPr="00E95BC4">
        <w:rPr>
          <w:lang w:val="sr-Cyrl-CS"/>
        </w:rPr>
        <w:t xml:space="preserve"> 2018</w:t>
      </w:r>
      <w:r w:rsidR="001E55D5" w:rsidRPr="00E95BC4">
        <w:rPr>
          <w:lang w:val="sr-Cyrl-CS"/>
        </w:rPr>
        <w:t xml:space="preserve">. </w:t>
      </w:r>
      <w:r>
        <w:rPr>
          <w:lang w:val="sr-Cyrl-CS"/>
        </w:rPr>
        <w:t>godinu</w:t>
      </w:r>
      <w:r w:rsidR="00320EA9" w:rsidRPr="00E95BC4">
        <w:rPr>
          <w:rStyle w:val="FootnoteReference"/>
          <w:lang w:val="sr-Cyrl-CS"/>
        </w:rPr>
        <w:footnoteReference w:id="12"/>
      </w:r>
      <w:r w:rsidR="00320EA9" w:rsidRPr="00E95BC4">
        <w:rPr>
          <w:lang w:val="sr-Cyrl-CS"/>
        </w:rPr>
        <w:t xml:space="preserve"> </w:t>
      </w:r>
      <w:r>
        <w:rPr>
          <w:lang w:val="sr-Cyrl-CS"/>
        </w:rPr>
        <w:t>i</w:t>
      </w:r>
      <w:r w:rsidR="00320EA9" w:rsidRPr="00E95BC4">
        <w:rPr>
          <w:lang w:val="sr-Cyrl-CS"/>
        </w:rPr>
        <w:t xml:space="preserve"> </w:t>
      </w:r>
      <w:r>
        <w:rPr>
          <w:lang w:val="sr-Cyrl-CS"/>
        </w:rPr>
        <w:t>drugi</w:t>
      </w:r>
      <w:r w:rsidR="00320EA9" w:rsidRPr="00E95BC4">
        <w:rPr>
          <w:lang w:val="sr-Cyrl-CS"/>
        </w:rPr>
        <w:t xml:space="preserve"> </w:t>
      </w:r>
      <w:r>
        <w:rPr>
          <w:lang w:val="sr-Cyrl-CS"/>
        </w:rPr>
        <w:t>relevantni</w:t>
      </w:r>
      <w:r w:rsidR="00320EA9" w:rsidRPr="00E95BC4">
        <w:rPr>
          <w:lang w:val="sr-Cyrl-CS"/>
        </w:rPr>
        <w:t xml:space="preserve"> </w:t>
      </w:r>
      <w:r>
        <w:rPr>
          <w:lang w:val="sr-Cyrl-CS"/>
        </w:rPr>
        <w:t>izveštaji</w:t>
      </w:r>
      <w:r w:rsidR="00320EA9" w:rsidRPr="00E95BC4">
        <w:rPr>
          <w:lang w:val="sr-Cyrl-CS"/>
        </w:rPr>
        <w:t xml:space="preserve"> </w:t>
      </w:r>
      <w:r>
        <w:rPr>
          <w:lang w:val="sr-Cyrl-CS"/>
        </w:rPr>
        <w:t>i</w:t>
      </w:r>
      <w:r w:rsidR="00320EA9" w:rsidRPr="00E95BC4">
        <w:rPr>
          <w:lang w:val="sr-Cyrl-CS"/>
        </w:rPr>
        <w:t xml:space="preserve"> </w:t>
      </w:r>
      <w:r>
        <w:rPr>
          <w:lang w:val="sr-Cyrl-CS"/>
        </w:rPr>
        <w:t>informacije</w:t>
      </w:r>
      <w:r w:rsidR="00320EA9" w:rsidRPr="00E95BC4">
        <w:rPr>
          <w:lang w:val="sr-Cyrl-CS"/>
        </w:rPr>
        <w:t xml:space="preserve"> </w:t>
      </w:r>
      <w:r>
        <w:rPr>
          <w:lang w:val="sr-Cyrl-CS"/>
        </w:rPr>
        <w:t>u</w:t>
      </w:r>
      <w:r w:rsidR="00320EA9" w:rsidRPr="00E95BC4">
        <w:rPr>
          <w:lang w:val="sr-Cyrl-CS"/>
        </w:rPr>
        <w:t xml:space="preserve"> </w:t>
      </w:r>
      <w:r>
        <w:rPr>
          <w:lang w:val="sr-Cyrl-CS"/>
        </w:rPr>
        <w:t>kontekstu</w:t>
      </w:r>
      <w:r w:rsidR="00320EA9" w:rsidRPr="00E95BC4">
        <w:rPr>
          <w:lang w:val="sr-Cyrl-CS"/>
        </w:rPr>
        <w:t xml:space="preserve"> </w:t>
      </w:r>
      <w:r>
        <w:rPr>
          <w:lang w:val="sr-Cyrl-CS"/>
        </w:rPr>
        <w:t>pridruživanja</w:t>
      </w:r>
      <w:r w:rsidR="00320EA9" w:rsidRPr="00E95BC4">
        <w:rPr>
          <w:lang w:val="sr-Cyrl-CS"/>
        </w:rPr>
        <w:t xml:space="preserve"> </w:t>
      </w:r>
      <w:r>
        <w:rPr>
          <w:lang w:val="sr-Cyrl-CS"/>
        </w:rPr>
        <w:t>Evropskoj</w:t>
      </w:r>
      <w:r w:rsidR="00320EA9" w:rsidRPr="00E95BC4">
        <w:rPr>
          <w:lang w:val="sr-Cyrl-CS"/>
        </w:rPr>
        <w:t xml:space="preserve"> </w:t>
      </w:r>
      <w:r>
        <w:rPr>
          <w:lang w:val="sr-Cyrl-CS"/>
        </w:rPr>
        <w:t>uniji</w:t>
      </w:r>
      <w:r w:rsidR="00320EA9" w:rsidRPr="00E95BC4">
        <w:rPr>
          <w:lang w:val="sr-Cyrl-CS"/>
        </w:rPr>
        <w:t>.</w:t>
      </w:r>
    </w:p>
    <w:p w:rsidR="00987594" w:rsidRPr="00E95BC4" w:rsidRDefault="00987594" w:rsidP="00987594">
      <w:pPr>
        <w:ind w:firstLine="720"/>
        <w:jc w:val="both"/>
        <w:rPr>
          <w:lang w:val="sr-Cyrl-CS"/>
        </w:rPr>
      </w:pPr>
    </w:p>
    <w:p w:rsidR="009A7DDB" w:rsidRPr="00E95BC4" w:rsidRDefault="005818C0" w:rsidP="00987594">
      <w:pPr>
        <w:ind w:firstLine="720"/>
        <w:jc w:val="both"/>
        <w:rPr>
          <w:lang w:val="sr-Cyrl-CS"/>
        </w:rPr>
      </w:pPr>
      <w:r>
        <w:rPr>
          <w:lang w:val="sr-Cyrl-CS"/>
        </w:rPr>
        <w:t>Među</w:t>
      </w:r>
      <w:r w:rsidR="002219B5" w:rsidRPr="00E95BC4">
        <w:rPr>
          <w:lang w:val="sr-Cyrl-CS"/>
        </w:rPr>
        <w:t xml:space="preserve"> </w:t>
      </w:r>
      <w:r>
        <w:rPr>
          <w:lang w:val="sr-Cyrl-CS"/>
        </w:rPr>
        <w:t>bitnim</w:t>
      </w:r>
      <w:r w:rsidR="002219B5" w:rsidRPr="00E95BC4">
        <w:rPr>
          <w:lang w:val="sr-Cyrl-CS"/>
        </w:rPr>
        <w:t xml:space="preserve"> </w:t>
      </w:r>
      <w:r>
        <w:rPr>
          <w:lang w:val="sr-Cyrl-CS"/>
        </w:rPr>
        <w:t>izvorima</w:t>
      </w:r>
      <w:r w:rsidR="002219B5" w:rsidRPr="00E95BC4">
        <w:rPr>
          <w:lang w:val="sr-Cyrl-CS"/>
        </w:rPr>
        <w:t xml:space="preserve"> </w:t>
      </w:r>
      <w:r>
        <w:rPr>
          <w:lang w:val="sr-Cyrl-CS"/>
        </w:rPr>
        <w:t>su</w:t>
      </w:r>
      <w:r w:rsidR="002219B5" w:rsidRPr="00E95BC4">
        <w:rPr>
          <w:lang w:val="sr-Cyrl-CS"/>
        </w:rPr>
        <w:t xml:space="preserve"> </w:t>
      </w:r>
      <w:r>
        <w:rPr>
          <w:lang w:val="sr-Cyrl-CS"/>
        </w:rPr>
        <w:t>i</w:t>
      </w:r>
      <w:r w:rsidR="002219B5" w:rsidRPr="00E95BC4">
        <w:rPr>
          <w:lang w:val="sr-Cyrl-CS"/>
        </w:rPr>
        <w:t xml:space="preserve"> </w:t>
      </w:r>
      <w:r>
        <w:rPr>
          <w:lang w:val="sr-Cyrl-CS"/>
        </w:rPr>
        <w:t>izveštaji</w:t>
      </w:r>
      <w:r w:rsidR="002219B5" w:rsidRPr="00E95BC4">
        <w:rPr>
          <w:lang w:val="sr-Cyrl-CS"/>
        </w:rPr>
        <w:t xml:space="preserve"> </w:t>
      </w:r>
      <w:r>
        <w:rPr>
          <w:lang w:val="sr-Cyrl-CS"/>
        </w:rPr>
        <w:t>u</w:t>
      </w:r>
      <w:r w:rsidR="002219B5" w:rsidRPr="00E95BC4">
        <w:rPr>
          <w:lang w:val="sr-Cyrl-CS"/>
        </w:rPr>
        <w:t xml:space="preserve"> </w:t>
      </w:r>
      <w:r>
        <w:rPr>
          <w:lang w:val="sr-Cyrl-CS"/>
        </w:rPr>
        <w:t>kontekstu</w:t>
      </w:r>
      <w:r w:rsidR="00320EA9" w:rsidRPr="00E95BC4">
        <w:rPr>
          <w:lang w:val="sr-Cyrl-CS"/>
        </w:rPr>
        <w:t xml:space="preserve"> </w:t>
      </w:r>
      <w:r>
        <w:rPr>
          <w:lang w:val="sr-Cyrl-CS"/>
        </w:rPr>
        <w:t>rada</w:t>
      </w:r>
      <w:r w:rsidR="002219B5" w:rsidRPr="00E95BC4">
        <w:rPr>
          <w:lang w:val="sr-Cyrl-CS"/>
        </w:rPr>
        <w:t xml:space="preserve"> </w:t>
      </w:r>
      <w:r>
        <w:rPr>
          <w:lang w:val="sr-Cyrl-CS"/>
        </w:rPr>
        <w:t>Konferencije</w:t>
      </w:r>
      <w:r w:rsidR="006C3281" w:rsidRPr="00E95BC4">
        <w:rPr>
          <w:lang w:val="sr-Cyrl-CS"/>
        </w:rPr>
        <w:t xml:space="preserve"> </w:t>
      </w:r>
      <w:r>
        <w:rPr>
          <w:lang w:val="sr-Cyrl-CS"/>
        </w:rPr>
        <w:t>članica</w:t>
      </w:r>
      <w:r w:rsidR="006C3281" w:rsidRPr="00E95BC4">
        <w:rPr>
          <w:lang w:val="sr-Cyrl-CS"/>
        </w:rPr>
        <w:t xml:space="preserve"> </w:t>
      </w:r>
      <w:r>
        <w:rPr>
          <w:lang w:val="sr-Cyrl-CS"/>
        </w:rPr>
        <w:t>Konvencije</w:t>
      </w:r>
      <w:r w:rsidR="006C3281" w:rsidRPr="00E95BC4">
        <w:rPr>
          <w:lang w:val="sr-Cyrl-CS"/>
        </w:rPr>
        <w:t xml:space="preserve"> </w:t>
      </w:r>
      <w:r>
        <w:rPr>
          <w:lang w:val="sr-Cyrl-CS"/>
        </w:rPr>
        <w:t>Saveta</w:t>
      </w:r>
      <w:r w:rsidR="006C3281" w:rsidRPr="00E95BC4">
        <w:rPr>
          <w:lang w:val="sr-Cyrl-CS"/>
        </w:rPr>
        <w:t xml:space="preserve"> </w:t>
      </w:r>
      <w:r>
        <w:rPr>
          <w:lang w:val="sr-Cyrl-CS"/>
        </w:rPr>
        <w:t>Evrope</w:t>
      </w:r>
      <w:r w:rsidR="006C3281" w:rsidRPr="00E95BC4">
        <w:rPr>
          <w:lang w:val="sr-Cyrl-CS"/>
        </w:rPr>
        <w:t xml:space="preserve"> </w:t>
      </w:r>
      <w:r>
        <w:rPr>
          <w:lang w:val="sr-Cyrl-CS"/>
        </w:rPr>
        <w:t>o</w:t>
      </w:r>
      <w:r w:rsidR="006C3281" w:rsidRPr="00E95BC4">
        <w:rPr>
          <w:lang w:val="sr-Cyrl-CS"/>
        </w:rPr>
        <w:t xml:space="preserve"> </w:t>
      </w:r>
      <w:r>
        <w:rPr>
          <w:lang w:val="sr-Cyrl-CS"/>
        </w:rPr>
        <w:t>pranju</w:t>
      </w:r>
      <w:r w:rsidR="006C3281" w:rsidRPr="00E95BC4">
        <w:rPr>
          <w:lang w:val="sr-Cyrl-CS"/>
        </w:rPr>
        <w:t xml:space="preserve">, </w:t>
      </w:r>
      <w:r>
        <w:rPr>
          <w:lang w:val="sr-Cyrl-CS"/>
        </w:rPr>
        <w:t>traženju</w:t>
      </w:r>
      <w:r w:rsidR="006C3281" w:rsidRPr="00E95BC4">
        <w:rPr>
          <w:lang w:val="sr-Cyrl-CS"/>
        </w:rPr>
        <w:t xml:space="preserve">, </w:t>
      </w:r>
      <w:r>
        <w:rPr>
          <w:lang w:val="sr-Cyrl-CS"/>
        </w:rPr>
        <w:t>privremenom</w:t>
      </w:r>
      <w:r w:rsidR="006C3281" w:rsidRPr="00E95BC4">
        <w:rPr>
          <w:lang w:val="sr-Cyrl-CS"/>
        </w:rPr>
        <w:t xml:space="preserve"> </w:t>
      </w:r>
      <w:r>
        <w:rPr>
          <w:lang w:val="sr-Cyrl-CS"/>
        </w:rPr>
        <w:t>i</w:t>
      </w:r>
      <w:r w:rsidR="006C3281" w:rsidRPr="00E95BC4">
        <w:rPr>
          <w:lang w:val="sr-Cyrl-CS"/>
        </w:rPr>
        <w:t xml:space="preserve"> </w:t>
      </w:r>
      <w:r>
        <w:rPr>
          <w:lang w:val="sr-Cyrl-CS"/>
        </w:rPr>
        <w:t>trajnom</w:t>
      </w:r>
      <w:r w:rsidR="006C3281" w:rsidRPr="00E95BC4">
        <w:rPr>
          <w:lang w:val="sr-Cyrl-CS"/>
        </w:rPr>
        <w:t xml:space="preserve"> </w:t>
      </w:r>
      <w:r>
        <w:rPr>
          <w:lang w:val="sr-Cyrl-CS"/>
        </w:rPr>
        <w:t>oduzimanju</w:t>
      </w:r>
      <w:r w:rsidR="006C3281" w:rsidRPr="00E95BC4">
        <w:rPr>
          <w:lang w:val="sr-Cyrl-CS"/>
        </w:rPr>
        <w:t xml:space="preserve"> </w:t>
      </w:r>
      <w:r>
        <w:rPr>
          <w:lang w:val="sr-Cyrl-CS"/>
        </w:rPr>
        <w:t>imovine</w:t>
      </w:r>
      <w:r w:rsidR="006C3281" w:rsidRPr="00E95BC4">
        <w:rPr>
          <w:lang w:val="sr-Cyrl-CS"/>
        </w:rPr>
        <w:t xml:space="preserve"> </w:t>
      </w:r>
      <w:r>
        <w:rPr>
          <w:lang w:val="sr-Cyrl-CS"/>
        </w:rPr>
        <w:t>stečene</w:t>
      </w:r>
      <w:r w:rsidR="006C3281" w:rsidRPr="00E95BC4">
        <w:rPr>
          <w:lang w:val="sr-Cyrl-CS"/>
        </w:rPr>
        <w:t xml:space="preserve"> </w:t>
      </w:r>
      <w:r>
        <w:rPr>
          <w:lang w:val="sr-Cyrl-CS"/>
        </w:rPr>
        <w:t>krivičnim</w:t>
      </w:r>
      <w:r w:rsidR="006C3281" w:rsidRPr="00E95BC4">
        <w:rPr>
          <w:lang w:val="sr-Cyrl-CS"/>
        </w:rPr>
        <w:t xml:space="preserve"> </w:t>
      </w:r>
      <w:r>
        <w:rPr>
          <w:lang w:val="sr-Cyrl-CS"/>
        </w:rPr>
        <w:t>delom</w:t>
      </w:r>
      <w:r w:rsidR="006C3281" w:rsidRPr="00E95BC4">
        <w:rPr>
          <w:lang w:val="sr-Cyrl-CS"/>
        </w:rPr>
        <w:t xml:space="preserve"> </w:t>
      </w:r>
      <w:r>
        <w:rPr>
          <w:lang w:val="sr-Cyrl-CS"/>
        </w:rPr>
        <w:t>i</w:t>
      </w:r>
      <w:r w:rsidR="006C3281" w:rsidRPr="00E95BC4">
        <w:rPr>
          <w:lang w:val="sr-Cyrl-CS"/>
        </w:rPr>
        <w:t xml:space="preserve"> </w:t>
      </w:r>
      <w:r>
        <w:rPr>
          <w:lang w:val="sr-Cyrl-CS"/>
        </w:rPr>
        <w:t>o</w:t>
      </w:r>
      <w:r w:rsidR="006C3281" w:rsidRPr="00E95BC4">
        <w:rPr>
          <w:lang w:val="sr-Cyrl-CS"/>
        </w:rPr>
        <w:t xml:space="preserve"> </w:t>
      </w:r>
      <w:r>
        <w:rPr>
          <w:lang w:val="sr-Cyrl-CS"/>
        </w:rPr>
        <w:t>finansiranju</w:t>
      </w:r>
      <w:r w:rsidR="006C3281" w:rsidRPr="00E95BC4">
        <w:rPr>
          <w:lang w:val="sr-Cyrl-CS"/>
        </w:rPr>
        <w:t xml:space="preserve"> </w:t>
      </w:r>
      <w:r>
        <w:rPr>
          <w:lang w:val="sr-Cyrl-CS"/>
        </w:rPr>
        <w:t>terorizma</w:t>
      </w:r>
      <w:r w:rsidR="006C15FB" w:rsidRPr="00E95BC4">
        <w:rPr>
          <w:rStyle w:val="FootnoteReference"/>
          <w:lang w:val="sr-Cyrl-CS"/>
        </w:rPr>
        <w:footnoteReference w:id="13"/>
      </w:r>
      <w:r w:rsidR="0008634A">
        <w:t>,</w:t>
      </w:r>
      <w:r w:rsidR="002219B5" w:rsidRPr="00E95BC4">
        <w:rPr>
          <w:lang w:val="sr-Cyrl-CS"/>
        </w:rPr>
        <w:t xml:space="preserve"> </w:t>
      </w:r>
      <w:r>
        <w:rPr>
          <w:lang w:val="sr-Cyrl-CS"/>
        </w:rPr>
        <w:t>Radne</w:t>
      </w:r>
      <w:r w:rsidR="0034189E" w:rsidRPr="00E95BC4">
        <w:rPr>
          <w:lang w:val="sr-Cyrl-CS"/>
        </w:rPr>
        <w:t xml:space="preserve"> </w:t>
      </w:r>
      <w:r>
        <w:rPr>
          <w:lang w:val="sr-Cyrl-CS"/>
        </w:rPr>
        <w:t>grupa</w:t>
      </w:r>
      <w:r w:rsidR="0034189E" w:rsidRPr="00E95BC4">
        <w:rPr>
          <w:lang w:val="sr-Cyrl-CS"/>
        </w:rPr>
        <w:t xml:space="preserve"> </w:t>
      </w:r>
      <w:r>
        <w:rPr>
          <w:lang w:val="sr-Cyrl-CS"/>
        </w:rPr>
        <w:t>za</w:t>
      </w:r>
      <w:r w:rsidR="0034189E" w:rsidRPr="00E95BC4">
        <w:rPr>
          <w:lang w:val="sr-Cyrl-CS"/>
        </w:rPr>
        <w:t xml:space="preserve"> </w:t>
      </w:r>
      <w:r>
        <w:rPr>
          <w:lang w:val="sr-Cyrl-CS"/>
        </w:rPr>
        <w:t>finansijsku</w:t>
      </w:r>
      <w:r w:rsidR="0034189E" w:rsidRPr="00E95BC4">
        <w:rPr>
          <w:lang w:val="sr-Cyrl-CS"/>
        </w:rPr>
        <w:t xml:space="preserve"> </w:t>
      </w:r>
      <w:r>
        <w:rPr>
          <w:lang w:val="sr-Cyrl-CS"/>
        </w:rPr>
        <w:t>akciju</w:t>
      </w:r>
      <w:r w:rsidR="0034189E" w:rsidRPr="00E95BC4">
        <w:rPr>
          <w:lang w:val="sr-Cyrl-CS"/>
        </w:rPr>
        <w:t xml:space="preserve"> (Financial Action Task Force)</w:t>
      </w:r>
      <w:r w:rsidR="00AD5F3C" w:rsidRPr="00E95BC4">
        <w:rPr>
          <w:lang w:val="sr-Cyrl-CS"/>
        </w:rPr>
        <w:t xml:space="preserve"> </w:t>
      </w:r>
      <w:r>
        <w:rPr>
          <w:lang w:val="sr-Cyrl-CS"/>
        </w:rPr>
        <w:t>i</w:t>
      </w:r>
      <w:r w:rsidR="002219B5" w:rsidRPr="00E95BC4">
        <w:rPr>
          <w:lang w:val="sr-Cyrl-CS"/>
        </w:rPr>
        <w:t xml:space="preserve"> </w:t>
      </w:r>
      <w:r>
        <w:rPr>
          <w:lang w:val="sr-Cyrl-CS"/>
        </w:rPr>
        <w:t>Ujedinjenih</w:t>
      </w:r>
      <w:r w:rsidR="00AD5F3C" w:rsidRPr="00E95BC4">
        <w:rPr>
          <w:lang w:val="sr-Cyrl-CS"/>
        </w:rPr>
        <w:t xml:space="preserve"> </w:t>
      </w:r>
      <w:r>
        <w:rPr>
          <w:lang w:val="sr-Cyrl-CS"/>
        </w:rPr>
        <w:t>nacija</w:t>
      </w:r>
      <w:r w:rsidR="00C0410C" w:rsidRPr="00E95BC4">
        <w:rPr>
          <w:lang w:val="sr-Cyrl-CS"/>
        </w:rPr>
        <w:t xml:space="preserve"> (</w:t>
      </w:r>
      <w:r>
        <w:rPr>
          <w:lang w:val="sr-Cyrl-CS"/>
        </w:rPr>
        <w:t>Izvršna</w:t>
      </w:r>
      <w:r w:rsidR="00C0410C" w:rsidRPr="00E95BC4">
        <w:rPr>
          <w:lang w:val="sr-Cyrl-CS"/>
        </w:rPr>
        <w:t xml:space="preserve"> </w:t>
      </w:r>
      <w:r>
        <w:rPr>
          <w:lang w:val="sr-Cyrl-CS"/>
        </w:rPr>
        <w:t>direkcija</w:t>
      </w:r>
      <w:r w:rsidR="009A7DDB" w:rsidRPr="00E95BC4">
        <w:rPr>
          <w:lang w:val="sr-Cyrl-CS"/>
        </w:rPr>
        <w:t xml:space="preserve"> </w:t>
      </w:r>
      <w:r>
        <w:rPr>
          <w:lang w:val="sr-Cyrl-CS"/>
        </w:rPr>
        <w:t>Komiteta</w:t>
      </w:r>
      <w:r w:rsidR="009A7DDB" w:rsidRPr="00E95BC4">
        <w:rPr>
          <w:lang w:val="sr-Cyrl-CS"/>
        </w:rPr>
        <w:t xml:space="preserve"> </w:t>
      </w:r>
      <w:r>
        <w:rPr>
          <w:lang w:val="sr-Cyrl-CS"/>
        </w:rPr>
        <w:t>UN</w:t>
      </w:r>
      <w:r w:rsidR="009A7DDB" w:rsidRPr="00E95BC4">
        <w:rPr>
          <w:lang w:val="sr-Cyrl-CS"/>
        </w:rPr>
        <w:t xml:space="preserve"> </w:t>
      </w:r>
      <w:r>
        <w:rPr>
          <w:lang w:val="sr-Cyrl-CS"/>
        </w:rPr>
        <w:t>za</w:t>
      </w:r>
      <w:r w:rsidR="009A7DDB" w:rsidRPr="00E95BC4">
        <w:rPr>
          <w:lang w:val="sr-Cyrl-CS"/>
        </w:rPr>
        <w:t xml:space="preserve"> </w:t>
      </w:r>
      <w:r>
        <w:rPr>
          <w:lang w:val="sr-Cyrl-CS"/>
        </w:rPr>
        <w:t>borbu</w:t>
      </w:r>
      <w:r w:rsidR="009A7DDB" w:rsidRPr="00E95BC4">
        <w:rPr>
          <w:lang w:val="sr-Cyrl-CS"/>
        </w:rPr>
        <w:t xml:space="preserve"> </w:t>
      </w:r>
      <w:r>
        <w:rPr>
          <w:lang w:val="sr-Cyrl-CS"/>
        </w:rPr>
        <w:t>protiv</w:t>
      </w:r>
      <w:r w:rsidR="009A7DDB" w:rsidRPr="00E95BC4">
        <w:rPr>
          <w:lang w:val="sr-Cyrl-CS"/>
        </w:rPr>
        <w:t xml:space="preserve"> </w:t>
      </w:r>
      <w:r>
        <w:rPr>
          <w:lang w:val="sr-Cyrl-CS"/>
        </w:rPr>
        <w:t>terorizma</w:t>
      </w:r>
      <w:r w:rsidR="009A7DDB" w:rsidRPr="00E95BC4">
        <w:rPr>
          <w:lang w:val="sr-Cyrl-CS"/>
        </w:rPr>
        <w:t xml:space="preserve"> (</w:t>
      </w:r>
      <w:r w:rsidR="009A7DDB" w:rsidRPr="00E95BC4">
        <w:rPr>
          <w:i/>
          <w:lang w:val="sr-Cyrl-CS"/>
        </w:rPr>
        <w:t>UN Counter-terrorism Committee Executive Directorate</w:t>
      </w:r>
      <w:r w:rsidR="0070378D">
        <w:rPr>
          <w:i/>
          <w:lang w:val="sr-Cyrl-CS"/>
        </w:rPr>
        <w:t xml:space="preserve"> –</w:t>
      </w:r>
      <w:r w:rsidR="009A7DDB" w:rsidRPr="00E95BC4">
        <w:rPr>
          <w:i/>
          <w:lang w:val="sr-Cyrl-CS"/>
        </w:rPr>
        <w:t xml:space="preserve"> </w:t>
      </w:r>
      <w:r w:rsidR="0070378D">
        <w:rPr>
          <w:i/>
          <w:lang w:val="sr-Cyrl-CS"/>
        </w:rPr>
        <w:t>CTED</w:t>
      </w:r>
      <w:r w:rsidR="009A7DDB" w:rsidRPr="00E95BC4">
        <w:rPr>
          <w:lang w:val="sr-Cyrl-CS"/>
        </w:rPr>
        <w:t>).</w:t>
      </w:r>
    </w:p>
    <w:p w:rsidR="0004492D" w:rsidRPr="00E95BC4" w:rsidRDefault="0004492D" w:rsidP="00285FD7">
      <w:pPr>
        <w:ind w:firstLine="720"/>
        <w:rPr>
          <w:b/>
          <w:lang w:val="sr-Cyrl-CS"/>
        </w:rPr>
      </w:pPr>
    </w:p>
    <w:p w:rsidR="009A7DDB" w:rsidRPr="00E95BC4" w:rsidRDefault="005818C0" w:rsidP="00285FD7">
      <w:pPr>
        <w:ind w:firstLine="720"/>
        <w:rPr>
          <w:b/>
          <w:lang w:val="sr-Cyrl-CS"/>
        </w:rPr>
      </w:pPr>
      <w:r>
        <w:rPr>
          <w:b/>
          <w:lang w:val="sr-Cyrl-CS"/>
        </w:rPr>
        <w:t>Domaći</w:t>
      </w:r>
      <w:r w:rsidR="009A7DDB" w:rsidRPr="00E95BC4">
        <w:rPr>
          <w:b/>
          <w:lang w:val="sr-Cyrl-CS"/>
        </w:rPr>
        <w:t xml:space="preserve"> </w:t>
      </w:r>
      <w:r>
        <w:rPr>
          <w:b/>
          <w:lang w:val="sr-Cyrl-CS"/>
        </w:rPr>
        <w:t>izvori</w:t>
      </w:r>
      <w:r w:rsidR="002F2585" w:rsidRPr="00E95BC4">
        <w:rPr>
          <w:b/>
          <w:lang w:val="sr-Cyrl-CS"/>
        </w:rPr>
        <w:t>:</w:t>
      </w:r>
    </w:p>
    <w:p w:rsidR="009A7DDB" w:rsidRPr="00E95BC4" w:rsidRDefault="005818C0" w:rsidP="00285FD7">
      <w:pPr>
        <w:pStyle w:val="ListParagraph"/>
        <w:numPr>
          <w:ilvl w:val="0"/>
          <w:numId w:val="6"/>
        </w:numPr>
        <w:jc w:val="both"/>
        <w:rPr>
          <w:lang w:val="sr-Cyrl-CS"/>
        </w:rPr>
      </w:pPr>
      <w:r>
        <w:rPr>
          <w:lang w:val="sr-Cyrl-CS"/>
        </w:rPr>
        <w:lastRenderedPageBreak/>
        <w:t>Procena</w:t>
      </w:r>
      <w:r w:rsidR="009A7DDB" w:rsidRPr="00E95BC4">
        <w:rPr>
          <w:lang w:val="sr-Cyrl-CS"/>
        </w:rPr>
        <w:t xml:space="preserve"> </w:t>
      </w:r>
      <w:r>
        <w:rPr>
          <w:lang w:val="sr-Cyrl-CS"/>
        </w:rPr>
        <w:t>rizika</w:t>
      </w:r>
      <w:r w:rsidR="009A7DDB" w:rsidRPr="00E95BC4">
        <w:rPr>
          <w:lang w:val="sr-Cyrl-CS"/>
        </w:rPr>
        <w:t xml:space="preserve"> </w:t>
      </w:r>
      <w:r>
        <w:rPr>
          <w:lang w:val="sr-Cyrl-CS"/>
        </w:rPr>
        <w:t>od</w:t>
      </w:r>
      <w:r w:rsidR="009A7DDB" w:rsidRPr="00E95BC4">
        <w:rPr>
          <w:lang w:val="sr-Cyrl-CS"/>
        </w:rPr>
        <w:t xml:space="preserve"> </w:t>
      </w:r>
      <w:r>
        <w:rPr>
          <w:lang w:val="sr-Cyrl-CS"/>
        </w:rPr>
        <w:t>pranja</w:t>
      </w:r>
      <w:r w:rsidR="009A7DDB" w:rsidRPr="00E95BC4">
        <w:rPr>
          <w:lang w:val="sr-Cyrl-CS"/>
        </w:rPr>
        <w:t xml:space="preserve"> </w:t>
      </w:r>
      <w:r>
        <w:rPr>
          <w:lang w:val="sr-Cyrl-CS"/>
        </w:rPr>
        <w:t>novca</w:t>
      </w:r>
      <w:r w:rsidR="009A7DDB" w:rsidRPr="00E95BC4">
        <w:rPr>
          <w:lang w:val="sr-Cyrl-CS"/>
        </w:rPr>
        <w:t xml:space="preserve"> </w:t>
      </w:r>
      <w:r>
        <w:rPr>
          <w:lang w:val="sr-Cyrl-CS"/>
        </w:rPr>
        <w:t>i</w:t>
      </w:r>
      <w:r w:rsidR="009A7DDB" w:rsidRPr="00E95BC4">
        <w:rPr>
          <w:lang w:val="sr-Cyrl-CS"/>
        </w:rPr>
        <w:t xml:space="preserve"> </w:t>
      </w:r>
      <w:r>
        <w:rPr>
          <w:lang w:val="sr-Cyrl-CS"/>
        </w:rPr>
        <w:t>Procena</w:t>
      </w:r>
      <w:r w:rsidR="009A7DDB" w:rsidRPr="00E95BC4">
        <w:rPr>
          <w:lang w:val="sr-Cyrl-CS"/>
        </w:rPr>
        <w:t xml:space="preserve"> </w:t>
      </w:r>
      <w:r>
        <w:rPr>
          <w:lang w:val="sr-Cyrl-CS"/>
        </w:rPr>
        <w:t>rizika</w:t>
      </w:r>
      <w:r w:rsidR="009A7DDB" w:rsidRPr="00E95BC4">
        <w:rPr>
          <w:lang w:val="sr-Cyrl-CS"/>
        </w:rPr>
        <w:t xml:space="preserve"> </w:t>
      </w:r>
      <w:r>
        <w:rPr>
          <w:lang w:val="sr-Cyrl-CS"/>
        </w:rPr>
        <w:t>od</w:t>
      </w:r>
      <w:r w:rsidR="009A7DDB" w:rsidRPr="00E95BC4">
        <w:rPr>
          <w:lang w:val="sr-Cyrl-CS"/>
        </w:rPr>
        <w:t xml:space="preserve"> </w:t>
      </w:r>
      <w:r>
        <w:rPr>
          <w:lang w:val="sr-Cyrl-CS"/>
        </w:rPr>
        <w:t>finansiranja</w:t>
      </w:r>
      <w:r w:rsidR="009A7DDB" w:rsidRPr="00E95BC4">
        <w:rPr>
          <w:lang w:val="sr-Cyrl-CS"/>
        </w:rPr>
        <w:t xml:space="preserve"> </w:t>
      </w:r>
      <w:r>
        <w:rPr>
          <w:lang w:val="sr-Cyrl-CS"/>
        </w:rPr>
        <w:t>terorizma</w:t>
      </w:r>
      <w:r w:rsidR="009A7DDB" w:rsidRPr="00E95BC4">
        <w:rPr>
          <w:lang w:val="sr-Cyrl-CS"/>
        </w:rPr>
        <w:t xml:space="preserve">, </w:t>
      </w:r>
      <w:r>
        <w:rPr>
          <w:lang w:val="sr-Cyrl-CS"/>
        </w:rPr>
        <w:t>oba</w:t>
      </w:r>
      <w:r w:rsidR="009A7DDB" w:rsidRPr="00E95BC4">
        <w:rPr>
          <w:lang w:val="sr-Cyrl-CS"/>
        </w:rPr>
        <w:t xml:space="preserve"> </w:t>
      </w:r>
      <w:r>
        <w:rPr>
          <w:lang w:val="sr-Cyrl-CS"/>
        </w:rPr>
        <w:t>dokumenta</w:t>
      </w:r>
      <w:r w:rsidR="009A7DDB" w:rsidRPr="00E95BC4">
        <w:rPr>
          <w:lang w:val="sr-Cyrl-CS"/>
        </w:rPr>
        <w:t xml:space="preserve"> </w:t>
      </w:r>
      <w:r>
        <w:rPr>
          <w:lang w:val="sr-Cyrl-CS"/>
        </w:rPr>
        <w:t>iz</w:t>
      </w:r>
      <w:r w:rsidR="009A7DDB" w:rsidRPr="00E95BC4">
        <w:rPr>
          <w:lang w:val="sr-Cyrl-CS"/>
        </w:rPr>
        <w:t xml:space="preserve"> 2018. </w:t>
      </w:r>
      <w:r>
        <w:rPr>
          <w:lang w:val="sr-Cyrl-CS"/>
        </w:rPr>
        <w:t>godine</w:t>
      </w:r>
      <w:r w:rsidR="008A65BD" w:rsidRPr="00E95BC4">
        <w:rPr>
          <w:lang w:val="sr-Cyrl-CS"/>
        </w:rPr>
        <w:t>;</w:t>
      </w:r>
      <w:r w:rsidR="006A53F2" w:rsidRPr="00E95BC4">
        <w:rPr>
          <w:rStyle w:val="FootnoteReference"/>
          <w:lang w:val="sr-Cyrl-CS"/>
        </w:rPr>
        <w:footnoteReference w:id="14"/>
      </w:r>
    </w:p>
    <w:p w:rsidR="009A7DDB" w:rsidRPr="00E95BC4" w:rsidRDefault="005818C0" w:rsidP="00285FD7">
      <w:pPr>
        <w:pStyle w:val="ListParagraph"/>
        <w:numPr>
          <w:ilvl w:val="0"/>
          <w:numId w:val="6"/>
        </w:numPr>
        <w:jc w:val="both"/>
        <w:rPr>
          <w:lang w:val="sr-Cyrl-CS"/>
        </w:rPr>
      </w:pPr>
      <w:r>
        <w:rPr>
          <w:lang w:val="sr-Cyrl-CS"/>
        </w:rPr>
        <w:t>Izveštaj</w:t>
      </w:r>
      <w:r w:rsidR="009A7DDB" w:rsidRPr="00E95BC4">
        <w:rPr>
          <w:lang w:val="sr-Cyrl-CS"/>
        </w:rPr>
        <w:t xml:space="preserve"> </w:t>
      </w:r>
      <w:r>
        <w:rPr>
          <w:lang w:val="sr-Cyrl-CS"/>
        </w:rPr>
        <w:t>o</w:t>
      </w:r>
      <w:r w:rsidR="009A7DDB" w:rsidRPr="00E95BC4">
        <w:rPr>
          <w:lang w:val="sr-Cyrl-CS"/>
        </w:rPr>
        <w:t xml:space="preserve"> </w:t>
      </w:r>
      <w:r>
        <w:rPr>
          <w:lang w:val="sr-Cyrl-CS"/>
        </w:rPr>
        <w:t>sprovođenju</w:t>
      </w:r>
      <w:r w:rsidR="009A7DDB" w:rsidRPr="00E95BC4">
        <w:rPr>
          <w:lang w:val="sr-Cyrl-CS"/>
        </w:rPr>
        <w:t xml:space="preserve"> </w:t>
      </w:r>
      <w:r>
        <w:rPr>
          <w:lang w:val="sr-Cyrl-CS"/>
        </w:rPr>
        <w:t>Akcionog</w:t>
      </w:r>
      <w:r w:rsidR="009A7DDB" w:rsidRPr="00E95BC4">
        <w:rPr>
          <w:lang w:val="sr-Cyrl-CS"/>
        </w:rPr>
        <w:t xml:space="preserve"> </w:t>
      </w:r>
      <w:r>
        <w:rPr>
          <w:lang w:val="sr-Cyrl-CS"/>
        </w:rPr>
        <w:t>plana</w:t>
      </w:r>
      <w:r w:rsidR="009A7DDB" w:rsidRPr="00E95BC4">
        <w:rPr>
          <w:lang w:val="sr-Cyrl-CS"/>
        </w:rPr>
        <w:t xml:space="preserve"> </w:t>
      </w:r>
      <w:r>
        <w:rPr>
          <w:lang w:val="sr-Cyrl-CS"/>
        </w:rPr>
        <w:t>uz</w:t>
      </w:r>
      <w:r w:rsidR="009A7DDB" w:rsidRPr="00E95BC4">
        <w:rPr>
          <w:lang w:val="sr-Cyrl-CS"/>
        </w:rPr>
        <w:t xml:space="preserve"> </w:t>
      </w:r>
      <w:r>
        <w:rPr>
          <w:lang w:val="sr-Cyrl-CS"/>
        </w:rPr>
        <w:t>procene</w:t>
      </w:r>
      <w:r w:rsidR="009A7DDB" w:rsidRPr="00E95BC4">
        <w:rPr>
          <w:lang w:val="sr-Cyrl-CS"/>
        </w:rPr>
        <w:t xml:space="preserve"> </w:t>
      </w:r>
      <w:r>
        <w:rPr>
          <w:lang w:val="sr-Cyrl-CS"/>
        </w:rPr>
        <w:t>rizika</w:t>
      </w:r>
      <w:r w:rsidR="000B0BBF" w:rsidRPr="00E95BC4">
        <w:rPr>
          <w:lang w:val="sr-Cyrl-CS"/>
        </w:rPr>
        <w:t xml:space="preserve"> </w:t>
      </w:r>
      <w:r>
        <w:rPr>
          <w:lang w:val="sr-Cyrl-CS"/>
        </w:rPr>
        <w:t>od</w:t>
      </w:r>
      <w:r w:rsidR="000B0BBF" w:rsidRPr="00E95BC4">
        <w:rPr>
          <w:lang w:val="sr-Cyrl-CS"/>
        </w:rPr>
        <w:t xml:space="preserve"> </w:t>
      </w:r>
      <w:r>
        <w:rPr>
          <w:lang w:val="sr-Cyrl-CS"/>
        </w:rPr>
        <w:t>pranja</w:t>
      </w:r>
      <w:r w:rsidR="000B0BBF" w:rsidRPr="00E95BC4">
        <w:rPr>
          <w:lang w:val="sr-Cyrl-CS"/>
        </w:rPr>
        <w:t xml:space="preserve"> </w:t>
      </w:r>
      <w:r>
        <w:rPr>
          <w:lang w:val="sr-Cyrl-CS"/>
        </w:rPr>
        <w:t>novca</w:t>
      </w:r>
      <w:r w:rsidR="000B0BBF" w:rsidRPr="00E95BC4">
        <w:rPr>
          <w:lang w:val="sr-Cyrl-CS"/>
        </w:rPr>
        <w:t xml:space="preserve"> </w:t>
      </w:r>
      <w:r>
        <w:rPr>
          <w:lang w:val="sr-Cyrl-CS"/>
        </w:rPr>
        <w:t>i</w:t>
      </w:r>
      <w:r w:rsidR="000B0BBF" w:rsidRPr="00E95BC4">
        <w:rPr>
          <w:lang w:val="sr-Cyrl-CS"/>
        </w:rPr>
        <w:t xml:space="preserve"> </w:t>
      </w:r>
      <w:r>
        <w:rPr>
          <w:lang w:val="sr-Cyrl-CS"/>
        </w:rPr>
        <w:t>finansiranja</w:t>
      </w:r>
      <w:r w:rsidR="000B0BBF" w:rsidRPr="00E95BC4">
        <w:rPr>
          <w:lang w:val="sr-Cyrl-CS"/>
        </w:rPr>
        <w:t xml:space="preserve"> </w:t>
      </w:r>
      <w:r>
        <w:rPr>
          <w:lang w:val="sr-Cyrl-CS"/>
        </w:rPr>
        <w:t>terorizma</w:t>
      </w:r>
      <w:r w:rsidR="00B02F59" w:rsidRPr="00E95BC4">
        <w:rPr>
          <w:lang w:val="sr-Cyrl-CS"/>
        </w:rPr>
        <w:t>;</w:t>
      </w:r>
    </w:p>
    <w:p w:rsidR="009A7DDB" w:rsidRPr="00E95BC4" w:rsidRDefault="005818C0" w:rsidP="00285FD7">
      <w:pPr>
        <w:pStyle w:val="ListParagraph"/>
        <w:numPr>
          <w:ilvl w:val="0"/>
          <w:numId w:val="6"/>
        </w:numPr>
        <w:jc w:val="both"/>
        <w:rPr>
          <w:lang w:val="sr-Cyrl-CS"/>
        </w:rPr>
      </w:pPr>
      <w:r>
        <w:rPr>
          <w:lang w:val="sr-Cyrl-CS"/>
        </w:rPr>
        <w:t>Nalazi</w:t>
      </w:r>
      <w:r w:rsidR="009A7DDB" w:rsidRPr="00E95BC4">
        <w:rPr>
          <w:lang w:val="sr-Cyrl-CS"/>
        </w:rPr>
        <w:t xml:space="preserve"> </w:t>
      </w:r>
      <w:r>
        <w:rPr>
          <w:lang w:val="sr-Cyrl-CS"/>
        </w:rPr>
        <w:t>eksperata</w:t>
      </w:r>
      <w:r w:rsidR="009A7DDB" w:rsidRPr="00E95BC4">
        <w:rPr>
          <w:lang w:val="sr-Cyrl-CS"/>
        </w:rPr>
        <w:t xml:space="preserve"> </w:t>
      </w:r>
      <w:r>
        <w:rPr>
          <w:lang w:val="sr-Cyrl-CS"/>
        </w:rPr>
        <w:t>koji</w:t>
      </w:r>
      <w:r w:rsidR="009A7DDB" w:rsidRPr="00E95BC4">
        <w:rPr>
          <w:lang w:val="sr-Cyrl-CS"/>
        </w:rPr>
        <w:t xml:space="preserve"> </w:t>
      </w:r>
      <w:r>
        <w:rPr>
          <w:lang w:val="sr-Cyrl-CS"/>
        </w:rPr>
        <w:t>su</w:t>
      </w:r>
      <w:r w:rsidR="009A7DDB" w:rsidRPr="00E95BC4">
        <w:rPr>
          <w:lang w:val="sr-Cyrl-CS"/>
        </w:rPr>
        <w:t xml:space="preserve"> </w:t>
      </w:r>
      <w:r>
        <w:rPr>
          <w:lang w:val="sr-Cyrl-CS"/>
        </w:rPr>
        <w:t>po</w:t>
      </w:r>
      <w:r w:rsidR="009A7DDB" w:rsidRPr="00E95BC4">
        <w:rPr>
          <w:lang w:val="sr-Cyrl-CS"/>
        </w:rPr>
        <w:t xml:space="preserve"> </w:t>
      </w:r>
      <w:r>
        <w:rPr>
          <w:lang w:val="sr-Cyrl-CS"/>
        </w:rPr>
        <w:t>pojedinim</w:t>
      </w:r>
      <w:r w:rsidR="009A7DDB" w:rsidRPr="00E95BC4">
        <w:rPr>
          <w:lang w:val="sr-Cyrl-CS"/>
        </w:rPr>
        <w:t xml:space="preserve"> </w:t>
      </w:r>
      <w:r>
        <w:rPr>
          <w:lang w:val="sr-Cyrl-CS"/>
        </w:rPr>
        <w:t>pitanjima</w:t>
      </w:r>
      <w:r w:rsidR="009A7DDB" w:rsidRPr="00E95BC4">
        <w:rPr>
          <w:lang w:val="sr-Cyrl-CS"/>
        </w:rPr>
        <w:t xml:space="preserve"> </w:t>
      </w:r>
      <w:r>
        <w:rPr>
          <w:lang w:val="sr-Cyrl-CS"/>
        </w:rPr>
        <w:t>angažovani</w:t>
      </w:r>
      <w:r w:rsidR="009A7DDB" w:rsidRPr="00E95BC4">
        <w:rPr>
          <w:lang w:val="sr-Cyrl-CS"/>
        </w:rPr>
        <w:t xml:space="preserve"> </w:t>
      </w:r>
      <w:r>
        <w:rPr>
          <w:lang w:val="sr-Cyrl-CS"/>
        </w:rPr>
        <w:t>u</w:t>
      </w:r>
      <w:r w:rsidR="009A7DDB" w:rsidRPr="00E95BC4">
        <w:rPr>
          <w:lang w:val="sr-Cyrl-CS"/>
        </w:rPr>
        <w:t xml:space="preserve"> </w:t>
      </w:r>
      <w:r>
        <w:rPr>
          <w:lang w:val="sr-Cyrl-CS"/>
        </w:rPr>
        <w:t>okviru</w:t>
      </w:r>
      <w:r w:rsidR="009A7DDB" w:rsidRPr="00E95BC4">
        <w:rPr>
          <w:lang w:val="sr-Cyrl-CS"/>
        </w:rPr>
        <w:t xml:space="preserve"> </w:t>
      </w:r>
      <w:r>
        <w:rPr>
          <w:lang w:val="sr-Cyrl-CS"/>
        </w:rPr>
        <w:t>Projekta</w:t>
      </w:r>
      <w:r w:rsidR="009A7DDB" w:rsidRPr="00E95BC4">
        <w:rPr>
          <w:lang w:val="sr-Cyrl-CS"/>
        </w:rPr>
        <w:t xml:space="preserve"> </w:t>
      </w:r>
      <w:r>
        <w:rPr>
          <w:lang w:val="sr-Cyrl-CS"/>
        </w:rPr>
        <w:t>za</w:t>
      </w:r>
      <w:r w:rsidR="009A7DDB" w:rsidRPr="00E95BC4">
        <w:rPr>
          <w:lang w:val="sr-Cyrl-CS"/>
        </w:rPr>
        <w:t xml:space="preserve"> </w:t>
      </w:r>
      <w:r>
        <w:rPr>
          <w:lang w:val="sr-Cyrl-CS"/>
        </w:rPr>
        <w:t>borbu</w:t>
      </w:r>
      <w:r w:rsidR="00AB4856">
        <w:rPr>
          <w:lang w:val="sr-Cyrl-CS"/>
        </w:rPr>
        <w:t xml:space="preserve"> </w:t>
      </w:r>
      <w:r>
        <w:rPr>
          <w:lang w:val="sr-Cyrl-CS"/>
        </w:rPr>
        <w:t>protiv</w:t>
      </w:r>
      <w:r w:rsidR="00AB4856">
        <w:rPr>
          <w:lang w:val="sr-Cyrl-CS"/>
        </w:rPr>
        <w:t xml:space="preserve"> </w:t>
      </w:r>
      <w:r>
        <w:rPr>
          <w:lang w:val="sr-Cyrl-CS"/>
        </w:rPr>
        <w:t>pranja</w:t>
      </w:r>
      <w:r w:rsidR="00AB4856">
        <w:rPr>
          <w:lang w:val="sr-Cyrl-CS"/>
        </w:rPr>
        <w:t xml:space="preserve"> </w:t>
      </w:r>
      <w:r>
        <w:rPr>
          <w:lang w:val="sr-Cyrl-CS"/>
        </w:rPr>
        <w:t>novca</w:t>
      </w:r>
      <w:r w:rsidR="00AB4856">
        <w:rPr>
          <w:lang w:val="sr-Cyrl-CS"/>
        </w:rPr>
        <w:t xml:space="preserve"> </w:t>
      </w:r>
      <w:r>
        <w:rPr>
          <w:lang w:val="sr-Cyrl-CS"/>
        </w:rPr>
        <w:t>i</w:t>
      </w:r>
      <w:r w:rsidR="00AB4856">
        <w:rPr>
          <w:lang w:val="sr-Cyrl-CS"/>
        </w:rPr>
        <w:t xml:space="preserve"> </w:t>
      </w:r>
      <w:r>
        <w:rPr>
          <w:lang w:val="sr-Cyrl-CS"/>
        </w:rPr>
        <w:t>finansiranja</w:t>
      </w:r>
      <w:r w:rsidR="009A7DDB" w:rsidRPr="00E95BC4">
        <w:rPr>
          <w:lang w:val="sr-Cyrl-CS"/>
        </w:rPr>
        <w:t xml:space="preserve"> </w:t>
      </w:r>
      <w:r>
        <w:rPr>
          <w:lang w:val="sr-Cyrl-CS"/>
        </w:rPr>
        <w:t>terorizma</w:t>
      </w:r>
      <w:r w:rsidR="009A7DDB" w:rsidRPr="00E95BC4">
        <w:rPr>
          <w:lang w:val="sr-Cyrl-CS"/>
        </w:rPr>
        <w:t xml:space="preserve"> </w:t>
      </w:r>
      <w:r>
        <w:rPr>
          <w:lang w:val="sr-Cyrl-CS"/>
        </w:rPr>
        <w:t>u</w:t>
      </w:r>
      <w:r w:rsidR="009A7DDB" w:rsidRPr="00E95BC4">
        <w:rPr>
          <w:lang w:val="sr-Cyrl-CS"/>
        </w:rPr>
        <w:t xml:space="preserve"> </w:t>
      </w:r>
      <w:r>
        <w:rPr>
          <w:lang w:val="sr-Cyrl-CS"/>
        </w:rPr>
        <w:t>Srbiji</w:t>
      </w:r>
      <w:r w:rsidR="009A7DDB" w:rsidRPr="00E95BC4">
        <w:rPr>
          <w:lang w:val="sr-Cyrl-CS"/>
        </w:rPr>
        <w:t xml:space="preserve"> (</w:t>
      </w:r>
      <w:r>
        <w:rPr>
          <w:lang w:val="sr-Cyrl-CS"/>
        </w:rPr>
        <w:t>IPA</w:t>
      </w:r>
      <w:r w:rsidR="009A7DDB" w:rsidRPr="00E95BC4">
        <w:rPr>
          <w:lang w:val="sr-Cyrl-CS"/>
        </w:rPr>
        <w:t xml:space="preserve"> 2015) </w:t>
      </w:r>
      <w:r>
        <w:rPr>
          <w:lang w:val="sr-Cyrl-CS"/>
        </w:rPr>
        <w:t>i</w:t>
      </w:r>
      <w:r w:rsidR="009A7DDB" w:rsidRPr="00E95BC4">
        <w:rPr>
          <w:lang w:val="sr-Cyrl-CS"/>
        </w:rPr>
        <w:t xml:space="preserve"> </w:t>
      </w:r>
      <w:r>
        <w:rPr>
          <w:lang w:val="sr-Cyrl-CS"/>
        </w:rPr>
        <w:t>Projekta</w:t>
      </w:r>
      <w:r w:rsidR="009A7DDB" w:rsidRPr="00E95BC4">
        <w:rPr>
          <w:lang w:val="sr-Cyrl-CS"/>
        </w:rPr>
        <w:t xml:space="preserve"> </w:t>
      </w:r>
      <w:r>
        <w:rPr>
          <w:lang w:val="sr-Cyrl-CS"/>
        </w:rPr>
        <w:t>za</w:t>
      </w:r>
      <w:r w:rsidR="009A7DDB" w:rsidRPr="00E95BC4">
        <w:rPr>
          <w:lang w:val="sr-Cyrl-CS"/>
        </w:rPr>
        <w:t xml:space="preserve"> </w:t>
      </w:r>
      <w:r>
        <w:rPr>
          <w:lang w:val="sr-Cyrl-CS"/>
        </w:rPr>
        <w:t>borbu</w:t>
      </w:r>
      <w:r w:rsidR="009A7DDB" w:rsidRPr="00E95BC4">
        <w:rPr>
          <w:lang w:val="sr-Cyrl-CS"/>
        </w:rPr>
        <w:t xml:space="preserve"> </w:t>
      </w:r>
      <w:r>
        <w:rPr>
          <w:lang w:val="sr-Cyrl-CS"/>
        </w:rPr>
        <w:t>protiv</w:t>
      </w:r>
      <w:r w:rsidR="009A7DDB" w:rsidRPr="00E95BC4">
        <w:rPr>
          <w:lang w:val="sr-Cyrl-CS"/>
        </w:rPr>
        <w:t xml:space="preserve"> </w:t>
      </w:r>
      <w:r>
        <w:rPr>
          <w:lang w:val="sr-Cyrl-CS"/>
        </w:rPr>
        <w:t>korupcije</w:t>
      </w:r>
      <w:r w:rsidR="009A7DDB" w:rsidRPr="00E95BC4">
        <w:rPr>
          <w:lang w:val="sr-Cyrl-CS"/>
        </w:rPr>
        <w:t xml:space="preserve"> </w:t>
      </w:r>
      <w:r>
        <w:rPr>
          <w:lang w:val="sr-Cyrl-CS"/>
        </w:rPr>
        <w:t>u</w:t>
      </w:r>
      <w:r w:rsidR="009A7DDB" w:rsidRPr="00E95BC4">
        <w:rPr>
          <w:lang w:val="sr-Cyrl-CS"/>
        </w:rPr>
        <w:t xml:space="preserve"> </w:t>
      </w:r>
      <w:r>
        <w:rPr>
          <w:lang w:val="sr-Cyrl-CS"/>
        </w:rPr>
        <w:t>Srbiji</w:t>
      </w:r>
      <w:r w:rsidR="009A7DDB" w:rsidRPr="00E95BC4">
        <w:rPr>
          <w:lang w:val="sr-Cyrl-CS"/>
        </w:rPr>
        <w:t xml:space="preserve"> (</w:t>
      </w:r>
      <w:r>
        <w:rPr>
          <w:lang w:val="sr-Cyrl-CS"/>
        </w:rPr>
        <w:t>IPA</w:t>
      </w:r>
      <w:r w:rsidR="009A7DDB" w:rsidRPr="00E95BC4">
        <w:rPr>
          <w:lang w:val="sr-Cyrl-CS"/>
        </w:rPr>
        <w:t xml:space="preserve"> 2013)</w:t>
      </w:r>
      <w:r w:rsidR="00B02F59" w:rsidRPr="00E95BC4">
        <w:rPr>
          <w:lang w:val="sr-Cyrl-CS"/>
        </w:rPr>
        <w:t>;</w:t>
      </w:r>
    </w:p>
    <w:p w:rsidR="002374BA" w:rsidRPr="00E95BC4" w:rsidRDefault="005818C0" w:rsidP="002374BA">
      <w:pPr>
        <w:pStyle w:val="ListParagraph"/>
        <w:numPr>
          <w:ilvl w:val="0"/>
          <w:numId w:val="6"/>
        </w:numPr>
        <w:jc w:val="both"/>
        <w:rPr>
          <w:lang w:val="sr-Cyrl-CS"/>
        </w:rPr>
      </w:pPr>
      <w:r>
        <w:rPr>
          <w:lang w:val="sr-Cyrl-CS"/>
        </w:rPr>
        <w:t>Diskusije</w:t>
      </w:r>
      <w:r w:rsidR="002374BA" w:rsidRPr="00E95BC4">
        <w:rPr>
          <w:lang w:val="sr-Cyrl-CS"/>
        </w:rPr>
        <w:t xml:space="preserve"> </w:t>
      </w:r>
      <w:r>
        <w:rPr>
          <w:lang w:val="sr-Cyrl-CS"/>
        </w:rPr>
        <w:t>i</w:t>
      </w:r>
      <w:r w:rsidR="002374BA" w:rsidRPr="00E95BC4">
        <w:rPr>
          <w:lang w:val="sr-Cyrl-CS"/>
        </w:rPr>
        <w:t xml:space="preserve"> </w:t>
      </w:r>
      <w:r>
        <w:rPr>
          <w:lang w:val="sr-Cyrl-CS"/>
        </w:rPr>
        <w:t>zapisnici</w:t>
      </w:r>
      <w:r w:rsidR="002374BA" w:rsidRPr="00E95BC4">
        <w:rPr>
          <w:lang w:val="sr-Cyrl-CS"/>
        </w:rPr>
        <w:t xml:space="preserve"> </w:t>
      </w:r>
      <w:r>
        <w:rPr>
          <w:lang w:val="sr-Cyrl-CS"/>
        </w:rPr>
        <w:t>sa</w:t>
      </w:r>
      <w:r w:rsidR="002374BA" w:rsidRPr="00E95BC4">
        <w:rPr>
          <w:lang w:val="sr-Cyrl-CS"/>
        </w:rPr>
        <w:t xml:space="preserve"> </w:t>
      </w:r>
      <w:r>
        <w:rPr>
          <w:lang w:val="sr-Cyrl-CS"/>
        </w:rPr>
        <w:t>sednica</w:t>
      </w:r>
      <w:r w:rsidR="002374BA" w:rsidRPr="00E95BC4">
        <w:rPr>
          <w:lang w:val="sr-Cyrl-CS"/>
        </w:rPr>
        <w:t xml:space="preserve"> </w:t>
      </w:r>
      <w:r>
        <w:rPr>
          <w:lang w:val="sr-Cyrl-CS"/>
        </w:rPr>
        <w:t>Koordinacinog</w:t>
      </w:r>
      <w:r w:rsidR="002374BA" w:rsidRPr="00E95BC4">
        <w:rPr>
          <w:lang w:val="sr-Cyrl-CS"/>
        </w:rPr>
        <w:t xml:space="preserve"> </w:t>
      </w:r>
      <w:r>
        <w:rPr>
          <w:lang w:val="sr-Cyrl-CS"/>
        </w:rPr>
        <w:t>tela</w:t>
      </w:r>
      <w:r w:rsidR="002374BA" w:rsidRPr="00E95BC4">
        <w:rPr>
          <w:lang w:val="sr-Cyrl-CS"/>
        </w:rPr>
        <w:t xml:space="preserve"> </w:t>
      </w:r>
      <w:r>
        <w:rPr>
          <w:lang w:val="sr-Cyrl-CS"/>
        </w:rPr>
        <w:t>za</w:t>
      </w:r>
      <w:r w:rsidR="002374BA" w:rsidRPr="00E95BC4">
        <w:rPr>
          <w:lang w:val="sr-Cyrl-CS"/>
        </w:rPr>
        <w:t xml:space="preserve"> </w:t>
      </w:r>
      <w:r>
        <w:rPr>
          <w:lang w:val="sr-Cyrl-CS"/>
        </w:rPr>
        <w:t>sprečavanje</w:t>
      </w:r>
      <w:r w:rsidR="002374BA" w:rsidRPr="00E95BC4">
        <w:rPr>
          <w:lang w:val="sr-Cyrl-CS"/>
        </w:rPr>
        <w:t xml:space="preserve"> </w:t>
      </w:r>
      <w:r>
        <w:rPr>
          <w:lang w:val="sr-Cyrl-CS"/>
        </w:rPr>
        <w:t>pranja</w:t>
      </w:r>
      <w:r w:rsidR="002374BA" w:rsidRPr="00E95BC4">
        <w:rPr>
          <w:lang w:val="sr-Cyrl-CS"/>
        </w:rPr>
        <w:t xml:space="preserve"> </w:t>
      </w:r>
      <w:r>
        <w:rPr>
          <w:lang w:val="sr-Cyrl-CS"/>
        </w:rPr>
        <w:t>novca</w:t>
      </w:r>
      <w:r w:rsidR="002374BA" w:rsidRPr="00E95BC4">
        <w:rPr>
          <w:lang w:val="sr-Cyrl-CS"/>
        </w:rPr>
        <w:t xml:space="preserve"> </w:t>
      </w:r>
      <w:r>
        <w:rPr>
          <w:lang w:val="sr-Cyrl-CS"/>
        </w:rPr>
        <w:t>i</w:t>
      </w:r>
      <w:r w:rsidR="002374BA" w:rsidRPr="00E95BC4">
        <w:rPr>
          <w:lang w:val="sr-Cyrl-CS"/>
        </w:rPr>
        <w:t xml:space="preserve"> </w:t>
      </w:r>
      <w:r>
        <w:rPr>
          <w:lang w:val="sr-Cyrl-CS"/>
        </w:rPr>
        <w:t>finansiranja</w:t>
      </w:r>
      <w:r w:rsidR="002374BA" w:rsidRPr="00E95BC4">
        <w:rPr>
          <w:lang w:val="sr-Cyrl-CS"/>
        </w:rPr>
        <w:t xml:space="preserve"> </w:t>
      </w:r>
      <w:r>
        <w:rPr>
          <w:lang w:val="sr-Cyrl-CS"/>
        </w:rPr>
        <w:t>terorizma</w:t>
      </w:r>
      <w:r w:rsidR="002374BA" w:rsidRPr="00E95BC4">
        <w:rPr>
          <w:lang w:val="sr-Cyrl-CS"/>
        </w:rPr>
        <w:t>;</w:t>
      </w:r>
    </w:p>
    <w:p w:rsidR="002374BA" w:rsidRPr="00E95BC4" w:rsidRDefault="005818C0" w:rsidP="002374BA">
      <w:pPr>
        <w:pStyle w:val="ListParagraph"/>
        <w:numPr>
          <w:ilvl w:val="0"/>
          <w:numId w:val="6"/>
        </w:numPr>
        <w:jc w:val="both"/>
        <w:rPr>
          <w:lang w:val="sr-Cyrl-CS"/>
        </w:rPr>
      </w:pPr>
      <w:r>
        <w:rPr>
          <w:lang w:val="sr-Cyrl-CS"/>
        </w:rPr>
        <w:t>Diskusije</w:t>
      </w:r>
      <w:r w:rsidR="002374BA" w:rsidRPr="00E95BC4">
        <w:rPr>
          <w:lang w:val="sr-Cyrl-CS"/>
        </w:rPr>
        <w:t xml:space="preserve"> </w:t>
      </w:r>
      <w:r>
        <w:rPr>
          <w:lang w:val="sr-Cyrl-CS"/>
        </w:rPr>
        <w:t>i</w:t>
      </w:r>
      <w:r w:rsidR="002374BA" w:rsidRPr="00E95BC4">
        <w:rPr>
          <w:lang w:val="sr-Cyrl-CS"/>
        </w:rPr>
        <w:t xml:space="preserve"> </w:t>
      </w:r>
      <w:r>
        <w:rPr>
          <w:lang w:val="sr-Cyrl-CS"/>
        </w:rPr>
        <w:t>zapisnici</w:t>
      </w:r>
      <w:r w:rsidR="002374BA" w:rsidRPr="00E95BC4">
        <w:rPr>
          <w:lang w:val="sr-Cyrl-CS"/>
        </w:rPr>
        <w:t xml:space="preserve"> </w:t>
      </w:r>
      <w:r>
        <w:rPr>
          <w:lang w:val="sr-Cyrl-CS"/>
        </w:rPr>
        <w:t>sa</w:t>
      </w:r>
      <w:r w:rsidR="002374BA" w:rsidRPr="00E95BC4">
        <w:rPr>
          <w:lang w:val="sr-Cyrl-CS"/>
        </w:rPr>
        <w:t xml:space="preserve"> </w:t>
      </w:r>
      <w:r>
        <w:rPr>
          <w:lang w:val="sr-Cyrl-CS"/>
        </w:rPr>
        <w:t>sednica</w:t>
      </w:r>
      <w:r w:rsidR="002374BA" w:rsidRPr="00E95BC4">
        <w:rPr>
          <w:lang w:val="sr-Cyrl-CS"/>
        </w:rPr>
        <w:t xml:space="preserve"> </w:t>
      </w:r>
      <w:r>
        <w:rPr>
          <w:lang w:val="sr-Cyrl-CS"/>
        </w:rPr>
        <w:t>Nacionalnog</w:t>
      </w:r>
      <w:r w:rsidR="002374BA" w:rsidRPr="00E95BC4">
        <w:rPr>
          <w:lang w:val="sr-Cyrl-CS"/>
        </w:rPr>
        <w:t xml:space="preserve"> </w:t>
      </w:r>
      <w:r>
        <w:rPr>
          <w:lang w:val="sr-Cyrl-CS"/>
        </w:rPr>
        <w:t>koordinacionog</w:t>
      </w:r>
      <w:r w:rsidR="002374BA" w:rsidRPr="00E95BC4">
        <w:rPr>
          <w:lang w:val="sr-Cyrl-CS"/>
        </w:rPr>
        <w:t xml:space="preserve"> </w:t>
      </w:r>
      <w:r>
        <w:rPr>
          <w:lang w:val="sr-Cyrl-CS"/>
        </w:rPr>
        <w:t>tela</w:t>
      </w:r>
      <w:r w:rsidR="002374BA" w:rsidRPr="00E95BC4">
        <w:rPr>
          <w:lang w:val="sr-Cyrl-CS"/>
        </w:rPr>
        <w:t xml:space="preserve"> </w:t>
      </w:r>
      <w:r>
        <w:rPr>
          <w:lang w:val="sr-Cyrl-CS"/>
        </w:rPr>
        <w:t>za</w:t>
      </w:r>
      <w:r w:rsidR="002374BA" w:rsidRPr="00E95BC4">
        <w:rPr>
          <w:lang w:val="sr-Cyrl-CS"/>
        </w:rPr>
        <w:t xml:space="preserve"> </w:t>
      </w:r>
      <w:r>
        <w:rPr>
          <w:lang w:val="sr-Cyrl-CS"/>
        </w:rPr>
        <w:t>sprečavanje</w:t>
      </w:r>
      <w:r w:rsidR="002374BA" w:rsidRPr="00E95BC4">
        <w:rPr>
          <w:lang w:val="sr-Cyrl-CS"/>
        </w:rPr>
        <w:t xml:space="preserve"> </w:t>
      </w:r>
      <w:r>
        <w:rPr>
          <w:lang w:val="sr-Cyrl-CS"/>
        </w:rPr>
        <w:t>i</w:t>
      </w:r>
      <w:r w:rsidR="002374BA" w:rsidRPr="00E95BC4">
        <w:rPr>
          <w:lang w:val="sr-Cyrl-CS"/>
        </w:rPr>
        <w:t xml:space="preserve"> </w:t>
      </w:r>
      <w:r>
        <w:rPr>
          <w:lang w:val="sr-Cyrl-CS"/>
        </w:rPr>
        <w:t>borbu</w:t>
      </w:r>
      <w:r w:rsidR="002374BA" w:rsidRPr="00E95BC4">
        <w:rPr>
          <w:lang w:val="sr-Cyrl-CS"/>
        </w:rPr>
        <w:t xml:space="preserve"> </w:t>
      </w:r>
      <w:r>
        <w:rPr>
          <w:lang w:val="sr-Cyrl-CS"/>
        </w:rPr>
        <w:t>protiv</w:t>
      </w:r>
      <w:r w:rsidR="002374BA" w:rsidRPr="00E95BC4">
        <w:rPr>
          <w:lang w:val="sr-Cyrl-CS"/>
        </w:rPr>
        <w:t xml:space="preserve"> </w:t>
      </w:r>
      <w:r>
        <w:rPr>
          <w:lang w:val="sr-Cyrl-CS"/>
        </w:rPr>
        <w:t>terorizma</w:t>
      </w:r>
      <w:r w:rsidR="002374BA" w:rsidRPr="00E95BC4">
        <w:rPr>
          <w:lang w:val="sr-Cyrl-CS"/>
        </w:rPr>
        <w:t>;</w:t>
      </w:r>
    </w:p>
    <w:p w:rsidR="002374BA" w:rsidRPr="00E95BC4" w:rsidRDefault="005818C0" w:rsidP="002374BA">
      <w:pPr>
        <w:pStyle w:val="ListParagraph"/>
        <w:numPr>
          <w:ilvl w:val="0"/>
          <w:numId w:val="6"/>
        </w:numPr>
        <w:jc w:val="both"/>
        <w:rPr>
          <w:lang w:val="sr-Cyrl-CS"/>
        </w:rPr>
      </w:pPr>
      <w:r>
        <w:rPr>
          <w:lang w:val="sr-Cyrl-CS"/>
        </w:rPr>
        <w:t>Godišnji</w:t>
      </w:r>
      <w:r w:rsidR="002374BA" w:rsidRPr="00E95BC4">
        <w:rPr>
          <w:lang w:val="sr-Cyrl-CS"/>
        </w:rPr>
        <w:t xml:space="preserve"> </w:t>
      </w:r>
      <w:r>
        <w:rPr>
          <w:lang w:val="sr-Cyrl-CS"/>
        </w:rPr>
        <w:t>izveštaji</w:t>
      </w:r>
      <w:r w:rsidR="002374BA" w:rsidRPr="00E95BC4">
        <w:rPr>
          <w:lang w:val="sr-Cyrl-CS"/>
        </w:rPr>
        <w:t xml:space="preserve"> </w:t>
      </w:r>
      <w:r>
        <w:rPr>
          <w:lang w:val="sr-Cyrl-CS"/>
        </w:rPr>
        <w:t>o</w:t>
      </w:r>
      <w:r w:rsidR="002374BA" w:rsidRPr="00E95BC4">
        <w:rPr>
          <w:lang w:val="sr-Cyrl-CS"/>
        </w:rPr>
        <w:t xml:space="preserve"> </w:t>
      </w:r>
      <w:r>
        <w:rPr>
          <w:lang w:val="sr-Cyrl-CS"/>
        </w:rPr>
        <w:t>radu</w:t>
      </w:r>
      <w:r w:rsidR="002374BA" w:rsidRPr="00E95BC4">
        <w:rPr>
          <w:lang w:val="sr-Cyrl-CS"/>
        </w:rPr>
        <w:t xml:space="preserve"> </w:t>
      </w:r>
      <w:r>
        <w:rPr>
          <w:lang w:val="sr-Cyrl-CS"/>
        </w:rPr>
        <w:t>organa</w:t>
      </w:r>
      <w:r w:rsidR="002374BA" w:rsidRPr="00E95BC4">
        <w:rPr>
          <w:lang w:val="sr-Cyrl-CS"/>
        </w:rPr>
        <w:t xml:space="preserve"> </w:t>
      </w:r>
      <w:r>
        <w:rPr>
          <w:lang w:val="sr-Cyrl-CS"/>
        </w:rPr>
        <w:t>koji</w:t>
      </w:r>
      <w:r w:rsidR="002374BA" w:rsidRPr="00E95BC4">
        <w:rPr>
          <w:lang w:val="sr-Cyrl-CS"/>
        </w:rPr>
        <w:t xml:space="preserve"> </w:t>
      </w:r>
      <w:r>
        <w:rPr>
          <w:lang w:val="sr-Cyrl-CS"/>
        </w:rPr>
        <w:t>učestvuju</w:t>
      </w:r>
      <w:r w:rsidR="002374BA" w:rsidRPr="00E95BC4">
        <w:rPr>
          <w:lang w:val="sr-Cyrl-CS"/>
        </w:rPr>
        <w:t xml:space="preserve"> </w:t>
      </w:r>
      <w:r>
        <w:rPr>
          <w:lang w:val="sr-Cyrl-CS"/>
        </w:rPr>
        <w:t>u</w:t>
      </w:r>
      <w:r w:rsidR="002374BA" w:rsidRPr="00E95BC4">
        <w:rPr>
          <w:lang w:val="sr-Cyrl-CS"/>
        </w:rPr>
        <w:t xml:space="preserve"> </w:t>
      </w:r>
      <w:r>
        <w:rPr>
          <w:lang w:val="sr-Cyrl-CS"/>
        </w:rPr>
        <w:t>sistemu</w:t>
      </w:r>
      <w:r w:rsidR="002374BA" w:rsidRPr="00E95BC4">
        <w:rPr>
          <w:lang w:val="sr-Cyrl-CS"/>
        </w:rPr>
        <w:t xml:space="preserve"> </w:t>
      </w:r>
      <w:r>
        <w:rPr>
          <w:lang w:val="sr-Cyrl-CS"/>
        </w:rPr>
        <w:t>borbe</w:t>
      </w:r>
      <w:r w:rsidR="002374BA" w:rsidRPr="00E95BC4">
        <w:rPr>
          <w:lang w:val="sr-Cyrl-CS"/>
        </w:rPr>
        <w:t xml:space="preserve"> </w:t>
      </w:r>
      <w:r>
        <w:rPr>
          <w:lang w:val="sr-Cyrl-CS"/>
        </w:rPr>
        <w:t>protiv</w:t>
      </w:r>
      <w:r w:rsidR="002374BA" w:rsidRPr="00E95BC4">
        <w:rPr>
          <w:lang w:val="sr-Cyrl-CS"/>
        </w:rPr>
        <w:t xml:space="preserve"> </w:t>
      </w:r>
      <w:r>
        <w:rPr>
          <w:lang w:val="sr-Cyrl-CS"/>
        </w:rPr>
        <w:t>pranja</w:t>
      </w:r>
      <w:r w:rsidR="002374BA" w:rsidRPr="00E95BC4">
        <w:rPr>
          <w:lang w:val="sr-Cyrl-CS"/>
        </w:rPr>
        <w:t xml:space="preserve"> </w:t>
      </w:r>
      <w:r>
        <w:rPr>
          <w:lang w:val="sr-Cyrl-CS"/>
        </w:rPr>
        <w:t>novca</w:t>
      </w:r>
      <w:r w:rsidR="002374BA" w:rsidRPr="00E95BC4">
        <w:rPr>
          <w:lang w:val="sr-Cyrl-CS"/>
        </w:rPr>
        <w:t xml:space="preserve"> </w:t>
      </w:r>
      <w:r>
        <w:rPr>
          <w:lang w:val="sr-Cyrl-CS"/>
        </w:rPr>
        <w:t>i</w:t>
      </w:r>
      <w:r w:rsidR="002374BA" w:rsidRPr="00E95BC4">
        <w:rPr>
          <w:lang w:val="sr-Cyrl-CS"/>
        </w:rPr>
        <w:t xml:space="preserve"> </w:t>
      </w:r>
      <w:r>
        <w:rPr>
          <w:lang w:val="sr-Cyrl-CS"/>
        </w:rPr>
        <w:t>finansiranja</w:t>
      </w:r>
      <w:r w:rsidR="002374BA" w:rsidRPr="00E95BC4">
        <w:rPr>
          <w:lang w:val="sr-Cyrl-CS"/>
        </w:rPr>
        <w:t xml:space="preserve"> </w:t>
      </w:r>
      <w:r>
        <w:rPr>
          <w:lang w:val="sr-Cyrl-CS"/>
        </w:rPr>
        <w:t>terorizma</w:t>
      </w:r>
      <w:r w:rsidR="002374BA" w:rsidRPr="00E95BC4">
        <w:rPr>
          <w:lang w:val="sr-Cyrl-CS"/>
        </w:rPr>
        <w:t>;</w:t>
      </w:r>
    </w:p>
    <w:p w:rsidR="002374BA" w:rsidRPr="00E95BC4" w:rsidRDefault="005818C0" w:rsidP="002374BA">
      <w:pPr>
        <w:pStyle w:val="ListParagraph"/>
        <w:numPr>
          <w:ilvl w:val="0"/>
          <w:numId w:val="6"/>
        </w:numPr>
        <w:jc w:val="both"/>
        <w:rPr>
          <w:lang w:val="sr-Cyrl-CS"/>
        </w:rPr>
      </w:pPr>
      <w:r>
        <w:rPr>
          <w:lang w:val="sr-Cyrl-CS"/>
        </w:rPr>
        <w:t>Diskusije</w:t>
      </w:r>
      <w:r w:rsidR="002374BA" w:rsidRPr="00E95BC4">
        <w:rPr>
          <w:lang w:val="sr-Cyrl-CS"/>
        </w:rPr>
        <w:t xml:space="preserve"> </w:t>
      </w:r>
      <w:r>
        <w:rPr>
          <w:lang w:val="sr-Cyrl-CS"/>
        </w:rPr>
        <w:t>i</w:t>
      </w:r>
      <w:r w:rsidR="002374BA" w:rsidRPr="00E95BC4">
        <w:rPr>
          <w:lang w:val="sr-Cyrl-CS"/>
        </w:rPr>
        <w:t xml:space="preserve"> </w:t>
      </w:r>
      <w:r>
        <w:rPr>
          <w:lang w:val="sr-Cyrl-CS"/>
        </w:rPr>
        <w:t>rasprave</w:t>
      </w:r>
      <w:r w:rsidR="002374BA" w:rsidRPr="00E95BC4">
        <w:rPr>
          <w:lang w:val="sr-Cyrl-CS"/>
        </w:rPr>
        <w:t xml:space="preserve"> </w:t>
      </w:r>
      <w:r>
        <w:rPr>
          <w:lang w:val="sr-Cyrl-CS"/>
        </w:rPr>
        <w:t>različitih</w:t>
      </w:r>
      <w:r w:rsidR="002374BA" w:rsidRPr="00E95BC4">
        <w:rPr>
          <w:lang w:val="sr-Cyrl-CS"/>
        </w:rPr>
        <w:t xml:space="preserve"> </w:t>
      </w:r>
      <w:r>
        <w:rPr>
          <w:lang w:val="sr-Cyrl-CS"/>
        </w:rPr>
        <w:t>stručnih</w:t>
      </w:r>
      <w:r w:rsidR="002374BA" w:rsidRPr="00E95BC4">
        <w:rPr>
          <w:lang w:val="sr-Cyrl-CS"/>
        </w:rPr>
        <w:t xml:space="preserve"> </w:t>
      </w:r>
      <w:r>
        <w:rPr>
          <w:lang w:val="sr-Cyrl-CS"/>
        </w:rPr>
        <w:t>timova</w:t>
      </w:r>
      <w:r w:rsidR="002374BA" w:rsidRPr="00E95BC4">
        <w:rPr>
          <w:lang w:val="sr-Cyrl-CS"/>
        </w:rPr>
        <w:t xml:space="preserve"> </w:t>
      </w:r>
      <w:r>
        <w:rPr>
          <w:lang w:val="sr-Cyrl-CS"/>
        </w:rPr>
        <w:t>i</w:t>
      </w:r>
      <w:r w:rsidR="002374BA" w:rsidRPr="00E95BC4">
        <w:rPr>
          <w:lang w:val="sr-Cyrl-CS"/>
        </w:rPr>
        <w:t xml:space="preserve"> </w:t>
      </w:r>
      <w:r>
        <w:rPr>
          <w:lang w:val="sr-Cyrl-CS"/>
        </w:rPr>
        <w:t>radnih</w:t>
      </w:r>
      <w:r w:rsidR="002374BA" w:rsidRPr="00E95BC4">
        <w:rPr>
          <w:lang w:val="sr-Cyrl-CS"/>
        </w:rPr>
        <w:t xml:space="preserve"> </w:t>
      </w:r>
      <w:r>
        <w:rPr>
          <w:lang w:val="sr-Cyrl-CS"/>
        </w:rPr>
        <w:t>grupa</w:t>
      </w:r>
      <w:r w:rsidR="002374BA" w:rsidRPr="00E95BC4">
        <w:rPr>
          <w:lang w:val="sr-Cyrl-CS"/>
        </w:rPr>
        <w:t xml:space="preserve"> </w:t>
      </w:r>
      <w:r>
        <w:rPr>
          <w:lang w:val="sr-Cyrl-CS"/>
        </w:rPr>
        <w:t>koje</w:t>
      </w:r>
      <w:r w:rsidR="002374BA" w:rsidRPr="00E95BC4">
        <w:rPr>
          <w:lang w:val="sr-Cyrl-CS"/>
        </w:rPr>
        <w:t xml:space="preserve"> </w:t>
      </w:r>
      <w:r>
        <w:rPr>
          <w:lang w:val="sr-Cyrl-CS"/>
        </w:rPr>
        <w:t>je</w:t>
      </w:r>
      <w:r w:rsidR="002374BA" w:rsidRPr="00E95BC4">
        <w:rPr>
          <w:lang w:val="sr-Cyrl-CS"/>
        </w:rPr>
        <w:t xml:space="preserve"> </w:t>
      </w:r>
      <w:r>
        <w:rPr>
          <w:lang w:val="sr-Cyrl-CS"/>
        </w:rPr>
        <w:t>formirao</w:t>
      </w:r>
      <w:r w:rsidR="002374BA" w:rsidRPr="00E95BC4">
        <w:rPr>
          <w:lang w:val="sr-Cyrl-CS"/>
        </w:rPr>
        <w:t xml:space="preserve"> </w:t>
      </w:r>
      <w:r>
        <w:rPr>
          <w:lang w:val="sr-Cyrl-CS"/>
        </w:rPr>
        <w:t>predsednik</w:t>
      </w:r>
      <w:r w:rsidR="002374BA" w:rsidRPr="00E95BC4">
        <w:rPr>
          <w:lang w:val="sr-Cyrl-CS"/>
        </w:rPr>
        <w:t xml:space="preserve"> </w:t>
      </w:r>
      <w:r>
        <w:rPr>
          <w:lang w:val="sr-Cyrl-CS"/>
        </w:rPr>
        <w:t>Koordinacionog</w:t>
      </w:r>
      <w:r w:rsidR="002374BA" w:rsidRPr="00E95BC4">
        <w:rPr>
          <w:lang w:val="sr-Cyrl-CS"/>
        </w:rPr>
        <w:t xml:space="preserve"> </w:t>
      </w:r>
      <w:r>
        <w:rPr>
          <w:lang w:val="sr-Cyrl-CS"/>
        </w:rPr>
        <w:t>tela</w:t>
      </w:r>
      <w:r w:rsidR="002374BA" w:rsidRPr="00E95BC4">
        <w:rPr>
          <w:lang w:val="sr-Cyrl-CS"/>
        </w:rPr>
        <w:t xml:space="preserve"> </w:t>
      </w:r>
      <w:r>
        <w:rPr>
          <w:lang w:val="sr-Cyrl-CS"/>
        </w:rPr>
        <w:t>za</w:t>
      </w:r>
      <w:r w:rsidR="002374BA" w:rsidRPr="00E95BC4">
        <w:rPr>
          <w:lang w:val="sr-Cyrl-CS"/>
        </w:rPr>
        <w:t xml:space="preserve"> </w:t>
      </w:r>
      <w:r>
        <w:rPr>
          <w:lang w:val="sr-Cyrl-CS"/>
        </w:rPr>
        <w:t>sprečavanje</w:t>
      </w:r>
      <w:r w:rsidR="002374BA" w:rsidRPr="00E95BC4">
        <w:rPr>
          <w:lang w:val="sr-Cyrl-CS"/>
        </w:rPr>
        <w:t xml:space="preserve"> </w:t>
      </w:r>
      <w:r>
        <w:rPr>
          <w:lang w:val="sr-Cyrl-CS"/>
        </w:rPr>
        <w:t>pranja</w:t>
      </w:r>
      <w:r w:rsidR="002374BA" w:rsidRPr="00E95BC4">
        <w:rPr>
          <w:lang w:val="sr-Cyrl-CS"/>
        </w:rPr>
        <w:t xml:space="preserve"> </w:t>
      </w:r>
      <w:r>
        <w:rPr>
          <w:lang w:val="sr-Cyrl-CS"/>
        </w:rPr>
        <w:t>novca</w:t>
      </w:r>
      <w:r w:rsidR="002374BA" w:rsidRPr="00E95BC4">
        <w:rPr>
          <w:lang w:val="sr-Cyrl-CS"/>
        </w:rPr>
        <w:t xml:space="preserve"> </w:t>
      </w:r>
      <w:r>
        <w:rPr>
          <w:lang w:val="sr-Cyrl-CS"/>
        </w:rPr>
        <w:t>i</w:t>
      </w:r>
      <w:r w:rsidR="002374BA" w:rsidRPr="00E95BC4">
        <w:rPr>
          <w:lang w:val="sr-Cyrl-CS"/>
        </w:rPr>
        <w:t xml:space="preserve"> </w:t>
      </w:r>
      <w:r>
        <w:rPr>
          <w:lang w:val="sr-Cyrl-CS"/>
        </w:rPr>
        <w:t>finansiranja</w:t>
      </w:r>
      <w:r w:rsidR="002374BA" w:rsidRPr="00E95BC4">
        <w:rPr>
          <w:lang w:val="sr-Cyrl-CS"/>
        </w:rPr>
        <w:t xml:space="preserve"> </w:t>
      </w:r>
      <w:r>
        <w:rPr>
          <w:lang w:val="sr-Cyrl-CS"/>
        </w:rPr>
        <w:t>terorizma</w:t>
      </w:r>
      <w:r w:rsidR="002374BA" w:rsidRPr="00E95BC4">
        <w:rPr>
          <w:lang w:val="sr-Cyrl-CS"/>
        </w:rPr>
        <w:t xml:space="preserve"> </w:t>
      </w:r>
      <w:r>
        <w:rPr>
          <w:lang w:val="sr-Cyrl-CS"/>
        </w:rPr>
        <w:t>i</w:t>
      </w:r>
      <w:r w:rsidR="002374BA" w:rsidRPr="00E95BC4">
        <w:rPr>
          <w:lang w:val="sr-Cyrl-CS"/>
        </w:rPr>
        <w:t xml:space="preserve"> </w:t>
      </w:r>
      <w:r>
        <w:rPr>
          <w:lang w:val="sr-Cyrl-CS"/>
        </w:rPr>
        <w:t>u</w:t>
      </w:r>
      <w:r w:rsidR="002374BA" w:rsidRPr="00E95BC4">
        <w:rPr>
          <w:lang w:val="sr-Cyrl-CS"/>
        </w:rPr>
        <w:t xml:space="preserve"> </w:t>
      </w:r>
      <w:r>
        <w:rPr>
          <w:lang w:val="sr-Cyrl-CS"/>
        </w:rPr>
        <w:t>okviru</w:t>
      </w:r>
      <w:r w:rsidR="002374BA" w:rsidRPr="00E95BC4">
        <w:rPr>
          <w:lang w:val="sr-Cyrl-CS"/>
        </w:rPr>
        <w:t xml:space="preserve"> </w:t>
      </w:r>
      <w:r>
        <w:rPr>
          <w:lang w:val="sr-Cyrl-CS"/>
        </w:rPr>
        <w:t>međunarodne</w:t>
      </w:r>
      <w:r w:rsidR="002374BA" w:rsidRPr="00E95BC4">
        <w:rPr>
          <w:lang w:val="sr-Cyrl-CS"/>
        </w:rPr>
        <w:t xml:space="preserve"> </w:t>
      </w:r>
      <w:r>
        <w:rPr>
          <w:lang w:val="sr-Cyrl-CS"/>
        </w:rPr>
        <w:t>saradnje</w:t>
      </w:r>
      <w:r w:rsidR="002374BA" w:rsidRPr="00E95BC4">
        <w:rPr>
          <w:lang w:val="sr-Cyrl-CS"/>
        </w:rPr>
        <w:t xml:space="preserve"> (</w:t>
      </w:r>
      <w:r>
        <w:rPr>
          <w:lang w:val="sr-Cyrl-CS"/>
        </w:rPr>
        <w:t>npr</w:t>
      </w:r>
      <w:r w:rsidR="002374BA" w:rsidRPr="00E95BC4">
        <w:rPr>
          <w:lang w:val="sr-Cyrl-CS"/>
        </w:rPr>
        <w:t xml:space="preserve">. </w:t>
      </w:r>
      <w:r>
        <w:rPr>
          <w:lang w:val="sr-Cyrl-CS"/>
        </w:rPr>
        <w:t>OEBS</w:t>
      </w:r>
      <w:r w:rsidR="002374BA" w:rsidRPr="00E95BC4">
        <w:rPr>
          <w:lang w:val="sr-Cyrl-CS"/>
        </w:rPr>
        <w:t>, OPDAT)</w:t>
      </w:r>
      <w:r w:rsidR="0070378D">
        <w:rPr>
          <w:lang w:val="sr-Cyrl-CS"/>
        </w:rPr>
        <w:t>.</w:t>
      </w:r>
      <w:r w:rsidR="002374BA" w:rsidRPr="00E95BC4">
        <w:rPr>
          <w:lang w:val="sr-Cyrl-CS"/>
        </w:rPr>
        <w:t xml:space="preserve"> </w:t>
      </w:r>
    </w:p>
    <w:p w:rsidR="0004492D" w:rsidRPr="00E95BC4" w:rsidRDefault="0004492D" w:rsidP="00285FD7">
      <w:pPr>
        <w:ind w:firstLine="720"/>
        <w:jc w:val="both"/>
        <w:rPr>
          <w:b/>
          <w:lang w:val="sr-Cyrl-CS"/>
        </w:rPr>
      </w:pPr>
    </w:p>
    <w:p w:rsidR="006C3281" w:rsidRPr="00E95BC4" w:rsidRDefault="005818C0" w:rsidP="00285FD7">
      <w:pPr>
        <w:ind w:firstLine="720"/>
        <w:jc w:val="both"/>
        <w:rPr>
          <w:lang w:val="sr-Cyrl-CS"/>
        </w:rPr>
      </w:pPr>
      <w:r>
        <w:rPr>
          <w:b/>
          <w:lang w:val="sr-Cyrl-CS"/>
        </w:rPr>
        <w:t>Ključni</w:t>
      </w:r>
      <w:r w:rsidR="006A53F2" w:rsidRPr="00E95BC4">
        <w:rPr>
          <w:b/>
          <w:lang w:val="sr-Cyrl-CS"/>
        </w:rPr>
        <w:t xml:space="preserve"> </w:t>
      </w:r>
      <w:r>
        <w:rPr>
          <w:b/>
          <w:lang w:val="sr-Cyrl-CS"/>
        </w:rPr>
        <w:t>izvor</w:t>
      </w:r>
      <w:r w:rsidR="006A53F2" w:rsidRPr="00E95BC4">
        <w:rPr>
          <w:b/>
          <w:lang w:val="sr-Cyrl-CS"/>
        </w:rPr>
        <w:t xml:space="preserve"> 1: </w:t>
      </w:r>
      <w:r>
        <w:rPr>
          <w:lang w:val="sr-Cyrl-CS"/>
        </w:rPr>
        <w:t>Najcelovitiju</w:t>
      </w:r>
      <w:r w:rsidR="0034189E" w:rsidRPr="00E95BC4">
        <w:rPr>
          <w:lang w:val="sr-Cyrl-CS"/>
        </w:rPr>
        <w:t xml:space="preserve"> </w:t>
      </w:r>
      <w:r>
        <w:rPr>
          <w:lang w:val="sr-Cyrl-CS"/>
        </w:rPr>
        <w:t>analizu</w:t>
      </w:r>
      <w:r w:rsidR="0034189E" w:rsidRPr="00E95BC4">
        <w:rPr>
          <w:lang w:val="sr-Cyrl-CS"/>
        </w:rPr>
        <w:t xml:space="preserve"> </w:t>
      </w:r>
      <w:r>
        <w:rPr>
          <w:lang w:val="sr-Cyrl-CS"/>
        </w:rPr>
        <w:t>stanja</w:t>
      </w:r>
      <w:r w:rsidR="0034189E" w:rsidRPr="00E95BC4">
        <w:rPr>
          <w:lang w:val="sr-Cyrl-CS"/>
        </w:rPr>
        <w:t xml:space="preserve"> </w:t>
      </w:r>
      <w:r>
        <w:rPr>
          <w:lang w:val="sr-Cyrl-CS"/>
        </w:rPr>
        <w:t>sistema</w:t>
      </w:r>
      <w:r w:rsidR="0034189E" w:rsidRPr="00E95BC4">
        <w:rPr>
          <w:lang w:val="sr-Cyrl-CS"/>
        </w:rPr>
        <w:t xml:space="preserve"> </w:t>
      </w:r>
      <w:r>
        <w:rPr>
          <w:lang w:val="sr-Cyrl-CS"/>
        </w:rPr>
        <w:t>za</w:t>
      </w:r>
      <w:r w:rsidR="0034189E" w:rsidRPr="00E95BC4">
        <w:rPr>
          <w:lang w:val="sr-Cyrl-CS"/>
        </w:rPr>
        <w:t xml:space="preserve"> </w:t>
      </w:r>
      <w:r>
        <w:rPr>
          <w:lang w:val="sr-Cyrl-CS"/>
        </w:rPr>
        <w:t>borbu</w:t>
      </w:r>
      <w:r w:rsidR="0034189E" w:rsidRPr="00E95BC4">
        <w:rPr>
          <w:lang w:val="sr-Cyrl-CS"/>
        </w:rPr>
        <w:t xml:space="preserve"> </w:t>
      </w:r>
      <w:r>
        <w:rPr>
          <w:lang w:val="sr-Cyrl-CS"/>
        </w:rPr>
        <w:t>protiv</w:t>
      </w:r>
      <w:r w:rsidR="0034189E" w:rsidRPr="00E95BC4">
        <w:rPr>
          <w:lang w:val="sr-Cyrl-CS"/>
        </w:rPr>
        <w:t xml:space="preserve"> </w:t>
      </w:r>
      <w:r>
        <w:rPr>
          <w:lang w:val="sr-Cyrl-CS"/>
        </w:rPr>
        <w:t>pranja</w:t>
      </w:r>
      <w:r w:rsidR="0034189E" w:rsidRPr="00E95BC4">
        <w:rPr>
          <w:lang w:val="sr-Cyrl-CS"/>
        </w:rPr>
        <w:t xml:space="preserve"> </w:t>
      </w:r>
      <w:r>
        <w:rPr>
          <w:lang w:val="sr-Cyrl-CS"/>
        </w:rPr>
        <w:t>novca</w:t>
      </w:r>
      <w:r w:rsidR="0034189E" w:rsidRPr="00E95BC4">
        <w:rPr>
          <w:lang w:val="sr-Cyrl-CS"/>
        </w:rPr>
        <w:t xml:space="preserve">, </w:t>
      </w:r>
      <w:r>
        <w:rPr>
          <w:lang w:val="sr-Cyrl-CS"/>
        </w:rPr>
        <w:t>finansiranja</w:t>
      </w:r>
      <w:r w:rsidR="0034189E" w:rsidRPr="00E95BC4">
        <w:rPr>
          <w:lang w:val="sr-Cyrl-CS"/>
        </w:rPr>
        <w:t xml:space="preserve"> </w:t>
      </w:r>
      <w:r>
        <w:rPr>
          <w:lang w:val="sr-Cyrl-CS"/>
        </w:rPr>
        <w:t>terorizma</w:t>
      </w:r>
      <w:r w:rsidR="0034189E" w:rsidRPr="00E95BC4">
        <w:rPr>
          <w:lang w:val="sr-Cyrl-CS"/>
        </w:rPr>
        <w:t xml:space="preserve"> </w:t>
      </w:r>
      <w:r>
        <w:rPr>
          <w:lang w:val="sr-Cyrl-CS"/>
        </w:rPr>
        <w:t>i</w:t>
      </w:r>
      <w:r w:rsidR="0034189E" w:rsidRPr="00E95BC4">
        <w:rPr>
          <w:lang w:val="sr-Cyrl-CS"/>
        </w:rPr>
        <w:t xml:space="preserve"> </w:t>
      </w:r>
      <w:r>
        <w:rPr>
          <w:lang w:val="sr-Cyrl-CS"/>
        </w:rPr>
        <w:t>finansiranja</w:t>
      </w:r>
      <w:r w:rsidR="0034189E" w:rsidRPr="00E95BC4">
        <w:rPr>
          <w:lang w:val="sr-Cyrl-CS"/>
        </w:rPr>
        <w:t xml:space="preserve"> </w:t>
      </w:r>
      <w:r>
        <w:rPr>
          <w:lang w:val="sr-Cyrl-CS"/>
        </w:rPr>
        <w:t>širenja</w:t>
      </w:r>
      <w:r w:rsidR="0034189E" w:rsidRPr="00E95BC4">
        <w:rPr>
          <w:lang w:val="sr-Cyrl-CS"/>
        </w:rPr>
        <w:t xml:space="preserve"> </w:t>
      </w:r>
      <w:r>
        <w:rPr>
          <w:lang w:val="sr-Cyrl-CS"/>
        </w:rPr>
        <w:t>oružja</w:t>
      </w:r>
      <w:r w:rsidR="0034189E" w:rsidRPr="00E95BC4">
        <w:rPr>
          <w:lang w:val="sr-Cyrl-CS"/>
        </w:rPr>
        <w:t xml:space="preserve"> </w:t>
      </w:r>
      <w:r>
        <w:rPr>
          <w:lang w:val="sr-Cyrl-CS"/>
        </w:rPr>
        <w:t>za</w:t>
      </w:r>
      <w:r w:rsidR="0034189E" w:rsidRPr="00E95BC4">
        <w:rPr>
          <w:lang w:val="sr-Cyrl-CS"/>
        </w:rPr>
        <w:t xml:space="preserve"> </w:t>
      </w:r>
      <w:r>
        <w:rPr>
          <w:lang w:val="sr-Cyrl-CS"/>
        </w:rPr>
        <w:t>masovno</w:t>
      </w:r>
      <w:r w:rsidR="0034189E" w:rsidRPr="00E95BC4">
        <w:rPr>
          <w:lang w:val="sr-Cyrl-CS"/>
        </w:rPr>
        <w:t xml:space="preserve"> </w:t>
      </w:r>
      <w:r>
        <w:rPr>
          <w:lang w:val="sr-Cyrl-CS"/>
        </w:rPr>
        <w:t>uništenje</w:t>
      </w:r>
      <w:r w:rsidR="0034189E" w:rsidRPr="00E95BC4">
        <w:rPr>
          <w:lang w:val="sr-Cyrl-CS"/>
        </w:rPr>
        <w:t xml:space="preserve"> </w:t>
      </w:r>
      <w:r>
        <w:rPr>
          <w:lang w:val="sr-Cyrl-CS"/>
        </w:rPr>
        <w:t>u</w:t>
      </w:r>
      <w:r w:rsidR="0034189E" w:rsidRPr="00E95BC4">
        <w:rPr>
          <w:lang w:val="sr-Cyrl-CS"/>
        </w:rPr>
        <w:t xml:space="preserve"> </w:t>
      </w:r>
      <w:r>
        <w:rPr>
          <w:lang w:val="sr-Cyrl-CS"/>
        </w:rPr>
        <w:t>Republici</w:t>
      </w:r>
      <w:r w:rsidR="0034189E" w:rsidRPr="00E95BC4">
        <w:rPr>
          <w:lang w:val="sr-Cyrl-CS"/>
        </w:rPr>
        <w:t xml:space="preserve"> </w:t>
      </w:r>
      <w:r>
        <w:rPr>
          <w:lang w:val="sr-Cyrl-CS"/>
        </w:rPr>
        <w:t>Srbiji</w:t>
      </w:r>
      <w:r w:rsidR="0034189E" w:rsidRPr="00E95BC4">
        <w:rPr>
          <w:lang w:val="sr-Cyrl-CS"/>
        </w:rPr>
        <w:t xml:space="preserve"> </w:t>
      </w:r>
      <w:r>
        <w:rPr>
          <w:lang w:val="sr-Cyrl-CS"/>
        </w:rPr>
        <w:t>dat</w:t>
      </w:r>
      <w:r w:rsidR="006C3281" w:rsidRPr="00E95BC4">
        <w:rPr>
          <w:lang w:val="sr-Cyrl-CS"/>
        </w:rPr>
        <w:t xml:space="preserve"> </w:t>
      </w:r>
      <w:r>
        <w:rPr>
          <w:lang w:val="sr-Cyrl-CS"/>
        </w:rPr>
        <w:t>je</w:t>
      </w:r>
      <w:r w:rsidR="006C3281" w:rsidRPr="00E95BC4">
        <w:rPr>
          <w:lang w:val="sr-Cyrl-CS"/>
        </w:rPr>
        <w:t xml:space="preserve"> </w:t>
      </w:r>
      <w:r>
        <w:rPr>
          <w:lang w:val="sr-Cyrl-CS"/>
        </w:rPr>
        <w:t>u</w:t>
      </w:r>
      <w:r w:rsidR="006C3281" w:rsidRPr="00E95BC4">
        <w:rPr>
          <w:lang w:val="sr-Cyrl-CS"/>
        </w:rPr>
        <w:t xml:space="preserve"> </w:t>
      </w:r>
      <w:r>
        <w:rPr>
          <w:lang w:val="sr-Cyrl-CS"/>
        </w:rPr>
        <w:t>okviru</w:t>
      </w:r>
      <w:r w:rsidR="006C3281" w:rsidRPr="00E95BC4">
        <w:rPr>
          <w:lang w:val="sr-Cyrl-CS"/>
        </w:rPr>
        <w:t xml:space="preserve"> </w:t>
      </w:r>
      <w:r>
        <w:rPr>
          <w:lang w:val="sr-Cyrl-CS"/>
        </w:rPr>
        <w:t>procesa</w:t>
      </w:r>
      <w:r w:rsidR="006C3281" w:rsidRPr="00E95BC4">
        <w:rPr>
          <w:lang w:val="sr-Cyrl-CS"/>
        </w:rPr>
        <w:t xml:space="preserve"> </w:t>
      </w:r>
      <w:r>
        <w:rPr>
          <w:b/>
          <w:lang w:val="sr-Cyrl-CS"/>
        </w:rPr>
        <w:t>uzajamne</w:t>
      </w:r>
      <w:r w:rsidR="006C3281" w:rsidRPr="00E95BC4">
        <w:rPr>
          <w:b/>
          <w:lang w:val="sr-Cyrl-CS"/>
        </w:rPr>
        <w:t xml:space="preserve"> </w:t>
      </w:r>
      <w:r>
        <w:rPr>
          <w:b/>
          <w:lang w:val="sr-Cyrl-CS"/>
        </w:rPr>
        <w:t>evaluacije</w:t>
      </w:r>
      <w:r w:rsidR="0034189E" w:rsidRPr="00E95BC4">
        <w:rPr>
          <w:b/>
          <w:lang w:val="sr-Cyrl-CS"/>
        </w:rPr>
        <w:t xml:space="preserve"> </w:t>
      </w:r>
      <w:r>
        <w:rPr>
          <w:b/>
          <w:lang w:val="sr-Cyrl-CS"/>
        </w:rPr>
        <w:t>Republike</w:t>
      </w:r>
      <w:r w:rsidR="0034189E" w:rsidRPr="00E95BC4">
        <w:rPr>
          <w:b/>
          <w:lang w:val="sr-Cyrl-CS"/>
        </w:rPr>
        <w:t xml:space="preserve"> </w:t>
      </w:r>
      <w:r>
        <w:rPr>
          <w:b/>
          <w:lang w:val="sr-Cyrl-CS"/>
        </w:rPr>
        <w:t>Srbije</w:t>
      </w:r>
      <w:r w:rsidR="0034189E" w:rsidRPr="00E95BC4">
        <w:rPr>
          <w:b/>
          <w:lang w:val="sr-Cyrl-CS"/>
        </w:rPr>
        <w:t xml:space="preserve"> </w:t>
      </w:r>
      <w:r>
        <w:rPr>
          <w:b/>
          <w:lang w:val="sr-Cyrl-CS"/>
        </w:rPr>
        <w:t>od</w:t>
      </w:r>
      <w:r w:rsidR="006C3281" w:rsidRPr="00E95BC4">
        <w:rPr>
          <w:b/>
          <w:lang w:val="sr-Cyrl-CS"/>
        </w:rPr>
        <w:t xml:space="preserve"> </w:t>
      </w:r>
      <w:r>
        <w:rPr>
          <w:b/>
          <w:lang w:val="sr-Cyrl-CS"/>
        </w:rPr>
        <w:t>strane</w:t>
      </w:r>
      <w:r w:rsidR="006C3281" w:rsidRPr="00E95BC4">
        <w:rPr>
          <w:b/>
          <w:lang w:val="sr-Cyrl-CS"/>
        </w:rPr>
        <w:t xml:space="preserve"> </w:t>
      </w:r>
      <w:r>
        <w:rPr>
          <w:b/>
          <w:lang w:val="sr-Cyrl-CS"/>
        </w:rPr>
        <w:t>Manivala</w:t>
      </w:r>
      <w:r w:rsidR="006C3281" w:rsidRPr="00E95BC4">
        <w:rPr>
          <w:lang w:val="sr-Cyrl-CS"/>
        </w:rPr>
        <w:t xml:space="preserve"> </w:t>
      </w:r>
      <w:r>
        <w:rPr>
          <w:lang w:val="sr-Cyrl-CS"/>
        </w:rPr>
        <w:t>i</w:t>
      </w:r>
      <w:r w:rsidR="006C3281" w:rsidRPr="00E95BC4">
        <w:rPr>
          <w:lang w:val="sr-Cyrl-CS"/>
        </w:rPr>
        <w:t xml:space="preserve"> </w:t>
      </w:r>
      <w:r>
        <w:rPr>
          <w:lang w:val="sr-Cyrl-CS"/>
        </w:rPr>
        <w:t>to</w:t>
      </w:r>
      <w:r w:rsidR="006C3281" w:rsidRPr="00E95BC4">
        <w:rPr>
          <w:lang w:val="sr-Cyrl-CS"/>
        </w:rPr>
        <w:t xml:space="preserve"> </w:t>
      </w:r>
      <w:r>
        <w:rPr>
          <w:lang w:val="sr-Cyrl-CS"/>
        </w:rPr>
        <w:t>kroz</w:t>
      </w:r>
      <w:r w:rsidR="006C3281" w:rsidRPr="00E95BC4">
        <w:rPr>
          <w:lang w:val="sr-Cyrl-CS"/>
        </w:rPr>
        <w:t xml:space="preserve"> </w:t>
      </w:r>
      <w:r>
        <w:rPr>
          <w:lang w:val="sr-Cyrl-CS"/>
        </w:rPr>
        <w:t>Izveštaj</w:t>
      </w:r>
      <w:r w:rsidR="006C3281" w:rsidRPr="00E95BC4">
        <w:rPr>
          <w:lang w:val="sr-Cyrl-CS"/>
        </w:rPr>
        <w:t xml:space="preserve"> </w:t>
      </w:r>
      <w:r>
        <w:rPr>
          <w:lang w:val="sr-Cyrl-CS"/>
        </w:rPr>
        <w:t>o</w:t>
      </w:r>
      <w:r w:rsidR="006C3281" w:rsidRPr="00E95BC4">
        <w:rPr>
          <w:lang w:val="sr-Cyrl-CS"/>
        </w:rPr>
        <w:t xml:space="preserve"> </w:t>
      </w:r>
      <w:r>
        <w:rPr>
          <w:lang w:val="sr-Cyrl-CS"/>
        </w:rPr>
        <w:t>uzajamnoj</w:t>
      </w:r>
      <w:r w:rsidR="006C3281" w:rsidRPr="00E95BC4">
        <w:rPr>
          <w:lang w:val="sr-Cyrl-CS"/>
        </w:rPr>
        <w:t xml:space="preserve"> </w:t>
      </w:r>
      <w:r>
        <w:rPr>
          <w:lang w:val="sr-Cyrl-CS"/>
        </w:rPr>
        <w:t>evaluaciji</w:t>
      </w:r>
      <w:r w:rsidR="006C3281" w:rsidRPr="00E95BC4">
        <w:rPr>
          <w:lang w:val="sr-Cyrl-CS"/>
        </w:rPr>
        <w:t xml:space="preserve"> </w:t>
      </w:r>
      <w:r>
        <w:rPr>
          <w:lang w:val="sr-Cyrl-CS"/>
        </w:rPr>
        <w:t>i</w:t>
      </w:r>
      <w:r w:rsidR="006C3281" w:rsidRPr="00E95BC4">
        <w:rPr>
          <w:lang w:val="sr-Cyrl-CS"/>
        </w:rPr>
        <w:t xml:space="preserve"> </w:t>
      </w:r>
      <w:r>
        <w:rPr>
          <w:lang w:val="sr-Cyrl-CS"/>
        </w:rPr>
        <w:t>potonje</w:t>
      </w:r>
      <w:r w:rsidR="006C3281" w:rsidRPr="00E95BC4">
        <w:rPr>
          <w:lang w:val="sr-Cyrl-CS"/>
        </w:rPr>
        <w:t xml:space="preserve"> </w:t>
      </w:r>
      <w:r>
        <w:rPr>
          <w:lang w:val="sr-Cyrl-CS"/>
        </w:rPr>
        <w:t>izveštaje</w:t>
      </w:r>
      <w:r w:rsidR="006C3281" w:rsidRPr="00E95BC4">
        <w:rPr>
          <w:lang w:val="sr-Cyrl-CS"/>
        </w:rPr>
        <w:t xml:space="preserve"> </w:t>
      </w:r>
      <w:r>
        <w:rPr>
          <w:lang w:val="sr-Cyrl-CS"/>
        </w:rPr>
        <w:t>o</w:t>
      </w:r>
      <w:r w:rsidR="006C3281" w:rsidRPr="00E95BC4">
        <w:rPr>
          <w:lang w:val="sr-Cyrl-CS"/>
        </w:rPr>
        <w:t xml:space="preserve"> </w:t>
      </w:r>
      <w:r>
        <w:rPr>
          <w:lang w:val="sr-Cyrl-CS"/>
        </w:rPr>
        <w:t>napretku</w:t>
      </w:r>
      <w:r w:rsidR="006C3281" w:rsidRPr="00E95BC4">
        <w:rPr>
          <w:lang w:val="sr-Cyrl-CS"/>
        </w:rPr>
        <w:t xml:space="preserve"> </w:t>
      </w:r>
      <w:r>
        <w:rPr>
          <w:lang w:val="sr-Cyrl-CS"/>
        </w:rPr>
        <w:t>na</w:t>
      </w:r>
      <w:r w:rsidR="006C3281" w:rsidRPr="00E95BC4">
        <w:rPr>
          <w:lang w:val="sr-Cyrl-CS"/>
        </w:rPr>
        <w:t xml:space="preserve"> </w:t>
      </w:r>
      <w:r>
        <w:rPr>
          <w:lang w:val="sr-Cyrl-CS"/>
        </w:rPr>
        <w:t>ispunjavanju</w:t>
      </w:r>
      <w:r w:rsidR="006C3281" w:rsidRPr="00E95BC4">
        <w:rPr>
          <w:lang w:val="sr-Cyrl-CS"/>
        </w:rPr>
        <w:t xml:space="preserve"> </w:t>
      </w:r>
      <w:r>
        <w:rPr>
          <w:lang w:val="sr-Cyrl-CS"/>
        </w:rPr>
        <w:t>preporuka</w:t>
      </w:r>
      <w:r w:rsidR="006C3281" w:rsidRPr="00E95BC4">
        <w:rPr>
          <w:lang w:val="sr-Cyrl-CS"/>
        </w:rPr>
        <w:t xml:space="preserve"> </w:t>
      </w:r>
      <w:r>
        <w:rPr>
          <w:lang w:val="sr-Cyrl-CS"/>
        </w:rPr>
        <w:t>Manivala</w:t>
      </w:r>
      <w:r w:rsidR="006C3281" w:rsidRPr="00E95BC4">
        <w:rPr>
          <w:lang w:val="sr-Cyrl-CS"/>
        </w:rPr>
        <w:t>.</w:t>
      </w:r>
      <w:r w:rsidR="006A53F2" w:rsidRPr="00E95BC4">
        <w:rPr>
          <w:lang w:val="sr-Cyrl-CS"/>
        </w:rPr>
        <w:t xml:space="preserve"> </w:t>
      </w:r>
      <w:r>
        <w:rPr>
          <w:lang w:val="sr-Cyrl-CS"/>
        </w:rPr>
        <w:t>Manival</w:t>
      </w:r>
      <w:r w:rsidR="006C3281" w:rsidRPr="00E95BC4">
        <w:rPr>
          <w:lang w:val="sr-Cyrl-CS"/>
        </w:rPr>
        <w:t xml:space="preserve"> </w:t>
      </w:r>
      <w:r>
        <w:rPr>
          <w:lang w:val="sr-Cyrl-CS"/>
        </w:rPr>
        <w:t>analizira</w:t>
      </w:r>
      <w:r w:rsidR="006C3281" w:rsidRPr="00E95BC4">
        <w:rPr>
          <w:lang w:val="sr-Cyrl-CS"/>
        </w:rPr>
        <w:t xml:space="preserve"> </w:t>
      </w:r>
      <w:r>
        <w:rPr>
          <w:lang w:val="sr-Cyrl-CS"/>
        </w:rPr>
        <w:t>stanje</w:t>
      </w:r>
      <w:r w:rsidR="006C3281" w:rsidRPr="00E95BC4">
        <w:rPr>
          <w:lang w:val="sr-Cyrl-CS"/>
        </w:rPr>
        <w:t xml:space="preserve"> </w:t>
      </w:r>
      <w:r>
        <w:rPr>
          <w:lang w:val="sr-Cyrl-CS"/>
        </w:rPr>
        <w:t>i</w:t>
      </w:r>
      <w:r w:rsidR="006C3281" w:rsidRPr="00E95BC4">
        <w:rPr>
          <w:lang w:val="sr-Cyrl-CS"/>
        </w:rPr>
        <w:t xml:space="preserve"> </w:t>
      </w:r>
      <w:r>
        <w:rPr>
          <w:lang w:val="sr-Cyrl-CS"/>
        </w:rPr>
        <w:t>daje</w:t>
      </w:r>
      <w:r w:rsidR="006C3281" w:rsidRPr="00E95BC4">
        <w:rPr>
          <w:lang w:val="sr-Cyrl-CS"/>
        </w:rPr>
        <w:t xml:space="preserve"> </w:t>
      </w:r>
      <w:r>
        <w:rPr>
          <w:lang w:val="sr-Cyrl-CS"/>
        </w:rPr>
        <w:t>preporuke</w:t>
      </w:r>
      <w:r w:rsidR="006C3281" w:rsidRPr="00E95BC4">
        <w:rPr>
          <w:lang w:val="sr-Cyrl-CS"/>
        </w:rPr>
        <w:t xml:space="preserve"> </w:t>
      </w:r>
      <w:r>
        <w:rPr>
          <w:lang w:val="sr-Cyrl-CS"/>
        </w:rPr>
        <w:t>za</w:t>
      </w:r>
      <w:r w:rsidR="006C3281" w:rsidRPr="00E95BC4">
        <w:rPr>
          <w:lang w:val="sr-Cyrl-CS"/>
        </w:rPr>
        <w:t xml:space="preserve"> </w:t>
      </w:r>
      <w:r>
        <w:rPr>
          <w:lang w:val="sr-Cyrl-CS"/>
        </w:rPr>
        <w:t>unapređenje</w:t>
      </w:r>
      <w:r w:rsidR="006C3281" w:rsidRPr="00E95BC4">
        <w:rPr>
          <w:lang w:val="sr-Cyrl-CS"/>
        </w:rPr>
        <w:t xml:space="preserve"> </w:t>
      </w:r>
      <w:r>
        <w:rPr>
          <w:lang w:val="sr-Cyrl-CS"/>
        </w:rPr>
        <w:t>stanja</w:t>
      </w:r>
      <w:r w:rsidR="006C3281" w:rsidRPr="00E95BC4">
        <w:rPr>
          <w:lang w:val="sr-Cyrl-CS"/>
        </w:rPr>
        <w:t xml:space="preserve"> </w:t>
      </w:r>
      <w:r>
        <w:rPr>
          <w:lang w:val="sr-Cyrl-CS"/>
        </w:rPr>
        <w:t>na</w:t>
      </w:r>
      <w:r w:rsidR="006C3281" w:rsidRPr="00E95BC4">
        <w:rPr>
          <w:lang w:val="sr-Cyrl-CS"/>
        </w:rPr>
        <w:t xml:space="preserve"> </w:t>
      </w:r>
      <w:r>
        <w:rPr>
          <w:lang w:val="sr-Cyrl-CS"/>
        </w:rPr>
        <w:t>nivou</w:t>
      </w:r>
      <w:r w:rsidR="006C3281" w:rsidRPr="00E95BC4">
        <w:rPr>
          <w:lang w:val="sr-Cyrl-CS"/>
        </w:rPr>
        <w:t xml:space="preserve"> </w:t>
      </w:r>
      <w:r>
        <w:rPr>
          <w:lang w:val="sr-Cyrl-CS"/>
        </w:rPr>
        <w:t>tehničke</w:t>
      </w:r>
      <w:r w:rsidR="006C3281" w:rsidRPr="00E95BC4">
        <w:rPr>
          <w:lang w:val="sr-Cyrl-CS"/>
        </w:rPr>
        <w:t xml:space="preserve"> </w:t>
      </w:r>
      <w:r>
        <w:rPr>
          <w:lang w:val="sr-Cyrl-CS"/>
        </w:rPr>
        <w:t>usklađenosti</w:t>
      </w:r>
      <w:r w:rsidR="006C3281" w:rsidRPr="00E95BC4">
        <w:rPr>
          <w:lang w:val="sr-Cyrl-CS"/>
        </w:rPr>
        <w:t xml:space="preserve"> (</w:t>
      </w:r>
      <w:r>
        <w:rPr>
          <w:lang w:val="sr-Cyrl-CS"/>
        </w:rPr>
        <w:t>usklađenost</w:t>
      </w:r>
      <w:r w:rsidR="006C3281" w:rsidRPr="00E95BC4">
        <w:rPr>
          <w:lang w:val="sr-Cyrl-CS"/>
        </w:rPr>
        <w:t xml:space="preserve"> </w:t>
      </w:r>
      <w:r>
        <w:rPr>
          <w:lang w:val="sr-Cyrl-CS"/>
        </w:rPr>
        <w:t>sa</w:t>
      </w:r>
      <w:r w:rsidR="006C3281" w:rsidRPr="00E95BC4">
        <w:rPr>
          <w:lang w:val="sr-Cyrl-CS"/>
        </w:rPr>
        <w:t xml:space="preserve"> </w:t>
      </w:r>
      <w:r>
        <w:rPr>
          <w:lang w:val="sr-Cyrl-CS"/>
        </w:rPr>
        <w:t>konkretnim</w:t>
      </w:r>
      <w:r w:rsidR="006C3281" w:rsidRPr="00E95BC4">
        <w:rPr>
          <w:lang w:val="sr-Cyrl-CS"/>
        </w:rPr>
        <w:t xml:space="preserve"> </w:t>
      </w:r>
      <w:r>
        <w:rPr>
          <w:lang w:val="sr-Cyrl-CS"/>
        </w:rPr>
        <w:t>kriterijumima</w:t>
      </w:r>
      <w:r w:rsidR="006C3281" w:rsidRPr="00E95BC4">
        <w:rPr>
          <w:lang w:val="sr-Cyrl-CS"/>
        </w:rPr>
        <w:t xml:space="preserve"> </w:t>
      </w:r>
      <w:r>
        <w:rPr>
          <w:lang w:val="sr-Cyrl-CS"/>
        </w:rPr>
        <w:t>svih</w:t>
      </w:r>
      <w:r w:rsidR="006C3281" w:rsidRPr="00E95BC4">
        <w:rPr>
          <w:lang w:val="sr-Cyrl-CS"/>
        </w:rPr>
        <w:t xml:space="preserve"> 40 </w:t>
      </w:r>
      <w:r>
        <w:rPr>
          <w:lang w:val="sr-Cyrl-CS"/>
        </w:rPr>
        <w:t>preporuka</w:t>
      </w:r>
      <w:r w:rsidR="006C3281" w:rsidRPr="00E95BC4">
        <w:rPr>
          <w:lang w:val="sr-Cyrl-CS"/>
        </w:rPr>
        <w:t xml:space="preserve"> </w:t>
      </w:r>
      <w:r>
        <w:rPr>
          <w:lang w:val="sr-Cyrl-CS"/>
        </w:rPr>
        <w:t>FATF</w:t>
      </w:r>
      <w:r w:rsidR="006C3281" w:rsidRPr="00E95BC4">
        <w:rPr>
          <w:lang w:val="sr-Cyrl-CS"/>
        </w:rPr>
        <w:t xml:space="preserve">) </w:t>
      </w:r>
      <w:r>
        <w:rPr>
          <w:lang w:val="sr-Cyrl-CS"/>
        </w:rPr>
        <w:t>i</w:t>
      </w:r>
      <w:r w:rsidR="006C3281" w:rsidRPr="00E95BC4">
        <w:rPr>
          <w:lang w:val="sr-Cyrl-CS"/>
        </w:rPr>
        <w:t xml:space="preserve"> </w:t>
      </w:r>
      <w:r>
        <w:rPr>
          <w:lang w:val="sr-Cyrl-CS"/>
        </w:rPr>
        <w:t>na</w:t>
      </w:r>
      <w:r w:rsidR="006C3281" w:rsidRPr="00E95BC4">
        <w:rPr>
          <w:lang w:val="sr-Cyrl-CS"/>
        </w:rPr>
        <w:t xml:space="preserve"> </w:t>
      </w:r>
      <w:r>
        <w:rPr>
          <w:lang w:val="sr-Cyrl-CS"/>
        </w:rPr>
        <w:t>nivou</w:t>
      </w:r>
      <w:r w:rsidR="006C3281" w:rsidRPr="00E95BC4">
        <w:rPr>
          <w:lang w:val="sr-Cyrl-CS"/>
        </w:rPr>
        <w:t xml:space="preserve"> </w:t>
      </w:r>
      <w:r>
        <w:rPr>
          <w:lang w:val="sr-Cyrl-CS"/>
        </w:rPr>
        <w:t>delotvornosti</w:t>
      </w:r>
      <w:r w:rsidR="006C3281" w:rsidRPr="00E95BC4">
        <w:rPr>
          <w:lang w:val="sr-Cyrl-CS"/>
        </w:rPr>
        <w:t xml:space="preserve"> (</w:t>
      </w:r>
      <w:r>
        <w:rPr>
          <w:lang w:val="sr-Cyrl-CS"/>
        </w:rPr>
        <w:t>efektivnosti</w:t>
      </w:r>
      <w:r w:rsidR="006C3281" w:rsidRPr="00E95BC4">
        <w:rPr>
          <w:lang w:val="sr-Cyrl-CS"/>
        </w:rPr>
        <w:t xml:space="preserve">) </w:t>
      </w:r>
      <w:r>
        <w:rPr>
          <w:lang w:val="sr-Cyrl-CS"/>
        </w:rPr>
        <w:t>sistema</w:t>
      </w:r>
      <w:r w:rsidR="006C3281" w:rsidRPr="00E95BC4">
        <w:rPr>
          <w:lang w:val="sr-Cyrl-CS"/>
        </w:rPr>
        <w:t xml:space="preserve">, </w:t>
      </w:r>
      <w:r>
        <w:rPr>
          <w:lang w:val="sr-Cyrl-CS"/>
        </w:rPr>
        <w:t>sve</w:t>
      </w:r>
      <w:r w:rsidR="006C3281" w:rsidRPr="00E95BC4">
        <w:rPr>
          <w:lang w:val="sr-Cyrl-CS"/>
        </w:rPr>
        <w:t xml:space="preserve"> </w:t>
      </w:r>
      <w:r>
        <w:rPr>
          <w:lang w:val="sr-Cyrl-CS"/>
        </w:rPr>
        <w:t>u</w:t>
      </w:r>
      <w:r w:rsidR="006C3281" w:rsidRPr="00E95BC4">
        <w:rPr>
          <w:lang w:val="sr-Cyrl-CS"/>
        </w:rPr>
        <w:t xml:space="preserve"> </w:t>
      </w:r>
      <w:r>
        <w:rPr>
          <w:lang w:val="sr-Cyrl-CS"/>
        </w:rPr>
        <w:t>skladu</w:t>
      </w:r>
      <w:r w:rsidR="006C3281" w:rsidRPr="00E95BC4">
        <w:rPr>
          <w:lang w:val="sr-Cyrl-CS"/>
        </w:rPr>
        <w:t xml:space="preserve"> </w:t>
      </w:r>
      <w:r>
        <w:rPr>
          <w:lang w:val="sr-Cyrl-CS"/>
        </w:rPr>
        <w:t>sa</w:t>
      </w:r>
      <w:r w:rsidR="006C3281" w:rsidRPr="00E95BC4">
        <w:rPr>
          <w:lang w:val="sr-Cyrl-CS"/>
        </w:rPr>
        <w:t xml:space="preserve"> </w:t>
      </w:r>
      <w:r>
        <w:rPr>
          <w:lang w:val="sr-Cyrl-CS"/>
        </w:rPr>
        <w:t>Metodologijom</w:t>
      </w:r>
      <w:r w:rsidR="006C3281" w:rsidRPr="00E95BC4">
        <w:rPr>
          <w:lang w:val="sr-Cyrl-CS"/>
        </w:rPr>
        <w:t xml:space="preserve"> </w:t>
      </w:r>
      <w:r>
        <w:rPr>
          <w:lang w:val="sr-Cyrl-CS"/>
        </w:rPr>
        <w:t>FATF</w:t>
      </w:r>
      <w:r w:rsidR="006C3281" w:rsidRPr="00E95BC4">
        <w:rPr>
          <w:lang w:val="sr-Cyrl-CS"/>
        </w:rPr>
        <w:t>.</w:t>
      </w:r>
      <w:r w:rsidR="006C15FB" w:rsidRPr="00E95BC4">
        <w:rPr>
          <w:rStyle w:val="FootnoteReference"/>
          <w:lang w:val="sr-Cyrl-CS"/>
        </w:rPr>
        <w:footnoteReference w:id="15"/>
      </w:r>
    </w:p>
    <w:p w:rsidR="006C3281" w:rsidRPr="00E95BC4" w:rsidRDefault="005818C0" w:rsidP="00285FD7">
      <w:pPr>
        <w:ind w:firstLine="720"/>
        <w:jc w:val="both"/>
        <w:rPr>
          <w:lang w:val="sr-Cyrl-CS"/>
        </w:rPr>
      </w:pPr>
      <w:r>
        <w:rPr>
          <w:b/>
          <w:lang w:val="sr-Cyrl-CS"/>
        </w:rPr>
        <w:t>Ključni</w:t>
      </w:r>
      <w:r w:rsidR="006A53F2" w:rsidRPr="00E95BC4">
        <w:rPr>
          <w:b/>
          <w:lang w:val="sr-Cyrl-CS"/>
        </w:rPr>
        <w:t xml:space="preserve"> </w:t>
      </w:r>
      <w:r>
        <w:rPr>
          <w:b/>
          <w:lang w:val="sr-Cyrl-CS"/>
        </w:rPr>
        <w:t>izvor</w:t>
      </w:r>
      <w:r w:rsidR="006A53F2" w:rsidRPr="00E95BC4">
        <w:rPr>
          <w:b/>
          <w:lang w:val="sr-Cyrl-CS"/>
        </w:rPr>
        <w:t xml:space="preserve"> 2: </w:t>
      </w:r>
      <w:r>
        <w:rPr>
          <w:lang w:val="sr-Cyrl-CS"/>
        </w:rPr>
        <w:t>Drugi</w:t>
      </w:r>
      <w:r w:rsidR="006C15FB" w:rsidRPr="00E95BC4">
        <w:rPr>
          <w:lang w:val="sr-Cyrl-CS"/>
        </w:rPr>
        <w:t xml:space="preserve"> </w:t>
      </w:r>
      <w:r>
        <w:rPr>
          <w:lang w:val="sr-Cyrl-CS"/>
        </w:rPr>
        <w:t>po</w:t>
      </w:r>
      <w:r w:rsidR="006C15FB" w:rsidRPr="00E95BC4">
        <w:rPr>
          <w:lang w:val="sr-Cyrl-CS"/>
        </w:rPr>
        <w:t xml:space="preserve"> </w:t>
      </w:r>
      <w:r>
        <w:rPr>
          <w:lang w:val="sr-Cyrl-CS"/>
        </w:rPr>
        <w:t>značaju</w:t>
      </w:r>
      <w:r w:rsidR="006C15FB" w:rsidRPr="00E95BC4">
        <w:rPr>
          <w:lang w:val="sr-Cyrl-CS"/>
        </w:rPr>
        <w:t xml:space="preserve"> </w:t>
      </w:r>
      <w:r>
        <w:rPr>
          <w:lang w:val="sr-Cyrl-CS"/>
        </w:rPr>
        <w:t>proces</w:t>
      </w:r>
      <w:r w:rsidR="006C15FB" w:rsidRPr="00E95BC4">
        <w:rPr>
          <w:lang w:val="sr-Cyrl-CS"/>
        </w:rPr>
        <w:t xml:space="preserve"> (</w:t>
      </w:r>
      <w:r>
        <w:rPr>
          <w:lang w:val="sr-Cyrl-CS"/>
        </w:rPr>
        <w:t>i</w:t>
      </w:r>
      <w:r w:rsidR="00903B60" w:rsidRPr="00E95BC4">
        <w:rPr>
          <w:lang w:val="sr-Cyrl-CS"/>
        </w:rPr>
        <w:t xml:space="preserve"> </w:t>
      </w:r>
      <w:r>
        <w:rPr>
          <w:lang w:val="sr-Cyrl-CS"/>
        </w:rPr>
        <w:t>dokument</w:t>
      </w:r>
      <w:r w:rsidR="006C15FB" w:rsidRPr="00E95BC4">
        <w:rPr>
          <w:lang w:val="sr-Cyrl-CS"/>
        </w:rPr>
        <w:t xml:space="preserve">) </w:t>
      </w:r>
      <w:r>
        <w:rPr>
          <w:lang w:val="sr-Cyrl-CS"/>
        </w:rPr>
        <w:t>koji</w:t>
      </w:r>
      <w:r w:rsidR="006C15FB" w:rsidRPr="00E95BC4">
        <w:rPr>
          <w:lang w:val="sr-Cyrl-CS"/>
        </w:rPr>
        <w:t xml:space="preserve"> </w:t>
      </w:r>
      <w:r>
        <w:rPr>
          <w:lang w:val="sr-Cyrl-CS"/>
        </w:rPr>
        <w:t>upućuje</w:t>
      </w:r>
      <w:r w:rsidR="006C15FB" w:rsidRPr="00E95BC4">
        <w:rPr>
          <w:lang w:val="sr-Cyrl-CS"/>
        </w:rPr>
        <w:t xml:space="preserve"> </w:t>
      </w:r>
      <w:r>
        <w:rPr>
          <w:lang w:val="sr-Cyrl-CS"/>
        </w:rPr>
        <w:t>na</w:t>
      </w:r>
      <w:r w:rsidR="006C15FB" w:rsidRPr="00E95BC4">
        <w:rPr>
          <w:lang w:val="sr-Cyrl-CS"/>
        </w:rPr>
        <w:t xml:space="preserve"> </w:t>
      </w:r>
      <w:r>
        <w:rPr>
          <w:lang w:val="sr-Cyrl-CS"/>
        </w:rPr>
        <w:t>pravce</w:t>
      </w:r>
      <w:r w:rsidR="006C15FB" w:rsidRPr="00E95BC4">
        <w:rPr>
          <w:lang w:val="sr-Cyrl-CS"/>
        </w:rPr>
        <w:t xml:space="preserve"> </w:t>
      </w:r>
      <w:r>
        <w:rPr>
          <w:lang w:val="sr-Cyrl-CS"/>
        </w:rPr>
        <w:t>kretanja</w:t>
      </w:r>
      <w:r w:rsidR="006C15FB" w:rsidRPr="00E95BC4">
        <w:rPr>
          <w:lang w:val="sr-Cyrl-CS"/>
        </w:rPr>
        <w:t xml:space="preserve"> </w:t>
      </w:r>
      <w:r>
        <w:rPr>
          <w:lang w:val="sr-Cyrl-CS"/>
        </w:rPr>
        <w:t>sistema</w:t>
      </w:r>
      <w:r w:rsidR="006C15FB" w:rsidRPr="00E95BC4">
        <w:rPr>
          <w:lang w:val="sr-Cyrl-CS"/>
        </w:rPr>
        <w:t xml:space="preserve"> </w:t>
      </w:r>
      <w:r>
        <w:rPr>
          <w:lang w:val="sr-Cyrl-CS"/>
        </w:rPr>
        <w:t>jeste</w:t>
      </w:r>
      <w:r w:rsidR="006C15FB" w:rsidRPr="00E95BC4">
        <w:rPr>
          <w:lang w:val="sr-Cyrl-CS"/>
        </w:rPr>
        <w:t xml:space="preserve"> </w:t>
      </w:r>
      <w:r>
        <w:rPr>
          <w:b/>
          <w:lang w:val="sr-Cyrl-CS"/>
        </w:rPr>
        <w:t>nacionalna</w:t>
      </w:r>
      <w:r w:rsidR="006C15FB" w:rsidRPr="00E95BC4">
        <w:rPr>
          <w:b/>
          <w:lang w:val="sr-Cyrl-CS"/>
        </w:rPr>
        <w:t xml:space="preserve"> </w:t>
      </w:r>
      <w:r>
        <w:rPr>
          <w:b/>
          <w:lang w:val="sr-Cyrl-CS"/>
        </w:rPr>
        <w:t>procena</w:t>
      </w:r>
      <w:r w:rsidR="006C15FB" w:rsidRPr="00E95BC4">
        <w:rPr>
          <w:b/>
          <w:lang w:val="sr-Cyrl-CS"/>
        </w:rPr>
        <w:t xml:space="preserve"> </w:t>
      </w:r>
      <w:r>
        <w:rPr>
          <w:b/>
          <w:lang w:val="sr-Cyrl-CS"/>
        </w:rPr>
        <w:t>rizika</w:t>
      </w:r>
      <w:r w:rsidR="006C15FB" w:rsidRPr="00E95BC4">
        <w:rPr>
          <w:lang w:val="sr-Cyrl-CS"/>
        </w:rPr>
        <w:t xml:space="preserve">. </w:t>
      </w:r>
      <w:r>
        <w:rPr>
          <w:lang w:val="sr-Cyrl-CS"/>
        </w:rPr>
        <w:t>U</w:t>
      </w:r>
      <w:r w:rsidR="006C15FB" w:rsidRPr="00E95BC4">
        <w:rPr>
          <w:lang w:val="sr-Cyrl-CS"/>
        </w:rPr>
        <w:t xml:space="preserve"> </w:t>
      </w:r>
      <w:r>
        <w:rPr>
          <w:lang w:val="sr-Cyrl-CS"/>
        </w:rPr>
        <w:t>nacionalnoj</w:t>
      </w:r>
      <w:r w:rsidR="006C15FB" w:rsidRPr="00E95BC4">
        <w:rPr>
          <w:lang w:val="sr-Cyrl-CS"/>
        </w:rPr>
        <w:t xml:space="preserve"> </w:t>
      </w:r>
      <w:r>
        <w:rPr>
          <w:lang w:val="sr-Cyrl-CS"/>
        </w:rPr>
        <w:t>proceni</w:t>
      </w:r>
      <w:r w:rsidR="006C15FB" w:rsidRPr="00E95BC4">
        <w:rPr>
          <w:lang w:val="sr-Cyrl-CS"/>
        </w:rPr>
        <w:t xml:space="preserve"> </w:t>
      </w:r>
      <w:r>
        <w:rPr>
          <w:lang w:val="sr-Cyrl-CS"/>
        </w:rPr>
        <w:t>rizika</w:t>
      </w:r>
      <w:r w:rsidR="006C15FB" w:rsidRPr="00E95BC4">
        <w:rPr>
          <w:lang w:val="sr-Cyrl-CS"/>
        </w:rPr>
        <w:t xml:space="preserve"> </w:t>
      </w:r>
      <w:r>
        <w:rPr>
          <w:lang w:val="sr-Cyrl-CS"/>
        </w:rPr>
        <w:t>se</w:t>
      </w:r>
      <w:r w:rsidR="006C15FB" w:rsidRPr="00E95BC4">
        <w:rPr>
          <w:lang w:val="sr-Cyrl-CS"/>
        </w:rPr>
        <w:t xml:space="preserve"> </w:t>
      </w:r>
      <w:r>
        <w:rPr>
          <w:lang w:val="sr-Cyrl-CS"/>
        </w:rPr>
        <w:t>utvrđuju</w:t>
      </w:r>
      <w:r w:rsidR="006C15FB" w:rsidRPr="00E95BC4">
        <w:rPr>
          <w:lang w:val="sr-Cyrl-CS"/>
        </w:rPr>
        <w:t xml:space="preserve"> </w:t>
      </w:r>
      <w:r>
        <w:rPr>
          <w:lang w:val="sr-Cyrl-CS"/>
        </w:rPr>
        <w:t>pretnje</w:t>
      </w:r>
      <w:r w:rsidR="006C15FB" w:rsidRPr="00E95BC4">
        <w:rPr>
          <w:lang w:val="sr-Cyrl-CS"/>
        </w:rPr>
        <w:t xml:space="preserve"> </w:t>
      </w:r>
      <w:r>
        <w:rPr>
          <w:lang w:val="sr-Cyrl-CS"/>
        </w:rPr>
        <w:t>po</w:t>
      </w:r>
      <w:r w:rsidR="006C15FB" w:rsidRPr="00E95BC4">
        <w:rPr>
          <w:lang w:val="sr-Cyrl-CS"/>
        </w:rPr>
        <w:t xml:space="preserve"> </w:t>
      </w:r>
      <w:r>
        <w:rPr>
          <w:lang w:val="sr-Cyrl-CS"/>
        </w:rPr>
        <w:t>sistem</w:t>
      </w:r>
      <w:r w:rsidR="006C15FB" w:rsidRPr="00E95BC4">
        <w:rPr>
          <w:lang w:val="sr-Cyrl-CS"/>
        </w:rPr>
        <w:t xml:space="preserve"> </w:t>
      </w:r>
      <w:r>
        <w:rPr>
          <w:lang w:val="sr-Cyrl-CS"/>
        </w:rPr>
        <w:t>i</w:t>
      </w:r>
      <w:r w:rsidR="006C15FB" w:rsidRPr="00E95BC4">
        <w:rPr>
          <w:lang w:val="sr-Cyrl-CS"/>
        </w:rPr>
        <w:t xml:space="preserve"> </w:t>
      </w:r>
      <w:r>
        <w:rPr>
          <w:lang w:val="sr-Cyrl-CS"/>
        </w:rPr>
        <w:t>njegove</w:t>
      </w:r>
      <w:r w:rsidR="006C15FB" w:rsidRPr="00E95BC4">
        <w:rPr>
          <w:lang w:val="sr-Cyrl-CS"/>
        </w:rPr>
        <w:t xml:space="preserve"> </w:t>
      </w:r>
      <w:r>
        <w:rPr>
          <w:lang w:val="sr-Cyrl-CS"/>
        </w:rPr>
        <w:t>slabosti</w:t>
      </w:r>
      <w:r w:rsidR="006C15FB" w:rsidRPr="00E95BC4">
        <w:rPr>
          <w:lang w:val="sr-Cyrl-CS"/>
        </w:rPr>
        <w:t xml:space="preserve"> (</w:t>
      </w:r>
      <w:r>
        <w:rPr>
          <w:lang w:val="sr-Cyrl-CS"/>
        </w:rPr>
        <w:t>ranjivost</w:t>
      </w:r>
      <w:r w:rsidR="006C15FB" w:rsidRPr="00E95BC4">
        <w:rPr>
          <w:lang w:val="sr-Cyrl-CS"/>
        </w:rPr>
        <w:t xml:space="preserve">) </w:t>
      </w:r>
      <w:r>
        <w:rPr>
          <w:lang w:val="sr-Cyrl-CS"/>
        </w:rPr>
        <w:t>na</w:t>
      </w:r>
      <w:r w:rsidR="006C15FB" w:rsidRPr="00E95BC4">
        <w:rPr>
          <w:lang w:val="sr-Cyrl-CS"/>
        </w:rPr>
        <w:t xml:space="preserve"> </w:t>
      </w:r>
      <w:r>
        <w:rPr>
          <w:lang w:val="sr-Cyrl-CS"/>
        </w:rPr>
        <w:t>osnovu</w:t>
      </w:r>
      <w:r w:rsidR="006C15FB" w:rsidRPr="00E95BC4">
        <w:rPr>
          <w:lang w:val="sr-Cyrl-CS"/>
        </w:rPr>
        <w:t xml:space="preserve"> </w:t>
      </w:r>
      <w:r>
        <w:rPr>
          <w:lang w:val="sr-Cyrl-CS"/>
        </w:rPr>
        <w:t>čega</w:t>
      </w:r>
      <w:r w:rsidR="006C15FB" w:rsidRPr="00E95BC4">
        <w:rPr>
          <w:lang w:val="sr-Cyrl-CS"/>
        </w:rPr>
        <w:t xml:space="preserve"> </w:t>
      </w:r>
      <w:r>
        <w:rPr>
          <w:lang w:val="sr-Cyrl-CS"/>
        </w:rPr>
        <w:t>se</w:t>
      </w:r>
      <w:r w:rsidR="006C15FB" w:rsidRPr="00E95BC4">
        <w:rPr>
          <w:lang w:val="sr-Cyrl-CS"/>
        </w:rPr>
        <w:t xml:space="preserve"> </w:t>
      </w:r>
      <w:r>
        <w:rPr>
          <w:lang w:val="sr-Cyrl-CS"/>
        </w:rPr>
        <w:t>izvlače</w:t>
      </w:r>
      <w:r w:rsidR="006C15FB" w:rsidRPr="00E95BC4">
        <w:rPr>
          <w:lang w:val="sr-Cyrl-CS"/>
        </w:rPr>
        <w:t xml:space="preserve"> </w:t>
      </w:r>
      <w:r>
        <w:rPr>
          <w:lang w:val="sr-Cyrl-CS"/>
        </w:rPr>
        <w:t>zaključci</w:t>
      </w:r>
      <w:r w:rsidR="006C15FB" w:rsidRPr="00E95BC4">
        <w:rPr>
          <w:lang w:val="sr-Cyrl-CS"/>
        </w:rPr>
        <w:t xml:space="preserve"> </w:t>
      </w:r>
      <w:r>
        <w:rPr>
          <w:lang w:val="sr-Cyrl-CS"/>
        </w:rPr>
        <w:t>u</w:t>
      </w:r>
      <w:r w:rsidR="006C15FB" w:rsidRPr="00E95BC4">
        <w:rPr>
          <w:lang w:val="sr-Cyrl-CS"/>
        </w:rPr>
        <w:t xml:space="preserve"> </w:t>
      </w:r>
      <w:r>
        <w:rPr>
          <w:lang w:val="sr-Cyrl-CS"/>
        </w:rPr>
        <w:t>pogledu</w:t>
      </w:r>
      <w:r w:rsidR="006C15FB" w:rsidRPr="00E95BC4">
        <w:rPr>
          <w:lang w:val="sr-Cyrl-CS"/>
        </w:rPr>
        <w:t xml:space="preserve"> </w:t>
      </w:r>
      <w:r>
        <w:rPr>
          <w:lang w:val="sr-Cyrl-CS"/>
        </w:rPr>
        <w:t>rizika</w:t>
      </w:r>
      <w:r w:rsidR="006C15FB" w:rsidRPr="00E95BC4">
        <w:rPr>
          <w:lang w:val="sr-Cyrl-CS"/>
        </w:rPr>
        <w:t xml:space="preserve"> </w:t>
      </w:r>
      <w:r>
        <w:rPr>
          <w:lang w:val="sr-Cyrl-CS"/>
        </w:rPr>
        <w:t>za</w:t>
      </w:r>
      <w:r w:rsidR="006C15FB" w:rsidRPr="00E95BC4">
        <w:rPr>
          <w:lang w:val="sr-Cyrl-CS"/>
        </w:rPr>
        <w:t xml:space="preserve"> </w:t>
      </w:r>
      <w:r>
        <w:rPr>
          <w:lang w:val="sr-Cyrl-CS"/>
        </w:rPr>
        <w:t>različite</w:t>
      </w:r>
      <w:r w:rsidR="006C15FB" w:rsidRPr="00E95BC4">
        <w:rPr>
          <w:lang w:val="sr-Cyrl-CS"/>
        </w:rPr>
        <w:t xml:space="preserve"> </w:t>
      </w:r>
      <w:r>
        <w:rPr>
          <w:lang w:val="sr-Cyrl-CS"/>
        </w:rPr>
        <w:t>delove</w:t>
      </w:r>
      <w:r w:rsidR="006C15FB" w:rsidRPr="00E95BC4">
        <w:rPr>
          <w:lang w:val="sr-Cyrl-CS"/>
        </w:rPr>
        <w:t xml:space="preserve"> </w:t>
      </w:r>
      <w:r>
        <w:rPr>
          <w:lang w:val="sr-Cyrl-CS"/>
        </w:rPr>
        <w:t>sistema</w:t>
      </w:r>
      <w:r w:rsidR="006C15FB" w:rsidRPr="00E95BC4">
        <w:rPr>
          <w:lang w:val="sr-Cyrl-CS"/>
        </w:rPr>
        <w:t>.</w:t>
      </w:r>
      <w:r w:rsidR="006C15FB" w:rsidRPr="00E95BC4">
        <w:rPr>
          <w:rStyle w:val="FootnoteReference"/>
          <w:lang w:val="sr-Cyrl-CS"/>
        </w:rPr>
        <w:footnoteReference w:id="16"/>
      </w:r>
    </w:p>
    <w:p w:rsidR="006C15FB" w:rsidRPr="00E95BC4" w:rsidRDefault="005818C0" w:rsidP="00285FD7">
      <w:pPr>
        <w:ind w:firstLine="720"/>
        <w:jc w:val="both"/>
        <w:rPr>
          <w:lang w:val="sr-Cyrl-CS"/>
        </w:rPr>
      </w:pPr>
      <w:r>
        <w:rPr>
          <w:b/>
          <w:lang w:val="sr-Cyrl-CS"/>
        </w:rPr>
        <w:t>Evaluacija</w:t>
      </w:r>
      <w:r w:rsidR="002F2585" w:rsidRPr="00E95BC4">
        <w:rPr>
          <w:b/>
          <w:lang w:val="sr-Cyrl-CS"/>
        </w:rPr>
        <w:t xml:space="preserve"> </w:t>
      </w:r>
      <w:r>
        <w:rPr>
          <w:b/>
          <w:lang w:val="sr-Cyrl-CS"/>
        </w:rPr>
        <w:t>Manivala</w:t>
      </w:r>
      <w:r w:rsidR="002F2585" w:rsidRPr="00E95BC4">
        <w:rPr>
          <w:b/>
          <w:lang w:val="sr-Cyrl-CS"/>
        </w:rPr>
        <w:t xml:space="preserve"> </w:t>
      </w:r>
      <w:r>
        <w:rPr>
          <w:b/>
          <w:lang w:val="sr-Cyrl-CS"/>
        </w:rPr>
        <w:t>i</w:t>
      </w:r>
      <w:r w:rsidR="002F2585" w:rsidRPr="00E95BC4">
        <w:rPr>
          <w:b/>
          <w:lang w:val="sr-Cyrl-CS"/>
        </w:rPr>
        <w:t xml:space="preserve"> </w:t>
      </w:r>
      <w:r>
        <w:rPr>
          <w:b/>
          <w:lang w:val="sr-Cyrl-CS"/>
        </w:rPr>
        <w:t>nacionalna</w:t>
      </w:r>
      <w:r w:rsidR="00BD0633" w:rsidRPr="00E95BC4">
        <w:rPr>
          <w:b/>
          <w:lang w:val="sr-Cyrl-CS"/>
        </w:rPr>
        <w:t xml:space="preserve"> </w:t>
      </w:r>
      <w:r>
        <w:rPr>
          <w:b/>
          <w:lang w:val="sr-Cyrl-CS"/>
        </w:rPr>
        <w:t>procena</w:t>
      </w:r>
      <w:r w:rsidR="002F2585" w:rsidRPr="00E95BC4">
        <w:rPr>
          <w:b/>
          <w:lang w:val="sr-Cyrl-CS"/>
        </w:rPr>
        <w:t xml:space="preserve"> </w:t>
      </w:r>
      <w:r>
        <w:rPr>
          <w:b/>
          <w:lang w:val="sr-Cyrl-CS"/>
        </w:rPr>
        <w:t>rizika</w:t>
      </w:r>
      <w:r w:rsidR="002F2585" w:rsidRPr="00E95BC4">
        <w:rPr>
          <w:lang w:val="sr-Cyrl-CS"/>
        </w:rPr>
        <w:t xml:space="preserve">. </w:t>
      </w:r>
      <w:r>
        <w:rPr>
          <w:lang w:val="sr-Cyrl-CS"/>
        </w:rPr>
        <w:t>Preporuke</w:t>
      </w:r>
      <w:r w:rsidR="006C15FB" w:rsidRPr="00E95BC4">
        <w:rPr>
          <w:lang w:val="sr-Cyrl-CS"/>
        </w:rPr>
        <w:t xml:space="preserve"> </w:t>
      </w:r>
      <w:r>
        <w:rPr>
          <w:lang w:val="sr-Cyrl-CS"/>
        </w:rPr>
        <w:t>Manivala</w:t>
      </w:r>
      <w:r w:rsidR="006C15FB" w:rsidRPr="00E95BC4">
        <w:rPr>
          <w:lang w:val="sr-Cyrl-CS"/>
        </w:rPr>
        <w:t xml:space="preserve"> </w:t>
      </w:r>
      <w:r>
        <w:rPr>
          <w:lang w:val="sr-Cyrl-CS"/>
        </w:rPr>
        <w:t>državi</w:t>
      </w:r>
      <w:r w:rsidR="006C15FB" w:rsidRPr="00E95BC4">
        <w:rPr>
          <w:lang w:val="sr-Cyrl-CS"/>
        </w:rPr>
        <w:t xml:space="preserve"> </w:t>
      </w:r>
      <w:r>
        <w:rPr>
          <w:lang w:val="sr-Cyrl-CS"/>
        </w:rPr>
        <w:t>su</w:t>
      </w:r>
      <w:r w:rsidR="002F2585" w:rsidRPr="00E95BC4">
        <w:rPr>
          <w:lang w:val="sr-Cyrl-CS"/>
        </w:rPr>
        <w:t xml:space="preserve"> </w:t>
      </w:r>
      <w:r>
        <w:rPr>
          <w:lang w:val="sr-Cyrl-CS"/>
        </w:rPr>
        <w:t>bitne</w:t>
      </w:r>
      <w:r w:rsidR="002F2585" w:rsidRPr="00E95BC4">
        <w:rPr>
          <w:lang w:val="sr-Cyrl-CS"/>
        </w:rPr>
        <w:t xml:space="preserve"> </w:t>
      </w:r>
      <w:r>
        <w:rPr>
          <w:lang w:val="sr-Cyrl-CS"/>
        </w:rPr>
        <w:t>zbog</w:t>
      </w:r>
      <w:r w:rsidR="002F2585" w:rsidRPr="00E95BC4">
        <w:rPr>
          <w:lang w:val="sr-Cyrl-CS"/>
        </w:rPr>
        <w:t xml:space="preserve"> </w:t>
      </w:r>
      <w:r>
        <w:rPr>
          <w:lang w:val="sr-Cyrl-CS"/>
        </w:rPr>
        <w:t>međunarodno</w:t>
      </w:r>
      <w:r w:rsidR="002F2585" w:rsidRPr="00E95BC4">
        <w:rPr>
          <w:lang w:val="sr-Cyrl-CS"/>
        </w:rPr>
        <w:t xml:space="preserve"> </w:t>
      </w:r>
      <w:r>
        <w:rPr>
          <w:lang w:val="sr-Cyrl-CS"/>
        </w:rPr>
        <w:t>preuzetih</w:t>
      </w:r>
      <w:r w:rsidR="002F2585" w:rsidRPr="00E95BC4">
        <w:rPr>
          <w:lang w:val="sr-Cyrl-CS"/>
        </w:rPr>
        <w:t xml:space="preserve"> </w:t>
      </w:r>
      <w:r>
        <w:rPr>
          <w:lang w:val="sr-Cyrl-CS"/>
        </w:rPr>
        <w:t>obaveza</w:t>
      </w:r>
      <w:r w:rsidR="002F2585" w:rsidRPr="00E95BC4">
        <w:rPr>
          <w:lang w:val="sr-Cyrl-CS"/>
        </w:rPr>
        <w:t xml:space="preserve"> </w:t>
      </w:r>
      <w:r>
        <w:rPr>
          <w:lang w:val="sr-Cyrl-CS"/>
        </w:rPr>
        <w:t>kroz</w:t>
      </w:r>
      <w:r w:rsidR="002F2585" w:rsidRPr="00E95BC4">
        <w:rPr>
          <w:lang w:val="sr-Cyrl-CS"/>
        </w:rPr>
        <w:t xml:space="preserve"> </w:t>
      </w:r>
      <w:r>
        <w:rPr>
          <w:lang w:val="sr-Cyrl-CS"/>
        </w:rPr>
        <w:t>članstva</w:t>
      </w:r>
      <w:r w:rsidR="002F2585" w:rsidRPr="00E95BC4">
        <w:rPr>
          <w:lang w:val="sr-Cyrl-CS"/>
        </w:rPr>
        <w:t xml:space="preserve"> </w:t>
      </w:r>
      <w:r>
        <w:rPr>
          <w:lang w:val="sr-Cyrl-CS"/>
        </w:rPr>
        <w:t>u</w:t>
      </w:r>
      <w:r w:rsidR="002F2585" w:rsidRPr="00E95BC4">
        <w:rPr>
          <w:lang w:val="sr-Cyrl-CS"/>
        </w:rPr>
        <w:t xml:space="preserve"> </w:t>
      </w:r>
      <w:r>
        <w:rPr>
          <w:lang w:val="sr-Cyrl-CS"/>
        </w:rPr>
        <w:t>konvencijama</w:t>
      </w:r>
      <w:r w:rsidR="002F2585" w:rsidRPr="00E95BC4">
        <w:rPr>
          <w:lang w:val="sr-Cyrl-CS"/>
        </w:rPr>
        <w:t xml:space="preserve">, </w:t>
      </w:r>
      <w:r>
        <w:rPr>
          <w:lang w:val="sr-Cyrl-CS"/>
        </w:rPr>
        <w:t>Savetu</w:t>
      </w:r>
      <w:r w:rsidR="002F2585" w:rsidRPr="00E95BC4">
        <w:rPr>
          <w:lang w:val="sr-Cyrl-CS"/>
        </w:rPr>
        <w:t xml:space="preserve"> </w:t>
      </w:r>
      <w:r>
        <w:rPr>
          <w:lang w:val="sr-Cyrl-CS"/>
        </w:rPr>
        <w:t>Evrope</w:t>
      </w:r>
      <w:r w:rsidR="002F2585" w:rsidRPr="00E95BC4">
        <w:rPr>
          <w:lang w:val="sr-Cyrl-CS"/>
        </w:rPr>
        <w:t xml:space="preserve">, </w:t>
      </w:r>
      <w:r>
        <w:rPr>
          <w:lang w:val="sr-Cyrl-CS"/>
        </w:rPr>
        <w:t>Ujedinjenim</w:t>
      </w:r>
      <w:r w:rsidR="002F2585" w:rsidRPr="00E95BC4">
        <w:rPr>
          <w:lang w:val="sr-Cyrl-CS"/>
        </w:rPr>
        <w:t xml:space="preserve"> </w:t>
      </w:r>
      <w:r>
        <w:rPr>
          <w:lang w:val="sr-Cyrl-CS"/>
        </w:rPr>
        <w:t>nacijama</w:t>
      </w:r>
      <w:r w:rsidR="0008634A">
        <w:t>,</w:t>
      </w:r>
      <w:r w:rsidR="002F2585" w:rsidRPr="00E95BC4">
        <w:rPr>
          <w:lang w:val="sr-Cyrl-CS"/>
        </w:rPr>
        <w:t xml:space="preserve"> </w:t>
      </w:r>
      <w:r>
        <w:rPr>
          <w:lang w:val="sr-Cyrl-CS"/>
        </w:rPr>
        <w:t>a</w:t>
      </w:r>
      <w:r w:rsidR="002F2585" w:rsidRPr="00E95BC4">
        <w:rPr>
          <w:lang w:val="sr-Cyrl-CS"/>
        </w:rPr>
        <w:t xml:space="preserve"> </w:t>
      </w:r>
      <w:r>
        <w:rPr>
          <w:lang w:val="sr-Cyrl-CS"/>
        </w:rPr>
        <w:t>radi</w:t>
      </w:r>
      <w:r w:rsidR="002F2585" w:rsidRPr="00E95BC4">
        <w:rPr>
          <w:lang w:val="sr-Cyrl-CS"/>
        </w:rPr>
        <w:t xml:space="preserve"> </w:t>
      </w:r>
      <w:r>
        <w:rPr>
          <w:lang w:val="sr-Cyrl-CS"/>
        </w:rPr>
        <w:t>preduzimanja</w:t>
      </w:r>
      <w:r w:rsidR="002F2585" w:rsidRPr="00E95BC4">
        <w:rPr>
          <w:lang w:val="sr-Cyrl-CS"/>
        </w:rPr>
        <w:t xml:space="preserve"> </w:t>
      </w:r>
      <w:r>
        <w:rPr>
          <w:lang w:val="sr-Cyrl-CS"/>
        </w:rPr>
        <w:t>aktivnosti</w:t>
      </w:r>
      <w:r w:rsidR="002F2585" w:rsidRPr="00E95BC4">
        <w:rPr>
          <w:lang w:val="sr-Cyrl-CS"/>
        </w:rPr>
        <w:t xml:space="preserve"> </w:t>
      </w:r>
      <w:r>
        <w:rPr>
          <w:lang w:val="sr-Cyrl-CS"/>
        </w:rPr>
        <w:t>u</w:t>
      </w:r>
      <w:r w:rsidR="002F2585" w:rsidRPr="00E95BC4">
        <w:rPr>
          <w:lang w:val="sr-Cyrl-CS"/>
        </w:rPr>
        <w:t xml:space="preserve"> </w:t>
      </w:r>
      <w:r>
        <w:rPr>
          <w:lang w:val="sr-Cyrl-CS"/>
        </w:rPr>
        <w:t>cilju</w:t>
      </w:r>
      <w:r w:rsidR="002F2585" w:rsidRPr="00E95BC4">
        <w:rPr>
          <w:lang w:val="sr-Cyrl-CS"/>
        </w:rPr>
        <w:t xml:space="preserve"> </w:t>
      </w:r>
      <w:r>
        <w:rPr>
          <w:lang w:val="sr-Cyrl-CS"/>
        </w:rPr>
        <w:t>usklađivanja</w:t>
      </w:r>
      <w:r w:rsidR="002F2585" w:rsidRPr="00E95BC4">
        <w:rPr>
          <w:lang w:val="sr-Cyrl-CS"/>
        </w:rPr>
        <w:t xml:space="preserve"> </w:t>
      </w:r>
      <w:r>
        <w:rPr>
          <w:lang w:val="sr-Cyrl-CS"/>
        </w:rPr>
        <w:t>sa</w:t>
      </w:r>
      <w:r w:rsidR="006C15FB" w:rsidRPr="00E95BC4">
        <w:rPr>
          <w:lang w:val="sr-Cyrl-CS"/>
        </w:rPr>
        <w:t xml:space="preserve"> </w:t>
      </w:r>
      <w:r>
        <w:rPr>
          <w:lang w:val="sr-Cyrl-CS"/>
        </w:rPr>
        <w:t>međunarodnim</w:t>
      </w:r>
      <w:r w:rsidR="006C15FB" w:rsidRPr="00E95BC4">
        <w:rPr>
          <w:lang w:val="sr-Cyrl-CS"/>
        </w:rPr>
        <w:t xml:space="preserve"> </w:t>
      </w:r>
      <w:r>
        <w:rPr>
          <w:lang w:val="sr-Cyrl-CS"/>
        </w:rPr>
        <w:t>standardima</w:t>
      </w:r>
      <w:r w:rsidR="002F2585" w:rsidRPr="00E95BC4">
        <w:rPr>
          <w:lang w:val="sr-Cyrl-CS"/>
        </w:rPr>
        <w:t xml:space="preserve"> </w:t>
      </w:r>
      <w:r>
        <w:rPr>
          <w:lang w:val="sr-Cyrl-CS"/>
        </w:rPr>
        <w:t>u</w:t>
      </w:r>
      <w:r w:rsidR="002F2585" w:rsidRPr="00E95BC4">
        <w:rPr>
          <w:lang w:val="sr-Cyrl-CS"/>
        </w:rPr>
        <w:t xml:space="preserve"> </w:t>
      </w:r>
      <w:r>
        <w:rPr>
          <w:lang w:val="sr-Cyrl-CS"/>
        </w:rPr>
        <w:t>ovoj</w:t>
      </w:r>
      <w:r w:rsidR="002F2585" w:rsidRPr="00E95BC4">
        <w:rPr>
          <w:lang w:val="sr-Cyrl-CS"/>
        </w:rPr>
        <w:t xml:space="preserve"> </w:t>
      </w:r>
      <w:r>
        <w:rPr>
          <w:lang w:val="sr-Cyrl-CS"/>
        </w:rPr>
        <w:t>oblasti</w:t>
      </w:r>
      <w:r w:rsidR="002F2585" w:rsidRPr="00E95BC4">
        <w:rPr>
          <w:lang w:val="sr-Cyrl-CS"/>
        </w:rPr>
        <w:t xml:space="preserve">. </w:t>
      </w:r>
      <w:r>
        <w:rPr>
          <w:lang w:val="sr-Cyrl-CS"/>
        </w:rPr>
        <w:t>Preporuke</w:t>
      </w:r>
      <w:r w:rsidR="006C15FB" w:rsidRPr="00E95BC4">
        <w:rPr>
          <w:lang w:val="sr-Cyrl-CS"/>
        </w:rPr>
        <w:t xml:space="preserve"> </w:t>
      </w:r>
      <w:r>
        <w:rPr>
          <w:lang w:val="sr-Cyrl-CS"/>
        </w:rPr>
        <w:t>do</w:t>
      </w:r>
      <w:r w:rsidR="006C15FB" w:rsidRPr="00E95BC4">
        <w:rPr>
          <w:lang w:val="sr-Cyrl-CS"/>
        </w:rPr>
        <w:t xml:space="preserve"> </w:t>
      </w:r>
      <w:r>
        <w:rPr>
          <w:lang w:val="sr-Cyrl-CS"/>
        </w:rPr>
        <w:t>kojih</w:t>
      </w:r>
      <w:r w:rsidR="006C15FB" w:rsidRPr="00E95BC4">
        <w:rPr>
          <w:lang w:val="sr-Cyrl-CS"/>
        </w:rPr>
        <w:t xml:space="preserve"> </w:t>
      </w:r>
      <w:r>
        <w:rPr>
          <w:lang w:val="sr-Cyrl-CS"/>
        </w:rPr>
        <w:t>se</w:t>
      </w:r>
      <w:r w:rsidR="006C15FB" w:rsidRPr="00E95BC4">
        <w:rPr>
          <w:lang w:val="sr-Cyrl-CS"/>
        </w:rPr>
        <w:t xml:space="preserve"> </w:t>
      </w:r>
      <w:r>
        <w:rPr>
          <w:lang w:val="sr-Cyrl-CS"/>
        </w:rPr>
        <w:t>dođe</w:t>
      </w:r>
      <w:r w:rsidR="006C15FB" w:rsidRPr="00E95BC4">
        <w:rPr>
          <w:lang w:val="sr-Cyrl-CS"/>
        </w:rPr>
        <w:t xml:space="preserve"> </w:t>
      </w:r>
      <w:r>
        <w:rPr>
          <w:lang w:val="sr-Cyrl-CS"/>
        </w:rPr>
        <w:t>u</w:t>
      </w:r>
      <w:r w:rsidR="006C15FB" w:rsidRPr="00E95BC4">
        <w:rPr>
          <w:lang w:val="sr-Cyrl-CS"/>
        </w:rPr>
        <w:t xml:space="preserve"> </w:t>
      </w:r>
      <w:r>
        <w:rPr>
          <w:lang w:val="sr-Cyrl-CS"/>
        </w:rPr>
        <w:t>okviru</w:t>
      </w:r>
      <w:r w:rsidR="006C15FB" w:rsidRPr="00E95BC4">
        <w:rPr>
          <w:lang w:val="sr-Cyrl-CS"/>
        </w:rPr>
        <w:t xml:space="preserve"> </w:t>
      </w:r>
      <w:r>
        <w:rPr>
          <w:lang w:val="sr-Cyrl-CS"/>
        </w:rPr>
        <w:t>procesa</w:t>
      </w:r>
      <w:r w:rsidR="006C15FB" w:rsidRPr="00E95BC4">
        <w:rPr>
          <w:lang w:val="sr-Cyrl-CS"/>
        </w:rPr>
        <w:t xml:space="preserve"> </w:t>
      </w:r>
      <w:r>
        <w:rPr>
          <w:lang w:val="sr-Cyrl-CS"/>
        </w:rPr>
        <w:t>nacionalne</w:t>
      </w:r>
      <w:r w:rsidR="006C15FB" w:rsidRPr="00E95BC4">
        <w:rPr>
          <w:lang w:val="sr-Cyrl-CS"/>
        </w:rPr>
        <w:t xml:space="preserve"> </w:t>
      </w:r>
      <w:r>
        <w:rPr>
          <w:lang w:val="sr-Cyrl-CS"/>
        </w:rPr>
        <w:t>procene</w:t>
      </w:r>
      <w:r w:rsidR="006C15FB" w:rsidRPr="00E95BC4">
        <w:rPr>
          <w:lang w:val="sr-Cyrl-CS"/>
        </w:rPr>
        <w:t xml:space="preserve"> </w:t>
      </w:r>
      <w:r>
        <w:rPr>
          <w:lang w:val="sr-Cyrl-CS"/>
        </w:rPr>
        <w:t>rizika</w:t>
      </w:r>
      <w:r w:rsidR="006C15FB" w:rsidRPr="00E95BC4">
        <w:rPr>
          <w:lang w:val="sr-Cyrl-CS"/>
        </w:rPr>
        <w:t xml:space="preserve"> </w:t>
      </w:r>
      <w:r>
        <w:rPr>
          <w:lang w:val="sr-Cyrl-CS"/>
        </w:rPr>
        <w:t>bitne</w:t>
      </w:r>
      <w:r w:rsidR="006A53F2" w:rsidRPr="00E95BC4">
        <w:rPr>
          <w:lang w:val="sr-Cyrl-CS"/>
        </w:rPr>
        <w:t xml:space="preserve"> </w:t>
      </w:r>
      <w:r>
        <w:rPr>
          <w:lang w:val="sr-Cyrl-CS"/>
        </w:rPr>
        <w:t>su</w:t>
      </w:r>
      <w:r w:rsidR="002F2585" w:rsidRPr="00E95BC4">
        <w:rPr>
          <w:lang w:val="sr-Cyrl-CS"/>
        </w:rPr>
        <w:t xml:space="preserve">, </w:t>
      </w:r>
      <w:r>
        <w:rPr>
          <w:lang w:val="sr-Cyrl-CS"/>
        </w:rPr>
        <w:t>uslovno</w:t>
      </w:r>
      <w:r w:rsidR="002F2585" w:rsidRPr="00E95BC4">
        <w:rPr>
          <w:lang w:val="sr-Cyrl-CS"/>
        </w:rPr>
        <w:t xml:space="preserve"> </w:t>
      </w:r>
      <w:r>
        <w:rPr>
          <w:lang w:val="sr-Cyrl-CS"/>
        </w:rPr>
        <w:t>rečeno</w:t>
      </w:r>
      <w:r w:rsidR="002F2585" w:rsidRPr="00E95BC4">
        <w:rPr>
          <w:lang w:val="sr-Cyrl-CS"/>
        </w:rPr>
        <w:t xml:space="preserve">, </w:t>
      </w:r>
      <w:r>
        <w:rPr>
          <w:lang w:val="sr-Cyrl-CS"/>
        </w:rPr>
        <w:t>na</w:t>
      </w:r>
      <w:r w:rsidR="002F2585" w:rsidRPr="00E95BC4">
        <w:rPr>
          <w:lang w:val="sr-Cyrl-CS"/>
        </w:rPr>
        <w:t xml:space="preserve"> </w:t>
      </w:r>
      <w:r>
        <w:rPr>
          <w:lang w:val="sr-Cyrl-CS"/>
        </w:rPr>
        <w:t>lokalnom</w:t>
      </w:r>
      <w:r w:rsidR="002F2585" w:rsidRPr="00E95BC4">
        <w:rPr>
          <w:lang w:val="sr-Cyrl-CS"/>
        </w:rPr>
        <w:t xml:space="preserve"> </w:t>
      </w:r>
      <w:r>
        <w:rPr>
          <w:lang w:val="sr-Cyrl-CS"/>
        </w:rPr>
        <w:t>nivou</w:t>
      </w:r>
      <w:r w:rsidR="002F2585" w:rsidRPr="00E95BC4">
        <w:rPr>
          <w:lang w:val="sr-Cyrl-CS"/>
        </w:rPr>
        <w:t xml:space="preserve"> </w:t>
      </w:r>
      <w:r>
        <w:rPr>
          <w:lang w:val="sr-Cyrl-CS"/>
        </w:rPr>
        <w:t>tj</w:t>
      </w:r>
      <w:r w:rsidR="002F2585" w:rsidRPr="00E95BC4">
        <w:rPr>
          <w:lang w:val="sr-Cyrl-CS"/>
        </w:rPr>
        <w:t xml:space="preserve">. </w:t>
      </w:r>
      <w:r>
        <w:rPr>
          <w:lang w:val="sr-Cyrl-CS"/>
        </w:rPr>
        <w:t>za</w:t>
      </w:r>
      <w:r w:rsidR="006C15FB" w:rsidRPr="00E95BC4">
        <w:rPr>
          <w:lang w:val="sr-Cyrl-CS"/>
        </w:rPr>
        <w:t xml:space="preserve"> </w:t>
      </w:r>
      <w:r>
        <w:rPr>
          <w:lang w:val="sr-Cyrl-CS"/>
        </w:rPr>
        <w:t>uspešan</w:t>
      </w:r>
      <w:r w:rsidR="006A53F2" w:rsidRPr="00E95BC4">
        <w:rPr>
          <w:lang w:val="sr-Cyrl-CS"/>
        </w:rPr>
        <w:t xml:space="preserve"> </w:t>
      </w:r>
      <w:r>
        <w:rPr>
          <w:lang w:val="sr-Cyrl-CS"/>
        </w:rPr>
        <w:t>odgovor</w:t>
      </w:r>
      <w:r w:rsidR="006A53F2" w:rsidRPr="00E95BC4">
        <w:rPr>
          <w:lang w:val="sr-Cyrl-CS"/>
        </w:rPr>
        <w:t xml:space="preserve"> </w:t>
      </w:r>
      <w:r>
        <w:rPr>
          <w:lang w:val="sr-Cyrl-CS"/>
        </w:rPr>
        <w:t>samih</w:t>
      </w:r>
      <w:r w:rsidR="006A53F2" w:rsidRPr="00E95BC4">
        <w:rPr>
          <w:lang w:val="sr-Cyrl-CS"/>
        </w:rPr>
        <w:t xml:space="preserve"> </w:t>
      </w:r>
      <w:r>
        <w:rPr>
          <w:lang w:val="sr-Cyrl-CS"/>
        </w:rPr>
        <w:t>organa</w:t>
      </w:r>
      <w:r w:rsidR="006A53F2" w:rsidRPr="00E95BC4">
        <w:rPr>
          <w:lang w:val="sr-Cyrl-CS"/>
        </w:rPr>
        <w:t xml:space="preserve"> </w:t>
      </w:r>
      <w:r>
        <w:rPr>
          <w:lang w:val="sr-Cyrl-CS"/>
        </w:rPr>
        <w:t>koji</w:t>
      </w:r>
      <w:r w:rsidR="006A53F2" w:rsidRPr="00E95BC4">
        <w:rPr>
          <w:lang w:val="sr-Cyrl-CS"/>
        </w:rPr>
        <w:t xml:space="preserve"> </w:t>
      </w:r>
      <w:r>
        <w:rPr>
          <w:lang w:val="sr-Cyrl-CS"/>
        </w:rPr>
        <w:t>učestvuju</w:t>
      </w:r>
      <w:r w:rsidR="006A53F2" w:rsidRPr="00E95BC4">
        <w:rPr>
          <w:lang w:val="sr-Cyrl-CS"/>
        </w:rPr>
        <w:t xml:space="preserve"> </w:t>
      </w:r>
      <w:r>
        <w:rPr>
          <w:lang w:val="sr-Cyrl-CS"/>
        </w:rPr>
        <w:t>u</w:t>
      </w:r>
      <w:r w:rsidR="006A53F2" w:rsidRPr="00E95BC4">
        <w:rPr>
          <w:lang w:val="sr-Cyrl-CS"/>
        </w:rPr>
        <w:t xml:space="preserve"> </w:t>
      </w:r>
      <w:r>
        <w:rPr>
          <w:lang w:val="sr-Cyrl-CS"/>
        </w:rPr>
        <w:t>borbi</w:t>
      </w:r>
      <w:r w:rsidR="006C15FB" w:rsidRPr="00E95BC4">
        <w:rPr>
          <w:lang w:val="sr-Cyrl-CS"/>
        </w:rPr>
        <w:t xml:space="preserve"> </w:t>
      </w:r>
      <w:r>
        <w:rPr>
          <w:lang w:val="sr-Cyrl-CS"/>
        </w:rPr>
        <w:t>protiv</w:t>
      </w:r>
      <w:r w:rsidR="006C15FB" w:rsidRPr="00E95BC4">
        <w:rPr>
          <w:lang w:val="sr-Cyrl-CS"/>
        </w:rPr>
        <w:t xml:space="preserve"> </w:t>
      </w:r>
      <w:r>
        <w:rPr>
          <w:lang w:val="sr-Cyrl-CS"/>
        </w:rPr>
        <w:t>pranja</w:t>
      </w:r>
      <w:r w:rsidR="006C15FB" w:rsidRPr="00E95BC4">
        <w:rPr>
          <w:lang w:val="sr-Cyrl-CS"/>
        </w:rPr>
        <w:t xml:space="preserve"> </w:t>
      </w:r>
      <w:r>
        <w:rPr>
          <w:lang w:val="sr-Cyrl-CS"/>
        </w:rPr>
        <w:t>novca</w:t>
      </w:r>
      <w:r w:rsidR="006C15FB" w:rsidRPr="00E95BC4">
        <w:rPr>
          <w:lang w:val="sr-Cyrl-CS"/>
        </w:rPr>
        <w:t xml:space="preserve"> </w:t>
      </w:r>
      <w:r>
        <w:rPr>
          <w:lang w:val="sr-Cyrl-CS"/>
        </w:rPr>
        <w:t>i</w:t>
      </w:r>
      <w:r w:rsidR="006C15FB" w:rsidRPr="00E95BC4">
        <w:rPr>
          <w:lang w:val="sr-Cyrl-CS"/>
        </w:rPr>
        <w:t xml:space="preserve"> </w:t>
      </w:r>
      <w:r>
        <w:rPr>
          <w:lang w:val="sr-Cyrl-CS"/>
        </w:rPr>
        <w:t>finansiranja</w:t>
      </w:r>
      <w:r w:rsidR="006C15FB" w:rsidRPr="00E95BC4">
        <w:rPr>
          <w:lang w:val="sr-Cyrl-CS"/>
        </w:rPr>
        <w:t xml:space="preserve"> </w:t>
      </w:r>
      <w:r>
        <w:rPr>
          <w:lang w:val="sr-Cyrl-CS"/>
        </w:rPr>
        <w:t>terorizma</w:t>
      </w:r>
      <w:r w:rsidR="006C15FB" w:rsidRPr="00E95BC4">
        <w:rPr>
          <w:lang w:val="sr-Cyrl-CS"/>
        </w:rPr>
        <w:t xml:space="preserve"> </w:t>
      </w:r>
      <w:r>
        <w:rPr>
          <w:lang w:val="sr-Cyrl-CS"/>
        </w:rPr>
        <w:t>na</w:t>
      </w:r>
      <w:r w:rsidR="006A53F2" w:rsidRPr="00E95BC4">
        <w:rPr>
          <w:lang w:val="sr-Cyrl-CS"/>
        </w:rPr>
        <w:t xml:space="preserve"> </w:t>
      </w:r>
      <w:r>
        <w:rPr>
          <w:lang w:val="sr-Cyrl-CS"/>
        </w:rPr>
        <w:t>konkretne</w:t>
      </w:r>
      <w:r w:rsidR="006A53F2" w:rsidRPr="00E95BC4">
        <w:rPr>
          <w:lang w:val="sr-Cyrl-CS"/>
        </w:rPr>
        <w:t xml:space="preserve"> </w:t>
      </w:r>
      <w:r>
        <w:rPr>
          <w:lang w:val="sr-Cyrl-CS"/>
        </w:rPr>
        <w:t>pretnje</w:t>
      </w:r>
      <w:r w:rsidR="006A53F2" w:rsidRPr="00E95BC4">
        <w:rPr>
          <w:lang w:val="sr-Cyrl-CS"/>
        </w:rPr>
        <w:t xml:space="preserve"> </w:t>
      </w:r>
      <w:r>
        <w:rPr>
          <w:lang w:val="sr-Cyrl-CS"/>
        </w:rPr>
        <w:t>i</w:t>
      </w:r>
      <w:r w:rsidR="006A53F2" w:rsidRPr="00E95BC4">
        <w:rPr>
          <w:lang w:val="sr-Cyrl-CS"/>
        </w:rPr>
        <w:t xml:space="preserve"> </w:t>
      </w:r>
      <w:r>
        <w:rPr>
          <w:lang w:val="sr-Cyrl-CS"/>
        </w:rPr>
        <w:t>ranjivosti</w:t>
      </w:r>
      <w:r w:rsidR="006A53F2" w:rsidRPr="00E95BC4">
        <w:rPr>
          <w:lang w:val="sr-Cyrl-CS"/>
        </w:rPr>
        <w:t xml:space="preserve"> </w:t>
      </w:r>
      <w:r>
        <w:rPr>
          <w:lang w:val="sr-Cyrl-CS"/>
        </w:rPr>
        <w:t>koje</w:t>
      </w:r>
      <w:r w:rsidR="002F2585" w:rsidRPr="00E95BC4">
        <w:rPr>
          <w:lang w:val="sr-Cyrl-CS"/>
        </w:rPr>
        <w:t xml:space="preserve"> </w:t>
      </w:r>
      <w:r>
        <w:rPr>
          <w:lang w:val="sr-Cyrl-CS"/>
        </w:rPr>
        <w:t>su</w:t>
      </w:r>
      <w:r w:rsidR="002F2585" w:rsidRPr="00E95BC4">
        <w:rPr>
          <w:lang w:val="sr-Cyrl-CS"/>
        </w:rPr>
        <w:t xml:space="preserve"> </w:t>
      </w:r>
      <w:r>
        <w:rPr>
          <w:lang w:val="sr-Cyrl-CS"/>
        </w:rPr>
        <w:t>prepoznate</w:t>
      </w:r>
      <w:r w:rsidR="002F2585" w:rsidRPr="00E95BC4">
        <w:rPr>
          <w:lang w:val="sr-Cyrl-CS"/>
        </w:rPr>
        <w:t xml:space="preserve"> </w:t>
      </w:r>
      <w:r>
        <w:rPr>
          <w:lang w:val="sr-Cyrl-CS"/>
        </w:rPr>
        <w:t>u</w:t>
      </w:r>
      <w:r w:rsidR="002F2585" w:rsidRPr="00E95BC4">
        <w:rPr>
          <w:lang w:val="sr-Cyrl-CS"/>
        </w:rPr>
        <w:t xml:space="preserve"> </w:t>
      </w:r>
      <w:r>
        <w:rPr>
          <w:lang w:val="sr-Cyrl-CS"/>
        </w:rPr>
        <w:t>državi</w:t>
      </w:r>
      <w:r w:rsidR="002F2585" w:rsidRPr="00E95BC4">
        <w:rPr>
          <w:lang w:val="sr-Cyrl-CS"/>
        </w:rPr>
        <w:t xml:space="preserve">, </w:t>
      </w:r>
      <w:r>
        <w:rPr>
          <w:lang w:val="sr-Cyrl-CS"/>
        </w:rPr>
        <w:t>a</w:t>
      </w:r>
      <w:r w:rsidR="002F2585" w:rsidRPr="00E95BC4">
        <w:rPr>
          <w:lang w:val="sr-Cyrl-CS"/>
        </w:rPr>
        <w:t xml:space="preserve"> </w:t>
      </w:r>
      <w:r>
        <w:rPr>
          <w:lang w:val="sr-Cyrl-CS"/>
        </w:rPr>
        <w:t>kroz</w:t>
      </w:r>
      <w:r w:rsidR="006C15FB" w:rsidRPr="00E95BC4">
        <w:rPr>
          <w:lang w:val="sr-Cyrl-CS"/>
        </w:rPr>
        <w:t xml:space="preserve"> </w:t>
      </w:r>
      <w:r>
        <w:rPr>
          <w:lang w:val="sr-Cyrl-CS"/>
        </w:rPr>
        <w:t>preduzimanje</w:t>
      </w:r>
      <w:r w:rsidR="006C15FB" w:rsidRPr="00E95BC4">
        <w:rPr>
          <w:lang w:val="sr-Cyrl-CS"/>
        </w:rPr>
        <w:t xml:space="preserve"> </w:t>
      </w:r>
      <w:r>
        <w:rPr>
          <w:lang w:val="sr-Cyrl-CS"/>
        </w:rPr>
        <w:t>mera</w:t>
      </w:r>
      <w:r w:rsidR="006C15FB" w:rsidRPr="00E95BC4">
        <w:rPr>
          <w:lang w:val="sr-Cyrl-CS"/>
        </w:rPr>
        <w:t xml:space="preserve"> </w:t>
      </w:r>
      <w:r>
        <w:rPr>
          <w:lang w:val="sr-Cyrl-CS"/>
        </w:rPr>
        <w:t>za</w:t>
      </w:r>
      <w:r w:rsidR="006C15FB" w:rsidRPr="00E95BC4">
        <w:rPr>
          <w:lang w:val="sr-Cyrl-CS"/>
        </w:rPr>
        <w:t xml:space="preserve"> </w:t>
      </w:r>
      <w:r>
        <w:rPr>
          <w:lang w:val="sr-Cyrl-CS"/>
        </w:rPr>
        <w:t>ublažavanje</w:t>
      </w:r>
      <w:r w:rsidR="002F2585" w:rsidRPr="00E95BC4">
        <w:rPr>
          <w:lang w:val="sr-Cyrl-CS"/>
        </w:rPr>
        <w:t xml:space="preserve"> </w:t>
      </w:r>
      <w:r>
        <w:rPr>
          <w:lang w:val="sr-Cyrl-CS"/>
        </w:rPr>
        <w:t>uočenih</w:t>
      </w:r>
      <w:r w:rsidR="002F2585" w:rsidRPr="00E95BC4">
        <w:rPr>
          <w:lang w:val="sr-Cyrl-CS"/>
        </w:rPr>
        <w:t xml:space="preserve"> </w:t>
      </w:r>
      <w:r>
        <w:rPr>
          <w:lang w:val="sr-Cyrl-CS"/>
        </w:rPr>
        <w:t>rizika</w:t>
      </w:r>
      <w:r w:rsidR="002F2585" w:rsidRPr="00E95BC4">
        <w:rPr>
          <w:lang w:val="sr-Cyrl-CS"/>
        </w:rPr>
        <w:t xml:space="preserve">. </w:t>
      </w:r>
      <w:r>
        <w:rPr>
          <w:lang w:val="sr-Cyrl-CS"/>
        </w:rPr>
        <w:t>Inače</w:t>
      </w:r>
      <w:r w:rsidR="002F2585" w:rsidRPr="00E95BC4">
        <w:rPr>
          <w:lang w:val="sr-Cyrl-CS"/>
        </w:rPr>
        <w:t xml:space="preserve">, </w:t>
      </w:r>
      <w:r>
        <w:rPr>
          <w:lang w:val="sr-Cyrl-CS"/>
        </w:rPr>
        <w:t>sprovođenje</w:t>
      </w:r>
      <w:r w:rsidR="002F2585" w:rsidRPr="00E95BC4">
        <w:rPr>
          <w:lang w:val="sr-Cyrl-CS"/>
        </w:rPr>
        <w:t xml:space="preserve"> </w:t>
      </w:r>
      <w:r>
        <w:rPr>
          <w:lang w:val="sr-Cyrl-CS"/>
        </w:rPr>
        <w:t>nacionalne</w:t>
      </w:r>
      <w:r w:rsidR="002F2585" w:rsidRPr="00E95BC4">
        <w:rPr>
          <w:lang w:val="sr-Cyrl-CS"/>
        </w:rPr>
        <w:t xml:space="preserve"> </w:t>
      </w:r>
      <w:r>
        <w:rPr>
          <w:lang w:val="sr-Cyrl-CS"/>
        </w:rPr>
        <w:t>procene</w:t>
      </w:r>
      <w:r w:rsidR="002F2585" w:rsidRPr="00E95BC4">
        <w:rPr>
          <w:lang w:val="sr-Cyrl-CS"/>
        </w:rPr>
        <w:t xml:space="preserve"> </w:t>
      </w:r>
      <w:r>
        <w:rPr>
          <w:lang w:val="sr-Cyrl-CS"/>
        </w:rPr>
        <w:t>rizika</w:t>
      </w:r>
      <w:r w:rsidR="002F2585" w:rsidRPr="00E95BC4">
        <w:rPr>
          <w:lang w:val="sr-Cyrl-CS"/>
        </w:rPr>
        <w:t xml:space="preserve"> </w:t>
      </w:r>
      <w:r>
        <w:rPr>
          <w:lang w:val="sr-Cyrl-CS"/>
        </w:rPr>
        <w:t>predstavlja</w:t>
      </w:r>
      <w:r w:rsidR="002F2585" w:rsidRPr="00E95BC4">
        <w:rPr>
          <w:lang w:val="sr-Cyrl-CS"/>
        </w:rPr>
        <w:t xml:space="preserve"> </w:t>
      </w:r>
      <w:r>
        <w:rPr>
          <w:lang w:val="sr-Cyrl-CS"/>
        </w:rPr>
        <w:t>i</w:t>
      </w:r>
      <w:r w:rsidR="002F2585" w:rsidRPr="00E95BC4">
        <w:rPr>
          <w:lang w:val="sr-Cyrl-CS"/>
        </w:rPr>
        <w:t xml:space="preserve"> </w:t>
      </w:r>
      <w:r>
        <w:rPr>
          <w:lang w:val="sr-Cyrl-CS"/>
        </w:rPr>
        <w:t>jedan</w:t>
      </w:r>
      <w:r w:rsidR="002F2585" w:rsidRPr="00E95BC4">
        <w:rPr>
          <w:lang w:val="sr-Cyrl-CS"/>
        </w:rPr>
        <w:t xml:space="preserve"> </w:t>
      </w:r>
      <w:r>
        <w:rPr>
          <w:lang w:val="sr-Cyrl-CS"/>
        </w:rPr>
        <w:t>od</w:t>
      </w:r>
      <w:r w:rsidR="002F2585" w:rsidRPr="00E95BC4">
        <w:rPr>
          <w:lang w:val="sr-Cyrl-CS"/>
        </w:rPr>
        <w:t xml:space="preserve"> </w:t>
      </w:r>
      <w:r>
        <w:rPr>
          <w:lang w:val="sr-Cyrl-CS"/>
        </w:rPr>
        <w:t>međunarodnih</w:t>
      </w:r>
      <w:r w:rsidR="002F2585" w:rsidRPr="00E95BC4">
        <w:rPr>
          <w:lang w:val="sr-Cyrl-CS"/>
        </w:rPr>
        <w:t xml:space="preserve"> </w:t>
      </w:r>
      <w:r>
        <w:rPr>
          <w:lang w:val="sr-Cyrl-CS"/>
        </w:rPr>
        <w:t>standarda</w:t>
      </w:r>
      <w:r w:rsidR="002F2585" w:rsidRPr="00E95BC4">
        <w:rPr>
          <w:lang w:val="sr-Cyrl-CS"/>
        </w:rPr>
        <w:t xml:space="preserve"> (</w:t>
      </w:r>
      <w:r>
        <w:rPr>
          <w:lang w:val="sr-Cyrl-CS"/>
        </w:rPr>
        <w:t>tj</w:t>
      </w:r>
      <w:r w:rsidR="002F2585" w:rsidRPr="00E95BC4">
        <w:rPr>
          <w:lang w:val="sr-Cyrl-CS"/>
        </w:rPr>
        <w:t xml:space="preserve">. </w:t>
      </w:r>
      <w:r>
        <w:rPr>
          <w:lang w:val="sr-Cyrl-CS"/>
        </w:rPr>
        <w:t>preporuka</w:t>
      </w:r>
      <w:r w:rsidR="002F2585" w:rsidRPr="00E95BC4">
        <w:rPr>
          <w:lang w:val="sr-Cyrl-CS"/>
        </w:rPr>
        <w:t xml:space="preserve">) </w:t>
      </w:r>
      <w:r>
        <w:rPr>
          <w:lang w:val="sr-Cyrl-CS"/>
        </w:rPr>
        <w:t>u</w:t>
      </w:r>
      <w:r w:rsidR="002F2585" w:rsidRPr="00E95BC4">
        <w:rPr>
          <w:lang w:val="sr-Cyrl-CS"/>
        </w:rPr>
        <w:t xml:space="preserve"> </w:t>
      </w:r>
      <w:r>
        <w:rPr>
          <w:lang w:val="sr-Cyrl-CS"/>
        </w:rPr>
        <w:t>ovoj</w:t>
      </w:r>
      <w:r w:rsidR="002F2585" w:rsidRPr="00E95BC4">
        <w:rPr>
          <w:lang w:val="sr-Cyrl-CS"/>
        </w:rPr>
        <w:t xml:space="preserve"> </w:t>
      </w:r>
      <w:r>
        <w:rPr>
          <w:lang w:val="sr-Cyrl-CS"/>
        </w:rPr>
        <w:t>oblasti</w:t>
      </w:r>
      <w:r w:rsidR="002F2585" w:rsidRPr="00E95BC4">
        <w:rPr>
          <w:lang w:val="sr-Cyrl-CS"/>
        </w:rPr>
        <w:t>.</w:t>
      </w:r>
    </w:p>
    <w:p w:rsidR="00281A15" w:rsidRPr="00E95BC4" w:rsidRDefault="005818C0" w:rsidP="00285FD7">
      <w:pPr>
        <w:ind w:firstLine="720"/>
        <w:jc w:val="both"/>
        <w:rPr>
          <w:lang w:val="sr-Cyrl-CS"/>
        </w:rPr>
      </w:pPr>
      <w:r>
        <w:rPr>
          <w:b/>
          <w:lang w:val="sr-Cyrl-CS"/>
        </w:rPr>
        <w:t>Stanje</w:t>
      </w:r>
      <w:r w:rsidR="00EF185F" w:rsidRPr="00E95BC4">
        <w:rPr>
          <w:b/>
          <w:lang w:val="sr-Cyrl-CS"/>
        </w:rPr>
        <w:t xml:space="preserve"> </w:t>
      </w:r>
      <w:r>
        <w:rPr>
          <w:b/>
          <w:lang w:val="sr-Cyrl-CS"/>
        </w:rPr>
        <w:t>usklađenosti</w:t>
      </w:r>
      <w:r w:rsidR="00EF185F" w:rsidRPr="00E95BC4">
        <w:rPr>
          <w:b/>
          <w:lang w:val="sr-Cyrl-CS"/>
        </w:rPr>
        <w:t xml:space="preserve"> </w:t>
      </w:r>
      <w:r>
        <w:rPr>
          <w:b/>
          <w:lang w:val="sr-Cyrl-CS"/>
        </w:rPr>
        <w:t>na</w:t>
      </w:r>
      <w:r w:rsidR="00EF185F" w:rsidRPr="00E95BC4">
        <w:rPr>
          <w:b/>
          <w:lang w:val="sr-Cyrl-CS"/>
        </w:rPr>
        <w:t xml:space="preserve"> </w:t>
      </w:r>
      <w:r>
        <w:rPr>
          <w:b/>
          <w:lang w:val="sr-Cyrl-CS"/>
        </w:rPr>
        <w:t>tehničkom</w:t>
      </w:r>
      <w:r w:rsidR="00EF185F" w:rsidRPr="00E95BC4">
        <w:rPr>
          <w:b/>
          <w:lang w:val="sr-Cyrl-CS"/>
        </w:rPr>
        <w:t xml:space="preserve"> </w:t>
      </w:r>
      <w:r>
        <w:rPr>
          <w:b/>
          <w:lang w:val="sr-Cyrl-CS"/>
        </w:rPr>
        <w:t>nivou</w:t>
      </w:r>
      <w:r w:rsidR="00EF185F" w:rsidRPr="00E95BC4">
        <w:rPr>
          <w:b/>
          <w:lang w:val="sr-Cyrl-CS"/>
        </w:rPr>
        <w:t xml:space="preserve">. </w:t>
      </w:r>
      <w:r>
        <w:rPr>
          <w:lang w:val="sr-Cyrl-CS"/>
        </w:rPr>
        <w:t>Manival</w:t>
      </w:r>
      <w:r w:rsidR="00281A15" w:rsidRPr="00E95BC4">
        <w:rPr>
          <w:lang w:val="sr-Cyrl-CS"/>
        </w:rPr>
        <w:t xml:space="preserve"> </w:t>
      </w:r>
      <w:r>
        <w:rPr>
          <w:lang w:val="sr-Cyrl-CS"/>
        </w:rPr>
        <w:t>je</w:t>
      </w:r>
      <w:r w:rsidR="00281A15" w:rsidRPr="00E95BC4">
        <w:rPr>
          <w:lang w:val="sr-Cyrl-CS"/>
        </w:rPr>
        <w:t xml:space="preserve"> </w:t>
      </w:r>
      <w:r>
        <w:rPr>
          <w:lang w:val="sr-Cyrl-CS"/>
        </w:rPr>
        <w:t>u</w:t>
      </w:r>
      <w:r w:rsidR="00281A15" w:rsidRPr="00E95BC4">
        <w:rPr>
          <w:lang w:val="sr-Cyrl-CS"/>
        </w:rPr>
        <w:t xml:space="preserve"> </w:t>
      </w:r>
      <w:r>
        <w:rPr>
          <w:lang w:val="sr-Cyrl-CS"/>
        </w:rPr>
        <w:t>svom</w:t>
      </w:r>
      <w:r w:rsidR="00281A15" w:rsidRPr="00E95BC4">
        <w:rPr>
          <w:lang w:val="sr-Cyrl-CS"/>
        </w:rPr>
        <w:t xml:space="preserve"> </w:t>
      </w:r>
      <w:r>
        <w:rPr>
          <w:lang w:val="sr-Cyrl-CS"/>
        </w:rPr>
        <w:t>izveštaju</w:t>
      </w:r>
      <w:r w:rsidR="00281A15" w:rsidRPr="00E95BC4">
        <w:rPr>
          <w:lang w:val="sr-Cyrl-CS"/>
        </w:rPr>
        <w:t xml:space="preserve"> </w:t>
      </w:r>
      <w:r>
        <w:rPr>
          <w:lang w:val="sr-Cyrl-CS"/>
        </w:rPr>
        <w:t>identifikovao</w:t>
      </w:r>
      <w:r w:rsidR="00281A15" w:rsidRPr="00E95BC4">
        <w:rPr>
          <w:lang w:val="sr-Cyrl-CS"/>
        </w:rPr>
        <w:t xml:space="preserve"> </w:t>
      </w:r>
      <w:r>
        <w:rPr>
          <w:lang w:val="sr-Cyrl-CS"/>
        </w:rPr>
        <w:t>preporuke</w:t>
      </w:r>
      <w:r w:rsidR="00281A15" w:rsidRPr="00E95BC4">
        <w:rPr>
          <w:lang w:val="sr-Cyrl-CS"/>
        </w:rPr>
        <w:t xml:space="preserve"> </w:t>
      </w:r>
      <w:r>
        <w:rPr>
          <w:lang w:val="sr-Cyrl-CS"/>
        </w:rPr>
        <w:t>za</w:t>
      </w:r>
      <w:r w:rsidR="00281A15" w:rsidRPr="00E95BC4">
        <w:rPr>
          <w:lang w:val="sr-Cyrl-CS"/>
        </w:rPr>
        <w:t xml:space="preserve"> </w:t>
      </w:r>
      <w:r>
        <w:rPr>
          <w:lang w:val="sr-Cyrl-CS"/>
        </w:rPr>
        <w:t>unapređenje</w:t>
      </w:r>
      <w:r w:rsidR="00281A15" w:rsidRPr="00E95BC4">
        <w:rPr>
          <w:lang w:val="sr-Cyrl-CS"/>
        </w:rPr>
        <w:t xml:space="preserve"> </w:t>
      </w:r>
      <w:r>
        <w:rPr>
          <w:lang w:val="sr-Cyrl-CS"/>
        </w:rPr>
        <w:t>stanja</w:t>
      </w:r>
      <w:r w:rsidR="00281A15" w:rsidRPr="00E95BC4">
        <w:rPr>
          <w:lang w:val="sr-Cyrl-CS"/>
        </w:rPr>
        <w:t xml:space="preserve"> </w:t>
      </w:r>
      <w:r>
        <w:rPr>
          <w:lang w:val="sr-Cyrl-CS"/>
        </w:rPr>
        <w:t>na</w:t>
      </w:r>
      <w:r w:rsidR="00281A15" w:rsidRPr="00E95BC4">
        <w:rPr>
          <w:lang w:val="sr-Cyrl-CS"/>
        </w:rPr>
        <w:t xml:space="preserve"> </w:t>
      </w:r>
      <w:r>
        <w:rPr>
          <w:lang w:val="sr-Cyrl-CS"/>
        </w:rPr>
        <w:t>nivou</w:t>
      </w:r>
      <w:r w:rsidR="00281A15" w:rsidRPr="00E95BC4">
        <w:rPr>
          <w:lang w:val="sr-Cyrl-CS"/>
        </w:rPr>
        <w:t xml:space="preserve"> </w:t>
      </w:r>
      <w:r>
        <w:rPr>
          <w:lang w:val="sr-Cyrl-CS"/>
        </w:rPr>
        <w:t>tehničke</w:t>
      </w:r>
      <w:r w:rsidR="00BD0633" w:rsidRPr="00E95BC4">
        <w:rPr>
          <w:lang w:val="sr-Cyrl-CS"/>
        </w:rPr>
        <w:t xml:space="preserve"> </w:t>
      </w:r>
      <w:r>
        <w:rPr>
          <w:lang w:val="sr-Cyrl-CS"/>
        </w:rPr>
        <w:t>usklađenosti</w:t>
      </w:r>
      <w:r w:rsidR="00BD0633" w:rsidRPr="00E95BC4">
        <w:rPr>
          <w:lang w:val="sr-Cyrl-CS"/>
        </w:rPr>
        <w:t xml:space="preserve"> </w:t>
      </w:r>
      <w:r>
        <w:rPr>
          <w:lang w:val="sr-Cyrl-CS"/>
        </w:rPr>
        <w:t>i</w:t>
      </w:r>
      <w:r w:rsidR="00281A15" w:rsidRPr="00E95BC4">
        <w:rPr>
          <w:lang w:val="sr-Cyrl-CS"/>
        </w:rPr>
        <w:t xml:space="preserve"> </w:t>
      </w:r>
      <w:r>
        <w:rPr>
          <w:lang w:val="sr-Cyrl-CS"/>
        </w:rPr>
        <w:t>na</w:t>
      </w:r>
      <w:r w:rsidR="00281A15" w:rsidRPr="00E95BC4">
        <w:rPr>
          <w:lang w:val="sr-Cyrl-CS"/>
        </w:rPr>
        <w:t xml:space="preserve"> </w:t>
      </w:r>
      <w:r>
        <w:rPr>
          <w:lang w:val="sr-Cyrl-CS"/>
        </w:rPr>
        <w:t>nivou</w:t>
      </w:r>
      <w:r w:rsidR="00281A15" w:rsidRPr="00E95BC4">
        <w:rPr>
          <w:lang w:val="sr-Cyrl-CS"/>
        </w:rPr>
        <w:t xml:space="preserve"> </w:t>
      </w:r>
      <w:r>
        <w:rPr>
          <w:lang w:val="sr-Cyrl-CS"/>
        </w:rPr>
        <w:t>delotvornosti</w:t>
      </w:r>
      <w:r w:rsidR="00281A15" w:rsidRPr="00E95BC4">
        <w:rPr>
          <w:lang w:val="sr-Cyrl-CS"/>
        </w:rPr>
        <w:t xml:space="preserve">. </w:t>
      </w:r>
      <w:r>
        <w:rPr>
          <w:lang w:val="sr-Cyrl-CS"/>
        </w:rPr>
        <w:t>Što</w:t>
      </w:r>
      <w:r w:rsidR="00281A15" w:rsidRPr="00E95BC4">
        <w:rPr>
          <w:lang w:val="sr-Cyrl-CS"/>
        </w:rPr>
        <w:t xml:space="preserve"> </w:t>
      </w:r>
      <w:r>
        <w:rPr>
          <w:lang w:val="sr-Cyrl-CS"/>
        </w:rPr>
        <w:t>se</w:t>
      </w:r>
      <w:r w:rsidR="00281A15" w:rsidRPr="00E95BC4">
        <w:rPr>
          <w:lang w:val="sr-Cyrl-CS"/>
        </w:rPr>
        <w:t xml:space="preserve"> </w:t>
      </w:r>
      <w:r>
        <w:rPr>
          <w:lang w:val="sr-Cyrl-CS"/>
        </w:rPr>
        <w:t>tiče</w:t>
      </w:r>
      <w:r w:rsidR="00281A15" w:rsidRPr="00E95BC4">
        <w:rPr>
          <w:lang w:val="sr-Cyrl-CS"/>
        </w:rPr>
        <w:t xml:space="preserve"> </w:t>
      </w:r>
      <w:r>
        <w:rPr>
          <w:lang w:val="sr-Cyrl-CS"/>
        </w:rPr>
        <w:t>tehničke</w:t>
      </w:r>
      <w:r w:rsidR="00281A15" w:rsidRPr="00E95BC4">
        <w:rPr>
          <w:lang w:val="sr-Cyrl-CS"/>
        </w:rPr>
        <w:t xml:space="preserve"> </w:t>
      </w:r>
      <w:r>
        <w:rPr>
          <w:lang w:val="sr-Cyrl-CS"/>
        </w:rPr>
        <w:t>usklađenosti</w:t>
      </w:r>
      <w:r w:rsidR="00281A15" w:rsidRPr="00E95BC4">
        <w:rPr>
          <w:lang w:val="sr-Cyrl-CS"/>
        </w:rPr>
        <w:t xml:space="preserve">, </w:t>
      </w:r>
      <w:r>
        <w:rPr>
          <w:lang w:val="sr-Cyrl-CS"/>
        </w:rPr>
        <w:t>prema</w:t>
      </w:r>
      <w:r w:rsidR="00281A15" w:rsidRPr="00E95BC4">
        <w:rPr>
          <w:lang w:val="sr-Cyrl-CS"/>
        </w:rPr>
        <w:t xml:space="preserve"> </w:t>
      </w:r>
      <w:r>
        <w:rPr>
          <w:lang w:val="sr-Cyrl-CS"/>
        </w:rPr>
        <w:t>pravilima</w:t>
      </w:r>
      <w:r w:rsidR="00281A15" w:rsidRPr="00E95BC4">
        <w:rPr>
          <w:lang w:val="sr-Cyrl-CS"/>
        </w:rPr>
        <w:t xml:space="preserve">, </w:t>
      </w:r>
      <w:r>
        <w:rPr>
          <w:lang w:val="sr-Cyrl-CS"/>
        </w:rPr>
        <w:t>po</w:t>
      </w:r>
      <w:r w:rsidR="00281A15" w:rsidRPr="00E95BC4">
        <w:rPr>
          <w:lang w:val="sr-Cyrl-CS"/>
        </w:rPr>
        <w:t xml:space="preserve"> </w:t>
      </w:r>
      <w:r>
        <w:rPr>
          <w:lang w:val="sr-Cyrl-CS"/>
        </w:rPr>
        <w:t>isteku</w:t>
      </w:r>
      <w:r w:rsidR="00281A15" w:rsidRPr="00E95BC4">
        <w:rPr>
          <w:lang w:val="sr-Cyrl-CS"/>
        </w:rPr>
        <w:t xml:space="preserve"> 3. </w:t>
      </w:r>
      <w:r>
        <w:rPr>
          <w:lang w:val="sr-Cyrl-CS"/>
        </w:rPr>
        <w:t>godine</w:t>
      </w:r>
      <w:r w:rsidR="00281A15" w:rsidRPr="00E95BC4">
        <w:rPr>
          <w:lang w:val="sr-Cyrl-CS"/>
        </w:rPr>
        <w:t xml:space="preserve"> </w:t>
      </w:r>
      <w:r>
        <w:rPr>
          <w:lang w:val="sr-Cyrl-CS"/>
        </w:rPr>
        <w:t>od</w:t>
      </w:r>
      <w:r w:rsidR="00281A15" w:rsidRPr="00E95BC4">
        <w:rPr>
          <w:lang w:val="sr-Cyrl-CS"/>
        </w:rPr>
        <w:t xml:space="preserve"> </w:t>
      </w:r>
      <w:r>
        <w:rPr>
          <w:lang w:val="sr-Cyrl-CS"/>
        </w:rPr>
        <w:t>usvajanja</w:t>
      </w:r>
      <w:r w:rsidR="00281A15" w:rsidRPr="00E95BC4">
        <w:rPr>
          <w:lang w:val="sr-Cyrl-CS"/>
        </w:rPr>
        <w:t xml:space="preserve"> </w:t>
      </w:r>
      <w:r>
        <w:rPr>
          <w:lang w:val="sr-Cyrl-CS"/>
        </w:rPr>
        <w:t>izveštaja</w:t>
      </w:r>
      <w:r w:rsidR="00281A15" w:rsidRPr="00E95BC4">
        <w:rPr>
          <w:lang w:val="sr-Cyrl-CS"/>
        </w:rPr>
        <w:t xml:space="preserve"> </w:t>
      </w:r>
      <w:r>
        <w:rPr>
          <w:lang w:val="sr-Cyrl-CS"/>
        </w:rPr>
        <w:t>o</w:t>
      </w:r>
      <w:r w:rsidR="00281A15" w:rsidRPr="00E95BC4">
        <w:rPr>
          <w:lang w:val="sr-Cyrl-CS"/>
        </w:rPr>
        <w:t xml:space="preserve"> </w:t>
      </w:r>
      <w:r>
        <w:rPr>
          <w:lang w:val="sr-Cyrl-CS"/>
        </w:rPr>
        <w:t>uzajamnoj</w:t>
      </w:r>
      <w:r w:rsidR="00281A15" w:rsidRPr="00E95BC4">
        <w:rPr>
          <w:lang w:val="sr-Cyrl-CS"/>
        </w:rPr>
        <w:t xml:space="preserve"> </w:t>
      </w:r>
      <w:r>
        <w:rPr>
          <w:lang w:val="sr-Cyrl-CS"/>
        </w:rPr>
        <w:t>evaluaciji</w:t>
      </w:r>
      <w:r w:rsidR="00281A15" w:rsidRPr="00E95BC4">
        <w:rPr>
          <w:lang w:val="sr-Cyrl-CS"/>
        </w:rPr>
        <w:t xml:space="preserve">, </w:t>
      </w:r>
      <w:r>
        <w:rPr>
          <w:lang w:val="sr-Cyrl-CS"/>
        </w:rPr>
        <w:t>država</w:t>
      </w:r>
      <w:r w:rsidR="00986E93" w:rsidRPr="00E95BC4">
        <w:rPr>
          <w:lang w:val="sr-Cyrl-CS"/>
        </w:rPr>
        <w:t xml:space="preserve"> </w:t>
      </w:r>
      <w:r>
        <w:rPr>
          <w:lang w:val="sr-Cyrl-CS"/>
        </w:rPr>
        <w:t>mora</w:t>
      </w:r>
      <w:r w:rsidR="00986E93" w:rsidRPr="00E95BC4">
        <w:rPr>
          <w:lang w:val="sr-Cyrl-CS"/>
        </w:rPr>
        <w:t xml:space="preserve"> </w:t>
      </w:r>
      <w:r>
        <w:rPr>
          <w:lang w:val="sr-Cyrl-CS"/>
        </w:rPr>
        <w:t>da</w:t>
      </w:r>
      <w:r w:rsidR="00986E93" w:rsidRPr="00E95BC4">
        <w:rPr>
          <w:lang w:val="sr-Cyrl-CS"/>
        </w:rPr>
        <w:t xml:space="preserve"> </w:t>
      </w:r>
      <w:r>
        <w:rPr>
          <w:lang w:val="sr-Cyrl-CS"/>
        </w:rPr>
        <w:t>bude</w:t>
      </w:r>
      <w:r w:rsidR="00986E93" w:rsidRPr="00E95BC4">
        <w:rPr>
          <w:lang w:val="sr-Cyrl-CS"/>
        </w:rPr>
        <w:t xml:space="preserve"> (</w:t>
      </w:r>
      <w:r>
        <w:rPr>
          <w:lang w:val="sr-Cyrl-CS"/>
        </w:rPr>
        <w:t>kao</w:t>
      </w:r>
      <w:r w:rsidR="00986E93" w:rsidRPr="00E95BC4">
        <w:rPr>
          <w:lang w:val="sr-Cyrl-CS"/>
        </w:rPr>
        <w:t xml:space="preserve"> </w:t>
      </w:r>
      <w:r>
        <w:rPr>
          <w:lang w:val="sr-Cyrl-CS"/>
        </w:rPr>
        <w:t>minimum</w:t>
      </w:r>
      <w:r w:rsidR="00281A15" w:rsidRPr="00E95BC4">
        <w:rPr>
          <w:lang w:val="sr-Cyrl-CS"/>
        </w:rPr>
        <w:t xml:space="preserve"> </w:t>
      </w:r>
      <w:r>
        <w:rPr>
          <w:lang w:val="sr-Cyrl-CS"/>
        </w:rPr>
        <w:t>u</w:t>
      </w:r>
      <w:r w:rsidR="00281A15" w:rsidRPr="00E95BC4">
        <w:rPr>
          <w:lang w:val="sr-Cyrl-CS"/>
        </w:rPr>
        <w:t xml:space="preserve"> </w:t>
      </w:r>
      <w:r>
        <w:rPr>
          <w:lang w:val="sr-Cyrl-CS"/>
        </w:rPr>
        <w:t>velikoj</w:t>
      </w:r>
      <w:r w:rsidR="00281A15" w:rsidRPr="00E95BC4">
        <w:rPr>
          <w:lang w:val="sr-Cyrl-CS"/>
        </w:rPr>
        <w:t xml:space="preserve"> </w:t>
      </w:r>
      <w:r>
        <w:rPr>
          <w:lang w:val="sr-Cyrl-CS"/>
        </w:rPr>
        <w:t>meri</w:t>
      </w:r>
      <w:r w:rsidR="00281A15" w:rsidRPr="00E95BC4">
        <w:rPr>
          <w:lang w:val="sr-Cyrl-CS"/>
        </w:rPr>
        <w:t xml:space="preserve">) </w:t>
      </w:r>
      <w:r>
        <w:rPr>
          <w:lang w:val="sr-Cyrl-CS"/>
        </w:rPr>
        <w:t>usklađena</w:t>
      </w:r>
      <w:r w:rsidR="00281A15" w:rsidRPr="00E95BC4">
        <w:rPr>
          <w:lang w:val="sr-Cyrl-CS"/>
        </w:rPr>
        <w:t xml:space="preserve"> </w:t>
      </w:r>
      <w:r>
        <w:rPr>
          <w:lang w:val="sr-Cyrl-CS"/>
        </w:rPr>
        <w:t>sa</w:t>
      </w:r>
      <w:r w:rsidR="00281A15" w:rsidRPr="00E95BC4">
        <w:rPr>
          <w:lang w:val="sr-Cyrl-CS"/>
        </w:rPr>
        <w:t xml:space="preserve"> </w:t>
      </w:r>
      <w:r>
        <w:rPr>
          <w:i/>
          <w:lang w:val="sr-Cyrl-CS"/>
        </w:rPr>
        <w:t>većinom</w:t>
      </w:r>
      <w:r w:rsidR="00281A15" w:rsidRPr="00E95BC4">
        <w:rPr>
          <w:i/>
          <w:lang w:val="sr-Cyrl-CS"/>
        </w:rPr>
        <w:t xml:space="preserve">, </w:t>
      </w:r>
      <w:r>
        <w:rPr>
          <w:i/>
          <w:lang w:val="sr-Cyrl-CS"/>
        </w:rPr>
        <w:t>ako</w:t>
      </w:r>
      <w:r w:rsidR="00281A15" w:rsidRPr="00E95BC4">
        <w:rPr>
          <w:i/>
          <w:lang w:val="sr-Cyrl-CS"/>
        </w:rPr>
        <w:t xml:space="preserve"> </w:t>
      </w:r>
      <w:r>
        <w:rPr>
          <w:i/>
          <w:lang w:val="sr-Cyrl-CS"/>
        </w:rPr>
        <w:t>ne</w:t>
      </w:r>
      <w:r w:rsidR="00281A15" w:rsidRPr="00E95BC4">
        <w:rPr>
          <w:i/>
          <w:lang w:val="sr-Cyrl-CS"/>
        </w:rPr>
        <w:t xml:space="preserve"> </w:t>
      </w:r>
      <w:r>
        <w:rPr>
          <w:i/>
          <w:lang w:val="sr-Cyrl-CS"/>
        </w:rPr>
        <w:t>i</w:t>
      </w:r>
      <w:r w:rsidR="00281A15" w:rsidRPr="00E95BC4">
        <w:rPr>
          <w:i/>
          <w:lang w:val="sr-Cyrl-CS"/>
        </w:rPr>
        <w:t xml:space="preserve"> </w:t>
      </w:r>
      <w:r>
        <w:rPr>
          <w:i/>
          <w:lang w:val="sr-Cyrl-CS"/>
        </w:rPr>
        <w:t>svim</w:t>
      </w:r>
      <w:r w:rsidR="00281A15" w:rsidRPr="00E95BC4">
        <w:rPr>
          <w:lang w:val="sr-Cyrl-CS"/>
        </w:rPr>
        <w:t xml:space="preserve">, </w:t>
      </w:r>
      <w:r>
        <w:rPr>
          <w:lang w:val="sr-Cyrl-CS"/>
        </w:rPr>
        <w:t>preporukama</w:t>
      </w:r>
      <w:r w:rsidR="00281A15" w:rsidRPr="00E95BC4">
        <w:rPr>
          <w:lang w:val="sr-Cyrl-CS"/>
        </w:rPr>
        <w:t xml:space="preserve"> </w:t>
      </w:r>
      <w:r>
        <w:rPr>
          <w:lang w:val="sr-Cyrl-CS"/>
        </w:rPr>
        <w:t>FATF</w:t>
      </w:r>
      <w:r w:rsidR="00281A15" w:rsidRPr="00E95BC4">
        <w:rPr>
          <w:lang w:val="sr-Cyrl-CS"/>
        </w:rPr>
        <w:t xml:space="preserve">. </w:t>
      </w:r>
      <w:r>
        <w:rPr>
          <w:lang w:val="sr-Cyrl-CS"/>
        </w:rPr>
        <w:t>U</w:t>
      </w:r>
      <w:r w:rsidR="00281A15" w:rsidRPr="00E95BC4">
        <w:rPr>
          <w:lang w:val="sr-Cyrl-CS"/>
        </w:rPr>
        <w:t xml:space="preserve"> </w:t>
      </w:r>
      <w:r>
        <w:rPr>
          <w:lang w:val="sr-Cyrl-CS"/>
        </w:rPr>
        <w:t>Drugom</w:t>
      </w:r>
      <w:r w:rsidR="00281A15" w:rsidRPr="00E95BC4">
        <w:rPr>
          <w:lang w:val="sr-Cyrl-CS"/>
        </w:rPr>
        <w:t xml:space="preserve"> </w:t>
      </w:r>
      <w:r>
        <w:rPr>
          <w:lang w:val="sr-Cyrl-CS"/>
        </w:rPr>
        <w:t>izveštaju</w:t>
      </w:r>
      <w:r w:rsidR="00281A15" w:rsidRPr="00E95BC4">
        <w:rPr>
          <w:lang w:val="sr-Cyrl-CS"/>
        </w:rPr>
        <w:t xml:space="preserve"> </w:t>
      </w:r>
      <w:r>
        <w:rPr>
          <w:lang w:val="sr-Cyrl-CS"/>
        </w:rPr>
        <w:t>o</w:t>
      </w:r>
      <w:r w:rsidR="00281A15" w:rsidRPr="00E95BC4">
        <w:rPr>
          <w:lang w:val="sr-Cyrl-CS"/>
        </w:rPr>
        <w:t xml:space="preserve"> </w:t>
      </w:r>
      <w:r>
        <w:rPr>
          <w:lang w:val="sr-Cyrl-CS"/>
        </w:rPr>
        <w:t>pojačanom</w:t>
      </w:r>
      <w:r w:rsidR="00281A15" w:rsidRPr="00E95BC4">
        <w:rPr>
          <w:lang w:val="sr-Cyrl-CS"/>
        </w:rPr>
        <w:t xml:space="preserve"> </w:t>
      </w:r>
      <w:r>
        <w:rPr>
          <w:lang w:val="sr-Cyrl-CS"/>
        </w:rPr>
        <w:t>praćenju</w:t>
      </w:r>
      <w:r w:rsidR="00281A15" w:rsidRPr="00E95BC4">
        <w:rPr>
          <w:lang w:val="sr-Cyrl-CS"/>
        </w:rPr>
        <w:t xml:space="preserve"> </w:t>
      </w:r>
      <w:r>
        <w:rPr>
          <w:lang w:val="sr-Cyrl-CS"/>
        </w:rPr>
        <w:t>Republike</w:t>
      </w:r>
      <w:r w:rsidR="003067CB" w:rsidRPr="00E95BC4">
        <w:rPr>
          <w:lang w:val="sr-Cyrl-CS"/>
        </w:rPr>
        <w:t xml:space="preserve"> </w:t>
      </w:r>
      <w:r>
        <w:rPr>
          <w:lang w:val="sr-Cyrl-CS"/>
        </w:rPr>
        <w:t>Srbije</w:t>
      </w:r>
      <w:r w:rsidR="00281A15" w:rsidRPr="00E95BC4">
        <w:rPr>
          <w:lang w:val="sr-Cyrl-CS"/>
        </w:rPr>
        <w:t xml:space="preserve"> </w:t>
      </w:r>
      <w:r>
        <w:rPr>
          <w:lang w:val="sr-Cyrl-CS"/>
        </w:rPr>
        <w:t>iz</w:t>
      </w:r>
      <w:r w:rsidR="00281A15" w:rsidRPr="00E95BC4">
        <w:rPr>
          <w:lang w:val="sr-Cyrl-CS"/>
        </w:rPr>
        <w:t xml:space="preserve"> </w:t>
      </w:r>
      <w:r>
        <w:rPr>
          <w:lang w:val="sr-Cyrl-CS"/>
        </w:rPr>
        <w:t>decembra</w:t>
      </w:r>
      <w:r w:rsidR="00281A15" w:rsidRPr="00E95BC4">
        <w:rPr>
          <w:lang w:val="sr-Cyrl-CS"/>
        </w:rPr>
        <w:t xml:space="preserve"> 2018</w:t>
      </w:r>
      <w:r w:rsidR="0070378D" w:rsidRPr="00E95BC4">
        <w:rPr>
          <w:lang w:val="sr-Cyrl-CS"/>
        </w:rPr>
        <w:t xml:space="preserve">. </w:t>
      </w:r>
      <w:r>
        <w:rPr>
          <w:lang w:val="sr-Cyrl-CS"/>
        </w:rPr>
        <w:t>godine</w:t>
      </w:r>
      <w:r w:rsidR="00281A15" w:rsidRPr="00E95BC4">
        <w:rPr>
          <w:lang w:val="sr-Cyrl-CS"/>
        </w:rPr>
        <w:t xml:space="preserve">, </w:t>
      </w:r>
      <w:r>
        <w:rPr>
          <w:lang w:val="sr-Cyrl-CS"/>
        </w:rPr>
        <w:t>Manival</w:t>
      </w:r>
      <w:r w:rsidR="00281A15" w:rsidRPr="00E95BC4">
        <w:rPr>
          <w:lang w:val="sr-Cyrl-CS"/>
        </w:rPr>
        <w:t xml:space="preserve"> </w:t>
      </w:r>
      <w:r>
        <w:rPr>
          <w:lang w:val="sr-Cyrl-CS"/>
        </w:rPr>
        <w:t>je</w:t>
      </w:r>
      <w:r w:rsidR="00281A15" w:rsidRPr="00E95BC4">
        <w:rPr>
          <w:lang w:val="sr-Cyrl-CS"/>
        </w:rPr>
        <w:t xml:space="preserve"> </w:t>
      </w:r>
      <w:r>
        <w:rPr>
          <w:lang w:val="sr-Cyrl-CS"/>
        </w:rPr>
        <w:t>konstatovao</w:t>
      </w:r>
      <w:r w:rsidR="00281A15" w:rsidRPr="00E95BC4">
        <w:rPr>
          <w:lang w:val="sr-Cyrl-CS"/>
        </w:rPr>
        <w:t xml:space="preserve"> </w:t>
      </w:r>
      <w:r>
        <w:rPr>
          <w:lang w:val="sr-Cyrl-CS"/>
        </w:rPr>
        <w:t>da</w:t>
      </w:r>
      <w:r w:rsidR="00281A15" w:rsidRPr="00E95BC4">
        <w:rPr>
          <w:lang w:val="sr-Cyrl-CS"/>
        </w:rPr>
        <w:t xml:space="preserve"> </w:t>
      </w:r>
      <w:r>
        <w:rPr>
          <w:lang w:val="sr-Cyrl-CS"/>
        </w:rPr>
        <w:t>je</w:t>
      </w:r>
      <w:r w:rsidR="004A6FEC" w:rsidRPr="00E95BC4">
        <w:rPr>
          <w:lang w:val="sr-Cyrl-CS"/>
        </w:rPr>
        <w:t xml:space="preserve"> </w:t>
      </w:r>
      <w:r>
        <w:rPr>
          <w:lang w:val="sr-Cyrl-CS"/>
        </w:rPr>
        <w:t>Republika</w:t>
      </w:r>
      <w:r w:rsidR="00281A15" w:rsidRPr="00E95BC4">
        <w:rPr>
          <w:lang w:val="sr-Cyrl-CS"/>
        </w:rPr>
        <w:t xml:space="preserve"> </w:t>
      </w:r>
      <w:r>
        <w:rPr>
          <w:lang w:val="sr-Cyrl-CS"/>
        </w:rPr>
        <w:t>Srbija</w:t>
      </w:r>
      <w:r w:rsidR="00281A15" w:rsidRPr="00E95BC4">
        <w:rPr>
          <w:lang w:val="sr-Cyrl-CS"/>
        </w:rPr>
        <w:t xml:space="preserve"> </w:t>
      </w:r>
      <w:r>
        <w:rPr>
          <w:lang w:val="sr-Cyrl-CS"/>
        </w:rPr>
        <w:t>napredovala</w:t>
      </w:r>
      <w:r w:rsidR="00281A15" w:rsidRPr="00E95BC4">
        <w:rPr>
          <w:lang w:val="sr-Cyrl-CS"/>
        </w:rPr>
        <w:t xml:space="preserve"> </w:t>
      </w:r>
      <w:r>
        <w:rPr>
          <w:lang w:val="sr-Cyrl-CS"/>
        </w:rPr>
        <w:t>u</w:t>
      </w:r>
      <w:r w:rsidR="00281A15" w:rsidRPr="00E95BC4">
        <w:rPr>
          <w:lang w:val="sr-Cyrl-CS"/>
        </w:rPr>
        <w:t xml:space="preserve"> </w:t>
      </w:r>
      <w:r>
        <w:rPr>
          <w:lang w:val="sr-Cyrl-CS"/>
        </w:rPr>
        <w:lastRenderedPageBreak/>
        <w:t>tehničkoj</w:t>
      </w:r>
      <w:r w:rsidR="00281A15" w:rsidRPr="00E95BC4">
        <w:rPr>
          <w:lang w:val="sr-Cyrl-CS"/>
        </w:rPr>
        <w:t xml:space="preserve"> </w:t>
      </w:r>
      <w:r>
        <w:rPr>
          <w:lang w:val="sr-Cyrl-CS"/>
        </w:rPr>
        <w:t>usklađenosti</w:t>
      </w:r>
      <w:r w:rsidR="00281A15" w:rsidRPr="00E95BC4">
        <w:rPr>
          <w:lang w:val="sr-Cyrl-CS"/>
        </w:rPr>
        <w:t xml:space="preserve"> </w:t>
      </w:r>
      <w:r>
        <w:rPr>
          <w:lang w:val="sr-Cyrl-CS"/>
        </w:rPr>
        <w:t>i</w:t>
      </w:r>
      <w:r w:rsidR="00281A15" w:rsidRPr="00E95BC4">
        <w:rPr>
          <w:lang w:val="sr-Cyrl-CS"/>
        </w:rPr>
        <w:t xml:space="preserve"> </w:t>
      </w:r>
      <w:r>
        <w:rPr>
          <w:lang w:val="sr-Cyrl-CS"/>
        </w:rPr>
        <w:t>povećao</w:t>
      </w:r>
      <w:r w:rsidR="00281A15" w:rsidRPr="00E95BC4">
        <w:rPr>
          <w:lang w:val="sr-Cyrl-CS"/>
        </w:rPr>
        <w:t xml:space="preserve"> </w:t>
      </w:r>
      <w:r>
        <w:rPr>
          <w:lang w:val="sr-Cyrl-CS"/>
        </w:rPr>
        <w:t>ocene</w:t>
      </w:r>
      <w:r w:rsidR="00281A15" w:rsidRPr="00E95BC4">
        <w:rPr>
          <w:lang w:val="sr-Cyrl-CS"/>
        </w:rPr>
        <w:t xml:space="preserve"> </w:t>
      </w:r>
      <w:r>
        <w:rPr>
          <w:lang w:val="sr-Cyrl-CS"/>
        </w:rPr>
        <w:t>u</w:t>
      </w:r>
      <w:r w:rsidR="00986E93" w:rsidRPr="00E95BC4">
        <w:rPr>
          <w:lang w:val="sr-Cyrl-CS"/>
        </w:rPr>
        <w:t xml:space="preserve"> </w:t>
      </w:r>
      <w:r>
        <w:rPr>
          <w:lang w:val="sr-Cyrl-CS"/>
        </w:rPr>
        <w:t>odnosu</w:t>
      </w:r>
      <w:r w:rsidR="00986E93" w:rsidRPr="00E95BC4">
        <w:rPr>
          <w:lang w:val="sr-Cyrl-CS"/>
        </w:rPr>
        <w:t xml:space="preserve"> </w:t>
      </w:r>
      <w:r>
        <w:rPr>
          <w:lang w:val="sr-Cyrl-CS"/>
        </w:rPr>
        <w:t>na</w:t>
      </w:r>
      <w:r w:rsidR="00281A15" w:rsidRPr="00E95BC4">
        <w:rPr>
          <w:lang w:val="sr-Cyrl-CS"/>
        </w:rPr>
        <w:t xml:space="preserve"> 10 </w:t>
      </w:r>
      <w:r>
        <w:rPr>
          <w:lang w:val="sr-Cyrl-CS"/>
        </w:rPr>
        <w:t>od</w:t>
      </w:r>
      <w:r w:rsidR="00281A15" w:rsidRPr="00E95BC4">
        <w:rPr>
          <w:lang w:val="sr-Cyrl-CS"/>
        </w:rPr>
        <w:t xml:space="preserve"> 17 </w:t>
      </w:r>
      <w:r>
        <w:rPr>
          <w:lang w:val="sr-Cyrl-CS"/>
        </w:rPr>
        <w:t>preporuka</w:t>
      </w:r>
      <w:r w:rsidR="00281A15" w:rsidRPr="00E95BC4">
        <w:rPr>
          <w:lang w:val="sr-Cyrl-CS"/>
        </w:rPr>
        <w:t xml:space="preserve"> </w:t>
      </w:r>
      <w:r>
        <w:rPr>
          <w:lang w:val="sr-Cyrl-CS"/>
        </w:rPr>
        <w:t>FATF</w:t>
      </w:r>
      <w:r w:rsidR="00281A15" w:rsidRPr="00E95BC4">
        <w:rPr>
          <w:lang w:val="sr-Cyrl-CS"/>
        </w:rPr>
        <w:t xml:space="preserve"> </w:t>
      </w:r>
      <w:r>
        <w:rPr>
          <w:lang w:val="sr-Cyrl-CS"/>
        </w:rPr>
        <w:t>koje</w:t>
      </w:r>
      <w:r w:rsidR="00281A15" w:rsidRPr="00E95BC4">
        <w:rPr>
          <w:lang w:val="sr-Cyrl-CS"/>
        </w:rPr>
        <w:t xml:space="preserve"> </w:t>
      </w:r>
      <w:r>
        <w:rPr>
          <w:lang w:val="sr-Cyrl-CS"/>
        </w:rPr>
        <w:t>su</w:t>
      </w:r>
      <w:r w:rsidR="00281A15" w:rsidRPr="00E95BC4">
        <w:rPr>
          <w:lang w:val="sr-Cyrl-CS"/>
        </w:rPr>
        <w:t xml:space="preserve"> </w:t>
      </w:r>
      <w:r>
        <w:rPr>
          <w:lang w:val="sr-Cyrl-CS"/>
        </w:rPr>
        <w:t>u</w:t>
      </w:r>
      <w:r w:rsidR="00281A15" w:rsidRPr="00E95BC4">
        <w:rPr>
          <w:lang w:val="sr-Cyrl-CS"/>
        </w:rPr>
        <w:t xml:space="preserve"> </w:t>
      </w:r>
      <w:r>
        <w:rPr>
          <w:lang w:val="sr-Cyrl-CS"/>
        </w:rPr>
        <w:t>Izveštaju</w:t>
      </w:r>
      <w:r w:rsidR="007400BE">
        <w:rPr>
          <w:lang w:val="sr-Cyrl-CS"/>
        </w:rPr>
        <w:t xml:space="preserve"> </w:t>
      </w:r>
      <w:r>
        <w:rPr>
          <w:lang w:val="sr-Cyrl-CS"/>
        </w:rPr>
        <w:t>o</w:t>
      </w:r>
      <w:r w:rsidR="007400BE">
        <w:rPr>
          <w:lang w:val="sr-Cyrl-CS"/>
        </w:rPr>
        <w:t xml:space="preserve"> </w:t>
      </w:r>
      <w:r>
        <w:rPr>
          <w:lang w:val="sr-Cyrl-CS"/>
        </w:rPr>
        <w:t>uzajamnoj</w:t>
      </w:r>
      <w:r w:rsidR="007400BE">
        <w:rPr>
          <w:lang w:val="sr-Cyrl-CS"/>
        </w:rPr>
        <w:t xml:space="preserve"> </w:t>
      </w:r>
      <w:r>
        <w:rPr>
          <w:lang w:val="sr-Cyrl-CS"/>
        </w:rPr>
        <w:t>evaluaciji</w:t>
      </w:r>
      <w:r w:rsidR="007400BE">
        <w:rPr>
          <w:lang w:val="sr-Cyrl-CS"/>
        </w:rPr>
        <w:t xml:space="preserve"> 2016.</w:t>
      </w:r>
      <w:r w:rsidR="007400BE" w:rsidRPr="00E95BC4">
        <w:rPr>
          <w:lang w:val="sr-Cyrl-CS"/>
        </w:rPr>
        <w:t xml:space="preserve"> </w:t>
      </w:r>
      <w:r>
        <w:rPr>
          <w:lang w:val="sr-Cyrl-CS"/>
        </w:rPr>
        <w:t>godine</w:t>
      </w:r>
      <w:r w:rsidR="007400BE" w:rsidRPr="00E95BC4">
        <w:rPr>
          <w:lang w:val="sr-Cyrl-CS"/>
        </w:rPr>
        <w:t xml:space="preserve"> </w:t>
      </w:r>
      <w:r>
        <w:rPr>
          <w:lang w:val="sr-Cyrl-CS"/>
        </w:rPr>
        <w:t>bile</w:t>
      </w:r>
      <w:r w:rsidR="00281A15" w:rsidRPr="00E95BC4">
        <w:rPr>
          <w:lang w:val="sr-Cyrl-CS"/>
        </w:rPr>
        <w:t xml:space="preserve"> </w:t>
      </w:r>
      <w:r>
        <w:rPr>
          <w:lang w:val="sr-Cyrl-CS"/>
        </w:rPr>
        <w:t>ocenjene</w:t>
      </w:r>
      <w:r w:rsidR="00281A15" w:rsidRPr="00E95BC4">
        <w:rPr>
          <w:lang w:val="sr-Cyrl-CS"/>
        </w:rPr>
        <w:t xml:space="preserve"> </w:t>
      </w:r>
      <w:r>
        <w:rPr>
          <w:lang w:val="sr-Cyrl-CS"/>
        </w:rPr>
        <w:t>ocenom</w:t>
      </w:r>
      <w:r w:rsidR="00281A15" w:rsidRPr="00E95BC4">
        <w:rPr>
          <w:lang w:val="sr-Cyrl-CS"/>
        </w:rPr>
        <w:t xml:space="preserve"> </w:t>
      </w:r>
      <w:r>
        <w:rPr>
          <w:i/>
          <w:lang w:val="sr-Cyrl-CS"/>
        </w:rPr>
        <w:t>neusklađen</w:t>
      </w:r>
      <w:r w:rsidR="00281A15" w:rsidRPr="00E95BC4">
        <w:rPr>
          <w:i/>
          <w:lang w:val="sr-Cyrl-CS"/>
        </w:rPr>
        <w:t xml:space="preserve"> </w:t>
      </w:r>
      <w:r>
        <w:rPr>
          <w:lang w:val="sr-Cyrl-CS"/>
        </w:rPr>
        <w:t>ili</w:t>
      </w:r>
      <w:r w:rsidR="00281A15" w:rsidRPr="00E95BC4">
        <w:rPr>
          <w:lang w:val="sr-Cyrl-CS"/>
        </w:rPr>
        <w:t xml:space="preserve"> </w:t>
      </w:r>
      <w:r>
        <w:rPr>
          <w:i/>
          <w:lang w:val="sr-Cyrl-CS"/>
        </w:rPr>
        <w:t>delimično</w:t>
      </w:r>
      <w:r w:rsidR="00281A15" w:rsidRPr="00E95BC4">
        <w:rPr>
          <w:i/>
          <w:lang w:val="sr-Cyrl-CS"/>
        </w:rPr>
        <w:t xml:space="preserve"> </w:t>
      </w:r>
      <w:r>
        <w:rPr>
          <w:i/>
          <w:lang w:val="sr-Cyrl-CS"/>
        </w:rPr>
        <w:t>usklađen</w:t>
      </w:r>
      <w:r w:rsidR="00281A15" w:rsidRPr="00E95BC4">
        <w:rPr>
          <w:i/>
          <w:lang w:val="sr-Cyrl-CS"/>
        </w:rPr>
        <w:t xml:space="preserve">. </w:t>
      </w:r>
      <w:r>
        <w:rPr>
          <w:lang w:val="sr-Cyrl-CS"/>
        </w:rPr>
        <w:t>U</w:t>
      </w:r>
      <w:r w:rsidR="00281A15" w:rsidRPr="00E95BC4">
        <w:rPr>
          <w:lang w:val="sr-Cyrl-CS"/>
        </w:rPr>
        <w:t xml:space="preserve"> </w:t>
      </w:r>
      <w:r>
        <w:rPr>
          <w:lang w:val="sr-Cyrl-CS"/>
        </w:rPr>
        <w:t>decembru</w:t>
      </w:r>
      <w:r w:rsidR="00281A15" w:rsidRPr="00E95BC4">
        <w:rPr>
          <w:lang w:val="sr-Cyrl-CS"/>
        </w:rPr>
        <w:t xml:space="preserve"> 2019. </w:t>
      </w:r>
      <w:r>
        <w:rPr>
          <w:lang w:val="sr-Cyrl-CS"/>
        </w:rPr>
        <w:t>godine</w:t>
      </w:r>
      <w:r w:rsidR="00281A15" w:rsidRPr="00E95BC4">
        <w:rPr>
          <w:lang w:val="sr-Cyrl-CS"/>
        </w:rPr>
        <w:t xml:space="preserve">, </w:t>
      </w:r>
      <w:r>
        <w:rPr>
          <w:lang w:val="sr-Cyrl-CS"/>
        </w:rPr>
        <w:t>Manival</w:t>
      </w:r>
      <w:r w:rsidR="00281A15" w:rsidRPr="00E95BC4">
        <w:rPr>
          <w:lang w:val="sr-Cyrl-CS"/>
        </w:rPr>
        <w:t xml:space="preserve"> </w:t>
      </w:r>
      <w:r>
        <w:rPr>
          <w:lang w:val="sr-Cyrl-CS"/>
        </w:rPr>
        <w:t>je</w:t>
      </w:r>
      <w:r w:rsidR="00281A15" w:rsidRPr="00E95BC4">
        <w:rPr>
          <w:lang w:val="sr-Cyrl-CS"/>
        </w:rPr>
        <w:t xml:space="preserve"> </w:t>
      </w:r>
      <w:r>
        <w:rPr>
          <w:lang w:val="sr-Cyrl-CS"/>
        </w:rPr>
        <w:t>na</w:t>
      </w:r>
      <w:r w:rsidR="00281A15" w:rsidRPr="00E95BC4">
        <w:rPr>
          <w:lang w:val="sr-Cyrl-CS"/>
        </w:rPr>
        <w:t xml:space="preserve"> </w:t>
      </w:r>
      <w:r>
        <w:rPr>
          <w:lang w:val="sr-Cyrl-CS"/>
        </w:rPr>
        <w:t>bazi</w:t>
      </w:r>
      <w:r w:rsidR="00281A15" w:rsidRPr="00E95BC4">
        <w:rPr>
          <w:lang w:val="sr-Cyrl-CS"/>
        </w:rPr>
        <w:t xml:space="preserve"> </w:t>
      </w:r>
      <w:r>
        <w:rPr>
          <w:lang w:val="sr-Cyrl-CS"/>
        </w:rPr>
        <w:t>dostavljenih</w:t>
      </w:r>
      <w:r w:rsidR="00281A15" w:rsidRPr="00E95BC4">
        <w:rPr>
          <w:lang w:val="sr-Cyrl-CS"/>
        </w:rPr>
        <w:t xml:space="preserve"> </w:t>
      </w:r>
      <w:r>
        <w:rPr>
          <w:lang w:val="sr-Cyrl-CS"/>
        </w:rPr>
        <w:t>informacija</w:t>
      </w:r>
      <w:r w:rsidR="00281A15" w:rsidRPr="00E95BC4">
        <w:rPr>
          <w:lang w:val="sr-Cyrl-CS"/>
        </w:rPr>
        <w:t xml:space="preserve"> </w:t>
      </w:r>
      <w:r>
        <w:rPr>
          <w:lang w:val="sr-Cyrl-CS"/>
        </w:rPr>
        <w:t>o</w:t>
      </w:r>
      <w:r w:rsidR="00281A15" w:rsidRPr="00E95BC4">
        <w:rPr>
          <w:lang w:val="sr-Cyrl-CS"/>
        </w:rPr>
        <w:t xml:space="preserve"> </w:t>
      </w:r>
      <w:r>
        <w:rPr>
          <w:lang w:val="sr-Cyrl-CS"/>
        </w:rPr>
        <w:t>napretku</w:t>
      </w:r>
      <w:r w:rsidR="00281A15" w:rsidRPr="00E95BC4">
        <w:rPr>
          <w:lang w:val="sr-Cyrl-CS"/>
        </w:rPr>
        <w:t xml:space="preserve">, </w:t>
      </w:r>
      <w:r>
        <w:rPr>
          <w:lang w:val="sr-Cyrl-CS"/>
        </w:rPr>
        <w:t>povećao</w:t>
      </w:r>
      <w:r w:rsidR="00281A15" w:rsidRPr="00E95BC4">
        <w:rPr>
          <w:lang w:val="sr-Cyrl-CS"/>
        </w:rPr>
        <w:t xml:space="preserve"> </w:t>
      </w:r>
      <w:r>
        <w:rPr>
          <w:lang w:val="sr-Cyrl-CS"/>
        </w:rPr>
        <w:t>ocene</w:t>
      </w:r>
      <w:r w:rsidR="00281A15" w:rsidRPr="00E95BC4">
        <w:rPr>
          <w:lang w:val="sr-Cyrl-CS"/>
        </w:rPr>
        <w:t xml:space="preserve"> </w:t>
      </w:r>
      <w:r>
        <w:rPr>
          <w:lang w:val="sr-Cyrl-CS"/>
        </w:rPr>
        <w:t>u</w:t>
      </w:r>
      <w:r w:rsidR="00986E93" w:rsidRPr="00E95BC4">
        <w:rPr>
          <w:lang w:val="sr-Cyrl-CS"/>
        </w:rPr>
        <w:t xml:space="preserve"> </w:t>
      </w:r>
      <w:r>
        <w:rPr>
          <w:lang w:val="sr-Cyrl-CS"/>
        </w:rPr>
        <w:t>odnosu</w:t>
      </w:r>
      <w:r w:rsidR="00986E93" w:rsidRPr="00E95BC4">
        <w:rPr>
          <w:lang w:val="sr-Cyrl-CS"/>
        </w:rPr>
        <w:t xml:space="preserve"> </w:t>
      </w:r>
      <w:r>
        <w:rPr>
          <w:lang w:val="sr-Cyrl-CS"/>
        </w:rPr>
        <w:t>na</w:t>
      </w:r>
      <w:r w:rsidR="00281A15" w:rsidRPr="00E95BC4">
        <w:rPr>
          <w:lang w:val="sr-Cyrl-CS"/>
        </w:rPr>
        <w:t xml:space="preserve"> </w:t>
      </w:r>
      <w:r>
        <w:rPr>
          <w:lang w:val="sr-Cyrl-CS"/>
        </w:rPr>
        <w:t>još</w:t>
      </w:r>
      <w:r w:rsidR="00281A15" w:rsidRPr="00E95BC4">
        <w:rPr>
          <w:lang w:val="sr-Cyrl-CS"/>
        </w:rPr>
        <w:t xml:space="preserve"> </w:t>
      </w:r>
      <w:r>
        <w:rPr>
          <w:lang w:val="sr-Cyrl-CS"/>
        </w:rPr>
        <w:t>tri</w:t>
      </w:r>
      <w:r w:rsidR="00281A15" w:rsidRPr="00E95BC4">
        <w:rPr>
          <w:lang w:val="sr-Cyrl-CS"/>
        </w:rPr>
        <w:t xml:space="preserve"> </w:t>
      </w:r>
      <w:r>
        <w:rPr>
          <w:lang w:val="sr-Cyrl-CS"/>
        </w:rPr>
        <w:t>preporuke</w:t>
      </w:r>
      <w:r w:rsidR="00281A15" w:rsidRPr="00E95BC4">
        <w:rPr>
          <w:lang w:val="sr-Cyrl-CS"/>
        </w:rPr>
        <w:t xml:space="preserve"> </w:t>
      </w:r>
      <w:r>
        <w:rPr>
          <w:lang w:val="sr-Cyrl-CS"/>
        </w:rPr>
        <w:t>FATF</w:t>
      </w:r>
      <w:r w:rsidR="00281A15" w:rsidRPr="00E95BC4">
        <w:rPr>
          <w:lang w:val="sr-Cyrl-CS"/>
        </w:rPr>
        <w:t xml:space="preserve">. </w:t>
      </w:r>
      <w:r>
        <w:rPr>
          <w:lang w:val="sr-Cyrl-CS"/>
        </w:rPr>
        <w:t>Od</w:t>
      </w:r>
      <w:r w:rsidR="00281A15" w:rsidRPr="00E95BC4">
        <w:rPr>
          <w:lang w:val="sr-Cyrl-CS"/>
        </w:rPr>
        <w:t xml:space="preserve"> </w:t>
      </w:r>
      <w:r>
        <w:rPr>
          <w:lang w:val="sr-Cyrl-CS"/>
        </w:rPr>
        <w:t>svih</w:t>
      </w:r>
      <w:r w:rsidR="00281A15" w:rsidRPr="00E95BC4">
        <w:rPr>
          <w:lang w:val="sr-Cyrl-CS"/>
        </w:rPr>
        <w:t xml:space="preserve"> </w:t>
      </w:r>
      <w:r>
        <w:rPr>
          <w:lang w:val="sr-Cyrl-CS"/>
        </w:rPr>
        <w:t>zamerki</w:t>
      </w:r>
      <w:r w:rsidR="00281A15" w:rsidRPr="00E95BC4">
        <w:rPr>
          <w:lang w:val="sr-Cyrl-CS"/>
        </w:rPr>
        <w:t xml:space="preserve"> </w:t>
      </w:r>
      <w:r>
        <w:rPr>
          <w:lang w:val="sr-Cyrl-CS"/>
        </w:rPr>
        <w:t>koje</w:t>
      </w:r>
      <w:r w:rsidR="00986E93" w:rsidRPr="00E95BC4">
        <w:rPr>
          <w:lang w:val="sr-Cyrl-CS"/>
        </w:rPr>
        <w:t xml:space="preserve"> </w:t>
      </w:r>
      <w:r>
        <w:rPr>
          <w:lang w:val="sr-Cyrl-CS"/>
        </w:rPr>
        <w:t>se</w:t>
      </w:r>
      <w:r w:rsidR="00986E93" w:rsidRPr="00E95BC4">
        <w:rPr>
          <w:lang w:val="sr-Cyrl-CS"/>
        </w:rPr>
        <w:t xml:space="preserve"> </w:t>
      </w:r>
      <w:r>
        <w:rPr>
          <w:lang w:val="sr-Cyrl-CS"/>
        </w:rPr>
        <w:t>odnose</w:t>
      </w:r>
      <w:r w:rsidR="00986E93" w:rsidRPr="00E95BC4">
        <w:rPr>
          <w:lang w:val="sr-Cyrl-CS"/>
        </w:rPr>
        <w:t xml:space="preserve"> </w:t>
      </w:r>
      <w:r>
        <w:rPr>
          <w:lang w:val="sr-Cyrl-CS"/>
        </w:rPr>
        <w:t>na</w:t>
      </w:r>
      <w:r w:rsidR="00986E93" w:rsidRPr="00E95BC4">
        <w:rPr>
          <w:lang w:val="sr-Cyrl-CS"/>
        </w:rPr>
        <w:t xml:space="preserve"> </w:t>
      </w:r>
      <w:r>
        <w:rPr>
          <w:lang w:val="sr-Cyrl-CS"/>
        </w:rPr>
        <w:t>usklađenost</w:t>
      </w:r>
      <w:r w:rsidR="00281A15" w:rsidRPr="00E95BC4">
        <w:rPr>
          <w:lang w:val="sr-Cyrl-CS"/>
        </w:rPr>
        <w:t xml:space="preserve"> </w:t>
      </w:r>
      <w:r>
        <w:rPr>
          <w:lang w:val="sr-Cyrl-CS"/>
        </w:rPr>
        <w:t>na</w:t>
      </w:r>
      <w:r w:rsidR="00986E93" w:rsidRPr="00E95BC4">
        <w:rPr>
          <w:lang w:val="sr-Cyrl-CS"/>
        </w:rPr>
        <w:t xml:space="preserve"> </w:t>
      </w:r>
      <w:r>
        <w:rPr>
          <w:lang w:val="sr-Cyrl-CS"/>
        </w:rPr>
        <w:t>tehničkom</w:t>
      </w:r>
      <w:r w:rsidR="00986E93" w:rsidRPr="00E95BC4">
        <w:rPr>
          <w:lang w:val="sr-Cyrl-CS"/>
        </w:rPr>
        <w:t xml:space="preserve"> </w:t>
      </w:r>
      <w:r>
        <w:rPr>
          <w:lang w:val="sr-Cyrl-CS"/>
        </w:rPr>
        <w:t>nivou</w:t>
      </w:r>
      <w:r w:rsidR="00986E93" w:rsidRPr="00E95BC4">
        <w:rPr>
          <w:lang w:val="sr-Cyrl-CS"/>
        </w:rPr>
        <w:t xml:space="preserve"> </w:t>
      </w:r>
      <w:r>
        <w:rPr>
          <w:lang w:val="sr-Cyrl-CS"/>
        </w:rPr>
        <w:t>iz</w:t>
      </w:r>
      <w:r w:rsidR="00281A15" w:rsidRPr="00E95BC4">
        <w:rPr>
          <w:lang w:val="sr-Cyrl-CS"/>
        </w:rPr>
        <w:t xml:space="preserve"> 2016. </w:t>
      </w:r>
      <w:r>
        <w:rPr>
          <w:lang w:val="sr-Cyrl-CS"/>
        </w:rPr>
        <w:t>godine</w:t>
      </w:r>
      <w:r w:rsidR="00281A15" w:rsidRPr="00E95BC4">
        <w:rPr>
          <w:lang w:val="sr-Cyrl-CS"/>
        </w:rPr>
        <w:t xml:space="preserve">, </w:t>
      </w:r>
      <w:r>
        <w:rPr>
          <w:lang w:val="sr-Cyrl-CS"/>
        </w:rPr>
        <w:t>sa</w:t>
      </w:r>
      <w:r w:rsidR="00281A15" w:rsidRPr="00E95BC4">
        <w:rPr>
          <w:lang w:val="sr-Cyrl-CS"/>
        </w:rPr>
        <w:t xml:space="preserve"> </w:t>
      </w:r>
      <w:r>
        <w:rPr>
          <w:lang w:val="sr-Cyrl-CS"/>
        </w:rPr>
        <w:t>stanjem</w:t>
      </w:r>
      <w:r w:rsidR="00281A15" w:rsidRPr="00E95BC4">
        <w:rPr>
          <w:lang w:val="sr-Cyrl-CS"/>
        </w:rPr>
        <w:t xml:space="preserve"> </w:t>
      </w:r>
      <w:r>
        <w:rPr>
          <w:lang w:val="sr-Cyrl-CS"/>
        </w:rPr>
        <w:t>iz</w:t>
      </w:r>
      <w:r w:rsidR="00281A15" w:rsidRPr="00E95BC4">
        <w:rPr>
          <w:lang w:val="sr-Cyrl-CS"/>
        </w:rPr>
        <w:t xml:space="preserve"> </w:t>
      </w:r>
      <w:r>
        <w:rPr>
          <w:lang w:val="sr-Cyrl-CS"/>
        </w:rPr>
        <w:t>decembra</w:t>
      </w:r>
      <w:r w:rsidR="00281A15" w:rsidRPr="00E95BC4">
        <w:rPr>
          <w:lang w:val="sr-Cyrl-CS"/>
        </w:rPr>
        <w:t xml:space="preserve"> 2019. </w:t>
      </w:r>
      <w:r>
        <w:rPr>
          <w:lang w:val="sr-Cyrl-CS"/>
        </w:rPr>
        <w:t>godine</w:t>
      </w:r>
      <w:r w:rsidR="00281A15" w:rsidRPr="00E95BC4">
        <w:rPr>
          <w:lang w:val="sr-Cyrl-CS"/>
        </w:rPr>
        <w:t xml:space="preserve">, </w:t>
      </w:r>
      <w:r>
        <w:rPr>
          <w:lang w:val="sr-Cyrl-CS"/>
        </w:rPr>
        <w:t>Manival</w:t>
      </w:r>
      <w:r w:rsidR="00AC11E9" w:rsidRPr="00E95BC4">
        <w:rPr>
          <w:lang w:val="sr-Cyrl-CS"/>
        </w:rPr>
        <w:t xml:space="preserve"> </w:t>
      </w:r>
      <w:r>
        <w:rPr>
          <w:lang w:val="sr-Cyrl-CS"/>
        </w:rPr>
        <w:t>treba</w:t>
      </w:r>
      <w:r w:rsidR="00AC11E9" w:rsidRPr="00E95BC4">
        <w:rPr>
          <w:lang w:val="sr-Cyrl-CS"/>
        </w:rPr>
        <w:t xml:space="preserve"> </w:t>
      </w:r>
      <w:r>
        <w:rPr>
          <w:lang w:val="sr-Cyrl-CS"/>
        </w:rPr>
        <w:t>da</w:t>
      </w:r>
      <w:r w:rsidR="00AC11E9" w:rsidRPr="00E95BC4">
        <w:rPr>
          <w:lang w:val="sr-Cyrl-CS"/>
        </w:rPr>
        <w:t xml:space="preserve"> </w:t>
      </w:r>
      <w:r>
        <w:rPr>
          <w:lang w:val="sr-Cyrl-CS"/>
        </w:rPr>
        <w:t>verifikuje</w:t>
      </w:r>
      <w:r w:rsidR="00AC11E9" w:rsidRPr="00E95BC4">
        <w:rPr>
          <w:lang w:val="sr-Cyrl-CS"/>
        </w:rPr>
        <w:t xml:space="preserve"> </w:t>
      </w:r>
      <w:r>
        <w:rPr>
          <w:lang w:val="sr-Cyrl-CS"/>
        </w:rPr>
        <w:t>napredak</w:t>
      </w:r>
      <w:r w:rsidR="00AC11E9" w:rsidRPr="00E95BC4">
        <w:rPr>
          <w:lang w:val="sr-Cyrl-CS"/>
        </w:rPr>
        <w:t xml:space="preserve"> </w:t>
      </w:r>
      <w:r>
        <w:rPr>
          <w:lang w:val="sr-Cyrl-CS"/>
        </w:rPr>
        <w:t>Republike</w:t>
      </w:r>
      <w:r w:rsidR="00AC11E9" w:rsidRPr="00E95BC4">
        <w:rPr>
          <w:lang w:val="sr-Cyrl-CS"/>
        </w:rPr>
        <w:t xml:space="preserve"> </w:t>
      </w:r>
      <w:r>
        <w:rPr>
          <w:lang w:val="sr-Cyrl-CS"/>
        </w:rPr>
        <w:t>Srbije</w:t>
      </w:r>
      <w:r w:rsidR="00281A15" w:rsidRPr="00E95BC4">
        <w:rPr>
          <w:lang w:val="sr-Cyrl-CS"/>
        </w:rPr>
        <w:t xml:space="preserve"> </w:t>
      </w:r>
      <w:r>
        <w:rPr>
          <w:lang w:val="sr-Cyrl-CS"/>
        </w:rPr>
        <w:t>u</w:t>
      </w:r>
      <w:r w:rsidR="00AC11E9" w:rsidRPr="00E95BC4">
        <w:rPr>
          <w:lang w:val="sr-Cyrl-CS"/>
        </w:rPr>
        <w:t xml:space="preserve"> </w:t>
      </w:r>
      <w:r>
        <w:rPr>
          <w:lang w:val="sr-Cyrl-CS"/>
        </w:rPr>
        <w:t>pogledu</w:t>
      </w:r>
      <w:r w:rsidR="00AC11E9" w:rsidRPr="00E95BC4">
        <w:rPr>
          <w:lang w:val="sr-Cyrl-CS"/>
        </w:rPr>
        <w:t xml:space="preserve"> </w:t>
      </w:r>
      <w:r>
        <w:rPr>
          <w:lang w:val="sr-Cyrl-CS"/>
        </w:rPr>
        <w:t>usklađenosti</w:t>
      </w:r>
      <w:r w:rsidR="00AC11E9" w:rsidRPr="00E95BC4">
        <w:rPr>
          <w:lang w:val="sr-Cyrl-CS"/>
        </w:rPr>
        <w:t xml:space="preserve"> </w:t>
      </w:r>
      <w:r>
        <w:rPr>
          <w:lang w:val="sr-Cyrl-CS"/>
        </w:rPr>
        <w:t>sa</w:t>
      </w:r>
      <w:r w:rsidR="00281A15" w:rsidRPr="00E95BC4">
        <w:rPr>
          <w:lang w:val="sr-Cyrl-CS"/>
        </w:rPr>
        <w:t xml:space="preserve"> </w:t>
      </w:r>
      <w:r>
        <w:rPr>
          <w:lang w:val="sr-Cyrl-CS"/>
        </w:rPr>
        <w:t>preostale</w:t>
      </w:r>
      <w:r w:rsidR="00281A15" w:rsidRPr="00E95BC4">
        <w:rPr>
          <w:lang w:val="sr-Cyrl-CS"/>
        </w:rPr>
        <w:t xml:space="preserve"> </w:t>
      </w:r>
      <w:r>
        <w:rPr>
          <w:lang w:val="sr-Cyrl-CS"/>
        </w:rPr>
        <w:t>četiri</w:t>
      </w:r>
      <w:r w:rsidR="00281A15" w:rsidRPr="00E95BC4">
        <w:rPr>
          <w:lang w:val="sr-Cyrl-CS"/>
        </w:rPr>
        <w:t xml:space="preserve"> </w:t>
      </w:r>
      <w:r>
        <w:rPr>
          <w:lang w:val="sr-Cyrl-CS"/>
        </w:rPr>
        <w:t>preporuke</w:t>
      </w:r>
      <w:r w:rsidR="00281A15" w:rsidRPr="00E95BC4">
        <w:rPr>
          <w:lang w:val="sr-Cyrl-CS"/>
        </w:rPr>
        <w:t xml:space="preserve"> </w:t>
      </w:r>
      <w:r>
        <w:rPr>
          <w:lang w:val="sr-Cyrl-CS"/>
        </w:rPr>
        <w:t>FATF</w:t>
      </w:r>
      <w:r w:rsidR="00281A15" w:rsidRPr="00E95BC4">
        <w:rPr>
          <w:lang w:val="sr-Cyrl-CS"/>
        </w:rPr>
        <w:t xml:space="preserve">. </w:t>
      </w:r>
      <w:r>
        <w:rPr>
          <w:lang w:val="sr-Cyrl-CS"/>
        </w:rPr>
        <w:t>Te</w:t>
      </w:r>
      <w:r w:rsidR="00281A15" w:rsidRPr="00E95BC4">
        <w:rPr>
          <w:lang w:val="sr-Cyrl-CS"/>
        </w:rPr>
        <w:t xml:space="preserve"> </w:t>
      </w:r>
      <w:r>
        <w:rPr>
          <w:lang w:val="sr-Cyrl-CS"/>
        </w:rPr>
        <w:t>četiri</w:t>
      </w:r>
      <w:r w:rsidR="00281A15" w:rsidRPr="00E95BC4">
        <w:rPr>
          <w:lang w:val="sr-Cyrl-CS"/>
        </w:rPr>
        <w:t xml:space="preserve"> </w:t>
      </w:r>
      <w:r>
        <w:rPr>
          <w:lang w:val="sr-Cyrl-CS"/>
        </w:rPr>
        <w:t>preporuke</w:t>
      </w:r>
      <w:r w:rsidR="00281A15" w:rsidRPr="00E95BC4">
        <w:rPr>
          <w:lang w:val="sr-Cyrl-CS"/>
        </w:rPr>
        <w:t xml:space="preserve"> </w:t>
      </w:r>
      <w:r>
        <w:rPr>
          <w:lang w:val="sr-Cyrl-CS"/>
        </w:rPr>
        <w:t>se</w:t>
      </w:r>
      <w:r w:rsidR="00281A15" w:rsidRPr="00E95BC4">
        <w:rPr>
          <w:lang w:val="sr-Cyrl-CS"/>
        </w:rPr>
        <w:t xml:space="preserve"> </w:t>
      </w:r>
      <w:r>
        <w:rPr>
          <w:lang w:val="sr-Cyrl-CS"/>
        </w:rPr>
        <w:t>odnose</w:t>
      </w:r>
      <w:r w:rsidR="00281A15" w:rsidRPr="00E95BC4">
        <w:rPr>
          <w:lang w:val="sr-Cyrl-CS"/>
        </w:rPr>
        <w:t xml:space="preserve"> </w:t>
      </w:r>
      <w:r>
        <w:rPr>
          <w:lang w:val="sr-Cyrl-CS"/>
        </w:rPr>
        <w:t>na</w:t>
      </w:r>
      <w:r w:rsidR="00281A15" w:rsidRPr="00E95BC4">
        <w:rPr>
          <w:lang w:val="sr-Cyrl-CS"/>
        </w:rPr>
        <w:t xml:space="preserve"> </w:t>
      </w:r>
      <w:r>
        <w:rPr>
          <w:lang w:val="sr-Cyrl-CS"/>
        </w:rPr>
        <w:t>odredbe</w:t>
      </w:r>
      <w:r w:rsidR="00281A15" w:rsidRPr="00E95BC4">
        <w:rPr>
          <w:lang w:val="sr-Cyrl-CS"/>
        </w:rPr>
        <w:t xml:space="preserve"> </w:t>
      </w:r>
      <w:r>
        <w:rPr>
          <w:lang w:val="sr-Cyrl-CS"/>
        </w:rPr>
        <w:t>koje</w:t>
      </w:r>
      <w:r w:rsidR="00281A15" w:rsidRPr="00E95BC4">
        <w:rPr>
          <w:lang w:val="sr-Cyrl-CS"/>
        </w:rPr>
        <w:t xml:space="preserve"> </w:t>
      </w:r>
      <w:r>
        <w:rPr>
          <w:lang w:val="sr-Cyrl-CS"/>
        </w:rPr>
        <w:t>se</w:t>
      </w:r>
      <w:r w:rsidR="00281A15" w:rsidRPr="00E95BC4">
        <w:rPr>
          <w:lang w:val="sr-Cyrl-CS"/>
        </w:rPr>
        <w:t xml:space="preserve"> </w:t>
      </w:r>
      <w:r>
        <w:rPr>
          <w:lang w:val="sr-Cyrl-CS"/>
        </w:rPr>
        <w:t>tiču</w:t>
      </w:r>
      <w:r w:rsidR="00281A15" w:rsidRPr="00E95BC4">
        <w:rPr>
          <w:lang w:val="sr-Cyrl-CS"/>
        </w:rPr>
        <w:t xml:space="preserve"> </w:t>
      </w:r>
      <w:r>
        <w:rPr>
          <w:lang w:val="sr-Cyrl-CS"/>
        </w:rPr>
        <w:t>obaveza</w:t>
      </w:r>
      <w:r w:rsidR="00281A15" w:rsidRPr="00E95BC4">
        <w:rPr>
          <w:lang w:val="sr-Cyrl-CS"/>
        </w:rPr>
        <w:t xml:space="preserve"> </w:t>
      </w:r>
      <w:r>
        <w:rPr>
          <w:lang w:val="sr-Cyrl-CS"/>
        </w:rPr>
        <w:t>primene</w:t>
      </w:r>
      <w:r w:rsidR="00281A15" w:rsidRPr="00E95BC4">
        <w:rPr>
          <w:lang w:val="sr-Cyrl-CS"/>
        </w:rPr>
        <w:t xml:space="preserve"> </w:t>
      </w:r>
      <w:r>
        <w:rPr>
          <w:lang w:val="sr-Cyrl-CS"/>
        </w:rPr>
        <w:t>Zakona</w:t>
      </w:r>
      <w:r w:rsidR="00281A15" w:rsidRPr="00E95BC4">
        <w:rPr>
          <w:lang w:val="sr-Cyrl-CS"/>
        </w:rPr>
        <w:t xml:space="preserve"> </w:t>
      </w:r>
      <w:r>
        <w:rPr>
          <w:lang w:val="sr-Cyrl-CS"/>
        </w:rPr>
        <w:t>o</w:t>
      </w:r>
      <w:r w:rsidR="00281A15" w:rsidRPr="00E95BC4">
        <w:rPr>
          <w:lang w:val="sr-Cyrl-CS"/>
        </w:rPr>
        <w:t xml:space="preserve"> </w:t>
      </w:r>
      <w:r>
        <w:rPr>
          <w:lang w:val="sr-Cyrl-CS"/>
        </w:rPr>
        <w:t>sprečavanju</w:t>
      </w:r>
      <w:r w:rsidR="00281A15" w:rsidRPr="00E95BC4">
        <w:rPr>
          <w:lang w:val="sr-Cyrl-CS"/>
        </w:rPr>
        <w:t xml:space="preserve"> </w:t>
      </w:r>
      <w:r>
        <w:rPr>
          <w:lang w:val="sr-Cyrl-CS"/>
        </w:rPr>
        <w:t>pranja</w:t>
      </w:r>
      <w:r w:rsidR="00281A15" w:rsidRPr="00E95BC4">
        <w:rPr>
          <w:lang w:val="sr-Cyrl-CS"/>
        </w:rPr>
        <w:t xml:space="preserve"> </w:t>
      </w:r>
      <w:r>
        <w:rPr>
          <w:lang w:val="sr-Cyrl-CS"/>
        </w:rPr>
        <w:t>novca</w:t>
      </w:r>
      <w:r w:rsidR="00281A15" w:rsidRPr="00E95BC4">
        <w:rPr>
          <w:lang w:val="sr-Cyrl-CS"/>
        </w:rPr>
        <w:t xml:space="preserve"> </w:t>
      </w:r>
      <w:r>
        <w:rPr>
          <w:lang w:val="sr-Cyrl-CS"/>
        </w:rPr>
        <w:t>i</w:t>
      </w:r>
      <w:r w:rsidR="00281A15" w:rsidRPr="00E95BC4">
        <w:rPr>
          <w:lang w:val="sr-Cyrl-CS"/>
        </w:rPr>
        <w:t xml:space="preserve"> </w:t>
      </w:r>
      <w:r>
        <w:rPr>
          <w:lang w:val="sr-Cyrl-CS"/>
        </w:rPr>
        <w:t>finansiranja</w:t>
      </w:r>
      <w:r w:rsidR="00281A15" w:rsidRPr="00E95BC4">
        <w:rPr>
          <w:lang w:val="sr-Cyrl-CS"/>
        </w:rPr>
        <w:t xml:space="preserve"> </w:t>
      </w:r>
      <w:r>
        <w:rPr>
          <w:lang w:val="sr-Cyrl-CS"/>
        </w:rPr>
        <w:t>terorizma</w:t>
      </w:r>
      <w:r w:rsidR="00281A15" w:rsidRPr="00E95BC4">
        <w:rPr>
          <w:lang w:val="sr-Cyrl-CS"/>
        </w:rPr>
        <w:t xml:space="preserve"> </w:t>
      </w:r>
      <w:r>
        <w:rPr>
          <w:lang w:val="sr-Cyrl-CS"/>
        </w:rPr>
        <w:t>od</w:t>
      </w:r>
      <w:r w:rsidR="00281A15" w:rsidRPr="00E95BC4">
        <w:rPr>
          <w:lang w:val="sr-Cyrl-CS"/>
        </w:rPr>
        <w:t xml:space="preserve"> </w:t>
      </w:r>
      <w:r>
        <w:rPr>
          <w:lang w:val="sr-Cyrl-CS"/>
        </w:rPr>
        <w:t>strane</w:t>
      </w:r>
      <w:r w:rsidR="00281A15" w:rsidRPr="00E95BC4">
        <w:rPr>
          <w:lang w:val="sr-Cyrl-CS"/>
        </w:rPr>
        <w:t xml:space="preserve"> </w:t>
      </w:r>
      <w:r>
        <w:rPr>
          <w:lang w:val="sr-Cyrl-CS"/>
        </w:rPr>
        <w:t>advokata</w:t>
      </w:r>
      <w:r w:rsidR="00281A15" w:rsidRPr="00E95BC4">
        <w:rPr>
          <w:lang w:val="sr-Cyrl-CS"/>
        </w:rPr>
        <w:t xml:space="preserve"> </w:t>
      </w:r>
      <w:r>
        <w:rPr>
          <w:lang w:val="sr-Cyrl-CS"/>
        </w:rPr>
        <w:t>i</w:t>
      </w:r>
      <w:r w:rsidR="00281A15" w:rsidRPr="00E95BC4">
        <w:rPr>
          <w:lang w:val="sr-Cyrl-CS"/>
        </w:rPr>
        <w:t xml:space="preserve"> </w:t>
      </w:r>
      <w:r>
        <w:rPr>
          <w:lang w:val="sr-Cyrl-CS"/>
        </w:rPr>
        <w:t>javnih</w:t>
      </w:r>
      <w:r w:rsidR="00281A15" w:rsidRPr="00E95BC4">
        <w:rPr>
          <w:lang w:val="sr-Cyrl-CS"/>
        </w:rPr>
        <w:t xml:space="preserve"> </w:t>
      </w:r>
      <w:r>
        <w:rPr>
          <w:lang w:val="sr-Cyrl-CS"/>
        </w:rPr>
        <w:t>beležnika</w:t>
      </w:r>
      <w:r w:rsidR="00281A15" w:rsidRPr="00E95BC4">
        <w:rPr>
          <w:lang w:val="sr-Cyrl-CS"/>
        </w:rPr>
        <w:t xml:space="preserve"> (</w:t>
      </w:r>
      <w:r>
        <w:rPr>
          <w:lang w:val="sr-Cyrl-CS"/>
        </w:rPr>
        <w:t>preporuke</w:t>
      </w:r>
      <w:r w:rsidR="00281A15" w:rsidRPr="00E95BC4">
        <w:rPr>
          <w:lang w:val="sr-Cyrl-CS"/>
        </w:rPr>
        <w:t xml:space="preserve"> 22 </w:t>
      </w:r>
      <w:r>
        <w:rPr>
          <w:lang w:val="sr-Cyrl-CS"/>
        </w:rPr>
        <w:t>i</w:t>
      </w:r>
      <w:r w:rsidR="00281A15" w:rsidRPr="00E95BC4">
        <w:rPr>
          <w:lang w:val="sr-Cyrl-CS"/>
        </w:rPr>
        <w:t xml:space="preserve"> 23 </w:t>
      </w:r>
      <w:r>
        <w:rPr>
          <w:lang w:val="sr-Cyrl-CS"/>
        </w:rPr>
        <w:t>FATF</w:t>
      </w:r>
      <w:r w:rsidR="00281A15" w:rsidRPr="00E95BC4">
        <w:rPr>
          <w:lang w:val="sr-Cyrl-CS"/>
        </w:rPr>
        <w:t xml:space="preserve">), </w:t>
      </w:r>
      <w:r>
        <w:rPr>
          <w:lang w:val="sr-Cyrl-CS"/>
        </w:rPr>
        <w:t>odredbe</w:t>
      </w:r>
      <w:r w:rsidR="00281A15" w:rsidRPr="00E95BC4">
        <w:rPr>
          <w:lang w:val="sr-Cyrl-CS"/>
        </w:rPr>
        <w:t xml:space="preserve"> </w:t>
      </w:r>
      <w:r>
        <w:rPr>
          <w:lang w:val="sr-Cyrl-CS"/>
        </w:rPr>
        <w:t>o</w:t>
      </w:r>
      <w:r w:rsidR="00281A15" w:rsidRPr="00E95BC4">
        <w:rPr>
          <w:lang w:val="sr-Cyrl-CS"/>
        </w:rPr>
        <w:t xml:space="preserve"> </w:t>
      </w:r>
      <w:r>
        <w:rPr>
          <w:lang w:val="sr-Cyrl-CS"/>
        </w:rPr>
        <w:t>pravilima</w:t>
      </w:r>
      <w:r w:rsidR="00281A15" w:rsidRPr="00E95BC4">
        <w:rPr>
          <w:lang w:val="sr-Cyrl-CS"/>
        </w:rPr>
        <w:t xml:space="preserve"> </w:t>
      </w:r>
      <w:r>
        <w:rPr>
          <w:i/>
          <w:lang w:val="sr-Cyrl-CS"/>
        </w:rPr>
        <w:t>stručnosti</w:t>
      </w:r>
      <w:r w:rsidR="00281A15" w:rsidRPr="00E95BC4">
        <w:rPr>
          <w:i/>
          <w:lang w:val="sr-Cyrl-CS"/>
        </w:rPr>
        <w:t xml:space="preserve"> </w:t>
      </w:r>
      <w:r>
        <w:rPr>
          <w:i/>
          <w:lang w:val="sr-Cyrl-CS"/>
        </w:rPr>
        <w:t>i</w:t>
      </w:r>
      <w:r w:rsidR="00281A15" w:rsidRPr="00E95BC4">
        <w:rPr>
          <w:i/>
          <w:lang w:val="sr-Cyrl-CS"/>
        </w:rPr>
        <w:t xml:space="preserve"> </w:t>
      </w:r>
      <w:r>
        <w:rPr>
          <w:i/>
          <w:lang w:val="sr-Cyrl-CS"/>
        </w:rPr>
        <w:t>podobnosti</w:t>
      </w:r>
      <w:r w:rsidR="00350767" w:rsidRPr="00E95BC4">
        <w:rPr>
          <w:i/>
          <w:lang w:val="sr-Cyrl-CS"/>
        </w:rPr>
        <w:t xml:space="preserve"> </w:t>
      </w:r>
      <w:r>
        <w:rPr>
          <w:i/>
          <w:lang w:val="sr-Cyrl-CS"/>
        </w:rPr>
        <w:t>u</w:t>
      </w:r>
      <w:r w:rsidR="00350767" w:rsidRPr="00E95BC4">
        <w:rPr>
          <w:i/>
          <w:lang w:val="sr-Cyrl-CS"/>
        </w:rPr>
        <w:t xml:space="preserve"> </w:t>
      </w:r>
      <w:r>
        <w:rPr>
          <w:i/>
          <w:lang w:val="sr-Cyrl-CS"/>
        </w:rPr>
        <w:t>nefinansijskom</w:t>
      </w:r>
      <w:r w:rsidR="00350767" w:rsidRPr="00E95BC4">
        <w:rPr>
          <w:i/>
          <w:lang w:val="sr-Cyrl-CS"/>
        </w:rPr>
        <w:t xml:space="preserve"> </w:t>
      </w:r>
      <w:r>
        <w:rPr>
          <w:i/>
          <w:lang w:val="sr-Cyrl-CS"/>
        </w:rPr>
        <w:t>sektoru</w:t>
      </w:r>
      <w:r w:rsidR="00281A15" w:rsidRPr="00E95BC4">
        <w:rPr>
          <w:lang w:val="sr-Cyrl-CS"/>
        </w:rPr>
        <w:t xml:space="preserve"> (</w:t>
      </w:r>
      <w:r w:rsidR="00281A15" w:rsidRPr="00E95BC4">
        <w:rPr>
          <w:i/>
          <w:lang w:val="sr-Cyrl-CS"/>
        </w:rPr>
        <w:t>fit and proper</w:t>
      </w:r>
      <w:r w:rsidR="00281A15" w:rsidRPr="00E95BC4">
        <w:rPr>
          <w:lang w:val="sr-Cyrl-CS"/>
        </w:rPr>
        <w:t xml:space="preserve">) </w:t>
      </w:r>
      <w:r>
        <w:rPr>
          <w:lang w:val="sr-Cyrl-CS"/>
        </w:rPr>
        <w:t>u</w:t>
      </w:r>
      <w:r w:rsidR="00281A15" w:rsidRPr="00E95BC4">
        <w:rPr>
          <w:lang w:val="sr-Cyrl-CS"/>
        </w:rPr>
        <w:t xml:space="preserve"> </w:t>
      </w:r>
      <w:r>
        <w:rPr>
          <w:lang w:val="sr-Cyrl-CS"/>
        </w:rPr>
        <w:t>više</w:t>
      </w:r>
      <w:r w:rsidR="00281A15" w:rsidRPr="00E95BC4">
        <w:rPr>
          <w:lang w:val="sr-Cyrl-CS"/>
        </w:rPr>
        <w:t xml:space="preserve"> </w:t>
      </w:r>
      <w:r>
        <w:rPr>
          <w:lang w:val="sr-Cyrl-CS"/>
        </w:rPr>
        <w:t>sektorskih</w:t>
      </w:r>
      <w:r w:rsidR="00281A15" w:rsidRPr="00E95BC4">
        <w:rPr>
          <w:lang w:val="sr-Cyrl-CS"/>
        </w:rPr>
        <w:t xml:space="preserve"> </w:t>
      </w:r>
      <w:r>
        <w:rPr>
          <w:lang w:val="sr-Cyrl-CS"/>
        </w:rPr>
        <w:t>zakona</w:t>
      </w:r>
      <w:r w:rsidR="00281A15" w:rsidRPr="00E95BC4">
        <w:rPr>
          <w:lang w:val="sr-Cyrl-CS"/>
        </w:rPr>
        <w:t xml:space="preserve"> </w:t>
      </w:r>
      <w:r w:rsidR="00271782" w:rsidRPr="00E95BC4">
        <w:rPr>
          <w:lang w:val="sr-Cyrl-CS"/>
        </w:rPr>
        <w:t>(</w:t>
      </w:r>
      <w:r>
        <w:rPr>
          <w:lang w:val="sr-Cyrl-CS"/>
        </w:rPr>
        <w:t>o</w:t>
      </w:r>
      <w:r w:rsidR="00271782" w:rsidRPr="00E95BC4">
        <w:rPr>
          <w:lang w:val="sr-Cyrl-CS"/>
        </w:rPr>
        <w:t xml:space="preserve"> </w:t>
      </w:r>
      <w:r>
        <w:rPr>
          <w:lang w:val="sr-Cyrl-CS"/>
        </w:rPr>
        <w:t>igrama</w:t>
      </w:r>
      <w:r w:rsidR="00271782" w:rsidRPr="00E95BC4">
        <w:rPr>
          <w:lang w:val="sr-Cyrl-CS"/>
        </w:rPr>
        <w:t xml:space="preserve"> </w:t>
      </w:r>
      <w:r>
        <w:rPr>
          <w:lang w:val="sr-Cyrl-CS"/>
        </w:rPr>
        <w:t>na</w:t>
      </w:r>
      <w:r w:rsidR="00271782" w:rsidRPr="00E95BC4">
        <w:rPr>
          <w:lang w:val="sr-Cyrl-CS"/>
        </w:rPr>
        <w:t xml:space="preserve"> </w:t>
      </w:r>
      <w:r>
        <w:rPr>
          <w:lang w:val="sr-Cyrl-CS"/>
        </w:rPr>
        <w:t>sreću</w:t>
      </w:r>
      <w:r w:rsidR="00271782" w:rsidRPr="00E95BC4">
        <w:rPr>
          <w:lang w:val="sr-Cyrl-CS"/>
        </w:rPr>
        <w:t xml:space="preserve">, </w:t>
      </w:r>
      <w:r>
        <w:rPr>
          <w:lang w:val="sr-Cyrl-CS"/>
        </w:rPr>
        <w:t>posredovanju</w:t>
      </w:r>
      <w:r w:rsidR="00271782" w:rsidRPr="00E95BC4">
        <w:rPr>
          <w:lang w:val="sr-Cyrl-CS"/>
        </w:rPr>
        <w:t xml:space="preserve"> </w:t>
      </w:r>
      <w:r>
        <w:rPr>
          <w:lang w:val="sr-Cyrl-CS"/>
        </w:rPr>
        <w:t>u</w:t>
      </w:r>
      <w:r w:rsidR="00271782" w:rsidRPr="00E95BC4">
        <w:rPr>
          <w:lang w:val="sr-Cyrl-CS"/>
        </w:rPr>
        <w:t xml:space="preserve"> </w:t>
      </w:r>
      <w:r>
        <w:rPr>
          <w:lang w:val="sr-Cyrl-CS"/>
        </w:rPr>
        <w:t>prometu</w:t>
      </w:r>
      <w:r w:rsidR="00271782" w:rsidRPr="00E95BC4">
        <w:rPr>
          <w:lang w:val="sr-Cyrl-CS"/>
        </w:rPr>
        <w:t xml:space="preserve"> </w:t>
      </w:r>
      <w:r>
        <w:rPr>
          <w:lang w:val="sr-Cyrl-CS"/>
        </w:rPr>
        <w:t>nepokretnosti</w:t>
      </w:r>
      <w:r w:rsidR="00271782" w:rsidRPr="00E95BC4">
        <w:rPr>
          <w:lang w:val="sr-Cyrl-CS"/>
        </w:rPr>
        <w:t xml:space="preserve">, </w:t>
      </w:r>
      <w:r>
        <w:rPr>
          <w:lang w:val="sr-Cyrl-CS"/>
        </w:rPr>
        <w:t>računovodstvu</w:t>
      </w:r>
      <w:r w:rsidR="00271782" w:rsidRPr="00E95BC4">
        <w:rPr>
          <w:lang w:val="sr-Cyrl-CS"/>
        </w:rPr>
        <w:t xml:space="preserve">), </w:t>
      </w:r>
      <w:r>
        <w:rPr>
          <w:lang w:val="sr-Cyrl-CS"/>
        </w:rPr>
        <w:t>kao</w:t>
      </w:r>
      <w:r w:rsidR="00271782" w:rsidRPr="00E95BC4">
        <w:rPr>
          <w:lang w:val="sr-Cyrl-CS"/>
        </w:rPr>
        <w:t xml:space="preserve"> </w:t>
      </w:r>
      <w:r>
        <w:rPr>
          <w:lang w:val="sr-Cyrl-CS"/>
        </w:rPr>
        <w:t>i</w:t>
      </w:r>
      <w:r w:rsidR="00271782" w:rsidRPr="00E95BC4">
        <w:rPr>
          <w:lang w:val="sr-Cyrl-CS"/>
        </w:rPr>
        <w:t xml:space="preserve"> </w:t>
      </w:r>
      <w:r>
        <w:rPr>
          <w:lang w:val="sr-Cyrl-CS"/>
        </w:rPr>
        <w:t>odredbe</w:t>
      </w:r>
      <w:r w:rsidR="00271782" w:rsidRPr="00E95BC4">
        <w:rPr>
          <w:lang w:val="sr-Cyrl-CS"/>
        </w:rPr>
        <w:t xml:space="preserve"> </w:t>
      </w:r>
      <w:r>
        <w:rPr>
          <w:lang w:val="sr-Cyrl-CS"/>
        </w:rPr>
        <w:t>o</w:t>
      </w:r>
      <w:r w:rsidR="00271782" w:rsidRPr="00E95BC4">
        <w:rPr>
          <w:lang w:val="sr-Cyrl-CS"/>
        </w:rPr>
        <w:t xml:space="preserve"> </w:t>
      </w:r>
      <w:r>
        <w:rPr>
          <w:lang w:val="sr-Cyrl-CS"/>
        </w:rPr>
        <w:t>ovlašćenjima</w:t>
      </w:r>
      <w:r w:rsidR="00271782" w:rsidRPr="00E95BC4">
        <w:rPr>
          <w:lang w:val="sr-Cyrl-CS"/>
        </w:rPr>
        <w:t xml:space="preserve"> </w:t>
      </w:r>
      <w:r>
        <w:rPr>
          <w:lang w:val="sr-Cyrl-CS"/>
        </w:rPr>
        <w:t>nadzornih</w:t>
      </w:r>
      <w:r w:rsidR="00271782" w:rsidRPr="00E95BC4">
        <w:rPr>
          <w:lang w:val="sr-Cyrl-CS"/>
        </w:rPr>
        <w:t xml:space="preserve"> </w:t>
      </w:r>
      <w:r>
        <w:rPr>
          <w:lang w:val="sr-Cyrl-CS"/>
        </w:rPr>
        <w:t>organa</w:t>
      </w:r>
      <w:r w:rsidR="00271782" w:rsidRPr="00E95BC4">
        <w:rPr>
          <w:lang w:val="sr-Cyrl-CS"/>
        </w:rPr>
        <w:t xml:space="preserve"> </w:t>
      </w:r>
      <w:r>
        <w:rPr>
          <w:lang w:val="sr-Cyrl-CS"/>
        </w:rPr>
        <w:t>po</w:t>
      </w:r>
      <w:r w:rsidR="00271782" w:rsidRPr="00E95BC4">
        <w:rPr>
          <w:lang w:val="sr-Cyrl-CS"/>
        </w:rPr>
        <w:t xml:space="preserve"> </w:t>
      </w:r>
      <w:r>
        <w:rPr>
          <w:lang w:val="sr-Cyrl-CS"/>
        </w:rPr>
        <w:t>Zakonu</w:t>
      </w:r>
      <w:r w:rsidR="00271782" w:rsidRPr="00E95BC4">
        <w:rPr>
          <w:lang w:val="sr-Cyrl-CS"/>
        </w:rPr>
        <w:t xml:space="preserve"> </w:t>
      </w:r>
      <w:r>
        <w:rPr>
          <w:lang w:val="sr-Cyrl-CS"/>
        </w:rPr>
        <w:t>o</w:t>
      </w:r>
      <w:r w:rsidR="00271782" w:rsidRPr="00E95BC4">
        <w:rPr>
          <w:lang w:val="sr-Cyrl-CS"/>
        </w:rPr>
        <w:t xml:space="preserve"> </w:t>
      </w:r>
      <w:r>
        <w:rPr>
          <w:lang w:val="sr-Cyrl-CS"/>
        </w:rPr>
        <w:t>sprečavanju</w:t>
      </w:r>
      <w:r w:rsidR="00271782" w:rsidRPr="00E95BC4">
        <w:rPr>
          <w:lang w:val="sr-Cyrl-CS"/>
        </w:rPr>
        <w:t xml:space="preserve"> </w:t>
      </w:r>
      <w:r>
        <w:rPr>
          <w:lang w:val="sr-Cyrl-CS"/>
        </w:rPr>
        <w:t>pranja</w:t>
      </w:r>
      <w:r w:rsidR="00271782" w:rsidRPr="00E95BC4">
        <w:rPr>
          <w:lang w:val="sr-Cyrl-CS"/>
        </w:rPr>
        <w:t xml:space="preserve"> </w:t>
      </w:r>
      <w:r>
        <w:rPr>
          <w:lang w:val="sr-Cyrl-CS"/>
        </w:rPr>
        <w:t>novca</w:t>
      </w:r>
      <w:r w:rsidR="00271782" w:rsidRPr="00E95BC4">
        <w:rPr>
          <w:lang w:val="sr-Cyrl-CS"/>
        </w:rPr>
        <w:t xml:space="preserve"> </w:t>
      </w:r>
      <w:r>
        <w:rPr>
          <w:lang w:val="sr-Cyrl-CS"/>
        </w:rPr>
        <w:t>i</w:t>
      </w:r>
      <w:r w:rsidR="00271782" w:rsidRPr="00E95BC4">
        <w:rPr>
          <w:lang w:val="sr-Cyrl-CS"/>
        </w:rPr>
        <w:t xml:space="preserve"> </w:t>
      </w:r>
      <w:r>
        <w:rPr>
          <w:lang w:val="sr-Cyrl-CS"/>
        </w:rPr>
        <w:t>finansiranja</w:t>
      </w:r>
      <w:r w:rsidR="00271782" w:rsidRPr="00E95BC4">
        <w:rPr>
          <w:lang w:val="sr-Cyrl-CS"/>
        </w:rPr>
        <w:t xml:space="preserve"> </w:t>
      </w:r>
      <w:r>
        <w:rPr>
          <w:lang w:val="sr-Cyrl-CS"/>
        </w:rPr>
        <w:t>terorizma</w:t>
      </w:r>
      <w:r w:rsidR="00271782" w:rsidRPr="00E95BC4">
        <w:rPr>
          <w:lang w:val="sr-Cyrl-CS"/>
        </w:rPr>
        <w:t xml:space="preserve"> </w:t>
      </w:r>
      <w:r>
        <w:rPr>
          <w:lang w:val="sr-Cyrl-CS"/>
        </w:rPr>
        <w:t>u</w:t>
      </w:r>
      <w:r w:rsidR="00271782" w:rsidRPr="00E95BC4">
        <w:rPr>
          <w:lang w:val="sr-Cyrl-CS"/>
        </w:rPr>
        <w:t xml:space="preserve"> </w:t>
      </w:r>
      <w:r>
        <w:rPr>
          <w:lang w:val="sr-Cyrl-CS"/>
        </w:rPr>
        <w:t>međunarodnoj</w:t>
      </w:r>
      <w:r w:rsidR="00271782" w:rsidRPr="00E95BC4">
        <w:rPr>
          <w:lang w:val="sr-Cyrl-CS"/>
        </w:rPr>
        <w:t xml:space="preserve"> </w:t>
      </w:r>
      <w:r>
        <w:rPr>
          <w:lang w:val="sr-Cyrl-CS"/>
        </w:rPr>
        <w:t>saradnji</w:t>
      </w:r>
      <w:r w:rsidR="00271782" w:rsidRPr="00E95BC4">
        <w:rPr>
          <w:lang w:val="sr-Cyrl-CS"/>
        </w:rPr>
        <w:t xml:space="preserve"> </w:t>
      </w:r>
      <w:r>
        <w:rPr>
          <w:lang w:val="sr-Cyrl-CS"/>
        </w:rPr>
        <w:t>i</w:t>
      </w:r>
      <w:r w:rsidR="00271782" w:rsidRPr="00E95BC4">
        <w:rPr>
          <w:lang w:val="sr-Cyrl-CS"/>
        </w:rPr>
        <w:t xml:space="preserve"> </w:t>
      </w:r>
      <w:r>
        <w:rPr>
          <w:lang w:val="sr-Cyrl-CS"/>
        </w:rPr>
        <w:t>razmeni</w:t>
      </w:r>
      <w:r w:rsidR="00271782" w:rsidRPr="00E95BC4">
        <w:rPr>
          <w:lang w:val="sr-Cyrl-CS"/>
        </w:rPr>
        <w:t xml:space="preserve"> </w:t>
      </w:r>
      <w:r>
        <w:rPr>
          <w:lang w:val="sr-Cyrl-CS"/>
        </w:rPr>
        <w:t>informacija</w:t>
      </w:r>
      <w:r w:rsidR="00271782" w:rsidRPr="00E95BC4">
        <w:rPr>
          <w:lang w:val="sr-Cyrl-CS"/>
        </w:rPr>
        <w:t xml:space="preserve">. </w:t>
      </w:r>
    </w:p>
    <w:p w:rsidR="002458E9" w:rsidRPr="00E95BC4" w:rsidRDefault="002458E9" w:rsidP="00285FD7">
      <w:pPr>
        <w:ind w:firstLine="720"/>
        <w:jc w:val="both"/>
        <w:rPr>
          <w:lang w:val="sr-Cyrl-CS"/>
        </w:rPr>
      </w:pPr>
    </w:p>
    <w:p w:rsidR="0004492D" w:rsidRPr="00E95BC4" w:rsidRDefault="0004492D" w:rsidP="00285FD7">
      <w:pPr>
        <w:ind w:firstLine="720"/>
        <w:jc w:val="both"/>
        <w:rPr>
          <w:lang w:val="sr-Cyrl-CS"/>
        </w:rPr>
      </w:pPr>
    </w:p>
    <w:tbl>
      <w:tblPr>
        <w:tblStyle w:val="TableGrid"/>
        <w:tblW w:w="0" w:type="auto"/>
        <w:tblInd w:w="108"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tblPr>
      <w:tblGrid>
        <w:gridCol w:w="4395"/>
        <w:gridCol w:w="283"/>
        <w:gridCol w:w="4536"/>
      </w:tblGrid>
      <w:tr w:rsidR="0020533F" w:rsidRPr="00E95BC4" w:rsidTr="00EF185F">
        <w:tc>
          <w:tcPr>
            <w:tcW w:w="4395" w:type="dxa"/>
          </w:tcPr>
          <w:p w:rsidR="0020533F" w:rsidRPr="00E95BC4" w:rsidRDefault="005818C0" w:rsidP="00285FD7">
            <w:pPr>
              <w:jc w:val="center"/>
              <w:rPr>
                <w:b/>
                <w:lang w:val="sr-Cyrl-CS"/>
              </w:rPr>
            </w:pPr>
            <w:r>
              <w:rPr>
                <w:b/>
                <w:lang w:val="sr-Cyrl-CS"/>
              </w:rPr>
              <w:t>Preporuka</w:t>
            </w:r>
            <w:r w:rsidR="0020533F" w:rsidRPr="00E95BC4">
              <w:rPr>
                <w:b/>
                <w:lang w:val="sr-Cyrl-CS"/>
              </w:rPr>
              <w:t xml:space="preserve"> </w:t>
            </w:r>
            <w:r>
              <w:rPr>
                <w:b/>
                <w:lang w:val="sr-Cyrl-CS"/>
              </w:rPr>
              <w:t>FATF</w:t>
            </w:r>
          </w:p>
        </w:tc>
        <w:tc>
          <w:tcPr>
            <w:tcW w:w="283" w:type="dxa"/>
          </w:tcPr>
          <w:p w:rsidR="0020533F" w:rsidRPr="00E95BC4" w:rsidRDefault="0020533F" w:rsidP="00285FD7">
            <w:pPr>
              <w:jc w:val="center"/>
              <w:rPr>
                <w:b/>
                <w:lang w:val="sr-Cyrl-CS"/>
              </w:rPr>
            </w:pPr>
          </w:p>
        </w:tc>
        <w:tc>
          <w:tcPr>
            <w:tcW w:w="4536" w:type="dxa"/>
          </w:tcPr>
          <w:p w:rsidR="0020533F" w:rsidRPr="00E95BC4" w:rsidRDefault="005818C0" w:rsidP="00285FD7">
            <w:pPr>
              <w:jc w:val="center"/>
              <w:rPr>
                <w:b/>
                <w:lang w:val="sr-Cyrl-CS"/>
              </w:rPr>
            </w:pPr>
            <w:r>
              <w:rPr>
                <w:b/>
                <w:lang w:val="sr-Cyrl-CS"/>
              </w:rPr>
              <w:t>Konstatovane</w:t>
            </w:r>
            <w:r w:rsidR="0020533F" w:rsidRPr="00E95BC4">
              <w:rPr>
                <w:b/>
                <w:lang w:val="sr-Cyrl-CS"/>
              </w:rPr>
              <w:t xml:space="preserve"> </w:t>
            </w:r>
            <w:r>
              <w:rPr>
                <w:b/>
                <w:lang w:val="sr-Cyrl-CS"/>
              </w:rPr>
              <w:t>zamerke</w:t>
            </w:r>
          </w:p>
        </w:tc>
      </w:tr>
      <w:tr w:rsidR="0020533F" w:rsidRPr="00E95BC4" w:rsidTr="00EF185F">
        <w:tc>
          <w:tcPr>
            <w:tcW w:w="4395" w:type="dxa"/>
          </w:tcPr>
          <w:p w:rsidR="0020533F" w:rsidRPr="00E95BC4" w:rsidRDefault="005818C0" w:rsidP="00285FD7">
            <w:pPr>
              <w:rPr>
                <w:lang w:val="sr-Cyrl-CS"/>
              </w:rPr>
            </w:pPr>
            <w:r>
              <w:rPr>
                <w:b/>
                <w:lang w:val="sr-Cyrl-CS"/>
              </w:rPr>
              <w:t>Preporuka</w:t>
            </w:r>
            <w:r w:rsidR="0020533F" w:rsidRPr="00E95BC4">
              <w:rPr>
                <w:b/>
                <w:lang w:val="sr-Cyrl-CS"/>
              </w:rPr>
              <w:t xml:space="preserve"> 22:</w:t>
            </w:r>
            <w:r w:rsidR="0020533F" w:rsidRPr="00E95BC4">
              <w:rPr>
                <w:lang w:val="sr-Cyrl-CS"/>
              </w:rPr>
              <w:t xml:space="preserve"> </w:t>
            </w:r>
            <w:r>
              <w:rPr>
                <w:lang w:val="sr-Cyrl-CS"/>
              </w:rPr>
              <w:t>Određena</w:t>
            </w:r>
            <w:r w:rsidR="0020533F" w:rsidRPr="00E95BC4">
              <w:rPr>
                <w:lang w:val="sr-Cyrl-CS"/>
              </w:rPr>
              <w:t xml:space="preserve"> </w:t>
            </w:r>
            <w:r>
              <w:rPr>
                <w:lang w:val="sr-Cyrl-CS"/>
              </w:rPr>
              <w:t>pravna</w:t>
            </w:r>
            <w:r w:rsidR="0020533F" w:rsidRPr="00E95BC4">
              <w:rPr>
                <w:lang w:val="sr-Cyrl-CS"/>
              </w:rPr>
              <w:t xml:space="preserve"> </w:t>
            </w:r>
            <w:r>
              <w:rPr>
                <w:lang w:val="sr-Cyrl-CS"/>
              </w:rPr>
              <w:t>i</w:t>
            </w:r>
            <w:r w:rsidR="0020533F" w:rsidRPr="00E95BC4">
              <w:rPr>
                <w:lang w:val="sr-Cyrl-CS"/>
              </w:rPr>
              <w:t xml:space="preserve"> </w:t>
            </w:r>
            <w:r>
              <w:rPr>
                <w:lang w:val="sr-Cyrl-CS"/>
              </w:rPr>
              <w:t>fizička</w:t>
            </w:r>
            <w:r w:rsidR="0020533F" w:rsidRPr="00E95BC4">
              <w:rPr>
                <w:lang w:val="sr-Cyrl-CS"/>
              </w:rPr>
              <w:t xml:space="preserve"> </w:t>
            </w:r>
            <w:r>
              <w:rPr>
                <w:lang w:val="sr-Cyrl-CS"/>
              </w:rPr>
              <w:t>lica</w:t>
            </w:r>
            <w:r w:rsidR="0020533F" w:rsidRPr="00E95BC4">
              <w:rPr>
                <w:lang w:val="sr-Cyrl-CS"/>
              </w:rPr>
              <w:t xml:space="preserve"> </w:t>
            </w:r>
            <w:r>
              <w:rPr>
                <w:lang w:val="sr-Cyrl-CS"/>
              </w:rPr>
              <w:t>van</w:t>
            </w:r>
            <w:r w:rsidR="0020533F" w:rsidRPr="00E95BC4">
              <w:rPr>
                <w:lang w:val="sr-Cyrl-CS"/>
              </w:rPr>
              <w:t xml:space="preserve"> </w:t>
            </w:r>
            <w:r>
              <w:rPr>
                <w:lang w:val="sr-Cyrl-CS"/>
              </w:rPr>
              <w:t>finansijskog</w:t>
            </w:r>
            <w:r w:rsidR="0020533F" w:rsidRPr="00E95BC4">
              <w:rPr>
                <w:lang w:val="sr-Cyrl-CS"/>
              </w:rPr>
              <w:t xml:space="preserve"> </w:t>
            </w:r>
            <w:r>
              <w:rPr>
                <w:lang w:val="sr-Cyrl-CS"/>
              </w:rPr>
              <w:t>sektora</w:t>
            </w:r>
            <w:r w:rsidR="0020533F" w:rsidRPr="00E95BC4">
              <w:rPr>
                <w:lang w:val="sr-Cyrl-CS"/>
              </w:rPr>
              <w:t xml:space="preserve"> (DNFBPs): </w:t>
            </w:r>
            <w:r>
              <w:rPr>
                <w:lang w:val="sr-Cyrl-CS"/>
              </w:rPr>
              <w:t>Radnje</w:t>
            </w:r>
            <w:r w:rsidR="0020533F" w:rsidRPr="00E95BC4">
              <w:rPr>
                <w:lang w:val="sr-Cyrl-CS"/>
              </w:rPr>
              <w:t xml:space="preserve"> </w:t>
            </w:r>
            <w:r>
              <w:rPr>
                <w:lang w:val="sr-Cyrl-CS"/>
              </w:rPr>
              <w:t>i</w:t>
            </w:r>
            <w:r w:rsidR="0020533F" w:rsidRPr="00E95BC4">
              <w:rPr>
                <w:lang w:val="sr-Cyrl-CS"/>
              </w:rPr>
              <w:t xml:space="preserve"> </w:t>
            </w:r>
            <w:r>
              <w:rPr>
                <w:lang w:val="sr-Cyrl-CS"/>
              </w:rPr>
              <w:t>mere</w:t>
            </w:r>
            <w:r w:rsidR="0020533F" w:rsidRPr="00E95BC4">
              <w:rPr>
                <w:lang w:val="sr-Cyrl-CS"/>
              </w:rPr>
              <w:t xml:space="preserve"> </w:t>
            </w:r>
            <w:r>
              <w:rPr>
                <w:lang w:val="sr-Cyrl-CS"/>
              </w:rPr>
              <w:t>poznavanja</w:t>
            </w:r>
            <w:r w:rsidR="0020533F" w:rsidRPr="00E95BC4">
              <w:rPr>
                <w:lang w:val="sr-Cyrl-CS"/>
              </w:rPr>
              <w:t xml:space="preserve"> </w:t>
            </w:r>
            <w:r>
              <w:rPr>
                <w:lang w:val="sr-Cyrl-CS"/>
              </w:rPr>
              <w:t>i</w:t>
            </w:r>
            <w:r w:rsidR="0020533F" w:rsidRPr="00E95BC4">
              <w:rPr>
                <w:lang w:val="sr-Cyrl-CS"/>
              </w:rPr>
              <w:t xml:space="preserve"> </w:t>
            </w:r>
            <w:r>
              <w:rPr>
                <w:lang w:val="sr-Cyrl-CS"/>
              </w:rPr>
              <w:t>praćenja</w:t>
            </w:r>
            <w:r w:rsidR="0020533F" w:rsidRPr="00E95BC4">
              <w:rPr>
                <w:lang w:val="sr-Cyrl-CS"/>
              </w:rPr>
              <w:t xml:space="preserve"> </w:t>
            </w:r>
            <w:r>
              <w:rPr>
                <w:lang w:val="sr-Cyrl-CS"/>
              </w:rPr>
              <w:t>stranke</w:t>
            </w:r>
          </w:p>
        </w:tc>
        <w:tc>
          <w:tcPr>
            <w:tcW w:w="283" w:type="dxa"/>
          </w:tcPr>
          <w:p w:rsidR="0020533F" w:rsidRPr="00E95BC4" w:rsidRDefault="0020533F" w:rsidP="00285FD7">
            <w:pPr>
              <w:rPr>
                <w:lang w:val="sr-Cyrl-CS"/>
              </w:rPr>
            </w:pPr>
          </w:p>
        </w:tc>
        <w:tc>
          <w:tcPr>
            <w:tcW w:w="4536" w:type="dxa"/>
          </w:tcPr>
          <w:p w:rsidR="0020533F" w:rsidRPr="00E95BC4" w:rsidRDefault="005818C0" w:rsidP="00285FD7">
            <w:pPr>
              <w:rPr>
                <w:lang w:val="sr-Cyrl-CS"/>
              </w:rPr>
            </w:pPr>
            <w:r>
              <w:rPr>
                <w:lang w:val="sr-Cyrl-CS"/>
              </w:rPr>
              <w:t>Nedostaci</w:t>
            </w:r>
            <w:r w:rsidR="0020533F" w:rsidRPr="00E95BC4">
              <w:rPr>
                <w:lang w:val="sr-Cyrl-CS"/>
              </w:rPr>
              <w:t xml:space="preserve"> </w:t>
            </w:r>
            <w:r>
              <w:rPr>
                <w:lang w:val="sr-Cyrl-CS"/>
              </w:rPr>
              <w:t>konstatovani</w:t>
            </w:r>
            <w:r w:rsidR="0020533F" w:rsidRPr="00E95BC4">
              <w:rPr>
                <w:lang w:val="sr-Cyrl-CS"/>
              </w:rPr>
              <w:t xml:space="preserve"> </w:t>
            </w:r>
            <w:r>
              <w:rPr>
                <w:lang w:val="sr-Cyrl-CS"/>
              </w:rPr>
              <w:t>u</w:t>
            </w:r>
            <w:r w:rsidR="0020533F" w:rsidRPr="00E95BC4">
              <w:rPr>
                <w:lang w:val="sr-Cyrl-CS"/>
              </w:rPr>
              <w:t xml:space="preserve"> </w:t>
            </w:r>
            <w:r>
              <w:rPr>
                <w:lang w:val="sr-Cyrl-CS"/>
              </w:rPr>
              <w:t>okviru</w:t>
            </w:r>
            <w:r w:rsidR="0020533F" w:rsidRPr="00E95BC4">
              <w:rPr>
                <w:lang w:val="sr-Cyrl-CS"/>
              </w:rPr>
              <w:t xml:space="preserve"> </w:t>
            </w:r>
            <w:r>
              <w:rPr>
                <w:lang w:val="sr-Cyrl-CS"/>
              </w:rPr>
              <w:t>preporuka</w:t>
            </w:r>
            <w:r w:rsidR="0020533F" w:rsidRPr="00E95BC4">
              <w:rPr>
                <w:lang w:val="sr-Cyrl-CS"/>
              </w:rPr>
              <w:t xml:space="preserve"> 10, 11, 12, 15 </w:t>
            </w:r>
            <w:r>
              <w:rPr>
                <w:lang w:val="sr-Cyrl-CS"/>
              </w:rPr>
              <w:t>i</w:t>
            </w:r>
            <w:r w:rsidR="0020533F" w:rsidRPr="00E95BC4">
              <w:rPr>
                <w:lang w:val="sr-Cyrl-CS"/>
              </w:rPr>
              <w:t xml:space="preserve"> 17 </w:t>
            </w:r>
            <w:r>
              <w:rPr>
                <w:lang w:val="sr-Cyrl-CS"/>
              </w:rPr>
              <w:t>se</w:t>
            </w:r>
            <w:r w:rsidR="0020533F" w:rsidRPr="00E95BC4">
              <w:rPr>
                <w:lang w:val="sr-Cyrl-CS"/>
              </w:rPr>
              <w:t xml:space="preserve"> </w:t>
            </w:r>
            <w:r>
              <w:rPr>
                <w:lang w:val="sr-Cyrl-CS"/>
              </w:rPr>
              <w:t>odnose</w:t>
            </w:r>
            <w:r w:rsidR="0020533F" w:rsidRPr="00E95BC4">
              <w:rPr>
                <w:lang w:val="sr-Cyrl-CS"/>
              </w:rPr>
              <w:t xml:space="preserve"> </w:t>
            </w:r>
            <w:r>
              <w:rPr>
                <w:lang w:val="sr-Cyrl-CS"/>
              </w:rPr>
              <w:t>na</w:t>
            </w:r>
            <w:r w:rsidR="0020533F" w:rsidRPr="00E95BC4">
              <w:rPr>
                <w:lang w:val="sr-Cyrl-CS"/>
              </w:rPr>
              <w:t xml:space="preserve"> </w:t>
            </w:r>
            <w:r>
              <w:rPr>
                <w:lang w:val="sr-Cyrl-CS"/>
              </w:rPr>
              <w:t>usklađenost</w:t>
            </w:r>
            <w:r w:rsidR="0020533F" w:rsidRPr="00E95BC4">
              <w:rPr>
                <w:lang w:val="sr-Cyrl-CS"/>
              </w:rPr>
              <w:t xml:space="preserve"> </w:t>
            </w:r>
            <w:r>
              <w:rPr>
                <w:lang w:val="sr-Cyrl-CS"/>
              </w:rPr>
              <w:t>sa</w:t>
            </w:r>
            <w:r w:rsidR="0020533F" w:rsidRPr="00E95BC4">
              <w:rPr>
                <w:lang w:val="sr-Cyrl-CS"/>
              </w:rPr>
              <w:t xml:space="preserve"> </w:t>
            </w:r>
            <w:r>
              <w:rPr>
                <w:lang w:val="sr-Cyrl-CS"/>
              </w:rPr>
              <w:t>Preporukom</w:t>
            </w:r>
            <w:r w:rsidR="0020533F" w:rsidRPr="00E95BC4">
              <w:rPr>
                <w:lang w:val="sr-Cyrl-CS"/>
              </w:rPr>
              <w:t xml:space="preserve"> 22. </w:t>
            </w:r>
          </w:p>
        </w:tc>
      </w:tr>
      <w:tr w:rsidR="0020533F" w:rsidRPr="00E95BC4" w:rsidTr="00EF185F">
        <w:tc>
          <w:tcPr>
            <w:tcW w:w="4395" w:type="dxa"/>
          </w:tcPr>
          <w:p w:rsidR="0020533F" w:rsidRPr="00E95BC4" w:rsidRDefault="005818C0" w:rsidP="00285FD7">
            <w:pPr>
              <w:rPr>
                <w:lang w:val="sr-Cyrl-CS"/>
              </w:rPr>
            </w:pPr>
            <w:r>
              <w:rPr>
                <w:b/>
                <w:lang w:val="sr-Cyrl-CS"/>
              </w:rPr>
              <w:t>Preporuka</w:t>
            </w:r>
            <w:r w:rsidR="0020533F" w:rsidRPr="00E95BC4">
              <w:rPr>
                <w:b/>
                <w:lang w:val="sr-Cyrl-CS"/>
              </w:rPr>
              <w:t xml:space="preserve"> 23</w:t>
            </w:r>
            <w:r w:rsidR="00EF185F" w:rsidRPr="00E95BC4">
              <w:rPr>
                <w:b/>
                <w:lang w:val="sr-Cyrl-CS"/>
              </w:rPr>
              <w:t>:</w:t>
            </w:r>
            <w:r w:rsidR="0020533F" w:rsidRPr="00E95BC4">
              <w:rPr>
                <w:lang w:val="sr-Cyrl-CS"/>
              </w:rPr>
              <w:t xml:space="preserve"> </w:t>
            </w:r>
            <w:r>
              <w:rPr>
                <w:lang w:val="sr-Cyrl-CS"/>
              </w:rPr>
              <w:t>Određena</w:t>
            </w:r>
            <w:r w:rsidR="0020533F" w:rsidRPr="00E95BC4">
              <w:rPr>
                <w:lang w:val="sr-Cyrl-CS"/>
              </w:rPr>
              <w:t xml:space="preserve"> </w:t>
            </w:r>
            <w:r>
              <w:rPr>
                <w:lang w:val="sr-Cyrl-CS"/>
              </w:rPr>
              <w:t>pravna</w:t>
            </w:r>
            <w:r w:rsidR="0020533F" w:rsidRPr="00E95BC4">
              <w:rPr>
                <w:lang w:val="sr-Cyrl-CS"/>
              </w:rPr>
              <w:t xml:space="preserve"> </w:t>
            </w:r>
            <w:r>
              <w:rPr>
                <w:lang w:val="sr-Cyrl-CS"/>
              </w:rPr>
              <w:t>i</w:t>
            </w:r>
            <w:r w:rsidR="0020533F" w:rsidRPr="00E95BC4">
              <w:rPr>
                <w:lang w:val="sr-Cyrl-CS"/>
              </w:rPr>
              <w:t xml:space="preserve"> </w:t>
            </w:r>
            <w:r>
              <w:rPr>
                <w:lang w:val="sr-Cyrl-CS"/>
              </w:rPr>
              <w:t>fizička</w:t>
            </w:r>
            <w:r w:rsidR="0020533F" w:rsidRPr="00E95BC4">
              <w:rPr>
                <w:lang w:val="sr-Cyrl-CS"/>
              </w:rPr>
              <w:t xml:space="preserve"> </w:t>
            </w:r>
            <w:r>
              <w:rPr>
                <w:lang w:val="sr-Cyrl-CS"/>
              </w:rPr>
              <w:t>lica</w:t>
            </w:r>
            <w:r w:rsidR="0020533F" w:rsidRPr="00E95BC4">
              <w:rPr>
                <w:lang w:val="sr-Cyrl-CS"/>
              </w:rPr>
              <w:t xml:space="preserve"> </w:t>
            </w:r>
            <w:r>
              <w:rPr>
                <w:lang w:val="sr-Cyrl-CS"/>
              </w:rPr>
              <w:t>van</w:t>
            </w:r>
            <w:r w:rsidR="0020533F" w:rsidRPr="00E95BC4">
              <w:rPr>
                <w:lang w:val="sr-Cyrl-CS"/>
              </w:rPr>
              <w:t xml:space="preserve"> </w:t>
            </w:r>
            <w:r>
              <w:rPr>
                <w:lang w:val="sr-Cyrl-CS"/>
              </w:rPr>
              <w:t>finansijskog</w:t>
            </w:r>
            <w:r w:rsidR="0020533F" w:rsidRPr="00E95BC4">
              <w:rPr>
                <w:lang w:val="sr-Cyrl-CS"/>
              </w:rPr>
              <w:t xml:space="preserve"> </w:t>
            </w:r>
            <w:r>
              <w:rPr>
                <w:lang w:val="sr-Cyrl-CS"/>
              </w:rPr>
              <w:t>sektora</w:t>
            </w:r>
            <w:r w:rsidR="0020533F" w:rsidRPr="00E95BC4">
              <w:rPr>
                <w:lang w:val="sr-Cyrl-CS"/>
              </w:rPr>
              <w:t xml:space="preserve"> (DNFBPs): </w:t>
            </w:r>
            <w:r>
              <w:rPr>
                <w:lang w:val="sr-Cyrl-CS"/>
              </w:rPr>
              <w:t>Druge</w:t>
            </w:r>
            <w:r w:rsidR="0020533F" w:rsidRPr="00E95BC4">
              <w:rPr>
                <w:lang w:val="sr-Cyrl-CS"/>
              </w:rPr>
              <w:t xml:space="preserve"> </w:t>
            </w:r>
            <w:r>
              <w:rPr>
                <w:lang w:val="sr-Cyrl-CS"/>
              </w:rPr>
              <w:t>mere</w:t>
            </w:r>
          </w:p>
        </w:tc>
        <w:tc>
          <w:tcPr>
            <w:tcW w:w="283" w:type="dxa"/>
          </w:tcPr>
          <w:p w:rsidR="0020533F" w:rsidRPr="00E95BC4" w:rsidRDefault="0020533F" w:rsidP="00285FD7">
            <w:pPr>
              <w:rPr>
                <w:lang w:val="sr-Cyrl-CS"/>
              </w:rPr>
            </w:pPr>
          </w:p>
        </w:tc>
        <w:tc>
          <w:tcPr>
            <w:tcW w:w="4536" w:type="dxa"/>
          </w:tcPr>
          <w:p w:rsidR="0020533F" w:rsidRPr="00E95BC4" w:rsidRDefault="005818C0" w:rsidP="00285FD7">
            <w:pPr>
              <w:rPr>
                <w:lang w:val="sr-Cyrl-CS"/>
              </w:rPr>
            </w:pPr>
            <w:r>
              <w:rPr>
                <w:lang w:val="sr-Cyrl-CS"/>
              </w:rPr>
              <w:t>Nedostaci</w:t>
            </w:r>
            <w:r w:rsidR="0020533F" w:rsidRPr="00E95BC4">
              <w:rPr>
                <w:lang w:val="sr-Cyrl-CS"/>
              </w:rPr>
              <w:t xml:space="preserve"> </w:t>
            </w:r>
            <w:r>
              <w:rPr>
                <w:lang w:val="sr-Cyrl-CS"/>
              </w:rPr>
              <w:t>konstatovani</w:t>
            </w:r>
            <w:r w:rsidR="0020533F" w:rsidRPr="00E95BC4">
              <w:rPr>
                <w:lang w:val="sr-Cyrl-CS"/>
              </w:rPr>
              <w:t xml:space="preserve"> </w:t>
            </w:r>
            <w:r>
              <w:rPr>
                <w:lang w:val="sr-Cyrl-CS"/>
              </w:rPr>
              <w:t>u</w:t>
            </w:r>
            <w:r w:rsidR="0020533F" w:rsidRPr="00E95BC4">
              <w:rPr>
                <w:lang w:val="sr-Cyrl-CS"/>
              </w:rPr>
              <w:t xml:space="preserve"> </w:t>
            </w:r>
            <w:r>
              <w:rPr>
                <w:lang w:val="sr-Cyrl-CS"/>
              </w:rPr>
              <w:t>okviru</w:t>
            </w:r>
            <w:r w:rsidR="0020533F" w:rsidRPr="00E95BC4">
              <w:rPr>
                <w:lang w:val="sr-Cyrl-CS"/>
              </w:rPr>
              <w:t xml:space="preserve"> </w:t>
            </w:r>
            <w:r>
              <w:rPr>
                <w:lang w:val="sr-Cyrl-CS"/>
              </w:rPr>
              <w:t>preporuka</w:t>
            </w:r>
            <w:r w:rsidR="0020533F" w:rsidRPr="00E95BC4">
              <w:rPr>
                <w:lang w:val="sr-Cyrl-CS"/>
              </w:rPr>
              <w:t xml:space="preserve"> 18 </w:t>
            </w:r>
            <w:r>
              <w:rPr>
                <w:lang w:val="sr-Cyrl-CS"/>
              </w:rPr>
              <w:t>i</w:t>
            </w:r>
            <w:r w:rsidR="0020533F" w:rsidRPr="00E95BC4">
              <w:rPr>
                <w:lang w:val="sr-Cyrl-CS"/>
              </w:rPr>
              <w:t xml:space="preserve"> 19 </w:t>
            </w:r>
            <w:r>
              <w:rPr>
                <w:lang w:val="sr-Cyrl-CS"/>
              </w:rPr>
              <w:t>se</w:t>
            </w:r>
            <w:r w:rsidR="0020533F" w:rsidRPr="00E95BC4">
              <w:rPr>
                <w:lang w:val="sr-Cyrl-CS"/>
              </w:rPr>
              <w:t xml:space="preserve"> </w:t>
            </w:r>
            <w:r>
              <w:rPr>
                <w:lang w:val="sr-Cyrl-CS"/>
              </w:rPr>
              <w:t>odnose</w:t>
            </w:r>
            <w:r w:rsidR="0020533F" w:rsidRPr="00E95BC4">
              <w:rPr>
                <w:lang w:val="sr-Cyrl-CS"/>
              </w:rPr>
              <w:t xml:space="preserve"> </w:t>
            </w:r>
            <w:r>
              <w:rPr>
                <w:lang w:val="sr-Cyrl-CS"/>
              </w:rPr>
              <w:t>i</w:t>
            </w:r>
            <w:r w:rsidR="0020533F" w:rsidRPr="00E95BC4">
              <w:rPr>
                <w:lang w:val="sr-Cyrl-CS"/>
              </w:rPr>
              <w:t xml:space="preserve"> </w:t>
            </w:r>
            <w:r>
              <w:rPr>
                <w:lang w:val="sr-Cyrl-CS"/>
              </w:rPr>
              <w:t>na</w:t>
            </w:r>
            <w:r w:rsidR="0020533F" w:rsidRPr="00E95BC4">
              <w:rPr>
                <w:lang w:val="sr-Cyrl-CS"/>
              </w:rPr>
              <w:t xml:space="preserve"> </w:t>
            </w:r>
            <w:r>
              <w:rPr>
                <w:lang w:val="sr-Cyrl-CS"/>
              </w:rPr>
              <w:t>usklađenost</w:t>
            </w:r>
            <w:r w:rsidR="0020533F" w:rsidRPr="00E95BC4">
              <w:rPr>
                <w:lang w:val="sr-Cyrl-CS"/>
              </w:rPr>
              <w:t xml:space="preserve"> </w:t>
            </w:r>
            <w:r>
              <w:rPr>
                <w:lang w:val="sr-Cyrl-CS"/>
              </w:rPr>
              <w:t>sa</w:t>
            </w:r>
            <w:r w:rsidR="0020533F" w:rsidRPr="00E95BC4">
              <w:rPr>
                <w:lang w:val="sr-Cyrl-CS"/>
              </w:rPr>
              <w:t xml:space="preserve"> </w:t>
            </w:r>
            <w:r>
              <w:rPr>
                <w:lang w:val="sr-Cyrl-CS"/>
              </w:rPr>
              <w:t>Preporukom</w:t>
            </w:r>
            <w:r w:rsidR="0020533F" w:rsidRPr="00E95BC4">
              <w:rPr>
                <w:lang w:val="sr-Cyrl-CS"/>
              </w:rPr>
              <w:t xml:space="preserve"> 23.</w:t>
            </w:r>
          </w:p>
        </w:tc>
      </w:tr>
      <w:tr w:rsidR="0020533F" w:rsidRPr="00E95BC4" w:rsidTr="00EF185F">
        <w:tc>
          <w:tcPr>
            <w:tcW w:w="4395" w:type="dxa"/>
          </w:tcPr>
          <w:p w:rsidR="0020533F" w:rsidRPr="00E95BC4" w:rsidRDefault="005818C0" w:rsidP="00285FD7">
            <w:pPr>
              <w:rPr>
                <w:lang w:val="sr-Cyrl-CS"/>
              </w:rPr>
            </w:pPr>
            <w:r>
              <w:rPr>
                <w:b/>
                <w:lang w:val="sr-Cyrl-CS"/>
              </w:rPr>
              <w:t>Preporuka</w:t>
            </w:r>
            <w:r w:rsidR="0020533F" w:rsidRPr="00E95BC4">
              <w:rPr>
                <w:b/>
                <w:lang w:val="sr-Cyrl-CS"/>
              </w:rPr>
              <w:t xml:space="preserve"> 2</w:t>
            </w:r>
            <w:r w:rsidR="00EF185F" w:rsidRPr="00E95BC4">
              <w:rPr>
                <w:b/>
                <w:lang w:val="sr-Cyrl-CS"/>
              </w:rPr>
              <w:t>8:</w:t>
            </w:r>
            <w:r w:rsidR="00EF185F" w:rsidRPr="00E95BC4">
              <w:rPr>
                <w:lang w:val="sr-Cyrl-CS"/>
              </w:rPr>
              <w:t xml:space="preserve"> </w:t>
            </w:r>
            <w:r>
              <w:rPr>
                <w:lang w:val="sr-Cyrl-CS"/>
              </w:rPr>
              <w:t>Regulacija</w:t>
            </w:r>
            <w:r w:rsidR="0020533F" w:rsidRPr="00E95BC4">
              <w:rPr>
                <w:lang w:val="sr-Cyrl-CS"/>
              </w:rPr>
              <w:t xml:space="preserve"> </w:t>
            </w:r>
            <w:r>
              <w:rPr>
                <w:lang w:val="sr-Cyrl-CS"/>
              </w:rPr>
              <w:t>i</w:t>
            </w:r>
            <w:r w:rsidR="0020533F" w:rsidRPr="00E95BC4">
              <w:rPr>
                <w:lang w:val="sr-Cyrl-CS"/>
              </w:rPr>
              <w:t xml:space="preserve"> </w:t>
            </w:r>
            <w:r>
              <w:rPr>
                <w:lang w:val="sr-Cyrl-CS"/>
              </w:rPr>
              <w:t>nadzor</w:t>
            </w:r>
            <w:r w:rsidR="0020533F" w:rsidRPr="00E95BC4">
              <w:rPr>
                <w:lang w:val="sr-Cyrl-CS"/>
              </w:rPr>
              <w:t xml:space="preserve"> </w:t>
            </w:r>
            <w:r>
              <w:rPr>
                <w:lang w:val="sr-Cyrl-CS"/>
              </w:rPr>
              <w:t>nad</w:t>
            </w:r>
            <w:r w:rsidR="0020533F" w:rsidRPr="00E95BC4">
              <w:rPr>
                <w:lang w:val="sr-Cyrl-CS"/>
              </w:rPr>
              <w:t xml:space="preserve"> </w:t>
            </w:r>
            <w:r>
              <w:rPr>
                <w:lang w:val="sr-Cyrl-CS"/>
              </w:rPr>
              <w:t>određenim</w:t>
            </w:r>
            <w:r w:rsidR="0020533F" w:rsidRPr="00E95BC4">
              <w:rPr>
                <w:lang w:val="sr-Cyrl-CS"/>
              </w:rPr>
              <w:t xml:space="preserve"> </w:t>
            </w:r>
            <w:r>
              <w:rPr>
                <w:lang w:val="sr-Cyrl-CS"/>
              </w:rPr>
              <w:t>pravnim</w:t>
            </w:r>
            <w:r w:rsidR="0020533F" w:rsidRPr="00E95BC4">
              <w:rPr>
                <w:lang w:val="sr-Cyrl-CS"/>
              </w:rPr>
              <w:t xml:space="preserve"> </w:t>
            </w:r>
            <w:r>
              <w:rPr>
                <w:lang w:val="sr-Cyrl-CS"/>
              </w:rPr>
              <w:t>i</w:t>
            </w:r>
            <w:r w:rsidR="0020533F" w:rsidRPr="00E95BC4">
              <w:rPr>
                <w:lang w:val="sr-Cyrl-CS"/>
              </w:rPr>
              <w:t xml:space="preserve"> </w:t>
            </w:r>
            <w:r>
              <w:rPr>
                <w:lang w:val="sr-Cyrl-CS"/>
              </w:rPr>
              <w:t>fizičkim</w:t>
            </w:r>
            <w:r w:rsidR="0020533F" w:rsidRPr="00E95BC4">
              <w:rPr>
                <w:lang w:val="sr-Cyrl-CS"/>
              </w:rPr>
              <w:t xml:space="preserve"> </w:t>
            </w:r>
            <w:r>
              <w:rPr>
                <w:lang w:val="sr-Cyrl-CS"/>
              </w:rPr>
              <w:t>licima</w:t>
            </w:r>
            <w:r w:rsidR="0020533F" w:rsidRPr="00E95BC4">
              <w:rPr>
                <w:lang w:val="sr-Cyrl-CS"/>
              </w:rPr>
              <w:t xml:space="preserve"> </w:t>
            </w:r>
            <w:r>
              <w:rPr>
                <w:lang w:val="sr-Cyrl-CS"/>
              </w:rPr>
              <w:t>van</w:t>
            </w:r>
            <w:r w:rsidR="0020533F" w:rsidRPr="00E95BC4">
              <w:rPr>
                <w:lang w:val="sr-Cyrl-CS"/>
              </w:rPr>
              <w:t xml:space="preserve"> </w:t>
            </w:r>
            <w:r>
              <w:rPr>
                <w:lang w:val="sr-Cyrl-CS"/>
              </w:rPr>
              <w:t>finansijskog</w:t>
            </w:r>
            <w:r w:rsidR="0020533F" w:rsidRPr="00E95BC4">
              <w:rPr>
                <w:lang w:val="sr-Cyrl-CS"/>
              </w:rPr>
              <w:t xml:space="preserve"> </w:t>
            </w:r>
            <w:r>
              <w:rPr>
                <w:lang w:val="sr-Cyrl-CS"/>
              </w:rPr>
              <w:t>sektora</w:t>
            </w:r>
            <w:r w:rsidR="0020533F" w:rsidRPr="00E95BC4">
              <w:rPr>
                <w:lang w:val="sr-Cyrl-CS"/>
              </w:rPr>
              <w:t xml:space="preserve"> </w:t>
            </w:r>
          </w:p>
        </w:tc>
        <w:tc>
          <w:tcPr>
            <w:tcW w:w="283" w:type="dxa"/>
          </w:tcPr>
          <w:p w:rsidR="0020533F" w:rsidRPr="00E95BC4" w:rsidRDefault="0020533F" w:rsidP="00285FD7">
            <w:pPr>
              <w:rPr>
                <w:lang w:val="sr-Cyrl-CS"/>
              </w:rPr>
            </w:pPr>
          </w:p>
        </w:tc>
        <w:tc>
          <w:tcPr>
            <w:tcW w:w="4536" w:type="dxa"/>
          </w:tcPr>
          <w:p w:rsidR="0020533F" w:rsidRPr="00E95BC4" w:rsidRDefault="005818C0" w:rsidP="00285FD7">
            <w:pPr>
              <w:rPr>
                <w:lang w:val="sr-Cyrl-CS"/>
              </w:rPr>
            </w:pPr>
            <w:r>
              <w:rPr>
                <w:lang w:val="sr-Cyrl-CS"/>
              </w:rPr>
              <w:t>Ne</w:t>
            </w:r>
            <w:r w:rsidR="0020533F" w:rsidRPr="00E95BC4">
              <w:rPr>
                <w:lang w:val="sr-Cyrl-CS"/>
              </w:rPr>
              <w:t xml:space="preserve"> </w:t>
            </w:r>
            <w:r>
              <w:rPr>
                <w:lang w:val="sr-Cyrl-CS"/>
              </w:rPr>
              <w:t>postoji</w:t>
            </w:r>
            <w:r w:rsidR="0020533F" w:rsidRPr="00E95BC4">
              <w:rPr>
                <w:lang w:val="sr-Cyrl-CS"/>
              </w:rPr>
              <w:t xml:space="preserve"> </w:t>
            </w:r>
            <w:r>
              <w:rPr>
                <w:lang w:val="sr-Cyrl-CS"/>
              </w:rPr>
              <w:t>obaveza</w:t>
            </w:r>
            <w:r w:rsidR="0020533F" w:rsidRPr="00E95BC4">
              <w:rPr>
                <w:lang w:val="sr-Cyrl-CS"/>
              </w:rPr>
              <w:t xml:space="preserve"> </w:t>
            </w:r>
            <w:r>
              <w:rPr>
                <w:lang w:val="sr-Cyrl-CS"/>
              </w:rPr>
              <w:t>licenciranja</w:t>
            </w:r>
            <w:r w:rsidR="0020533F" w:rsidRPr="00E95BC4">
              <w:rPr>
                <w:lang w:val="sr-Cyrl-CS"/>
              </w:rPr>
              <w:t xml:space="preserve"> </w:t>
            </w:r>
            <w:r>
              <w:rPr>
                <w:lang w:val="sr-Cyrl-CS"/>
              </w:rPr>
              <w:t>računovođa</w:t>
            </w:r>
            <w:r w:rsidR="0020533F" w:rsidRPr="00E95BC4">
              <w:rPr>
                <w:lang w:val="sr-Cyrl-CS"/>
              </w:rPr>
              <w:t xml:space="preserve">; </w:t>
            </w:r>
          </w:p>
          <w:p w:rsidR="0020533F" w:rsidRPr="00E95BC4" w:rsidRDefault="005818C0" w:rsidP="00285FD7">
            <w:pPr>
              <w:rPr>
                <w:lang w:val="sr-Cyrl-CS"/>
              </w:rPr>
            </w:pPr>
            <w:r>
              <w:rPr>
                <w:lang w:val="sr-Cyrl-CS"/>
              </w:rPr>
              <w:t>Nejasnoće</w:t>
            </w:r>
            <w:r w:rsidR="0020533F" w:rsidRPr="00E95BC4">
              <w:rPr>
                <w:lang w:val="sr-Cyrl-CS"/>
              </w:rPr>
              <w:t xml:space="preserve"> </w:t>
            </w:r>
            <w:r>
              <w:rPr>
                <w:lang w:val="sr-Cyrl-CS"/>
              </w:rPr>
              <w:t>u</w:t>
            </w:r>
            <w:r w:rsidR="0020533F" w:rsidRPr="00E95BC4">
              <w:rPr>
                <w:lang w:val="sr-Cyrl-CS"/>
              </w:rPr>
              <w:t xml:space="preserve"> </w:t>
            </w:r>
            <w:r>
              <w:rPr>
                <w:lang w:val="sr-Cyrl-CS"/>
              </w:rPr>
              <w:t>pogledu</w:t>
            </w:r>
            <w:r w:rsidR="0020533F" w:rsidRPr="00E95BC4">
              <w:rPr>
                <w:lang w:val="sr-Cyrl-CS"/>
              </w:rPr>
              <w:t xml:space="preserve"> </w:t>
            </w:r>
            <w:r>
              <w:rPr>
                <w:lang w:val="sr-Cyrl-CS"/>
              </w:rPr>
              <w:t>ovlašćenja</w:t>
            </w:r>
            <w:r w:rsidR="0020533F" w:rsidRPr="00E95BC4">
              <w:rPr>
                <w:lang w:val="sr-Cyrl-CS"/>
              </w:rPr>
              <w:t xml:space="preserve"> </w:t>
            </w:r>
            <w:r>
              <w:rPr>
                <w:lang w:val="sr-Cyrl-CS"/>
              </w:rPr>
              <w:t>Advokatske</w:t>
            </w:r>
            <w:r w:rsidR="0020533F" w:rsidRPr="00E95BC4">
              <w:rPr>
                <w:lang w:val="sr-Cyrl-CS"/>
              </w:rPr>
              <w:t xml:space="preserve"> </w:t>
            </w:r>
            <w:r>
              <w:rPr>
                <w:lang w:val="sr-Cyrl-CS"/>
              </w:rPr>
              <w:t>komore</w:t>
            </w:r>
            <w:r w:rsidR="0020533F" w:rsidRPr="00E95BC4">
              <w:rPr>
                <w:lang w:val="sr-Cyrl-CS"/>
              </w:rPr>
              <w:t xml:space="preserve"> </w:t>
            </w:r>
            <w:r>
              <w:rPr>
                <w:lang w:val="sr-Cyrl-CS"/>
              </w:rPr>
              <w:t>Srbije</w:t>
            </w:r>
            <w:r w:rsidR="00851393">
              <w:rPr>
                <w:lang w:val="sr-Cyrl-CS"/>
              </w:rPr>
              <w:t xml:space="preserve"> </w:t>
            </w:r>
            <w:r>
              <w:rPr>
                <w:lang w:val="sr-Cyrl-CS"/>
              </w:rPr>
              <w:t>da</w:t>
            </w:r>
            <w:r w:rsidR="0020533F" w:rsidRPr="00E95BC4">
              <w:rPr>
                <w:lang w:val="sr-Cyrl-CS"/>
              </w:rPr>
              <w:t xml:space="preserve"> </w:t>
            </w:r>
            <w:r>
              <w:rPr>
                <w:lang w:val="sr-Cyrl-CS"/>
              </w:rPr>
              <w:t>u</w:t>
            </w:r>
            <w:r w:rsidR="0020533F" w:rsidRPr="00E95BC4">
              <w:rPr>
                <w:lang w:val="sr-Cyrl-CS"/>
              </w:rPr>
              <w:t xml:space="preserve"> </w:t>
            </w:r>
            <w:r>
              <w:rPr>
                <w:lang w:val="sr-Cyrl-CS"/>
              </w:rPr>
              <w:t>praksi</w:t>
            </w:r>
            <w:r w:rsidR="00851393">
              <w:rPr>
                <w:lang w:val="sr-Cyrl-CS"/>
              </w:rPr>
              <w:t xml:space="preserve"> </w:t>
            </w:r>
            <w:r>
              <w:rPr>
                <w:lang w:val="sr-Cyrl-CS"/>
              </w:rPr>
              <w:t>vrši</w:t>
            </w:r>
            <w:r w:rsidR="00851393">
              <w:rPr>
                <w:lang w:val="sr-Cyrl-CS"/>
              </w:rPr>
              <w:t xml:space="preserve"> </w:t>
            </w:r>
            <w:r>
              <w:rPr>
                <w:lang w:val="sr-Cyrl-CS"/>
              </w:rPr>
              <w:t>nadzor</w:t>
            </w:r>
            <w:r w:rsidR="00851393">
              <w:rPr>
                <w:lang w:val="sr-Cyrl-CS"/>
              </w:rPr>
              <w:t xml:space="preserve"> </w:t>
            </w:r>
            <w:r>
              <w:rPr>
                <w:lang w:val="sr-Cyrl-CS"/>
              </w:rPr>
              <w:t>nad</w:t>
            </w:r>
            <w:r w:rsidR="00851393">
              <w:rPr>
                <w:lang w:val="sr-Cyrl-CS"/>
              </w:rPr>
              <w:t xml:space="preserve"> </w:t>
            </w:r>
            <w:r>
              <w:rPr>
                <w:lang w:val="sr-Cyrl-CS"/>
              </w:rPr>
              <w:t>advokatima</w:t>
            </w:r>
            <w:r w:rsidR="008A65BD" w:rsidRPr="00E95BC4">
              <w:rPr>
                <w:lang w:val="sr-Cyrl-CS"/>
              </w:rPr>
              <w:t>;</w:t>
            </w:r>
          </w:p>
          <w:p w:rsidR="0020533F" w:rsidRPr="00E95BC4" w:rsidRDefault="005818C0" w:rsidP="00285FD7">
            <w:pPr>
              <w:rPr>
                <w:lang w:val="sr-Cyrl-CS"/>
              </w:rPr>
            </w:pPr>
            <w:r>
              <w:rPr>
                <w:lang w:val="sr-Cyrl-CS"/>
              </w:rPr>
              <w:t>Ne</w:t>
            </w:r>
            <w:r w:rsidR="0020533F" w:rsidRPr="00E95BC4">
              <w:rPr>
                <w:lang w:val="sr-Cyrl-CS"/>
              </w:rPr>
              <w:t xml:space="preserve"> </w:t>
            </w:r>
            <w:r>
              <w:rPr>
                <w:lang w:val="sr-Cyrl-CS"/>
              </w:rPr>
              <w:t>postoje</w:t>
            </w:r>
            <w:r w:rsidR="0020533F" w:rsidRPr="00E95BC4">
              <w:rPr>
                <w:lang w:val="sr-Cyrl-CS"/>
              </w:rPr>
              <w:t xml:space="preserve"> </w:t>
            </w:r>
            <w:r>
              <w:rPr>
                <w:lang w:val="sr-Cyrl-CS"/>
              </w:rPr>
              <w:t>mere</w:t>
            </w:r>
            <w:r w:rsidR="0020533F" w:rsidRPr="00E95BC4">
              <w:rPr>
                <w:lang w:val="sr-Cyrl-CS"/>
              </w:rPr>
              <w:t xml:space="preserve"> </w:t>
            </w:r>
            <w:r>
              <w:rPr>
                <w:lang w:val="sr-Cyrl-CS"/>
              </w:rPr>
              <w:t>za</w:t>
            </w:r>
            <w:r w:rsidR="0020533F" w:rsidRPr="00E95BC4">
              <w:rPr>
                <w:lang w:val="sr-Cyrl-CS"/>
              </w:rPr>
              <w:t xml:space="preserve"> </w:t>
            </w:r>
            <w:r>
              <w:rPr>
                <w:lang w:val="sr-Cyrl-CS"/>
              </w:rPr>
              <w:t>sprečavanje</w:t>
            </w:r>
            <w:r w:rsidR="0020533F" w:rsidRPr="00E95BC4">
              <w:rPr>
                <w:lang w:val="sr-Cyrl-CS"/>
              </w:rPr>
              <w:t xml:space="preserve"> </w:t>
            </w:r>
            <w:r>
              <w:rPr>
                <w:lang w:val="sr-Cyrl-CS"/>
              </w:rPr>
              <w:t>kriminalaca</w:t>
            </w:r>
            <w:r w:rsidR="0020533F" w:rsidRPr="00E95BC4">
              <w:rPr>
                <w:lang w:val="sr-Cyrl-CS"/>
              </w:rPr>
              <w:t xml:space="preserve"> </w:t>
            </w:r>
            <w:r>
              <w:rPr>
                <w:lang w:val="sr-Cyrl-CS"/>
              </w:rPr>
              <w:t>da</w:t>
            </w:r>
            <w:r w:rsidR="0020533F" w:rsidRPr="00E95BC4">
              <w:rPr>
                <w:lang w:val="sr-Cyrl-CS"/>
              </w:rPr>
              <w:t xml:space="preserve"> </w:t>
            </w:r>
            <w:r>
              <w:rPr>
                <w:lang w:val="sr-Cyrl-CS"/>
              </w:rPr>
              <w:t>kontrolišu</w:t>
            </w:r>
            <w:r w:rsidR="0020533F" w:rsidRPr="00E95BC4">
              <w:rPr>
                <w:lang w:val="sr-Cyrl-CS"/>
              </w:rPr>
              <w:t xml:space="preserve"> </w:t>
            </w:r>
            <w:r>
              <w:rPr>
                <w:lang w:val="sr-Cyrl-CS"/>
              </w:rPr>
              <w:t>agencije</w:t>
            </w:r>
            <w:r w:rsidR="0020533F" w:rsidRPr="00E95BC4">
              <w:rPr>
                <w:lang w:val="sr-Cyrl-CS"/>
              </w:rPr>
              <w:t xml:space="preserve"> </w:t>
            </w:r>
            <w:r>
              <w:rPr>
                <w:lang w:val="sr-Cyrl-CS"/>
              </w:rPr>
              <w:t>za</w:t>
            </w:r>
            <w:r w:rsidR="0020533F" w:rsidRPr="00E95BC4">
              <w:rPr>
                <w:lang w:val="sr-Cyrl-CS"/>
              </w:rPr>
              <w:t xml:space="preserve"> </w:t>
            </w:r>
            <w:r>
              <w:rPr>
                <w:lang w:val="sr-Cyrl-CS"/>
              </w:rPr>
              <w:t>promet</w:t>
            </w:r>
            <w:r w:rsidR="0020533F" w:rsidRPr="00E95BC4">
              <w:rPr>
                <w:lang w:val="sr-Cyrl-CS"/>
              </w:rPr>
              <w:t xml:space="preserve"> </w:t>
            </w:r>
            <w:r>
              <w:rPr>
                <w:lang w:val="sr-Cyrl-CS"/>
              </w:rPr>
              <w:t>nekretnina</w:t>
            </w:r>
            <w:r w:rsidR="0020533F" w:rsidRPr="00E95BC4">
              <w:rPr>
                <w:lang w:val="sr-Cyrl-CS"/>
              </w:rPr>
              <w:t xml:space="preserve"> </w:t>
            </w:r>
            <w:r>
              <w:rPr>
                <w:lang w:val="sr-Cyrl-CS"/>
              </w:rPr>
              <w:t>i</w:t>
            </w:r>
            <w:r w:rsidR="0020533F" w:rsidRPr="00E95BC4">
              <w:rPr>
                <w:lang w:val="sr-Cyrl-CS"/>
              </w:rPr>
              <w:t xml:space="preserve"> </w:t>
            </w:r>
            <w:r>
              <w:rPr>
                <w:lang w:val="sr-Cyrl-CS"/>
              </w:rPr>
              <w:t>računovođe</w:t>
            </w:r>
            <w:r w:rsidR="008A65BD" w:rsidRPr="00E95BC4">
              <w:rPr>
                <w:lang w:val="sr-Cyrl-CS"/>
              </w:rPr>
              <w:t>;</w:t>
            </w:r>
          </w:p>
          <w:p w:rsidR="0020533F" w:rsidRPr="00E95BC4" w:rsidRDefault="005818C0" w:rsidP="00285FD7">
            <w:pPr>
              <w:rPr>
                <w:lang w:val="sr-Cyrl-CS"/>
              </w:rPr>
            </w:pPr>
            <w:r>
              <w:rPr>
                <w:lang w:val="sr-Cyrl-CS"/>
              </w:rPr>
              <w:t>Mere</w:t>
            </w:r>
            <w:r w:rsidR="0020533F" w:rsidRPr="00E95BC4">
              <w:rPr>
                <w:lang w:val="sr-Cyrl-CS"/>
              </w:rPr>
              <w:t xml:space="preserve"> </w:t>
            </w:r>
            <w:r>
              <w:rPr>
                <w:lang w:val="sr-Cyrl-CS"/>
              </w:rPr>
              <w:t>kojima</w:t>
            </w:r>
            <w:r w:rsidR="0020533F" w:rsidRPr="00E95BC4">
              <w:rPr>
                <w:lang w:val="sr-Cyrl-CS"/>
              </w:rPr>
              <w:t xml:space="preserve"> </w:t>
            </w:r>
            <w:r>
              <w:rPr>
                <w:lang w:val="sr-Cyrl-CS"/>
              </w:rPr>
              <w:t>se</w:t>
            </w:r>
            <w:r w:rsidR="0020533F" w:rsidRPr="00E95BC4">
              <w:rPr>
                <w:lang w:val="sr-Cyrl-CS"/>
              </w:rPr>
              <w:t xml:space="preserve"> </w:t>
            </w:r>
            <w:r>
              <w:rPr>
                <w:lang w:val="sr-Cyrl-CS"/>
              </w:rPr>
              <w:t>sprečavaju</w:t>
            </w:r>
            <w:r w:rsidR="0020533F" w:rsidRPr="00E95BC4">
              <w:rPr>
                <w:lang w:val="sr-Cyrl-CS"/>
              </w:rPr>
              <w:t xml:space="preserve"> </w:t>
            </w:r>
            <w:r>
              <w:rPr>
                <w:lang w:val="sr-Cyrl-CS"/>
              </w:rPr>
              <w:t>kriminalci</w:t>
            </w:r>
            <w:r w:rsidR="0020533F" w:rsidRPr="00E95BC4">
              <w:rPr>
                <w:lang w:val="sr-Cyrl-CS"/>
              </w:rPr>
              <w:t xml:space="preserve"> </w:t>
            </w:r>
            <w:r>
              <w:rPr>
                <w:lang w:val="sr-Cyrl-CS"/>
              </w:rPr>
              <w:t>da</w:t>
            </w:r>
            <w:r w:rsidR="0020533F" w:rsidRPr="00E95BC4">
              <w:rPr>
                <w:lang w:val="sr-Cyrl-CS"/>
              </w:rPr>
              <w:t xml:space="preserve"> </w:t>
            </w:r>
            <w:r>
              <w:rPr>
                <w:lang w:val="sr-Cyrl-CS"/>
              </w:rPr>
              <w:t>kontrolišu</w:t>
            </w:r>
            <w:r w:rsidR="0020533F" w:rsidRPr="00E95BC4">
              <w:rPr>
                <w:lang w:val="sr-Cyrl-CS"/>
              </w:rPr>
              <w:t xml:space="preserve"> </w:t>
            </w:r>
            <w:r>
              <w:rPr>
                <w:lang w:val="sr-Cyrl-CS"/>
              </w:rPr>
              <w:t>kazina</w:t>
            </w:r>
            <w:r w:rsidR="0020533F" w:rsidRPr="00E95BC4">
              <w:rPr>
                <w:lang w:val="sr-Cyrl-CS"/>
              </w:rPr>
              <w:t xml:space="preserve">, </w:t>
            </w:r>
            <w:r>
              <w:rPr>
                <w:lang w:val="sr-Cyrl-CS"/>
              </w:rPr>
              <w:t>revizore</w:t>
            </w:r>
            <w:r w:rsidR="0020533F" w:rsidRPr="00E95BC4">
              <w:rPr>
                <w:lang w:val="sr-Cyrl-CS"/>
              </w:rPr>
              <w:t xml:space="preserve"> </w:t>
            </w:r>
            <w:r>
              <w:rPr>
                <w:lang w:val="sr-Cyrl-CS"/>
              </w:rPr>
              <w:t>i</w:t>
            </w:r>
            <w:r w:rsidR="0020533F" w:rsidRPr="00E95BC4">
              <w:rPr>
                <w:lang w:val="sr-Cyrl-CS"/>
              </w:rPr>
              <w:t xml:space="preserve"> </w:t>
            </w:r>
            <w:r>
              <w:rPr>
                <w:lang w:val="sr-Cyrl-CS"/>
              </w:rPr>
              <w:t>advokate</w:t>
            </w:r>
            <w:r w:rsidR="0020533F" w:rsidRPr="00E95BC4">
              <w:rPr>
                <w:lang w:val="sr-Cyrl-CS"/>
              </w:rPr>
              <w:t xml:space="preserve"> </w:t>
            </w:r>
            <w:r>
              <w:rPr>
                <w:lang w:val="sr-Cyrl-CS"/>
              </w:rPr>
              <w:t>užeg</w:t>
            </w:r>
            <w:r w:rsidR="0020533F" w:rsidRPr="00E95BC4">
              <w:rPr>
                <w:lang w:val="sr-Cyrl-CS"/>
              </w:rPr>
              <w:t xml:space="preserve"> </w:t>
            </w:r>
            <w:r>
              <w:rPr>
                <w:lang w:val="sr-Cyrl-CS"/>
              </w:rPr>
              <w:t>su</w:t>
            </w:r>
            <w:r w:rsidR="0020533F" w:rsidRPr="00E95BC4">
              <w:rPr>
                <w:lang w:val="sr-Cyrl-CS"/>
              </w:rPr>
              <w:t xml:space="preserve"> </w:t>
            </w:r>
            <w:r>
              <w:rPr>
                <w:lang w:val="sr-Cyrl-CS"/>
              </w:rPr>
              <w:t>dejstva</w:t>
            </w:r>
            <w:r w:rsidR="0020533F" w:rsidRPr="00E95BC4">
              <w:rPr>
                <w:lang w:val="sr-Cyrl-CS"/>
              </w:rPr>
              <w:t xml:space="preserve"> </w:t>
            </w:r>
            <w:r>
              <w:rPr>
                <w:lang w:val="sr-Cyrl-CS"/>
              </w:rPr>
              <w:t>od</w:t>
            </w:r>
            <w:r w:rsidR="0020533F" w:rsidRPr="00E95BC4">
              <w:rPr>
                <w:lang w:val="sr-Cyrl-CS"/>
              </w:rPr>
              <w:t xml:space="preserve"> </w:t>
            </w:r>
            <w:r>
              <w:rPr>
                <w:lang w:val="sr-Cyrl-CS"/>
              </w:rPr>
              <w:t>onog</w:t>
            </w:r>
            <w:r w:rsidR="0020533F" w:rsidRPr="00E95BC4">
              <w:rPr>
                <w:lang w:val="sr-Cyrl-CS"/>
              </w:rPr>
              <w:t xml:space="preserve"> </w:t>
            </w:r>
            <w:r>
              <w:rPr>
                <w:lang w:val="sr-Cyrl-CS"/>
              </w:rPr>
              <w:t>koje</w:t>
            </w:r>
            <w:r w:rsidR="0020533F" w:rsidRPr="00E95BC4">
              <w:rPr>
                <w:lang w:val="sr-Cyrl-CS"/>
              </w:rPr>
              <w:t xml:space="preserve"> </w:t>
            </w:r>
            <w:r>
              <w:rPr>
                <w:lang w:val="sr-Cyrl-CS"/>
              </w:rPr>
              <w:t>traži</w:t>
            </w:r>
            <w:r w:rsidR="0020533F" w:rsidRPr="00E95BC4">
              <w:rPr>
                <w:lang w:val="sr-Cyrl-CS"/>
              </w:rPr>
              <w:t xml:space="preserve"> </w:t>
            </w:r>
            <w:r>
              <w:rPr>
                <w:lang w:val="sr-Cyrl-CS"/>
              </w:rPr>
              <w:t>FATF</w:t>
            </w:r>
            <w:r w:rsidR="008A65BD" w:rsidRPr="00E95BC4">
              <w:rPr>
                <w:lang w:val="sr-Cyrl-CS"/>
              </w:rPr>
              <w:t>.</w:t>
            </w:r>
          </w:p>
        </w:tc>
      </w:tr>
      <w:tr w:rsidR="0020533F" w:rsidRPr="00E95BC4" w:rsidTr="00EF185F">
        <w:tc>
          <w:tcPr>
            <w:tcW w:w="4395" w:type="dxa"/>
          </w:tcPr>
          <w:p w:rsidR="0020533F" w:rsidRPr="00E95BC4" w:rsidRDefault="005818C0" w:rsidP="00285FD7">
            <w:pPr>
              <w:rPr>
                <w:lang w:val="sr-Cyrl-CS"/>
              </w:rPr>
            </w:pPr>
            <w:r>
              <w:rPr>
                <w:b/>
                <w:lang w:val="sr-Cyrl-CS"/>
              </w:rPr>
              <w:t>Preporuka</w:t>
            </w:r>
            <w:r w:rsidR="00EF185F" w:rsidRPr="00E95BC4">
              <w:rPr>
                <w:b/>
                <w:lang w:val="sr-Cyrl-CS"/>
              </w:rPr>
              <w:t xml:space="preserve"> 40:</w:t>
            </w:r>
            <w:r w:rsidR="00EF185F" w:rsidRPr="00E95BC4">
              <w:rPr>
                <w:lang w:val="sr-Cyrl-CS"/>
              </w:rPr>
              <w:t xml:space="preserve"> </w:t>
            </w:r>
            <w:r>
              <w:rPr>
                <w:lang w:val="sr-Cyrl-CS"/>
              </w:rPr>
              <w:t>Drugi</w:t>
            </w:r>
            <w:r w:rsidR="00EF185F" w:rsidRPr="00E95BC4">
              <w:rPr>
                <w:lang w:val="sr-Cyrl-CS"/>
              </w:rPr>
              <w:t xml:space="preserve"> </w:t>
            </w:r>
            <w:r>
              <w:rPr>
                <w:lang w:val="sr-Cyrl-CS"/>
              </w:rPr>
              <w:t>vidovi</w:t>
            </w:r>
            <w:r w:rsidR="00EF185F" w:rsidRPr="00E95BC4">
              <w:rPr>
                <w:lang w:val="sr-Cyrl-CS"/>
              </w:rPr>
              <w:t xml:space="preserve"> </w:t>
            </w:r>
            <w:r>
              <w:rPr>
                <w:lang w:val="sr-Cyrl-CS"/>
              </w:rPr>
              <w:t>međunarodne</w:t>
            </w:r>
            <w:r w:rsidR="00EF185F" w:rsidRPr="00E95BC4">
              <w:rPr>
                <w:lang w:val="sr-Cyrl-CS"/>
              </w:rPr>
              <w:t xml:space="preserve"> </w:t>
            </w:r>
            <w:r>
              <w:rPr>
                <w:lang w:val="sr-Cyrl-CS"/>
              </w:rPr>
              <w:t>saradnje</w:t>
            </w:r>
          </w:p>
        </w:tc>
        <w:tc>
          <w:tcPr>
            <w:tcW w:w="283" w:type="dxa"/>
          </w:tcPr>
          <w:p w:rsidR="0020533F" w:rsidRPr="00E95BC4" w:rsidRDefault="0020533F" w:rsidP="00285FD7">
            <w:pPr>
              <w:rPr>
                <w:lang w:val="sr-Cyrl-CS"/>
              </w:rPr>
            </w:pPr>
          </w:p>
        </w:tc>
        <w:tc>
          <w:tcPr>
            <w:tcW w:w="4536" w:type="dxa"/>
          </w:tcPr>
          <w:p w:rsidR="00EF185F" w:rsidRPr="00E95BC4" w:rsidRDefault="005818C0" w:rsidP="00285FD7">
            <w:pPr>
              <w:rPr>
                <w:lang w:val="sr-Cyrl-CS"/>
              </w:rPr>
            </w:pPr>
            <w:r>
              <w:rPr>
                <w:lang w:val="sr-Cyrl-CS"/>
              </w:rPr>
              <w:t>Nedovoljno</w:t>
            </w:r>
            <w:r w:rsidR="00EF185F" w:rsidRPr="00E95BC4">
              <w:rPr>
                <w:lang w:val="sr-Cyrl-CS"/>
              </w:rPr>
              <w:t xml:space="preserve"> </w:t>
            </w:r>
            <w:r>
              <w:rPr>
                <w:lang w:val="sr-Cyrl-CS"/>
              </w:rPr>
              <w:t>jasne</w:t>
            </w:r>
            <w:r w:rsidR="00EF185F" w:rsidRPr="00E95BC4">
              <w:rPr>
                <w:lang w:val="sr-Cyrl-CS"/>
              </w:rPr>
              <w:t xml:space="preserve"> </w:t>
            </w:r>
            <w:r>
              <w:rPr>
                <w:lang w:val="sr-Cyrl-CS"/>
              </w:rPr>
              <w:t>odredbe</w:t>
            </w:r>
            <w:r w:rsidR="00EF185F" w:rsidRPr="00E95BC4">
              <w:rPr>
                <w:lang w:val="sr-Cyrl-CS"/>
              </w:rPr>
              <w:t xml:space="preserve"> </w:t>
            </w:r>
            <w:r>
              <w:rPr>
                <w:lang w:val="sr-Cyrl-CS"/>
              </w:rPr>
              <w:t>o</w:t>
            </w:r>
            <w:r w:rsidR="00EF185F" w:rsidRPr="00E95BC4">
              <w:rPr>
                <w:lang w:val="sr-Cyrl-CS"/>
              </w:rPr>
              <w:t xml:space="preserve"> </w:t>
            </w:r>
            <w:r>
              <w:rPr>
                <w:lang w:val="sr-Cyrl-CS"/>
              </w:rPr>
              <w:t>ovlašćenjima</w:t>
            </w:r>
            <w:r w:rsidR="00EF185F" w:rsidRPr="00E95BC4">
              <w:rPr>
                <w:lang w:val="sr-Cyrl-CS"/>
              </w:rPr>
              <w:t xml:space="preserve"> </w:t>
            </w:r>
            <w:r>
              <w:rPr>
                <w:lang w:val="sr-Cyrl-CS"/>
              </w:rPr>
              <w:t>drugih</w:t>
            </w:r>
            <w:r w:rsidR="00EF185F" w:rsidRPr="00E95BC4">
              <w:rPr>
                <w:lang w:val="sr-Cyrl-CS"/>
              </w:rPr>
              <w:t xml:space="preserve"> </w:t>
            </w:r>
            <w:r>
              <w:rPr>
                <w:lang w:val="sr-Cyrl-CS"/>
              </w:rPr>
              <w:t>nadzornih</w:t>
            </w:r>
            <w:r w:rsidR="00EF185F" w:rsidRPr="00E95BC4">
              <w:rPr>
                <w:lang w:val="sr-Cyrl-CS"/>
              </w:rPr>
              <w:t xml:space="preserve"> </w:t>
            </w:r>
            <w:r>
              <w:rPr>
                <w:lang w:val="sr-Cyrl-CS"/>
              </w:rPr>
              <w:t>organa</w:t>
            </w:r>
            <w:r w:rsidR="00EF185F" w:rsidRPr="00E95BC4">
              <w:rPr>
                <w:lang w:val="sr-Cyrl-CS"/>
              </w:rPr>
              <w:t xml:space="preserve"> (</w:t>
            </w:r>
            <w:r>
              <w:rPr>
                <w:lang w:val="sr-Cyrl-CS"/>
              </w:rPr>
              <w:t>osim</w:t>
            </w:r>
            <w:r w:rsidR="00EF185F" w:rsidRPr="00E95BC4">
              <w:rPr>
                <w:lang w:val="sr-Cyrl-CS"/>
              </w:rPr>
              <w:t xml:space="preserve"> </w:t>
            </w:r>
            <w:r>
              <w:rPr>
                <w:lang w:val="sr-Cyrl-CS"/>
              </w:rPr>
              <w:t>NBS</w:t>
            </w:r>
            <w:r w:rsidR="00EF185F" w:rsidRPr="00E95BC4">
              <w:rPr>
                <w:lang w:val="sr-Cyrl-CS"/>
              </w:rPr>
              <w:t xml:space="preserve"> </w:t>
            </w:r>
            <w:r>
              <w:rPr>
                <w:lang w:val="sr-Cyrl-CS"/>
              </w:rPr>
              <w:t>i</w:t>
            </w:r>
            <w:r w:rsidR="00EF185F" w:rsidRPr="00E95BC4">
              <w:rPr>
                <w:lang w:val="sr-Cyrl-CS"/>
              </w:rPr>
              <w:t xml:space="preserve"> </w:t>
            </w:r>
            <w:r>
              <w:rPr>
                <w:lang w:val="sr-Cyrl-CS"/>
              </w:rPr>
              <w:t>KHoV</w:t>
            </w:r>
            <w:r w:rsidR="00EF185F" w:rsidRPr="00E95BC4">
              <w:rPr>
                <w:lang w:val="sr-Cyrl-CS"/>
              </w:rPr>
              <w:t xml:space="preserve">) </w:t>
            </w:r>
            <w:r>
              <w:rPr>
                <w:lang w:val="sr-Cyrl-CS"/>
              </w:rPr>
              <w:t>za</w:t>
            </w:r>
            <w:r w:rsidR="00EF185F" w:rsidRPr="00E95BC4">
              <w:rPr>
                <w:lang w:val="sr-Cyrl-CS"/>
              </w:rPr>
              <w:t xml:space="preserve"> </w:t>
            </w:r>
            <w:r>
              <w:rPr>
                <w:lang w:val="sr-Cyrl-CS"/>
              </w:rPr>
              <w:t>saradnju</w:t>
            </w:r>
            <w:r w:rsidR="00EF185F" w:rsidRPr="00E95BC4">
              <w:rPr>
                <w:lang w:val="sr-Cyrl-CS"/>
              </w:rPr>
              <w:t xml:space="preserve"> </w:t>
            </w:r>
            <w:r>
              <w:rPr>
                <w:lang w:val="sr-Cyrl-CS"/>
              </w:rPr>
              <w:t>sa</w:t>
            </w:r>
            <w:r w:rsidR="00EF185F" w:rsidRPr="00E95BC4">
              <w:rPr>
                <w:lang w:val="sr-Cyrl-CS"/>
              </w:rPr>
              <w:t xml:space="preserve"> </w:t>
            </w:r>
            <w:r>
              <w:rPr>
                <w:lang w:val="sr-Cyrl-CS"/>
              </w:rPr>
              <w:t>ekvivalentnim</w:t>
            </w:r>
            <w:r w:rsidR="00EF185F" w:rsidRPr="00E95BC4">
              <w:rPr>
                <w:lang w:val="sr-Cyrl-CS"/>
              </w:rPr>
              <w:t xml:space="preserve"> </w:t>
            </w:r>
            <w:r>
              <w:rPr>
                <w:lang w:val="sr-Cyrl-CS"/>
              </w:rPr>
              <w:t>službama</w:t>
            </w:r>
            <w:r w:rsidR="00EF185F" w:rsidRPr="00E95BC4">
              <w:rPr>
                <w:lang w:val="sr-Cyrl-CS"/>
              </w:rPr>
              <w:t xml:space="preserve"> </w:t>
            </w:r>
            <w:r>
              <w:rPr>
                <w:lang w:val="sr-Cyrl-CS"/>
              </w:rPr>
              <w:t>drugih</w:t>
            </w:r>
            <w:r w:rsidR="00EF185F" w:rsidRPr="00E95BC4">
              <w:rPr>
                <w:lang w:val="sr-Cyrl-CS"/>
              </w:rPr>
              <w:t xml:space="preserve"> </w:t>
            </w:r>
            <w:r>
              <w:rPr>
                <w:lang w:val="sr-Cyrl-CS"/>
              </w:rPr>
              <w:t>država</w:t>
            </w:r>
            <w:r w:rsidR="00EF185F" w:rsidRPr="00E95BC4">
              <w:rPr>
                <w:lang w:val="sr-Cyrl-CS"/>
              </w:rPr>
              <w:t xml:space="preserve">; </w:t>
            </w:r>
          </w:p>
          <w:p w:rsidR="00EF185F" w:rsidRPr="00E95BC4" w:rsidRDefault="005818C0" w:rsidP="00285FD7">
            <w:pPr>
              <w:rPr>
                <w:lang w:val="sr-Cyrl-CS"/>
              </w:rPr>
            </w:pPr>
            <w:r>
              <w:rPr>
                <w:lang w:val="sr-Cyrl-CS"/>
              </w:rPr>
              <w:t>Nedovoljno</w:t>
            </w:r>
            <w:r w:rsidR="00EF185F" w:rsidRPr="00E95BC4">
              <w:rPr>
                <w:lang w:val="sr-Cyrl-CS"/>
              </w:rPr>
              <w:t xml:space="preserve"> </w:t>
            </w:r>
            <w:r>
              <w:rPr>
                <w:lang w:val="sr-Cyrl-CS"/>
              </w:rPr>
              <w:t>jasne</w:t>
            </w:r>
            <w:r w:rsidR="00EF185F" w:rsidRPr="00E95BC4">
              <w:rPr>
                <w:lang w:val="sr-Cyrl-CS"/>
              </w:rPr>
              <w:t xml:space="preserve"> </w:t>
            </w:r>
            <w:r>
              <w:rPr>
                <w:lang w:val="sr-Cyrl-CS"/>
              </w:rPr>
              <w:t>odredbe</w:t>
            </w:r>
            <w:r w:rsidR="00EF185F" w:rsidRPr="00E95BC4">
              <w:rPr>
                <w:lang w:val="sr-Cyrl-CS"/>
              </w:rPr>
              <w:t xml:space="preserve"> </w:t>
            </w:r>
            <w:r>
              <w:rPr>
                <w:lang w:val="sr-Cyrl-CS"/>
              </w:rPr>
              <w:t>u</w:t>
            </w:r>
            <w:r w:rsidR="00EF185F" w:rsidRPr="00E95BC4">
              <w:rPr>
                <w:lang w:val="sr-Cyrl-CS"/>
              </w:rPr>
              <w:t xml:space="preserve"> </w:t>
            </w:r>
            <w:r>
              <w:rPr>
                <w:lang w:val="sr-Cyrl-CS"/>
              </w:rPr>
              <w:t>pogledu</w:t>
            </w:r>
            <w:r w:rsidR="00EF185F" w:rsidRPr="00E95BC4">
              <w:rPr>
                <w:lang w:val="sr-Cyrl-CS"/>
              </w:rPr>
              <w:t xml:space="preserve"> </w:t>
            </w:r>
            <w:r>
              <w:rPr>
                <w:lang w:val="sr-Cyrl-CS"/>
              </w:rPr>
              <w:t>zaštitnih</w:t>
            </w:r>
            <w:r w:rsidR="00EF185F" w:rsidRPr="00E95BC4">
              <w:rPr>
                <w:lang w:val="sr-Cyrl-CS"/>
              </w:rPr>
              <w:t xml:space="preserve"> </w:t>
            </w:r>
            <w:r>
              <w:rPr>
                <w:lang w:val="sr-Cyrl-CS"/>
              </w:rPr>
              <w:t>mehanizama</w:t>
            </w:r>
            <w:r w:rsidR="00EF185F" w:rsidRPr="00E95BC4">
              <w:rPr>
                <w:lang w:val="sr-Cyrl-CS"/>
              </w:rPr>
              <w:t xml:space="preserve"> </w:t>
            </w:r>
            <w:r>
              <w:rPr>
                <w:lang w:val="sr-Cyrl-CS"/>
              </w:rPr>
              <w:t>i</w:t>
            </w:r>
            <w:r w:rsidR="00EF185F" w:rsidRPr="00E95BC4">
              <w:rPr>
                <w:lang w:val="sr-Cyrl-CS"/>
              </w:rPr>
              <w:t xml:space="preserve"> </w:t>
            </w:r>
            <w:r>
              <w:rPr>
                <w:lang w:val="sr-Cyrl-CS"/>
              </w:rPr>
              <w:t>zahteva</w:t>
            </w:r>
            <w:r w:rsidR="00EF185F" w:rsidRPr="00E95BC4">
              <w:rPr>
                <w:lang w:val="sr-Cyrl-CS"/>
              </w:rPr>
              <w:t xml:space="preserve"> </w:t>
            </w:r>
            <w:r>
              <w:rPr>
                <w:lang w:val="sr-Cyrl-CS"/>
              </w:rPr>
              <w:t>u</w:t>
            </w:r>
            <w:r w:rsidR="00EF185F" w:rsidRPr="00E95BC4">
              <w:rPr>
                <w:lang w:val="sr-Cyrl-CS"/>
              </w:rPr>
              <w:t xml:space="preserve"> </w:t>
            </w:r>
            <w:r>
              <w:rPr>
                <w:lang w:val="sr-Cyrl-CS"/>
              </w:rPr>
              <w:t>pogledu</w:t>
            </w:r>
            <w:r w:rsidR="00EF185F" w:rsidRPr="00E95BC4">
              <w:rPr>
                <w:lang w:val="sr-Cyrl-CS"/>
              </w:rPr>
              <w:t xml:space="preserve"> </w:t>
            </w:r>
            <w:r>
              <w:rPr>
                <w:lang w:val="sr-Cyrl-CS"/>
              </w:rPr>
              <w:t>poverljivosti</w:t>
            </w:r>
            <w:r w:rsidR="00EF185F" w:rsidRPr="00E95BC4">
              <w:rPr>
                <w:lang w:val="sr-Cyrl-CS"/>
              </w:rPr>
              <w:t xml:space="preserve"> </w:t>
            </w:r>
            <w:r>
              <w:rPr>
                <w:lang w:val="sr-Cyrl-CS"/>
              </w:rPr>
              <w:t>podataka</w:t>
            </w:r>
            <w:r w:rsidR="00EF185F" w:rsidRPr="00E95BC4">
              <w:rPr>
                <w:lang w:val="sr-Cyrl-CS"/>
              </w:rPr>
              <w:t xml:space="preserve"> </w:t>
            </w:r>
            <w:r>
              <w:rPr>
                <w:lang w:val="sr-Cyrl-CS"/>
              </w:rPr>
              <w:t>koje</w:t>
            </w:r>
            <w:r w:rsidR="00EF185F" w:rsidRPr="00E95BC4">
              <w:rPr>
                <w:lang w:val="sr-Cyrl-CS"/>
              </w:rPr>
              <w:t xml:space="preserve"> </w:t>
            </w:r>
            <w:r>
              <w:rPr>
                <w:lang w:val="sr-Cyrl-CS"/>
              </w:rPr>
              <w:t>se</w:t>
            </w:r>
            <w:r w:rsidR="00EF185F" w:rsidRPr="00E95BC4">
              <w:rPr>
                <w:lang w:val="sr-Cyrl-CS"/>
              </w:rPr>
              <w:t xml:space="preserve"> </w:t>
            </w:r>
            <w:r>
              <w:rPr>
                <w:lang w:val="sr-Cyrl-CS"/>
              </w:rPr>
              <w:t>odnose</w:t>
            </w:r>
            <w:r w:rsidR="00EF185F" w:rsidRPr="00E95BC4">
              <w:rPr>
                <w:lang w:val="sr-Cyrl-CS"/>
              </w:rPr>
              <w:t xml:space="preserve"> </w:t>
            </w:r>
            <w:r>
              <w:rPr>
                <w:lang w:val="sr-Cyrl-CS"/>
              </w:rPr>
              <w:t>na</w:t>
            </w:r>
            <w:r w:rsidR="00EF185F" w:rsidRPr="00E95BC4">
              <w:rPr>
                <w:lang w:val="sr-Cyrl-CS"/>
              </w:rPr>
              <w:t xml:space="preserve"> </w:t>
            </w:r>
            <w:r>
              <w:rPr>
                <w:lang w:val="sr-Cyrl-CS"/>
              </w:rPr>
              <w:t>informacije</w:t>
            </w:r>
            <w:r w:rsidR="00EF185F" w:rsidRPr="00E95BC4">
              <w:rPr>
                <w:lang w:val="sr-Cyrl-CS"/>
              </w:rPr>
              <w:t xml:space="preserve"> </w:t>
            </w:r>
            <w:r>
              <w:rPr>
                <w:lang w:val="sr-Cyrl-CS"/>
              </w:rPr>
              <w:t>koje</w:t>
            </w:r>
            <w:r w:rsidR="00EF185F" w:rsidRPr="00E95BC4">
              <w:rPr>
                <w:lang w:val="sr-Cyrl-CS"/>
              </w:rPr>
              <w:t xml:space="preserve"> </w:t>
            </w:r>
            <w:r>
              <w:rPr>
                <w:lang w:val="sr-Cyrl-CS"/>
              </w:rPr>
              <w:t>razmenjuju</w:t>
            </w:r>
            <w:r w:rsidR="00EF185F" w:rsidRPr="00E95BC4">
              <w:rPr>
                <w:lang w:val="sr-Cyrl-CS"/>
              </w:rPr>
              <w:t xml:space="preserve"> </w:t>
            </w:r>
            <w:r>
              <w:rPr>
                <w:lang w:val="sr-Cyrl-CS"/>
              </w:rPr>
              <w:t>organi</w:t>
            </w:r>
            <w:r w:rsidR="00EF185F" w:rsidRPr="00E95BC4">
              <w:rPr>
                <w:lang w:val="sr-Cyrl-CS"/>
              </w:rPr>
              <w:t xml:space="preserve">, </w:t>
            </w:r>
            <w:r>
              <w:rPr>
                <w:lang w:val="sr-Cyrl-CS"/>
              </w:rPr>
              <w:t>osim</w:t>
            </w:r>
            <w:r w:rsidR="00EF185F" w:rsidRPr="00E95BC4">
              <w:rPr>
                <w:lang w:val="sr-Cyrl-CS"/>
              </w:rPr>
              <w:t xml:space="preserve"> </w:t>
            </w:r>
            <w:r>
              <w:rPr>
                <w:lang w:val="sr-Cyrl-CS"/>
              </w:rPr>
              <w:t>Uprave</w:t>
            </w:r>
            <w:r w:rsidR="00EF185F" w:rsidRPr="00E95BC4">
              <w:rPr>
                <w:lang w:val="sr-Cyrl-CS"/>
              </w:rPr>
              <w:t xml:space="preserve">, </w:t>
            </w:r>
            <w:r>
              <w:rPr>
                <w:lang w:val="sr-Cyrl-CS"/>
              </w:rPr>
              <w:t>policije</w:t>
            </w:r>
            <w:r w:rsidR="00EF185F" w:rsidRPr="00E95BC4">
              <w:rPr>
                <w:lang w:val="sr-Cyrl-CS"/>
              </w:rPr>
              <w:t xml:space="preserve">, </w:t>
            </w:r>
            <w:r>
              <w:rPr>
                <w:lang w:val="sr-Cyrl-CS"/>
              </w:rPr>
              <w:t>KHoV</w:t>
            </w:r>
            <w:r w:rsidR="00EF185F" w:rsidRPr="00E95BC4">
              <w:rPr>
                <w:lang w:val="sr-Cyrl-CS"/>
              </w:rPr>
              <w:t xml:space="preserve"> </w:t>
            </w:r>
            <w:r>
              <w:rPr>
                <w:lang w:val="sr-Cyrl-CS"/>
              </w:rPr>
              <w:t>i</w:t>
            </w:r>
            <w:r w:rsidR="00EF185F" w:rsidRPr="00E95BC4">
              <w:rPr>
                <w:lang w:val="sr-Cyrl-CS"/>
              </w:rPr>
              <w:t xml:space="preserve"> </w:t>
            </w:r>
            <w:r>
              <w:rPr>
                <w:lang w:val="sr-Cyrl-CS"/>
              </w:rPr>
              <w:t>NBS</w:t>
            </w:r>
            <w:r w:rsidR="00EF185F" w:rsidRPr="00E95BC4">
              <w:rPr>
                <w:lang w:val="sr-Cyrl-CS"/>
              </w:rPr>
              <w:t xml:space="preserve"> (</w:t>
            </w:r>
            <w:r>
              <w:rPr>
                <w:lang w:val="sr-Cyrl-CS"/>
              </w:rPr>
              <w:t>samo</w:t>
            </w:r>
            <w:r w:rsidR="00EF185F" w:rsidRPr="00E95BC4">
              <w:rPr>
                <w:lang w:val="sr-Cyrl-CS"/>
              </w:rPr>
              <w:t xml:space="preserve"> </w:t>
            </w:r>
            <w:r>
              <w:rPr>
                <w:lang w:val="sr-Cyrl-CS"/>
              </w:rPr>
              <w:t>u</w:t>
            </w:r>
            <w:r w:rsidR="00EF185F" w:rsidRPr="00E95BC4">
              <w:rPr>
                <w:lang w:val="sr-Cyrl-CS"/>
              </w:rPr>
              <w:t xml:space="preserve"> </w:t>
            </w:r>
            <w:r>
              <w:rPr>
                <w:lang w:val="sr-Cyrl-CS"/>
              </w:rPr>
              <w:t>pogledu</w:t>
            </w:r>
            <w:r w:rsidR="00EF185F" w:rsidRPr="00E95BC4">
              <w:rPr>
                <w:lang w:val="sr-Cyrl-CS"/>
              </w:rPr>
              <w:t xml:space="preserve"> </w:t>
            </w:r>
            <w:r>
              <w:rPr>
                <w:lang w:val="sr-Cyrl-CS"/>
              </w:rPr>
              <w:t>nadzora</w:t>
            </w:r>
            <w:r w:rsidR="00EF185F" w:rsidRPr="00E95BC4">
              <w:rPr>
                <w:lang w:val="sr-Cyrl-CS"/>
              </w:rPr>
              <w:t xml:space="preserve"> </w:t>
            </w:r>
            <w:r>
              <w:rPr>
                <w:lang w:val="sr-Cyrl-CS"/>
              </w:rPr>
              <w:t>nad</w:t>
            </w:r>
            <w:r w:rsidR="00EF185F" w:rsidRPr="00E95BC4">
              <w:rPr>
                <w:lang w:val="sr-Cyrl-CS"/>
              </w:rPr>
              <w:t xml:space="preserve"> </w:t>
            </w:r>
            <w:r>
              <w:rPr>
                <w:lang w:val="sr-Cyrl-CS"/>
              </w:rPr>
              <w:t>bankama</w:t>
            </w:r>
            <w:r w:rsidR="00EF185F" w:rsidRPr="00E95BC4">
              <w:rPr>
                <w:lang w:val="sr-Cyrl-CS"/>
              </w:rPr>
              <w:t xml:space="preserve">). </w:t>
            </w:r>
          </w:p>
          <w:p w:rsidR="0020533F" w:rsidRPr="00E95BC4" w:rsidRDefault="0020533F" w:rsidP="00285FD7">
            <w:pPr>
              <w:rPr>
                <w:lang w:val="sr-Cyrl-CS"/>
              </w:rPr>
            </w:pPr>
          </w:p>
        </w:tc>
      </w:tr>
    </w:tbl>
    <w:p w:rsidR="00271782" w:rsidRPr="00E95BC4" w:rsidRDefault="005818C0" w:rsidP="00285FD7">
      <w:pPr>
        <w:ind w:firstLine="720"/>
        <w:jc w:val="both"/>
        <w:rPr>
          <w:lang w:val="sr-Cyrl-CS"/>
        </w:rPr>
      </w:pPr>
      <w:r>
        <w:rPr>
          <w:lang w:val="sr-Cyrl-CS"/>
        </w:rPr>
        <w:t>Sve</w:t>
      </w:r>
      <w:r w:rsidR="00271782" w:rsidRPr="00E95BC4">
        <w:rPr>
          <w:lang w:val="sr-Cyrl-CS"/>
        </w:rPr>
        <w:t xml:space="preserve"> </w:t>
      </w:r>
      <w:r>
        <w:rPr>
          <w:lang w:val="sr-Cyrl-CS"/>
        </w:rPr>
        <w:t>navedene</w:t>
      </w:r>
      <w:r w:rsidR="00271782" w:rsidRPr="00E95BC4">
        <w:rPr>
          <w:lang w:val="sr-Cyrl-CS"/>
        </w:rPr>
        <w:t xml:space="preserve"> </w:t>
      </w:r>
      <w:r>
        <w:rPr>
          <w:lang w:val="sr-Cyrl-CS"/>
        </w:rPr>
        <w:t>zamerke</w:t>
      </w:r>
      <w:r w:rsidR="00271782" w:rsidRPr="00E95BC4">
        <w:rPr>
          <w:lang w:val="sr-Cyrl-CS"/>
        </w:rPr>
        <w:t xml:space="preserve"> </w:t>
      </w:r>
      <w:r>
        <w:rPr>
          <w:lang w:val="sr-Cyrl-CS"/>
        </w:rPr>
        <w:t>rešene</w:t>
      </w:r>
      <w:r w:rsidR="00271782" w:rsidRPr="00E95BC4">
        <w:rPr>
          <w:lang w:val="sr-Cyrl-CS"/>
        </w:rPr>
        <w:t xml:space="preserve"> </w:t>
      </w:r>
      <w:r>
        <w:rPr>
          <w:lang w:val="sr-Cyrl-CS"/>
        </w:rPr>
        <w:t>su</w:t>
      </w:r>
      <w:r w:rsidR="00AC11E9" w:rsidRPr="00E95BC4">
        <w:rPr>
          <w:lang w:val="sr-Cyrl-CS"/>
        </w:rPr>
        <w:t xml:space="preserve"> </w:t>
      </w:r>
      <w:r>
        <w:rPr>
          <w:lang w:val="sr-Cyrl-CS"/>
        </w:rPr>
        <w:t>izmenama</w:t>
      </w:r>
      <w:r w:rsidR="00271782" w:rsidRPr="00E95BC4">
        <w:rPr>
          <w:lang w:val="sr-Cyrl-CS"/>
        </w:rPr>
        <w:t xml:space="preserve"> </w:t>
      </w:r>
      <w:r>
        <w:rPr>
          <w:lang w:val="sr-Cyrl-CS"/>
        </w:rPr>
        <w:t>i</w:t>
      </w:r>
      <w:r w:rsidR="00271782" w:rsidRPr="00E95BC4">
        <w:rPr>
          <w:lang w:val="sr-Cyrl-CS"/>
        </w:rPr>
        <w:t xml:space="preserve"> </w:t>
      </w:r>
      <w:r>
        <w:rPr>
          <w:lang w:val="sr-Cyrl-CS"/>
        </w:rPr>
        <w:t>dopunama</w:t>
      </w:r>
      <w:r w:rsidR="00271782" w:rsidRPr="00E95BC4">
        <w:rPr>
          <w:lang w:val="sr-Cyrl-CS"/>
        </w:rPr>
        <w:t xml:space="preserve"> </w:t>
      </w:r>
      <w:r>
        <w:rPr>
          <w:lang w:val="sr-Cyrl-CS"/>
        </w:rPr>
        <w:t>relevantnih</w:t>
      </w:r>
      <w:r w:rsidR="00424D8F" w:rsidRPr="00E95BC4">
        <w:rPr>
          <w:lang w:val="sr-Cyrl-CS"/>
        </w:rPr>
        <w:t xml:space="preserve"> </w:t>
      </w:r>
      <w:r>
        <w:rPr>
          <w:lang w:val="sr-Cyrl-CS"/>
        </w:rPr>
        <w:t>zakona</w:t>
      </w:r>
      <w:r w:rsidR="00AC11E9" w:rsidRPr="00E95BC4">
        <w:rPr>
          <w:lang w:val="sr-Cyrl-CS"/>
        </w:rPr>
        <w:t xml:space="preserve">, </w:t>
      </w:r>
      <w:r>
        <w:rPr>
          <w:lang w:val="sr-Cyrl-CS"/>
        </w:rPr>
        <w:t>među</w:t>
      </w:r>
      <w:r w:rsidR="00864EB1" w:rsidRPr="00E95BC4">
        <w:rPr>
          <w:lang w:val="sr-Cyrl-CS"/>
        </w:rPr>
        <w:t xml:space="preserve"> </w:t>
      </w:r>
      <w:r>
        <w:rPr>
          <w:lang w:val="sr-Cyrl-CS"/>
        </w:rPr>
        <w:t>kojima</w:t>
      </w:r>
      <w:r w:rsidR="00864EB1" w:rsidRPr="00E95BC4">
        <w:rPr>
          <w:lang w:val="sr-Cyrl-CS"/>
        </w:rPr>
        <w:t xml:space="preserve"> </w:t>
      </w:r>
      <w:r>
        <w:rPr>
          <w:lang w:val="sr-Cyrl-CS"/>
        </w:rPr>
        <w:t>je</w:t>
      </w:r>
      <w:r w:rsidR="00864EB1" w:rsidRPr="00E95BC4">
        <w:rPr>
          <w:lang w:val="sr-Cyrl-CS"/>
        </w:rPr>
        <w:t xml:space="preserve"> </w:t>
      </w:r>
      <w:r>
        <w:rPr>
          <w:lang w:val="sr-Cyrl-CS"/>
        </w:rPr>
        <w:t>i</w:t>
      </w:r>
      <w:r w:rsidR="00864EB1" w:rsidRPr="00E95BC4">
        <w:rPr>
          <w:lang w:val="sr-Cyrl-CS"/>
        </w:rPr>
        <w:t xml:space="preserve"> </w:t>
      </w:r>
      <w:r>
        <w:rPr>
          <w:lang w:val="sr-Cyrl-CS"/>
        </w:rPr>
        <w:t>Zakon</w:t>
      </w:r>
      <w:r w:rsidR="00AC11E9" w:rsidRPr="00E95BC4">
        <w:rPr>
          <w:lang w:val="sr-Cyrl-CS"/>
        </w:rPr>
        <w:t xml:space="preserve"> </w:t>
      </w:r>
      <w:r>
        <w:rPr>
          <w:lang w:val="sr-Cyrl-CS"/>
        </w:rPr>
        <w:t>o</w:t>
      </w:r>
      <w:r w:rsidR="00AC11E9" w:rsidRPr="00E95BC4">
        <w:rPr>
          <w:lang w:val="sr-Cyrl-CS"/>
        </w:rPr>
        <w:t xml:space="preserve"> </w:t>
      </w:r>
      <w:r>
        <w:rPr>
          <w:lang w:val="sr-Cyrl-CS"/>
        </w:rPr>
        <w:t>sprečavanju</w:t>
      </w:r>
      <w:r w:rsidR="00AC11E9" w:rsidRPr="00E95BC4">
        <w:rPr>
          <w:lang w:val="sr-Cyrl-CS"/>
        </w:rPr>
        <w:t xml:space="preserve"> </w:t>
      </w:r>
      <w:r>
        <w:rPr>
          <w:lang w:val="sr-Cyrl-CS"/>
        </w:rPr>
        <w:t>pranja</w:t>
      </w:r>
      <w:r w:rsidR="00AC11E9" w:rsidRPr="00E95BC4">
        <w:rPr>
          <w:lang w:val="sr-Cyrl-CS"/>
        </w:rPr>
        <w:t xml:space="preserve"> </w:t>
      </w:r>
      <w:r>
        <w:rPr>
          <w:lang w:val="sr-Cyrl-CS"/>
        </w:rPr>
        <w:t>novca</w:t>
      </w:r>
      <w:r w:rsidR="00AC11E9" w:rsidRPr="00E95BC4">
        <w:rPr>
          <w:lang w:val="sr-Cyrl-CS"/>
        </w:rPr>
        <w:t xml:space="preserve"> </w:t>
      </w:r>
      <w:r>
        <w:rPr>
          <w:lang w:val="sr-Cyrl-CS"/>
        </w:rPr>
        <w:t>i</w:t>
      </w:r>
      <w:r w:rsidR="00AC11E9" w:rsidRPr="00E95BC4">
        <w:rPr>
          <w:lang w:val="sr-Cyrl-CS"/>
        </w:rPr>
        <w:t xml:space="preserve"> </w:t>
      </w:r>
      <w:r>
        <w:rPr>
          <w:lang w:val="sr-Cyrl-CS"/>
        </w:rPr>
        <w:t>finansiranja</w:t>
      </w:r>
      <w:r w:rsidR="00AC11E9" w:rsidRPr="00E95BC4">
        <w:rPr>
          <w:lang w:val="sr-Cyrl-CS"/>
        </w:rPr>
        <w:t xml:space="preserve"> </w:t>
      </w:r>
      <w:r>
        <w:rPr>
          <w:lang w:val="sr-Cyrl-CS"/>
        </w:rPr>
        <w:t>terorizma</w:t>
      </w:r>
      <w:r w:rsidR="00AC11E9" w:rsidRPr="00E95BC4">
        <w:rPr>
          <w:lang w:val="sr-Cyrl-CS"/>
        </w:rPr>
        <w:t>,</w:t>
      </w:r>
      <w:r w:rsidR="00271782" w:rsidRPr="00E95BC4">
        <w:rPr>
          <w:lang w:val="sr-Cyrl-CS"/>
        </w:rPr>
        <w:t xml:space="preserve"> </w:t>
      </w:r>
      <w:r>
        <w:rPr>
          <w:lang w:val="sr-Cyrl-CS"/>
        </w:rPr>
        <w:t>zaključno</w:t>
      </w:r>
      <w:r w:rsidR="00AC11E9" w:rsidRPr="00E95BC4">
        <w:rPr>
          <w:lang w:val="sr-Cyrl-CS"/>
        </w:rPr>
        <w:t xml:space="preserve"> </w:t>
      </w:r>
      <w:r>
        <w:rPr>
          <w:lang w:val="sr-Cyrl-CS"/>
        </w:rPr>
        <w:t>sa</w:t>
      </w:r>
      <w:r w:rsidR="00AC11E9" w:rsidRPr="00E95BC4">
        <w:rPr>
          <w:lang w:val="sr-Cyrl-CS"/>
        </w:rPr>
        <w:t xml:space="preserve"> </w:t>
      </w:r>
      <w:r>
        <w:rPr>
          <w:lang w:val="sr-Cyrl-CS"/>
        </w:rPr>
        <w:t>decembrom</w:t>
      </w:r>
      <w:r w:rsidR="00AC11E9" w:rsidRPr="00E95BC4">
        <w:rPr>
          <w:lang w:val="sr-Cyrl-CS"/>
        </w:rPr>
        <w:t xml:space="preserve"> </w:t>
      </w:r>
      <w:r w:rsidR="00271782" w:rsidRPr="00E95BC4">
        <w:rPr>
          <w:lang w:val="sr-Cyrl-CS"/>
        </w:rPr>
        <w:t xml:space="preserve">2019. </w:t>
      </w:r>
      <w:r>
        <w:rPr>
          <w:lang w:val="sr-Cyrl-CS"/>
        </w:rPr>
        <w:lastRenderedPageBreak/>
        <w:t>godine</w:t>
      </w:r>
      <w:r w:rsidR="00AC11E9" w:rsidRPr="00E95BC4">
        <w:rPr>
          <w:lang w:val="sr-Cyrl-CS"/>
        </w:rPr>
        <w:t>.</w:t>
      </w:r>
      <w:r w:rsidR="00271782" w:rsidRPr="00E95BC4">
        <w:rPr>
          <w:rStyle w:val="FootnoteReference"/>
          <w:lang w:val="sr-Cyrl-CS"/>
        </w:rPr>
        <w:footnoteReference w:id="17"/>
      </w:r>
      <w:r w:rsidR="00AC11E9" w:rsidRPr="00E95BC4">
        <w:rPr>
          <w:lang w:val="sr-Cyrl-CS"/>
        </w:rPr>
        <w:t xml:space="preserve"> </w:t>
      </w:r>
      <w:r>
        <w:rPr>
          <w:lang w:val="sr-Cyrl-CS"/>
        </w:rPr>
        <w:t>Očekuje</w:t>
      </w:r>
      <w:r w:rsidR="00AC11E9" w:rsidRPr="00E95BC4">
        <w:rPr>
          <w:lang w:val="sr-Cyrl-CS"/>
        </w:rPr>
        <w:t xml:space="preserve"> </w:t>
      </w:r>
      <w:r>
        <w:rPr>
          <w:lang w:val="sr-Cyrl-CS"/>
        </w:rPr>
        <w:t>se</w:t>
      </w:r>
      <w:r w:rsidR="00AC11E9" w:rsidRPr="00E95BC4">
        <w:rPr>
          <w:lang w:val="sr-Cyrl-CS"/>
        </w:rPr>
        <w:t xml:space="preserve"> </w:t>
      </w:r>
      <w:r>
        <w:rPr>
          <w:lang w:val="sr-Cyrl-CS"/>
        </w:rPr>
        <w:t>da</w:t>
      </w:r>
      <w:r w:rsidR="00AC11E9" w:rsidRPr="00E95BC4">
        <w:rPr>
          <w:lang w:val="sr-Cyrl-CS"/>
        </w:rPr>
        <w:t xml:space="preserve"> </w:t>
      </w:r>
      <w:r>
        <w:rPr>
          <w:lang w:val="sr-Cyrl-CS"/>
        </w:rPr>
        <w:t>će</w:t>
      </w:r>
      <w:r w:rsidR="00AC11E9" w:rsidRPr="00E95BC4">
        <w:rPr>
          <w:lang w:val="sr-Cyrl-CS"/>
        </w:rPr>
        <w:t xml:space="preserve"> </w:t>
      </w:r>
      <w:r>
        <w:rPr>
          <w:lang w:val="sr-Cyrl-CS"/>
        </w:rPr>
        <w:t>Manival</w:t>
      </w:r>
      <w:r w:rsidR="00AC11E9" w:rsidRPr="00E95BC4">
        <w:rPr>
          <w:lang w:val="sr-Cyrl-CS"/>
        </w:rPr>
        <w:t xml:space="preserve"> </w:t>
      </w:r>
      <w:r>
        <w:rPr>
          <w:lang w:val="sr-Cyrl-CS"/>
        </w:rPr>
        <w:t>i</w:t>
      </w:r>
      <w:r w:rsidR="00AC11E9" w:rsidRPr="00E95BC4">
        <w:rPr>
          <w:lang w:val="sr-Cyrl-CS"/>
        </w:rPr>
        <w:t xml:space="preserve"> </w:t>
      </w:r>
      <w:r>
        <w:rPr>
          <w:lang w:val="sr-Cyrl-CS"/>
        </w:rPr>
        <w:t>formalno</w:t>
      </w:r>
      <w:r w:rsidR="00AC11E9" w:rsidRPr="00E95BC4">
        <w:rPr>
          <w:lang w:val="sr-Cyrl-CS"/>
        </w:rPr>
        <w:t xml:space="preserve"> </w:t>
      </w:r>
      <w:r>
        <w:rPr>
          <w:lang w:val="sr-Cyrl-CS"/>
        </w:rPr>
        <w:t>verifikovati</w:t>
      </w:r>
      <w:r w:rsidR="00AC11E9" w:rsidRPr="00E95BC4">
        <w:rPr>
          <w:lang w:val="sr-Cyrl-CS"/>
        </w:rPr>
        <w:t xml:space="preserve"> </w:t>
      </w:r>
      <w:r>
        <w:rPr>
          <w:lang w:val="sr-Cyrl-CS"/>
        </w:rPr>
        <w:t>napredak</w:t>
      </w:r>
      <w:r w:rsidR="00AC11E9" w:rsidRPr="00E95BC4">
        <w:rPr>
          <w:lang w:val="sr-Cyrl-CS"/>
        </w:rPr>
        <w:t xml:space="preserve"> </w:t>
      </w:r>
      <w:r>
        <w:rPr>
          <w:lang w:val="sr-Cyrl-CS"/>
        </w:rPr>
        <w:t>u</w:t>
      </w:r>
      <w:r w:rsidR="00AC11E9" w:rsidRPr="00E95BC4">
        <w:rPr>
          <w:lang w:val="sr-Cyrl-CS"/>
        </w:rPr>
        <w:t xml:space="preserve"> </w:t>
      </w:r>
      <w:r>
        <w:rPr>
          <w:lang w:val="sr-Cyrl-CS"/>
        </w:rPr>
        <w:t>tom</w:t>
      </w:r>
      <w:r w:rsidR="00AC11E9" w:rsidRPr="00E95BC4">
        <w:rPr>
          <w:lang w:val="sr-Cyrl-CS"/>
        </w:rPr>
        <w:t xml:space="preserve"> </w:t>
      </w:r>
      <w:r>
        <w:rPr>
          <w:lang w:val="sr-Cyrl-CS"/>
        </w:rPr>
        <w:t>smislu</w:t>
      </w:r>
      <w:r w:rsidR="00AC11E9" w:rsidRPr="00E95BC4">
        <w:rPr>
          <w:lang w:val="sr-Cyrl-CS"/>
        </w:rPr>
        <w:t xml:space="preserve"> </w:t>
      </w:r>
      <w:r>
        <w:rPr>
          <w:lang w:val="sr-Cyrl-CS"/>
        </w:rPr>
        <w:t>na</w:t>
      </w:r>
      <w:r w:rsidR="00864EB1" w:rsidRPr="00E95BC4">
        <w:rPr>
          <w:lang w:val="sr-Cyrl-CS"/>
        </w:rPr>
        <w:t xml:space="preserve"> </w:t>
      </w:r>
      <w:r>
        <w:rPr>
          <w:lang w:val="sr-Cyrl-CS"/>
        </w:rPr>
        <w:t>prvom</w:t>
      </w:r>
      <w:r w:rsidR="00AC11E9" w:rsidRPr="00E95BC4">
        <w:rPr>
          <w:lang w:val="sr-Cyrl-CS"/>
        </w:rPr>
        <w:t xml:space="preserve"> </w:t>
      </w:r>
      <w:r>
        <w:rPr>
          <w:lang w:val="sr-Cyrl-CS"/>
        </w:rPr>
        <w:t>plenarnom</w:t>
      </w:r>
      <w:r w:rsidR="00AC11E9" w:rsidRPr="00E95BC4">
        <w:rPr>
          <w:lang w:val="sr-Cyrl-CS"/>
        </w:rPr>
        <w:t xml:space="preserve"> </w:t>
      </w:r>
      <w:r>
        <w:rPr>
          <w:lang w:val="sr-Cyrl-CS"/>
        </w:rPr>
        <w:t>zasedanju</w:t>
      </w:r>
      <w:r w:rsidR="00AC11E9" w:rsidRPr="00E95BC4">
        <w:rPr>
          <w:lang w:val="sr-Cyrl-CS"/>
        </w:rPr>
        <w:t xml:space="preserve"> </w:t>
      </w:r>
      <w:r>
        <w:rPr>
          <w:lang w:val="sr-Cyrl-CS"/>
        </w:rPr>
        <w:t>tog</w:t>
      </w:r>
      <w:r w:rsidR="00864EB1" w:rsidRPr="00E95BC4">
        <w:rPr>
          <w:lang w:val="sr-Cyrl-CS"/>
        </w:rPr>
        <w:t xml:space="preserve"> </w:t>
      </w:r>
      <w:r>
        <w:rPr>
          <w:lang w:val="sr-Cyrl-CS"/>
        </w:rPr>
        <w:t>komiteta</w:t>
      </w:r>
      <w:r w:rsidR="00864EB1" w:rsidRPr="00E95BC4">
        <w:rPr>
          <w:lang w:val="sr-Cyrl-CS"/>
        </w:rPr>
        <w:t xml:space="preserve"> </w:t>
      </w:r>
      <w:r>
        <w:rPr>
          <w:lang w:val="sr-Cyrl-CS"/>
        </w:rPr>
        <w:t>u</w:t>
      </w:r>
      <w:r w:rsidR="00864EB1" w:rsidRPr="00E95BC4">
        <w:rPr>
          <w:lang w:val="sr-Cyrl-CS"/>
        </w:rPr>
        <w:t xml:space="preserve"> 2021</w:t>
      </w:r>
      <w:r w:rsidR="00AC11E9" w:rsidRPr="00E95BC4">
        <w:rPr>
          <w:lang w:val="sr-Cyrl-CS"/>
        </w:rPr>
        <w:t>.</w:t>
      </w:r>
      <w:r w:rsidR="00864EB1" w:rsidRPr="00E95BC4">
        <w:rPr>
          <w:lang w:val="sr-Cyrl-CS"/>
        </w:rPr>
        <w:t xml:space="preserve"> </w:t>
      </w:r>
      <w:r>
        <w:rPr>
          <w:lang w:val="sr-Cyrl-CS"/>
        </w:rPr>
        <w:t>godini</w:t>
      </w:r>
      <w:r w:rsidR="00864EB1" w:rsidRPr="00E95BC4">
        <w:rPr>
          <w:lang w:val="sr-Cyrl-CS"/>
        </w:rPr>
        <w:t>,</w:t>
      </w:r>
      <w:r w:rsidR="008A65BD" w:rsidRPr="00E95BC4">
        <w:rPr>
          <w:lang w:val="sr-Cyrl-CS"/>
        </w:rPr>
        <w:t xml:space="preserve"> </w:t>
      </w:r>
      <w:r>
        <w:rPr>
          <w:lang w:val="sr-Cyrl-CS"/>
        </w:rPr>
        <w:t>u</w:t>
      </w:r>
      <w:r w:rsidR="008A65BD" w:rsidRPr="00E95BC4">
        <w:rPr>
          <w:lang w:val="sr-Cyrl-CS"/>
        </w:rPr>
        <w:t xml:space="preserve"> </w:t>
      </w:r>
      <w:r>
        <w:rPr>
          <w:lang w:val="sr-Cyrl-CS"/>
        </w:rPr>
        <w:t>skladu</w:t>
      </w:r>
      <w:r w:rsidR="008A65BD" w:rsidRPr="00E95BC4">
        <w:rPr>
          <w:lang w:val="sr-Cyrl-CS"/>
        </w:rPr>
        <w:t xml:space="preserve"> </w:t>
      </w:r>
      <w:r>
        <w:rPr>
          <w:lang w:val="sr-Cyrl-CS"/>
        </w:rPr>
        <w:t>sa</w:t>
      </w:r>
      <w:r w:rsidR="008A65BD" w:rsidRPr="00E95BC4">
        <w:rPr>
          <w:lang w:val="sr-Cyrl-CS"/>
        </w:rPr>
        <w:t xml:space="preserve"> </w:t>
      </w:r>
      <w:r>
        <w:rPr>
          <w:lang w:val="sr-Cyrl-CS"/>
        </w:rPr>
        <w:t>odlukom</w:t>
      </w:r>
      <w:r w:rsidR="008A65BD" w:rsidRPr="00E95BC4">
        <w:rPr>
          <w:lang w:val="sr-Cyrl-CS"/>
        </w:rPr>
        <w:t xml:space="preserve"> </w:t>
      </w:r>
      <w:r>
        <w:rPr>
          <w:lang w:val="sr-Cyrl-CS"/>
        </w:rPr>
        <w:t>Manivala</w:t>
      </w:r>
      <w:r w:rsidR="008A65BD" w:rsidRPr="00E95BC4">
        <w:rPr>
          <w:lang w:val="sr-Cyrl-CS"/>
        </w:rPr>
        <w:t xml:space="preserve"> </w:t>
      </w:r>
      <w:r>
        <w:rPr>
          <w:lang w:val="sr-Cyrl-CS"/>
        </w:rPr>
        <w:t>iz</w:t>
      </w:r>
      <w:r w:rsidR="008A65BD" w:rsidRPr="00E95BC4">
        <w:rPr>
          <w:lang w:val="sr-Cyrl-CS"/>
        </w:rPr>
        <w:t xml:space="preserve"> </w:t>
      </w:r>
      <w:r>
        <w:rPr>
          <w:lang w:val="sr-Cyrl-CS"/>
        </w:rPr>
        <w:t>decembra</w:t>
      </w:r>
      <w:r w:rsidR="008A65BD" w:rsidRPr="00E95BC4">
        <w:rPr>
          <w:lang w:val="sr-Cyrl-CS"/>
        </w:rPr>
        <w:t xml:space="preserve"> 2019</w:t>
      </w:r>
      <w:r w:rsidR="001E55D5" w:rsidRPr="00E95BC4">
        <w:rPr>
          <w:lang w:val="sr-Cyrl-CS"/>
        </w:rPr>
        <w:t xml:space="preserve">. </w:t>
      </w:r>
      <w:r>
        <w:rPr>
          <w:lang w:val="sr-Cyrl-CS"/>
        </w:rPr>
        <w:t>godine</w:t>
      </w:r>
      <w:r w:rsidR="008A65BD" w:rsidRPr="00E95BC4">
        <w:rPr>
          <w:lang w:val="sr-Cyrl-CS"/>
        </w:rPr>
        <w:t>,</w:t>
      </w:r>
      <w:r w:rsidR="00864EB1" w:rsidRPr="00E95BC4">
        <w:rPr>
          <w:lang w:val="sr-Cyrl-CS"/>
        </w:rPr>
        <w:t xml:space="preserve"> </w:t>
      </w:r>
      <w:r>
        <w:rPr>
          <w:lang w:val="sr-Cyrl-CS"/>
        </w:rPr>
        <w:t>a</w:t>
      </w:r>
      <w:r w:rsidR="00864EB1" w:rsidRPr="00E95BC4">
        <w:rPr>
          <w:lang w:val="sr-Cyrl-CS"/>
        </w:rPr>
        <w:t xml:space="preserve"> </w:t>
      </w:r>
      <w:r>
        <w:rPr>
          <w:lang w:val="sr-Cyrl-CS"/>
        </w:rPr>
        <w:t>ne</w:t>
      </w:r>
      <w:r w:rsidR="00864EB1" w:rsidRPr="00E95BC4">
        <w:rPr>
          <w:lang w:val="sr-Cyrl-CS"/>
        </w:rPr>
        <w:t xml:space="preserve"> </w:t>
      </w:r>
      <w:r>
        <w:rPr>
          <w:lang w:val="sr-Cyrl-CS"/>
        </w:rPr>
        <w:t>na</w:t>
      </w:r>
      <w:r w:rsidR="00864EB1" w:rsidRPr="00E95BC4">
        <w:rPr>
          <w:lang w:val="sr-Cyrl-CS"/>
        </w:rPr>
        <w:t xml:space="preserve"> </w:t>
      </w:r>
      <w:r>
        <w:rPr>
          <w:lang w:val="sr-Cyrl-CS"/>
        </w:rPr>
        <w:t>plenarnom</w:t>
      </w:r>
      <w:r w:rsidR="00864EB1" w:rsidRPr="00E95BC4">
        <w:rPr>
          <w:lang w:val="sr-Cyrl-CS"/>
        </w:rPr>
        <w:t xml:space="preserve"> </w:t>
      </w:r>
      <w:r>
        <w:rPr>
          <w:lang w:val="sr-Cyrl-CS"/>
        </w:rPr>
        <w:t>zasedanju</w:t>
      </w:r>
      <w:r w:rsidR="00864EB1" w:rsidRPr="00E95BC4">
        <w:rPr>
          <w:lang w:val="sr-Cyrl-CS"/>
        </w:rPr>
        <w:t xml:space="preserve"> </w:t>
      </w:r>
      <w:r>
        <w:rPr>
          <w:lang w:val="sr-Cyrl-CS"/>
        </w:rPr>
        <w:t>u</w:t>
      </w:r>
      <w:r w:rsidR="00864EB1" w:rsidRPr="00E95BC4">
        <w:rPr>
          <w:lang w:val="sr-Cyrl-CS"/>
        </w:rPr>
        <w:t xml:space="preserve"> </w:t>
      </w:r>
      <w:r>
        <w:rPr>
          <w:lang w:val="sr-Cyrl-CS"/>
        </w:rPr>
        <w:t>decembru</w:t>
      </w:r>
      <w:r w:rsidR="00864EB1" w:rsidRPr="00E95BC4">
        <w:rPr>
          <w:lang w:val="sr-Cyrl-CS"/>
        </w:rPr>
        <w:t xml:space="preserve"> 2020</w:t>
      </w:r>
      <w:r w:rsidR="001E55D5" w:rsidRPr="00E95BC4">
        <w:rPr>
          <w:lang w:val="sr-Cyrl-CS"/>
        </w:rPr>
        <w:t xml:space="preserve">. </w:t>
      </w:r>
      <w:r>
        <w:rPr>
          <w:lang w:val="sr-Cyrl-CS"/>
        </w:rPr>
        <w:t>godine</w:t>
      </w:r>
      <w:r w:rsidR="008A65BD" w:rsidRPr="00E95BC4">
        <w:rPr>
          <w:lang w:val="sr-Cyrl-CS"/>
        </w:rPr>
        <w:t>.</w:t>
      </w:r>
    </w:p>
    <w:p w:rsidR="002F2585" w:rsidRPr="00E95BC4" w:rsidRDefault="002F2585" w:rsidP="00285FD7">
      <w:pPr>
        <w:jc w:val="both"/>
        <w:rPr>
          <w:lang w:val="sr-Cyrl-CS"/>
        </w:rPr>
      </w:pPr>
      <w:r w:rsidRPr="00E95BC4">
        <w:rPr>
          <w:lang w:val="sr-Cyrl-CS"/>
        </w:rPr>
        <w:tab/>
      </w:r>
      <w:r w:rsidR="005818C0">
        <w:rPr>
          <w:lang w:val="sr-Cyrl-CS"/>
        </w:rPr>
        <w:t>Neophodno</w:t>
      </w:r>
      <w:r w:rsidRPr="00E95BC4">
        <w:rPr>
          <w:lang w:val="sr-Cyrl-CS"/>
        </w:rPr>
        <w:t xml:space="preserve"> </w:t>
      </w:r>
      <w:r w:rsidR="005818C0">
        <w:rPr>
          <w:lang w:val="sr-Cyrl-CS"/>
        </w:rPr>
        <w:t>je</w:t>
      </w:r>
      <w:r w:rsidRPr="00E95BC4">
        <w:rPr>
          <w:lang w:val="sr-Cyrl-CS"/>
        </w:rPr>
        <w:t xml:space="preserve"> </w:t>
      </w:r>
      <w:r w:rsidR="005818C0">
        <w:rPr>
          <w:lang w:val="sr-Cyrl-CS"/>
        </w:rPr>
        <w:t>aktivno</w:t>
      </w:r>
      <w:r w:rsidRPr="00E95BC4">
        <w:rPr>
          <w:lang w:val="sr-Cyrl-CS"/>
        </w:rPr>
        <w:t xml:space="preserve"> </w:t>
      </w:r>
      <w:r w:rsidR="005818C0">
        <w:rPr>
          <w:lang w:val="sr-Cyrl-CS"/>
        </w:rPr>
        <w:t>pratiti</w:t>
      </w:r>
      <w:r w:rsidRPr="00E95BC4">
        <w:rPr>
          <w:lang w:val="sr-Cyrl-CS"/>
        </w:rPr>
        <w:t xml:space="preserve"> </w:t>
      </w:r>
      <w:r w:rsidR="005818C0">
        <w:rPr>
          <w:lang w:val="sr-Cyrl-CS"/>
        </w:rPr>
        <w:t>rad</w:t>
      </w:r>
      <w:r w:rsidRPr="00E95BC4">
        <w:rPr>
          <w:lang w:val="sr-Cyrl-CS"/>
        </w:rPr>
        <w:t xml:space="preserve"> </w:t>
      </w:r>
      <w:r w:rsidR="005818C0">
        <w:rPr>
          <w:lang w:val="sr-Cyrl-CS"/>
        </w:rPr>
        <w:t>na</w:t>
      </w:r>
      <w:r w:rsidRPr="00E95BC4">
        <w:rPr>
          <w:lang w:val="sr-Cyrl-CS"/>
        </w:rPr>
        <w:t xml:space="preserve"> </w:t>
      </w:r>
      <w:r w:rsidR="005818C0">
        <w:rPr>
          <w:lang w:val="sr-Cyrl-CS"/>
        </w:rPr>
        <w:t>izmeni</w:t>
      </w:r>
      <w:r w:rsidRPr="00E95BC4">
        <w:rPr>
          <w:lang w:val="sr-Cyrl-CS"/>
        </w:rPr>
        <w:t xml:space="preserve"> </w:t>
      </w:r>
      <w:r w:rsidR="005818C0">
        <w:rPr>
          <w:lang w:val="sr-Cyrl-CS"/>
        </w:rPr>
        <w:t>međunarodnih</w:t>
      </w:r>
      <w:r w:rsidRPr="00E95BC4">
        <w:rPr>
          <w:lang w:val="sr-Cyrl-CS"/>
        </w:rPr>
        <w:t xml:space="preserve"> </w:t>
      </w:r>
      <w:r w:rsidR="005818C0">
        <w:rPr>
          <w:lang w:val="sr-Cyrl-CS"/>
        </w:rPr>
        <w:t>standarda</w:t>
      </w:r>
      <w:r w:rsidRPr="00E95BC4">
        <w:rPr>
          <w:lang w:val="sr-Cyrl-CS"/>
        </w:rPr>
        <w:t xml:space="preserve"> </w:t>
      </w:r>
      <w:r w:rsidR="005818C0">
        <w:rPr>
          <w:lang w:val="sr-Cyrl-CS"/>
        </w:rPr>
        <w:t>budući</w:t>
      </w:r>
      <w:r w:rsidRPr="00E95BC4">
        <w:rPr>
          <w:lang w:val="sr-Cyrl-CS"/>
        </w:rPr>
        <w:t xml:space="preserve"> </w:t>
      </w:r>
      <w:r w:rsidR="005818C0">
        <w:rPr>
          <w:lang w:val="sr-Cyrl-CS"/>
        </w:rPr>
        <w:t>da</w:t>
      </w:r>
      <w:r w:rsidRPr="00E95BC4">
        <w:rPr>
          <w:lang w:val="sr-Cyrl-CS"/>
        </w:rPr>
        <w:t xml:space="preserve"> </w:t>
      </w:r>
      <w:r w:rsidR="005818C0">
        <w:rPr>
          <w:lang w:val="sr-Cyrl-CS"/>
        </w:rPr>
        <w:t>se</w:t>
      </w:r>
      <w:r w:rsidRPr="00E95BC4">
        <w:rPr>
          <w:lang w:val="sr-Cyrl-CS"/>
        </w:rPr>
        <w:t xml:space="preserve"> </w:t>
      </w:r>
      <w:r w:rsidR="005818C0">
        <w:rPr>
          <w:lang w:val="sr-Cyrl-CS"/>
        </w:rPr>
        <w:t>prilikom</w:t>
      </w:r>
      <w:r w:rsidRPr="00E95BC4">
        <w:rPr>
          <w:lang w:val="sr-Cyrl-CS"/>
        </w:rPr>
        <w:t xml:space="preserve"> </w:t>
      </w:r>
      <w:r w:rsidR="005818C0">
        <w:rPr>
          <w:lang w:val="sr-Cyrl-CS"/>
        </w:rPr>
        <w:t>izveštavanja</w:t>
      </w:r>
      <w:r w:rsidRPr="00E95BC4">
        <w:rPr>
          <w:lang w:val="sr-Cyrl-CS"/>
        </w:rPr>
        <w:t xml:space="preserve"> </w:t>
      </w:r>
      <w:r w:rsidR="005818C0">
        <w:rPr>
          <w:lang w:val="sr-Cyrl-CS"/>
        </w:rPr>
        <w:t>o</w:t>
      </w:r>
      <w:r w:rsidRPr="00E95BC4">
        <w:rPr>
          <w:lang w:val="sr-Cyrl-CS"/>
        </w:rPr>
        <w:t xml:space="preserve"> </w:t>
      </w:r>
      <w:r w:rsidR="005818C0">
        <w:rPr>
          <w:lang w:val="sr-Cyrl-CS"/>
        </w:rPr>
        <w:t>ispunjavanju</w:t>
      </w:r>
      <w:r w:rsidRPr="00E95BC4">
        <w:rPr>
          <w:lang w:val="sr-Cyrl-CS"/>
        </w:rPr>
        <w:t xml:space="preserve"> </w:t>
      </w:r>
      <w:r w:rsidR="005818C0">
        <w:rPr>
          <w:lang w:val="sr-Cyrl-CS"/>
        </w:rPr>
        <w:t>primedaba</w:t>
      </w:r>
      <w:r w:rsidRPr="00E95BC4">
        <w:rPr>
          <w:lang w:val="sr-Cyrl-CS"/>
        </w:rPr>
        <w:t xml:space="preserve"> </w:t>
      </w:r>
      <w:r w:rsidR="005818C0">
        <w:rPr>
          <w:lang w:val="sr-Cyrl-CS"/>
        </w:rPr>
        <w:t>Manivala</w:t>
      </w:r>
      <w:r w:rsidRPr="00E95BC4">
        <w:rPr>
          <w:lang w:val="sr-Cyrl-CS"/>
        </w:rPr>
        <w:t xml:space="preserve"> </w:t>
      </w:r>
      <w:r w:rsidR="005818C0">
        <w:rPr>
          <w:lang w:val="sr-Cyrl-CS"/>
        </w:rPr>
        <w:t>koje</w:t>
      </w:r>
      <w:r w:rsidR="00AC11E9" w:rsidRPr="00E95BC4">
        <w:rPr>
          <w:lang w:val="sr-Cyrl-CS"/>
        </w:rPr>
        <w:t xml:space="preserve"> </w:t>
      </w:r>
      <w:r w:rsidR="005818C0">
        <w:rPr>
          <w:lang w:val="sr-Cyrl-CS"/>
        </w:rPr>
        <w:t>se</w:t>
      </w:r>
      <w:r w:rsidR="00AC11E9" w:rsidRPr="00E95BC4">
        <w:rPr>
          <w:lang w:val="sr-Cyrl-CS"/>
        </w:rPr>
        <w:t xml:space="preserve"> </w:t>
      </w:r>
      <w:r w:rsidR="005818C0">
        <w:rPr>
          <w:lang w:val="sr-Cyrl-CS"/>
        </w:rPr>
        <w:t>odnose</w:t>
      </w:r>
      <w:r w:rsidR="00AC11E9" w:rsidRPr="00E95BC4">
        <w:rPr>
          <w:lang w:val="sr-Cyrl-CS"/>
        </w:rPr>
        <w:t xml:space="preserve"> </w:t>
      </w:r>
      <w:r w:rsidR="005818C0">
        <w:rPr>
          <w:lang w:val="sr-Cyrl-CS"/>
        </w:rPr>
        <w:t>na</w:t>
      </w:r>
      <w:r w:rsidR="00AC11E9" w:rsidRPr="00E95BC4">
        <w:rPr>
          <w:lang w:val="sr-Cyrl-CS"/>
        </w:rPr>
        <w:t xml:space="preserve"> </w:t>
      </w:r>
      <w:r w:rsidR="005818C0">
        <w:rPr>
          <w:lang w:val="sr-Cyrl-CS"/>
        </w:rPr>
        <w:t>konkretne</w:t>
      </w:r>
      <w:r w:rsidR="00AC11E9" w:rsidRPr="00E95BC4">
        <w:rPr>
          <w:lang w:val="sr-Cyrl-CS"/>
        </w:rPr>
        <w:t xml:space="preserve"> </w:t>
      </w:r>
      <w:r w:rsidR="005818C0">
        <w:rPr>
          <w:lang w:val="sr-Cyrl-CS"/>
        </w:rPr>
        <w:t>preporuke</w:t>
      </w:r>
      <w:r w:rsidRPr="00E95BC4">
        <w:rPr>
          <w:lang w:val="sr-Cyrl-CS"/>
        </w:rPr>
        <w:t xml:space="preserve"> </w:t>
      </w:r>
      <w:r w:rsidR="005818C0">
        <w:rPr>
          <w:lang w:val="sr-Cyrl-CS"/>
        </w:rPr>
        <w:t>FATF</w:t>
      </w:r>
      <w:r w:rsidRPr="00E95BC4">
        <w:rPr>
          <w:lang w:val="sr-Cyrl-CS"/>
        </w:rPr>
        <w:t xml:space="preserve">, </w:t>
      </w:r>
      <w:r w:rsidR="005818C0">
        <w:rPr>
          <w:lang w:val="sr-Cyrl-CS"/>
        </w:rPr>
        <w:t>takođe</w:t>
      </w:r>
      <w:r w:rsidRPr="00E95BC4">
        <w:rPr>
          <w:lang w:val="sr-Cyrl-CS"/>
        </w:rPr>
        <w:t xml:space="preserve"> </w:t>
      </w:r>
      <w:r w:rsidR="005818C0">
        <w:rPr>
          <w:lang w:val="sr-Cyrl-CS"/>
        </w:rPr>
        <w:t>proverava</w:t>
      </w:r>
      <w:r w:rsidRPr="00E95BC4">
        <w:rPr>
          <w:lang w:val="sr-Cyrl-CS"/>
        </w:rPr>
        <w:t xml:space="preserve"> </w:t>
      </w:r>
      <w:r w:rsidR="005818C0">
        <w:rPr>
          <w:lang w:val="sr-Cyrl-CS"/>
        </w:rPr>
        <w:t>da</w:t>
      </w:r>
      <w:r w:rsidRPr="00E95BC4">
        <w:rPr>
          <w:lang w:val="sr-Cyrl-CS"/>
        </w:rPr>
        <w:t xml:space="preserve"> </w:t>
      </w:r>
      <w:r w:rsidR="005818C0">
        <w:rPr>
          <w:lang w:val="sr-Cyrl-CS"/>
        </w:rPr>
        <w:t>li</w:t>
      </w:r>
      <w:r w:rsidRPr="00E95BC4">
        <w:rPr>
          <w:lang w:val="sr-Cyrl-CS"/>
        </w:rPr>
        <w:t xml:space="preserve"> </w:t>
      </w:r>
      <w:r w:rsidR="005818C0">
        <w:rPr>
          <w:lang w:val="sr-Cyrl-CS"/>
        </w:rPr>
        <w:t>je</w:t>
      </w:r>
      <w:r w:rsidRPr="00E95BC4">
        <w:rPr>
          <w:lang w:val="sr-Cyrl-CS"/>
        </w:rPr>
        <w:t xml:space="preserve"> </w:t>
      </w:r>
      <w:r w:rsidR="005818C0">
        <w:rPr>
          <w:lang w:val="sr-Cyrl-CS"/>
        </w:rPr>
        <w:t>i</w:t>
      </w:r>
      <w:r w:rsidRPr="00E95BC4">
        <w:rPr>
          <w:lang w:val="sr-Cyrl-CS"/>
        </w:rPr>
        <w:t xml:space="preserve"> </w:t>
      </w:r>
      <w:r w:rsidR="005818C0">
        <w:rPr>
          <w:lang w:val="sr-Cyrl-CS"/>
        </w:rPr>
        <w:t>na</w:t>
      </w:r>
      <w:r w:rsidRPr="00E95BC4">
        <w:rPr>
          <w:lang w:val="sr-Cyrl-CS"/>
        </w:rPr>
        <w:t xml:space="preserve"> </w:t>
      </w:r>
      <w:r w:rsidR="005818C0">
        <w:rPr>
          <w:lang w:val="sr-Cyrl-CS"/>
        </w:rPr>
        <w:t>koji</w:t>
      </w:r>
      <w:r w:rsidRPr="00E95BC4">
        <w:rPr>
          <w:lang w:val="sr-Cyrl-CS"/>
        </w:rPr>
        <w:t xml:space="preserve"> </w:t>
      </w:r>
      <w:r w:rsidR="005818C0">
        <w:rPr>
          <w:lang w:val="sr-Cyrl-CS"/>
        </w:rPr>
        <w:t>način</w:t>
      </w:r>
      <w:r w:rsidRPr="00E95BC4">
        <w:rPr>
          <w:lang w:val="sr-Cyrl-CS"/>
        </w:rPr>
        <w:t xml:space="preserve"> </w:t>
      </w:r>
      <w:r w:rsidR="005818C0">
        <w:rPr>
          <w:lang w:val="sr-Cyrl-CS"/>
        </w:rPr>
        <w:t>država</w:t>
      </w:r>
      <w:r w:rsidRPr="00E95BC4">
        <w:rPr>
          <w:lang w:val="sr-Cyrl-CS"/>
        </w:rPr>
        <w:t xml:space="preserve"> </w:t>
      </w:r>
      <w:r w:rsidR="005818C0">
        <w:rPr>
          <w:lang w:val="sr-Cyrl-CS"/>
        </w:rPr>
        <w:t>usklađena</w:t>
      </w:r>
      <w:r w:rsidRPr="00E95BC4">
        <w:rPr>
          <w:lang w:val="sr-Cyrl-CS"/>
        </w:rPr>
        <w:t xml:space="preserve"> </w:t>
      </w:r>
      <w:r w:rsidR="005818C0">
        <w:rPr>
          <w:lang w:val="sr-Cyrl-CS"/>
        </w:rPr>
        <w:t>i</w:t>
      </w:r>
      <w:r w:rsidRPr="00E95BC4">
        <w:rPr>
          <w:lang w:val="sr-Cyrl-CS"/>
        </w:rPr>
        <w:t xml:space="preserve"> </w:t>
      </w:r>
      <w:r w:rsidR="005818C0">
        <w:rPr>
          <w:lang w:val="sr-Cyrl-CS"/>
        </w:rPr>
        <w:t>sa</w:t>
      </w:r>
      <w:r w:rsidRPr="00E95BC4">
        <w:rPr>
          <w:lang w:val="sr-Cyrl-CS"/>
        </w:rPr>
        <w:t xml:space="preserve"> </w:t>
      </w:r>
      <w:r w:rsidR="005818C0">
        <w:rPr>
          <w:lang w:val="sr-Cyrl-CS"/>
        </w:rPr>
        <w:t>svim</w:t>
      </w:r>
      <w:r w:rsidRPr="00E95BC4">
        <w:rPr>
          <w:lang w:val="sr-Cyrl-CS"/>
        </w:rPr>
        <w:t xml:space="preserve"> </w:t>
      </w:r>
      <w:r w:rsidR="005818C0">
        <w:rPr>
          <w:lang w:val="sr-Cyrl-CS"/>
        </w:rPr>
        <w:t>preporukama</w:t>
      </w:r>
      <w:r w:rsidRPr="00E95BC4">
        <w:rPr>
          <w:lang w:val="sr-Cyrl-CS"/>
        </w:rPr>
        <w:t xml:space="preserve"> </w:t>
      </w:r>
      <w:r w:rsidR="005818C0">
        <w:rPr>
          <w:lang w:val="sr-Cyrl-CS"/>
        </w:rPr>
        <w:t>FATF</w:t>
      </w:r>
      <w:r w:rsidRPr="00E95BC4">
        <w:rPr>
          <w:lang w:val="sr-Cyrl-CS"/>
        </w:rPr>
        <w:t xml:space="preserve"> </w:t>
      </w:r>
      <w:r w:rsidR="005818C0">
        <w:rPr>
          <w:lang w:val="sr-Cyrl-CS"/>
        </w:rPr>
        <w:t>koje</w:t>
      </w:r>
      <w:r w:rsidRPr="00E95BC4">
        <w:rPr>
          <w:lang w:val="sr-Cyrl-CS"/>
        </w:rPr>
        <w:t xml:space="preserve"> </w:t>
      </w:r>
      <w:r w:rsidR="005818C0">
        <w:rPr>
          <w:lang w:val="sr-Cyrl-CS"/>
        </w:rPr>
        <w:t>su</w:t>
      </w:r>
      <w:r w:rsidRPr="00E95BC4">
        <w:rPr>
          <w:lang w:val="sr-Cyrl-CS"/>
        </w:rPr>
        <w:t xml:space="preserve"> </w:t>
      </w:r>
      <w:r w:rsidR="005818C0">
        <w:rPr>
          <w:lang w:val="sr-Cyrl-CS"/>
        </w:rPr>
        <w:t>eventualno</w:t>
      </w:r>
      <w:r w:rsidRPr="00E95BC4">
        <w:rPr>
          <w:lang w:val="sr-Cyrl-CS"/>
        </w:rPr>
        <w:t xml:space="preserve"> </w:t>
      </w:r>
      <w:r w:rsidR="005818C0">
        <w:rPr>
          <w:lang w:val="sr-Cyrl-CS"/>
        </w:rPr>
        <w:t>u</w:t>
      </w:r>
      <w:r w:rsidRPr="00E95BC4">
        <w:rPr>
          <w:lang w:val="sr-Cyrl-CS"/>
        </w:rPr>
        <w:t xml:space="preserve"> </w:t>
      </w:r>
      <w:r w:rsidR="005818C0">
        <w:rPr>
          <w:lang w:val="sr-Cyrl-CS"/>
        </w:rPr>
        <w:t>međuvremenu</w:t>
      </w:r>
      <w:r w:rsidRPr="00E95BC4">
        <w:rPr>
          <w:lang w:val="sr-Cyrl-CS"/>
        </w:rPr>
        <w:t xml:space="preserve"> </w:t>
      </w:r>
      <w:r w:rsidR="005818C0">
        <w:rPr>
          <w:lang w:val="sr-Cyrl-CS"/>
        </w:rPr>
        <w:t>izmenjene</w:t>
      </w:r>
      <w:r w:rsidRPr="00E95BC4">
        <w:rPr>
          <w:lang w:val="sr-Cyrl-CS"/>
        </w:rPr>
        <w:t xml:space="preserve"> </w:t>
      </w:r>
      <w:r w:rsidR="005818C0">
        <w:rPr>
          <w:lang w:val="sr-Cyrl-CS"/>
        </w:rPr>
        <w:t>ili</w:t>
      </w:r>
      <w:r w:rsidRPr="00E95BC4">
        <w:rPr>
          <w:lang w:val="sr-Cyrl-CS"/>
        </w:rPr>
        <w:t xml:space="preserve"> </w:t>
      </w:r>
      <w:r w:rsidR="005818C0">
        <w:rPr>
          <w:lang w:val="sr-Cyrl-CS"/>
        </w:rPr>
        <w:t>dopunjene</w:t>
      </w:r>
      <w:r w:rsidRPr="00E95BC4">
        <w:rPr>
          <w:lang w:val="sr-Cyrl-CS"/>
        </w:rPr>
        <w:t>.</w:t>
      </w:r>
    </w:p>
    <w:p w:rsidR="004E3E05" w:rsidRPr="00E95BC4" w:rsidRDefault="005818C0" w:rsidP="00285FD7">
      <w:pPr>
        <w:ind w:firstLine="720"/>
        <w:jc w:val="both"/>
        <w:rPr>
          <w:lang w:val="sr-Cyrl-CS"/>
        </w:rPr>
      </w:pPr>
      <w:r>
        <w:rPr>
          <w:b/>
          <w:lang w:val="sr-Cyrl-CS"/>
        </w:rPr>
        <w:t>Stanje</w:t>
      </w:r>
      <w:r w:rsidR="00EF185F" w:rsidRPr="00E95BC4">
        <w:rPr>
          <w:b/>
          <w:lang w:val="sr-Cyrl-CS"/>
        </w:rPr>
        <w:t xml:space="preserve"> </w:t>
      </w:r>
      <w:r>
        <w:rPr>
          <w:b/>
          <w:lang w:val="sr-Cyrl-CS"/>
        </w:rPr>
        <w:t>u</w:t>
      </w:r>
      <w:r w:rsidR="00EF185F" w:rsidRPr="00E95BC4">
        <w:rPr>
          <w:b/>
          <w:lang w:val="sr-Cyrl-CS"/>
        </w:rPr>
        <w:t xml:space="preserve"> </w:t>
      </w:r>
      <w:r>
        <w:rPr>
          <w:b/>
          <w:lang w:val="sr-Cyrl-CS"/>
        </w:rPr>
        <w:t>pogledu</w:t>
      </w:r>
      <w:r w:rsidR="00EF185F" w:rsidRPr="00E95BC4">
        <w:rPr>
          <w:b/>
          <w:lang w:val="sr-Cyrl-CS"/>
        </w:rPr>
        <w:t xml:space="preserve"> </w:t>
      </w:r>
      <w:r>
        <w:rPr>
          <w:b/>
          <w:lang w:val="sr-Cyrl-CS"/>
        </w:rPr>
        <w:t>delotvornosti</w:t>
      </w:r>
      <w:r w:rsidR="007400BE">
        <w:rPr>
          <w:lang w:val="sr-Cyrl-CS"/>
        </w:rPr>
        <w:t>.</w:t>
      </w:r>
      <w:r w:rsidR="004A6FEC" w:rsidRPr="00E95BC4">
        <w:rPr>
          <w:lang w:val="sr-Cyrl-CS"/>
        </w:rPr>
        <w:t xml:space="preserve"> </w:t>
      </w:r>
      <w:r>
        <w:rPr>
          <w:lang w:val="sr-Cyrl-CS"/>
        </w:rPr>
        <w:t>Republika</w:t>
      </w:r>
      <w:r w:rsidR="004E3E05" w:rsidRPr="00E95BC4">
        <w:rPr>
          <w:lang w:val="sr-Cyrl-CS"/>
        </w:rPr>
        <w:t xml:space="preserve"> </w:t>
      </w:r>
      <w:r>
        <w:rPr>
          <w:lang w:val="sr-Cyrl-CS"/>
        </w:rPr>
        <w:t>Srbija</w:t>
      </w:r>
      <w:r w:rsidR="004E3E05" w:rsidRPr="00E95BC4">
        <w:rPr>
          <w:lang w:val="sr-Cyrl-CS"/>
        </w:rPr>
        <w:t xml:space="preserve"> </w:t>
      </w:r>
      <w:r>
        <w:rPr>
          <w:lang w:val="sr-Cyrl-CS"/>
        </w:rPr>
        <w:t>je</w:t>
      </w:r>
      <w:r w:rsidR="004E3E05" w:rsidRPr="00E95BC4">
        <w:rPr>
          <w:lang w:val="sr-Cyrl-CS"/>
        </w:rPr>
        <w:t xml:space="preserve"> </w:t>
      </w:r>
      <w:r>
        <w:rPr>
          <w:lang w:val="sr-Cyrl-CS"/>
        </w:rPr>
        <w:t>ostvarila</w:t>
      </w:r>
      <w:r w:rsidR="004E3E05" w:rsidRPr="00E95BC4">
        <w:rPr>
          <w:lang w:val="sr-Cyrl-CS"/>
        </w:rPr>
        <w:t xml:space="preserve"> </w:t>
      </w:r>
      <w:r>
        <w:rPr>
          <w:lang w:val="sr-Cyrl-CS"/>
        </w:rPr>
        <w:t>pozitivan</w:t>
      </w:r>
      <w:r w:rsidR="004E3E05" w:rsidRPr="00E95BC4">
        <w:rPr>
          <w:lang w:val="sr-Cyrl-CS"/>
        </w:rPr>
        <w:t xml:space="preserve"> </w:t>
      </w:r>
      <w:r>
        <w:rPr>
          <w:lang w:val="sr-Cyrl-CS"/>
        </w:rPr>
        <w:t>i</w:t>
      </w:r>
      <w:r w:rsidR="004E3E05" w:rsidRPr="00E95BC4">
        <w:rPr>
          <w:lang w:val="sr-Cyrl-CS"/>
        </w:rPr>
        <w:t xml:space="preserve"> </w:t>
      </w:r>
      <w:r>
        <w:rPr>
          <w:lang w:val="sr-Cyrl-CS"/>
        </w:rPr>
        <w:t>osetan</w:t>
      </w:r>
      <w:r w:rsidR="004E3E05" w:rsidRPr="00E95BC4">
        <w:rPr>
          <w:lang w:val="sr-Cyrl-CS"/>
        </w:rPr>
        <w:t xml:space="preserve"> </w:t>
      </w:r>
      <w:r>
        <w:rPr>
          <w:lang w:val="sr-Cyrl-CS"/>
        </w:rPr>
        <w:t>napredak</w:t>
      </w:r>
      <w:r w:rsidR="004E3E05" w:rsidRPr="00E95BC4">
        <w:rPr>
          <w:lang w:val="sr-Cyrl-CS"/>
        </w:rPr>
        <w:t xml:space="preserve"> </w:t>
      </w:r>
      <w:r>
        <w:rPr>
          <w:lang w:val="sr-Cyrl-CS"/>
        </w:rPr>
        <w:t>u</w:t>
      </w:r>
      <w:r w:rsidR="004E3E05" w:rsidRPr="00E95BC4">
        <w:rPr>
          <w:lang w:val="sr-Cyrl-CS"/>
        </w:rPr>
        <w:t xml:space="preserve"> </w:t>
      </w:r>
      <w:r>
        <w:rPr>
          <w:lang w:val="sr-Cyrl-CS"/>
        </w:rPr>
        <w:t>više</w:t>
      </w:r>
      <w:r w:rsidR="004E3E05" w:rsidRPr="00E95BC4">
        <w:rPr>
          <w:lang w:val="sr-Cyrl-CS"/>
        </w:rPr>
        <w:t xml:space="preserve"> </w:t>
      </w:r>
      <w:r>
        <w:rPr>
          <w:lang w:val="sr-Cyrl-CS"/>
        </w:rPr>
        <w:t>oblasti</w:t>
      </w:r>
      <w:r w:rsidR="004E3E05" w:rsidRPr="00E95BC4">
        <w:rPr>
          <w:lang w:val="sr-Cyrl-CS"/>
        </w:rPr>
        <w:t xml:space="preserve"> </w:t>
      </w:r>
      <w:r>
        <w:rPr>
          <w:lang w:val="sr-Cyrl-CS"/>
        </w:rPr>
        <w:t>identifikovanih</w:t>
      </w:r>
      <w:r w:rsidR="004E3E05" w:rsidRPr="00E95BC4">
        <w:rPr>
          <w:lang w:val="sr-Cyrl-CS"/>
        </w:rPr>
        <w:t xml:space="preserve"> </w:t>
      </w:r>
      <w:r>
        <w:rPr>
          <w:lang w:val="sr-Cyrl-CS"/>
        </w:rPr>
        <w:t>u</w:t>
      </w:r>
      <w:r w:rsidR="004E3E05" w:rsidRPr="00E95BC4">
        <w:rPr>
          <w:lang w:val="sr-Cyrl-CS"/>
        </w:rPr>
        <w:t xml:space="preserve"> </w:t>
      </w:r>
      <w:r>
        <w:rPr>
          <w:lang w:val="sr-Cyrl-CS"/>
        </w:rPr>
        <w:t>Izveštaju</w:t>
      </w:r>
      <w:r w:rsidR="004E3E05" w:rsidRPr="00E95BC4">
        <w:rPr>
          <w:lang w:val="sr-Cyrl-CS"/>
        </w:rPr>
        <w:t xml:space="preserve"> </w:t>
      </w:r>
      <w:r>
        <w:rPr>
          <w:lang w:val="sr-Cyrl-CS"/>
        </w:rPr>
        <w:t>o</w:t>
      </w:r>
      <w:r w:rsidR="004E3E05" w:rsidRPr="00E95BC4">
        <w:rPr>
          <w:lang w:val="sr-Cyrl-CS"/>
        </w:rPr>
        <w:t xml:space="preserve"> </w:t>
      </w:r>
      <w:r>
        <w:rPr>
          <w:lang w:val="sr-Cyrl-CS"/>
        </w:rPr>
        <w:t>uzajamnoj</w:t>
      </w:r>
      <w:r w:rsidR="004E3E05" w:rsidRPr="00E95BC4">
        <w:rPr>
          <w:lang w:val="sr-Cyrl-CS"/>
        </w:rPr>
        <w:t xml:space="preserve"> </w:t>
      </w:r>
      <w:r>
        <w:rPr>
          <w:lang w:val="sr-Cyrl-CS"/>
        </w:rPr>
        <w:t>proceni</w:t>
      </w:r>
      <w:r w:rsidR="004E3E05" w:rsidRPr="00E95BC4">
        <w:rPr>
          <w:lang w:val="sr-Cyrl-CS"/>
        </w:rPr>
        <w:t xml:space="preserve">, </w:t>
      </w:r>
      <w:r>
        <w:rPr>
          <w:lang w:val="sr-Cyrl-CS"/>
        </w:rPr>
        <w:t>naročito</w:t>
      </w:r>
      <w:r w:rsidR="004E3E05" w:rsidRPr="00E95BC4">
        <w:rPr>
          <w:lang w:val="sr-Cyrl-CS"/>
        </w:rPr>
        <w:t xml:space="preserve"> </w:t>
      </w:r>
      <w:r>
        <w:rPr>
          <w:lang w:val="sr-Cyrl-CS"/>
        </w:rPr>
        <w:t>onima</w:t>
      </w:r>
      <w:r w:rsidR="004E3E05" w:rsidRPr="00E95BC4">
        <w:rPr>
          <w:lang w:val="sr-Cyrl-CS"/>
        </w:rPr>
        <w:t xml:space="preserve"> </w:t>
      </w:r>
      <w:r>
        <w:rPr>
          <w:lang w:val="sr-Cyrl-CS"/>
        </w:rPr>
        <w:t>koje</w:t>
      </w:r>
      <w:r w:rsidR="004E3E05" w:rsidRPr="00E95BC4">
        <w:rPr>
          <w:lang w:val="sr-Cyrl-CS"/>
        </w:rPr>
        <w:t xml:space="preserve"> </w:t>
      </w:r>
      <w:r>
        <w:rPr>
          <w:lang w:val="sr-Cyrl-CS"/>
        </w:rPr>
        <w:t>je</w:t>
      </w:r>
      <w:r w:rsidR="002F2585" w:rsidRPr="00E95BC4">
        <w:rPr>
          <w:lang w:val="sr-Cyrl-CS"/>
        </w:rPr>
        <w:t xml:space="preserve"> </w:t>
      </w:r>
      <w:r>
        <w:rPr>
          <w:lang w:val="sr-Cyrl-CS"/>
        </w:rPr>
        <w:t>FATF</w:t>
      </w:r>
      <w:r w:rsidR="002F2585" w:rsidRPr="00E95BC4">
        <w:rPr>
          <w:lang w:val="sr-Cyrl-CS"/>
        </w:rPr>
        <w:t xml:space="preserve"> </w:t>
      </w:r>
      <w:r>
        <w:rPr>
          <w:lang w:val="sr-Cyrl-CS"/>
        </w:rPr>
        <w:t>označio</w:t>
      </w:r>
      <w:r w:rsidR="004E3E05" w:rsidRPr="00E95BC4">
        <w:rPr>
          <w:lang w:val="sr-Cyrl-CS"/>
        </w:rPr>
        <w:t xml:space="preserve"> </w:t>
      </w:r>
      <w:r>
        <w:rPr>
          <w:lang w:val="sr-Cyrl-CS"/>
        </w:rPr>
        <w:t>kao</w:t>
      </w:r>
      <w:r w:rsidR="004E3E05" w:rsidRPr="00E95BC4">
        <w:rPr>
          <w:lang w:val="sr-Cyrl-CS"/>
        </w:rPr>
        <w:t xml:space="preserve"> </w:t>
      </w:r>
      <w:r>
        <w:rPr>
          <w:lang w:val="sr-Cyrl-CS"/>
        </w:rPr>
        <w:t>strateški</w:t>
      </w:r>
      <w:r w:rsidR="004E3E05" w:rsidRPr="00E95BC4">
        <w:rPr>
          <w:lang w:val="sr-Cyrl-CS"/>
        </w:rPr>
        <w:t xml:space="preserve"> </w:t>
      </w:r>
      <w:r>
        <w:rPr>
          <w:lang w:val="sr-Cyrl-CS"/>
        </w:rPr>
        <w:t>važne</w:t>
      </w:r>
      <w:r w:rsidR="004E3E05" w:rsidRPr="00E95BC4">
        <w:rPr>
          <w:lang w:val="sr-Cyrl-CS"/>
        </w:rPr>
        <w:t xml:space="preserve"> </w:t>
      </w:r>
      <w:r>
        <w:rPr>
          <w:lang w:val="sr-Cyrl-CS"/>
        </w:rPr>
        <w:t>i</w:t>
      </w:r>
      <w:r w:rsidR="004E3E05" w:rsidRPr="00E95BC4">
        <w:rPr>
          <w:lang w:val="sr-Cyrl-CS"/>
        </w:rPr>
        <w:t xml:space="preserve"> </w:t>
      </w:r>
      <w:r>
        <w:rPr>
          <w:lang w:val="sr-Cyrl-CS"/>
        </w:rPr>
        <w:t>koje</w:t>
      </w:r>
      <w:r w:rsidR="004E3E05" w:rsidRPr="00E95BC4">
        <w:rPr>
          <w:lang w:val="sr-Cyrl-CS"/>
        </w:rPr>
        <w:t xml:space="preserve"> </w:t>
      </w:r>
      <w:r>
        <w:rPr>
          <w:lang w:val="sr-Cyrl-CS"/>
        </w:rPr>
        <w:t>su</w:t>
      </w:r>
      <w:r w:rsidR="004E3E05" w:rsidRPr="00E95BC4">
        <w:rPr>
          <w:lang w:val="sr-Cyrl-CS"/>
        </w:rPr>
        <w:t xml:space="preserve"> </w:t>
      </w:r>
      <w:r>
        <w:rPr>
          <w:lang w:val="sr-Cyrl-CS"/>
        </w:rPr>
        <w:t>bile</w:t>
      </w:r>
      <w:r w:rsidR="004E3E05" w:rsidRPr="00E95BC4">
        <w:rPr>
          <w:lang w:val="sr-Cyrl-CS"/>
        </w:rPr>
        <w:t xml:space="preserve"> </w:t>
      </w:r>
      <w:r>
        <w:rPr>
          <w:lang w:val="sr-Cyrl-CS"/>
        </w:rPr>
        <w:t>sastavni</w:t>
      </w:r>
      <w:r w:rsidR="004E3E05" w:rsidRPr="00E95BC4">
        <w:rPr>
          <w:lang w:val="sr-Cyrl-CS"/>
        </w:rPr>
        <w:t xml:space="preserve"> </w:t>
      </w:r>
      <w:r>
        <w:rPr>
          <w:lang w:val="sr-Cyrl-CS"/>
        </w:rPr>
        <w:t>deo</w:t>
      </w:r>
      <w:r w:rsidR="004E3E05" w:rsidRPr="00E95BC4">
        <w:rPr>
          <w:lang w:val="sr-Cyrl-CS"/>
        </w:rPr>
        <w:t xml:space="preserve"> </w:t>
      </w:r>
      <w:r>
        <w:rPr>
          <w:lang w:val="sr-Cyrl-CS"/>
        </w:rPr>
        <w:t>Akcionog</w:t>
      </w:r>
      <w:r w:rsidR="004E3E05" w:rsidRPr="00E95BC4">
        <w:rPr>
          <w:lang w:val="sr-Cyrl-CS"/>
        </w:rPr>
        <w:t xml:space="preserve"> </w:t>
      </w:r>
      <w:r>
        <w:rPr>
          <w:lang w:val="sr-Cyrl-CS"/>
        </w:rPr>
        <w:t>plana</w:t>
      </w:r>
      <w:r w:rsidR="004E3E05" w:rsidRPr="00E95BC4">
        <w:rPr>
          <w:lang w:val="sr-Cyrl-CS"/>
        </w:rPr>
        <w:t xml:space="preserve"> </w:t>
      </w:r>
      <w:r>
        <w:rPr>
          <w:lang w:val="sr-Cyrl-CS"/>
        </w:rPr>
        <w:t>FATF</w:t>
      </w:r>
      <w:r w:rsidR="001E55D5" w:rsidRPr="00E95BC4">
        <w:rPr>
          <w:lang w:val="sr-Cyrl-CS"/>
        </w:rPr>
        <w:t xml:space="preserve"> </w:t>
      </w:r>
      <w:r>
        <w:rPr>
          <w:lang w:val="sr-Cyrl-CS"/>
        </w:rPr>
        <w:t>za</w:t>
      </w:r>
      <w:r w:rsidR="001E55D5" w:rsidRPr="00E95BC4">
        <w:rPr>
          <w:lang w:val="sr-Cyrl-CS"/>
        </w:rPr>
        <w:t xml:space="preserve"> </w:t>
      </w:r>
      <w:r>
        <w:rPr>
          <w:lang w:val="sr-Cyrl-CS"/>
        </w:rPr>
        <w:t>Srbiju</w:t>
      </w:r>
      <w:r w:rsidR="001E55D5" w:rsidRPr="00E95BC4">
        <w:rPr>
          <w:lang w:val="sr-Cyrl-CS"/>
        </w:rPr>
        <w:t xml:space="preserve"> (</w:t>
      </w:r>
      <w:r>
        <w:rPr>
          <w:lang w:val="sr-Cyrl-CS"/>
        </w:rPr>
        <w:t>februar</w:t>
      </w:r>
      <w:r w:rsidR="001E55D5" w:rsidRPr="00E95BC4">
        <w:rPr>
          <w:lang w:val="sr-Cyrl-CS"/>
        </w:rPr>
        <w:t xml:space="preserve"> 2018 - </w:t>
      </w:r>
      <w:r>
        <w:rPr>
          <w:lang w:val="sr-Cyrl-CS"/>
        </w:rPr>
        <w:t>jun</w:t>
      </w:r>
      <w:r w:rsidR="002F2585" w:rsidRPr="00E95BC4">
        <w:rPr>
          <w:lang w:val="sr-Cyrl-CS"/>
        </w:rPr>
        <w:t xml:space="preserve"> 2019</w:t>
      </w:r>
      <w:r w:rsidR="001E55D5" w:rsidRPr="00E95BC4">
        <w:rPr>
          <w:lang w:val="sr-Cyrl-CS"/>
        </w:rPr>
        <w:t xml:space="preserve">. </w:t>
      </w:r>
      <w:r>
        <w:rPr>
          <w:lang w:val="sr-Cyrl-CS"/>
        </w:rPr>
        <w:t>godine</w:t>
      </w:r>
      <w:r w:rsidR="002F2585" w:rsidRPr="00E95BC4">
        <w:rPr>
          <w:lang w:val="sr-Cyrl-CS"/>
        </w:rPr>
        <w:t>)</w:t>
      </w:r>
      <w:r w:rsidR="004E3E05" w:rsidRPr="00E95BC4">
        <w:rPr>
          <w:lang w:val="sr-Cyrl-CS"/>
        </w:rPr>
        <w:t xml:space="preserve">. </w:t>
      </w:r>
      <w:r>
        <w:rPr>
          <w:lang w:val="sr-Cyrl-CS"/>
        </w:rPr>
        <w:t>Radi</w:t>
      </w:r>
      <w:r w:rsidR="004E3E05" w:rsidRPr="00E95BC4">
        <w:rPr>
          <w:lang w:val="sr-Cyrl-CS"/>
        </w:rPr>
        <w:t xml:space="preserve"> </w:t>
      </w:r>
      <w:r>
        <w:rPr>
          <w:lang w:val="sr-Cyrl-CS"/>
        </w:rPr>
        <w:t>se</w:t>
      </w:r>
      <w:r w:rsidR="004E3E05" w:rsidRPr="00E95BC4">
        <w:rPr>
          <w:lang w:val="sr-Cyrl-CS"/>
        </w:rPr>
        <w:t xml:space="preserve"> </w:t>
      </w:r>
      <w:r>
        <w:rPr>
          <w:lang w:val="sr-Cyrl-CS"/>
        </w:rPr>
        <w:t>o</w:t>
      </w:r>
      <w:r w:rsidR="004E3E05" w:rsidRPr="00E95BC4">
        <w:rPr>
          <w:lang w:val="sr-Cyrl-CS"/>
        </w:rPr>
        <w:t xml:space="preserve"> </w:t>
      </w:r>
      <w:r>
        <w:rPr>
          <w:lang w:val="sr-Cyrl-CS"/>
        </w:rPr>
        <w:t>oblastima</w:t>
      </w:r>
      <w:r w:rsidR="004E3E05" w:rsidRPr="00E95BC4">
        <w:rPr>
          <w:lang w:val="sr-Cyrl-CS"/>
        </w:rPr>
        <w:t xml:space="preserve"> </w:t>
      </w:r>
      <w:r>
        <w:rPr>
          <w:lang w:val="sr-Cyrl-CS"/>
        </w:rPr>
        <w:t>nacionalne</w:t>
      </w:r>
      <w:r w:rsidR="004E3E05" w:rsidRPr="00E95BC4">
        <w:rPr>
          <w:lang w:val="sr-Cyrl-CS"/>
        </w:rPr>
        <w:t xml:space="preserve"> </w:t>
      </w:r>
      <w:r>
        <w:rPr>
          <w:lang w:val="sr-Cyrl-CS"/>
        </w:rPr>
        <w:t>procene</w:t>
      </w:r>
      <w:r w:rsidR="00040297" w:rsidRPr="00E95BC4">
        <w:rPr>
          <w:lang w:val="sr-Cyrl-CS"/>
        </w:rPr>
        <w:t xml:space="preserve"> </w:t>
      </w:r>
      <w:r>
        <w:rPr>
          <w:lang w:val="sr-Cyrl-CS"/>
        </w:rPr>
        <w:t>rizika</w:t>
      </w:r>
      <w:r w:rsidR="00040297" w:rsidRPr="00E95BC4">
        <w:rPr>
          <w:lang w:val="sr-Cyrl-CS"/>
        </w:rPr>
        <w:t xml:space="preserve"> (</w:t>
      </w:r>
      <w:r>
        <w:rPr>
          <w:lang w:val="sr-Cyrl-CS"/>
        </w:rPr>
        <w:t>tzv</w:t>
      </w:r>
      <w:r w:rsidR="00040297" w:rsidRPr="00E95BC4">
        <w:rPr>
          <w:lang w:val="sr-Cyrl-CS"/>
        </w:rPr>
        <w:t xml:space="preserve">. </w:t>
      </w:r>
      <w:r>
        <w:rPr>
          <w:lang w:val="sr-Cyrl-CS"/>
        </w:rPr>
        <w:t>neposredni</w:t>
      </w:r>
      <w:r w:rsidR="00040297" w:rsidRPr="00E95BC4">
        <w:rPr>
          <w:lang w:val="sr-Cyrl-CS"/>
        </w:rPr>
        <w:t xml:space="preserve"> </w:t>
      </w:r>
      <w:r>
        <w:rPr>
          <w:lang w:val="sr-Cyrl-CS"/>
        </w:rPr>
        <w:t>ishod</w:t>
      </w:r>
      <w:r w:rsidR="00040297" w:rsidRPr="00E95BC4">
        <w:rPr>
          <w:lang w:val="sr-Cyrl-CS"/>
        </w:rPr>
        <w:t xml:space="preserve"> 1), </w:t>
      </w:r>
      <w:r>
        <w:rPr>
          <w:lang w:val="sr-Cyrl-CS"/>
        </w:rPr>
        <w:t>nadzora</w:t>
      </w:r>
      <w:r w:rsidR="00040297" w:rsidRPr="00E95BC4">
        <w:rPr>
          <w:lang w:val="sr-Cyrl-CS"/>
        </w:rPr>
        <w:t xml:space="preserve"> (</w:t>
      </w:r>
      <w:r>
        <w:rPr>
          <w:lang w:val="sr-Cyrl-CS"/>
        </w:rPr>
        <w:t>neposredni</w:t>
      </w:r>
      <w:r w:rsidR="00040297" w:rsidRPr="00E95BC4">
        <w:rPr>
          <w:lang w:val="sr-Cyrl-CS"/>
        </w:rPr>
        <w:t xml:space="preserve"> </w:t>
      </w:r>
      <w:r>
        <w:rPr>
          <w:lang w:val="sr-Cyrl-CS"/>
        </w:rPr>
        <w:t>ishod</w:t>
      </w:r>
      <w:r w:rsidR="00040297" w:rsidRPr="00E95BC4">
        <w:rPr>
          <w:lang w:val="sr-Cyrl-CS"/>
        </w:rPr>
        <w:t xml:space="preserve"> 3), </w:t>
      </w:r>
      <w:r>
        <w:rPr>
          <w:lang w:val="sr-Cyrl-CS"/>
        </w:rPr>
        <w:t>radnji</w:t>
      </w:r>
      <w:r w:rsidR="00040297" w:rsidRPr="00E95BC4">
        <w:rPr>
          <w:lang w:val="sr-Cyrl-CS"/>
        </w:rPr>
        <w:t xml:space="preserve"> </w:t>
      </w:r>
      <w:r>
        <w:rPr>
          <w:lang w:val="sr-Cyrl-CS"/>
        </w:rPr>
        <w:t>i</w:t>
      </w:r>
      <w:r w:rsidR="00040297" w:rsidRPr="00E95BC4">
        <w:rPr>
          <w:lang w:val="sr-Cyrl-CS"/>
        </w:rPr>
        <w:t xml:space="preserve"> </w:t>
      </w:r>
      <w:r>
        <w:rPr>
          <w:lang w:val="sr-Cyrl-CS"/>
        </w:rPr>
        <w:t>mera</w:t>
      </w:r>
      <w:r w:rsidR="00040297" w:rsidRPr="00E95BC4">
        <w:rPr>
          <w:lang w:val="sr-Cyrl-CS"/>
        </w:rPr>
        <w:t xml:space="preserve"> </w:t>
      </w:r>
      <w:r>
        <w:rPr>
          <w:lang w:val="sr-Cyrl-CS"/>
        </w:rPr>
        <w:t>poznavanja</w:t>
      </w:r>
      <w:r w:rsidR="00040297" w:rsidRPr="00E95BC4">
        <w:rPr>
          <w:lang w:val="sr-Cyrl-CS"/>
        </w:rPr>
        <w:t xml:space="preserve"> </w:t>
      </w:r>
      <w:r>
        <w:rPr>
          <w:lang w:val="sr-Cyrl-CS"/>
        </w:rPr>
        <w:t>i</w:t>
      </w:r>
      <w:r w:rsidR="00040297" w:rsidRPr="00E95BC4">
        <w:rPr>
          <w:lang w:val="sr-Cyrl-CS"/>
        </w:rPr>
        <w:t xml:space="preserve"> </w:t>
      </w:r>
      <w:r>
        <w:rPr>
          <w:lang w:val="sr-Cyrl-CS"/>
        </w:rPr>
        <w:t>praćenja</w:t>
      </w:r>
      <w:r w:rsidR="00040297" w:rsidRPr="00E95BC4">
        <w:rPr>
          <w:lang w:val="sr-Cyrl-CS"/>
        </w:rPr>
        <w:t xml:space="preserve"> </w:t>
      </w:r>
      <w:r>
        <w:rPr>
          <w:lang w:val="sr-Cyrl-CS"/>
        </w:rPr>
        <w:t>stranke</w:t>
      </w:r>
      <w:r w:rsidR="00040297" w:rsidRPr="00E95BC4">
        <w:rPr>
          <w:lang w:val="sr-Cyrl-CS"/>
        </w:rPr>
        <w:t xml:space="preserve"> (</w:t>
      </w:r>
      <w:r>
        <w:rPr>
          <w:lang w:val="sr-Cyrl-CS"/>
        </w:rPr>
        <w:t>neposredni</w:t>
      </w:r>
      <w:r w:rsidR="00040297" w:rsidRPr="00E95BC4">
        <w:rPr>
          <w:lang w:val="sr-Cyrl-CS"/>
        </w:rPr>
        <w:t xml:space="preserve"> </w:t>
      </w:r>
      <w:r>
        <w:rPr>
          <w:lang w:val="sr-Cyrl-CS"/>
        </w:rPr>
        <w:t>ishod</w:t>
      </w:r>
      <w:r w:rsidR="00040297" w:rsidRPr="00E95BC4">
        <w:rPr>
          <w:lang w:val="sr-Cyrl-CS"/>
        </w:rPr>
        <w:t xml:space="preserve"> 4), </w:t>
      </w:r>
      <w:r>
        <w:rPr>
          <w:lang w:val="sr-Cyrl-CS"/>
        </w:rPr>
        <w:t>transparentnosti</w:t>
      </w:r>
      <w:r w:rsidR="00040297" w:rsidRPr="00E95BC4">
        <w:rPr>
          <w:lang w:val="sr-Cyrl-CS"/>
        </w:rPr>
        <w:t xml:space="preserve"> </w:t>
      </w:r>
      <w:r>
        <w:rPr>
          <w:lang w:val="sr-Cyrl-CS"/>
        </w:rPr>
        <w:t>pravnih</w:t>
      </w:r>
      <w:r w:rsidR="00040297" w:rsidRPr="00E95BC4">
        <w:rPr>
          <w:lang w:val="sr-Cyrl-CS"/>
        </w:rPr>
        <w:t xml:space="preserve"> </w:t>
      </w:r>
      <w:r>
        <w:rPr>
          <w:lang w:val="sr-Cyrl-CS"/>
        </w:rPr>
        <w:t>lica</w:t>
      </w:r>
      <w:r w:rsidR="00040297" w:rsidRPr="00E95BC4">
        <w:rPr>
          <w:lang w:val="sr-Cyrl-CS"/>
        </w:rPr>
        <w:t xml:space="preserve"> (</w:t>
      </w:r>
      <w:r>
        <w:rPr>
          <w:lang w:val="sr-Cyrl-CS"/>
        </w:rPr>
        <w:t>neposredni</w:t>
      </w:r>
      <w:r w:rsidR="00040297" w:rsidRPr="00E95BC4">
        <w:rPr>
          <w:lang w:val="sr-Cyrl-CS"/>
        </w:rPr>
        <w:t xml:space="preserve"> </w:t>
      </w:r>
      <w:r>
        <w:rPr>
          <w:lang w:val="sr-Cyrl-CS"/>
        </w:rPr>
        <w:t>ishod</w:t>
      </w:r>
      <w:r w:rsidR="00040297" w:rsidRPr="00E95BC4">
        <w:rPr>
          <w:lang w:val="sr-Cyrl-CS"/>
        </w:rPr>
        <w:t xml:space="preserve"> 5), </w:t>
      </w:r>
      <w:r>
        <w:rPr>
          <w:lang w:val="sr-Cyrl-CS"/>
        </w:rPr>
        <w:t>istraga</w:t>
      </w:r>
      <w:r w:rsidR="00040297" w:rsidRPr="00E95BC4">
        <w:rPr>
          <w:lang w:val="sr-Cyrl-CS"/>
        </w:rPr>
        <w:t xml:space="preserve">, </w:t>
      </w:r>
      <w:r>
        <w:rPr>
          <w:lang w:val="sr-Cyrl-CS"/>
        </w:rPr>
        <w:t>postupaka</w:t>
      </w:r>
      <w:r w:rsidR="00040297" w:rsidRPr="00E95BC4">
        <w:rPr>
          <w:lang w:val="sr-Cyrl-CS"/>
        </w:rPr>
        <w:t xml:space="preserve"> </w:t>
      </w:r>
      <w:r>
        <w:rPr>
          <w:lang w:val="sr-Cyrl-CS"/>
        </w:rPr>
        <w:t>i</w:t>
      </w:r>
      <w:r w:rsidR="00040297" w:rsidRPr="00E95BC4">
        <w:rPr>
          <w:lang w:val="sr-Cyrl-CS"/>
        </w:rPr>
        <w:t xml:space="preserve"> </w:t>
      </w:r>
      <w:r>
        <w:rPr>
          <w:lang w:val="sr-Cyrl-CS"/>
        </w:rPr>
        <w:t>presuda</w:t>
      </w:r>
      <w:r w:rsidR="00040297" w:rsidRPr="00E95BC4">
        <w:rPr>
          <w:lang w:val="sr-Cyrl-CS"/>
        </w:rPr>
        <w:t xml:space="preserve"> </w:t>
      </w:r>
      <w:r>
        <w:rPr>
          <w:lang w:val="sr-Cyrl-CS"/>
        </w:rPr>
        <w:t>za</w:t>
      </w:r>
      <w:r w:rsidR="00040297" w:rsidRPr="00E95BC4">
        <w:rPr>
          <w:lang w:val="sr-Cyrl-CS"/>
        </w:rPr>
        <w:t xml:space="preserve"> </w:t>
      </w:r>
      <w:r>
        <w:rPr>
          <w:lang w:val="sr-Cyrl-CS"/>
        </w:rPr>
        <w:t>pranje</w:t>
      </w:r>
      <w:r w:rsidR="00040297" w:rsidRPr="00E95BC4">
        <w:rPr>
          <w:lang w:val="sr-Cyrl-CS"/>
        </w:rPr>
        <w:t xml:space="preserve"> </w:t>
      </w:r>
      <w:r>
        <w:rPr>
          <w:lang w:val="sr-Cyrl-CS"/>
        </w:rPr>
        <w:t>novca</w:t>
      </w:r>
      <w:r w:rsidR="00040297" w:rsidRPr="00E95BC4">
        <w:rPr>
          <w:lang w:val="sr-Cyrl-CS"/>
        </w:rPr>
        <w:t xml:space="preserve"> (</w:t>
      </w:r>
      <w:r>
        <w:rPr>
          <w:lang w:val="sr-Cyrl-CS"/>
        </w:rPr>
        <w:t>neposredni</w:t>
      </w:r>
      <w:r w:rsidR="00040297" w:rsidRPr="00E95BC4">
        <w:rPr>
          <w:lang w:val="sr-Cyrl-CS"/>
        </w:rPr>
        <w:t xml:space="preserve"> </w:t>
      </w:r>
      <w:r>
        <w:rPr>
          <w:lang w:val="sr-Cyrl-CS"/>
        </w:rPr>
        <w:t>ishod</w:t>
      </w:r>
      <w:r w:rsidR="00040297" w:rsidRPr="00E95BC4">
        <w:rPr>
          <w:lang w:val="sr-Cyrl-CS"/>
        </w:rPr>
        <w:t xml:space="preserve"> 7) </w:t>
      </w:r>
      <w:r>
        <w:rPr>
          <w:lang w:val="sr-Cyrl-CS"/>
        </w:rPr>
        <w:t>kao</w:t>
      </w:r>
      <w:r w:rsidR="00040297" w:rsidRPr="00E95BC4">
        <w:rPr>
          <w:lang w:val="sr-Cyrl-CS"/>
        </w:rPr>
        <w:t xml:space="preserve"> </w:t>
      </w:r>
      <w:r>
        <w:rPr>
          <w:lang w:val="sr-Cyrl-CS"/>
        </w:rPr>
        <w:t>i</w:t>
      </w:r>
      <w:r w:rsidR="00040297" w:rsidRPr="00E95BC4">
        <w:rPr>
          <w:lang w:val="sr-Cyrl-CS"/>
        </w:rPr>
        <w:t xml:space="preserve"> </w:t>
      </w:r>
      <w:r>
        <w:rPr>
          <w:lang w:val="sr-Cyrl-CS"/>
        </w:rPr>
        <w:t>ciljanih</w:t>
      </w:r>
      <w:r w:rsidR="00040297" w:rsidRPr="00E95BC4">
        <w:rPr>
          <w:lang w:val="sr-Cyrl-CS"/>
        </w:rPr>
        <w:t xml:space="preserve"> </w:t>
      </w:r>
      <w:r>
        <w:rPr>
          <w:lang w:val="sr-Cyrl-CS"/>
        </w:rPr>
        <w:t>finansijskih</w:t>
      </w:r>
      <w:r w:rsidR="00040297" w:rsidRPr="00E95BC4">
        <w:rPr>
          <w:lang w:val="sr-Cyrl-CS"/>
        </w:rPr>
        <w:t xml:space="preserve"> </w:t>
      </w:r>
      <w:r>
        <w:rPr>
          <w:lang w:val="sr-Cyrl-CS"/>
        </w:rPr>
        <w:t>sankcija</w:t>
      </w:r>
      <w:r w:rsidR="00040297" w:rsidRPr="00E95BC4">
        <w:rPr>
          <w:lang w:val="sr-Cyrl-CS"/>
        </w:rPr>
        <w:t xml:space="preserve"> </w:t>
      </w:r>
      <w:r>
        <w:rPr>
          <w:lang w:val="sr-Cyrl-CS"/>
        </w:rPr>
        <w:t>za</w:t>
      </w:r>
      <w:r w:rsidR="00040297" w:rsidRPr="00E95BC4">
        <w:rPr>
          <w:lang w:val="sr-Cyrl-CS"/>
        </w:rPr>
        <w:t xml:space="preserve"> </w:t>
      </w:r>
      <w:r>
        <w:rPr>
          <w:lang w:val="sr-Cyrl-CS"/>
        </w:rPr>
        <w:t>terorizam</w:t>
      </w:r>
      <w:r w:rsidR="00040297" w:rsidRPr="00E95BC4">
        <w:rPr>
          <w:lang w:val="sr-Cyrl-CS"/>
        </w:rPr>
        <w:t xml:space="preserve"> </w:t>
      </w:r>
      <w:r>
        <w:rPr>
          <w:lang w:val="sr-Cyrl-CS"/>
        </w:rPr>
        <w:t>i</w:t>
      </w:r>
      <w:r w:rsidR="00040297" w:rsidRPr="00E95BC4">
        <w:rPr>
          <w:lang w:val="sr-Cyrl-CS"/>
        </w:rPr>
        <w:t xml:space="preserve"> </w:t>
      </w:r>
      <w:r>
        <w:rPr>
          <w:lang w:val="sr-Cyrl-CS"/>
        </w:rPr>
        <w:t>širenje</w:t>
      </w:r>
      <w:r w:rsidR="00040297" w:rsidRPr="00E95BC4">
        <w:rPr>
          <w:lang w:val="sr-Cyrl-CS"/>
        </w:rPr>
        <w:t xml:space="preserve"> </w:t>
      </w:r>
      <w:r>
        <w:rPr>
          <w:lang w:val="sr-Cyrl-CS"/>
        </w:rPr>
        <w:t>oružja</w:t>
      </w:r>
      <w:r w:rsidR="00040297" w:rsidRPr="00E95BC4">
        <w:rPr>
          <w:lang w:val="sr-Cyrl-CS"/>
        </w:rPr>
        <w:t xml:space="preserve"> </w:t>
      </w:r>
      <w:r>
        <w:rPr>
          <w:lang w:val="sr-Cyrl-CS"/>
        </w:rPr>
        <w:t>za</w:t>
      </w:r>
      <w:r w:rsidR="00040297" w:rsidRPr="00E95BC4">
        <w:rPr>
          <w:lang w:val="sr-Cyrl-CS"/>
        </w:rPr>
        <w:t xml:space="preserve"> </w:t>
      </w:r>
      <w:r>
        <w:rPr>
          <w:lang w:val="sr-Cyrl-CS"/>
        </w:rPr>
        <w:t>masovno</w:t>
      </w:r>
      <w:r w:rsidR="00040297" w:rsidRPr="00E95BC4">
        <w:rPr>
          <w:lang w:val="sr-Cyrl-CS"/>
        </w:rPr>
        <w:t xml:space="preserve"> </w:t>
      </w:r>
      <w:r>
        <w:rPr>
          <w:lang w:val="sr-Cyrl-CS"/>
        </w:rPr>
        <w:t>uništenje</w:t>
      </w:r>
      <w:r w:rsidR="00040297" w:rsidRPr="00E95BC4">
        <w:rPr>
          <w:lang w:val="sr-Cyrl-CS"/>
        </w:rPr>
        <w:t xml:space="preserve"> </w:t>
      </w:r>
      <w:r>
        <w:rPr>
          <w:lang w:val="sr-Cyrl-CS"/>
        </w:rPr>
        <w:t>i</w:t>
      </w:r>
      <w:r w:rsidR="00040297" w:rsidRPr="00E95BC4">
        <w:rPr>
          <w:lang w:val="sr-Cyrl-CS"/>
        </w:rPr>
        <w:t xml:space="preserve"> </w:t>
      </w:r>
      <w:r>
        <w:rPr>
          <w:lang w:val="sr-Cyrl-CS"/>
        </w:rPr>
        <w:t>nadzora</w:t>
      </w:r>
      <w:r w:rsidR="00040297" w:rsidRPr="00E95BC4">
        <w:rPr>
          <w:lang w:val="sr-Cyrl-CS"/>
        </w:rPr>
        <w:t xml:space="preserve"> </w:t>
      </w:r>
      <w:r>
        <w:rPr>
          <w:lang w:val="sr-Cyrl-CS"/>
        </w:rPr>
        <w:t>nad</w:t>
      </w:r>
      <w:r w:rsidR="00040297" w:rsidRPr="00E95BC4">
        <w:rPr>
          <w:lang w:val="sr-Cyrl-CS"/>
        </w:rPr>
        <w:t xml:space="preserve"> </w:t>
      </w:r>
      <w:r>
        <w:rPr>
          <w:lang w:val="sr-Cyrl-CS"/>
        </w:rPr>
        <w:t>neprofitnim</w:t>
      </w:r>
      <w:r w:rsidR="00040297" w:rsidRPr="00E95BC4">
        <w:rPr>
          <w:lang w:val="sr-Cyrl-CS"/>
        </w:rPr>
        <w:t xml:space="preserve"> </w:t>
      </w:r>
      <w:r>
        <w:rPr>
          <w:lang w:val="sr-Cyrl-CS"/>
        </w:rPr>
        <w:t>sektorom</w:t>
      </w:r>
      <w:r w:rsidR="00040297" w:rsidRPr="00E95BC4">
        <w:rPr>
          <w:lang w:val="sr-Cyrl-CS"/>
        </w:rPr>
        <w:t xml:space="preserve"> </w:t>
      </w:r>
      <w:r>
        <w:rPr>
          <w:lang w:val="sr-Cyrl-CS"/>
        </w:rPr>
        <w:t>sa</w:t>
      </w:r>
      <w:r w:rsidR="00040297" w:rsidRPr="00E95BC4">
        <w:rPr>
          <w:lang w:val="sr-Cyrl-CS"/>
        </w:rPr>
        <w:t xml:space="preserve"> </w:t>
      </w:r>
      <w:r>
        <w:rPr>
          <w:lang w:val="sr-Cyrl-CS"/>
        </w:rPr>
        <w:t>stanovišta</w:t>
      </w:r>
      <w:r w:rsidR="00040297" w:rsidRPr="00E95BC4">
        <w:rPr>
          <w:lang w:val="sr-Cyrl-CS"/>
        </w:rPr>
        <w:t xml:space="preserve"> </w:t>
      </w:r>
      <w:r>
        <w:rPr>
          <w:lang w:val="sr-Cyrl-CS"/>
        </w:rPr>
        <w:t>moguće</w:t>
      </w:r>
      <w:r w:rsidR="00040297" w:rsidRPr="00E95BC4">
        <w:rPr>
          <w:lang w:val="sr-Cyrl-CS"/>
        </w:rPr>
        <w:t xml:space="preserve"> </w:t>
      </w:r>
      <w:r>
        <w:rPr>
          <w:lang w:val="sr-Cyrl-CS"/>
        </w:rPr>
        <w:t>zloupotrebe</w:t>
      </w:r>
      <w:r w:rsidR="00040297" w:rsidRPr="00E95BC4">
        <w:rPr>
          <w:lang w:val="sr-Cyrl-CS"/>
        </w:rPr>
        <w:t xml:space="preserve"> </w:t>
      </w:r>
      <w:r>
        <w:rPr>
          <w:lang w:val="sr-Cyrl-CS"/>
        </w:rPr>
        <w:t>za</w:t>
      </w:r>
      <w:r w:rsidR="00040297" w:rsidRPr="00E95BC4">
        <w:rPr>
          <w:lang w:val="sr-Cyrl-CS"/>
        </w:rPr>
        <w:t xml:space="preserve"> </w:t>
      </w:r>
      <w:r>
        <w:rPr>
          <w:lang w:val="sr-Cyrl-CS"/>
        </w:rPr>
        <w:t>finansiranje</w:t>
      </w:r>
      <w:r w:rsidR="00040297" w:rsidRPr="00E95BC4">
        <w:rPr>
          <w:lang w:val="sr-Cyrl-CS"/>
        </w:rPr>
        <w:t xml:space="preserve"> </w:t>
      </w:r>
      <w:r>
        <w:rPr>
          <w:lang w:val="sr-Cyrl-CS"/>
        </w:rPr>
        <w:t>terorizma</w:t>
      </w:r>
      <w:r w:rsidR="00040297" w:rsidRPr="00E95BC4">
        <w:rPr>
          <w:lang w:val="sr-Cyrl-CS"/>
        </w:rPr>
        <w:t xml:space="preserve"> (</w:t>
      </w:r>
      <w:r>
        <w:rPr>
          <w:lang w:val="sr-Cyrl-CS"/>
        </w:rPr>
        <w:t>neposredni</w:t>
      </w:r>
      <w:r w:rsidR="00040297" w:rsidRPr="00E95BC4">
        <w:rPr>
          <w:lang w:val="sr-Cyrl-CS"/>
        </w:rPr>
        <w:t xml:space="preserve"> </w:t>
      </w:r>
      <w:r>
        <w:rPr>
          <w:lang w:val="sr-Cyrl-CS"/>
        </w:rPr>
        <w:t>ishodi</w:t>
      </w:r>
      <w:r w:rsidR="00040297" w:rsidRPr="00E95BC4">
        <w:rPr>
          <w:lang w:val="sr-Cyrl-CS"/>
        </w:rPr>
        <w:t xml:space="preserve"> 10 </w:t>
      </w:r>
      <w:r>
        <w:rPr>
          <w:lang w:val="sr-Cyrl-CS"/>
        </w:rPr>
        <w:t>i</w:t>
      </w:r>
      <w:r w:rsidR="00040297" w:rsidRPr="00E95BC4">
        <w:rPr>
          <w:lang w:val="sr-Cyrl-CS"/>
        </w:rPr>
        <w:t xml:space="preserve"> 11).</w:t>
      </w:r>
      <w:r w:rsidR="00425B43" w:rsidRPr="00E95BC4">
        <w:rPr>
          <w:lang w:val="sr-Cyrl-CS"/>
        </w:rPr>
        <w:t xml:space="preserve"> </w:t>
      </w:r>
      <w:r>
        <w:rPr>
          <w:lang w:val="sr-Cyrl-CS"/>
        </w:rPr>
        <w:t>Konkretnije</w:t>
      </w:r>
      <w:r w:rsidR="00425B43" w:rsidRPr="00E95BC4">
        <w:rPr>
          <w:lang w:val="sr-Cyrl-CS"/>
        </w:rPr>
        <w:t xml:space="preserve">, </w:t>
      </w:r>
      <w:r>
        <w:rPr>
          <w:lang w:val="sr-Cyrl-CS"/>
        </w:rPr>
        <w:t>Republika</w:t>
      </w:r>
      <w:r w:rsidR="004A6FEC" w:rsidRPr="00E95BC4">
        <w:rPr>
          <w:lang w:val="sr-Cyrl-CS"/>
        </w:rPr>
        <w:t xml:space="preserve"> </w:t>
      </w:r>
      <w:r>
        <w:rPr>
          <w:lang w:val="sr-Cyrl-CS"/>
        </w:rPr>
        <w:t>Srbija</w:t>
      </w:r>
      <w:r w:rsidR="00425B43" w:rsidRPr="00E95BC4">
        <w:rPr>
          <w:lang w:val="sr-Cyrl-CS"/>
        </w:rPr>
        <w:t xml:space="preserve"> </w:t>
      </w:r>
      <w:r>
        <w:rPr>
          <w:lang w:val="sr-Cyrl-CS"/>
        </w:rPr>
        <w:t>je</w:t>
      </w:r>
      <w:r w:rsidR="00425B43" w:rsidRPr="00E95BC4">
        <w:rPr>
          <w:lang w:val="sr-Cyrl-CS"/>
        </w:rPr>
        <w:t xml:space="preserve"> </w:t>
      </w:r>
      <w:r>
        <w:rPr>
          <w:lang w:val="sr-Cyrl-CS"/>
        </w:rPr>
        <w:t>sprovela</w:t>
      </w:r>
      <w:r w:rsidR="00425B43" w:rsidRPr="00E95BC4">
        <w:rPr>
          <w:lang w:val="sr-Cyrl-CS"/>
        </w:rPr>
        <w:t xml:space="preserve"> </w:t>
      </w:r>
      <w:r>
        <w:rPr>
          <w:lang w:val="sr-Cyrl-CS"/>
        </w:rPr>
        <w:t>nacionalnu</w:t>
      </w:r>
      <w:r w:rsidR="00425B43" w:rsidRPr="00E95BC4">
        <w:rPr>
          <w:lang w:val="sr-Cyrl-CS"/>
        </w:rPr>
        <w:t xml:space="preserve"> </w:t>
      </w:r>
      <w:r>
        <w:rPr>
          <w:lang w:val="sr-Cyrl-CS"/>
        </w:rPr>
        <w:t>procenu</w:t>
      </w:r>
      <w:r w:rsidR="00425B43" w:rsidRPr="00E95BC4">
        <w:rPr>
          <w:lang w:val="sr-Cyrl-CS"/>
        </w:rPr>
        <w:t xml:space="preserve"> </w:t>
      </w:r>
      <w:r>
        <w:rPr>
          <w:lang w:val="sr-Cyrl-CS"/>
        </w:rPr>
        <w:t>rizika</w:t>
      </w:r>
      <w:r w:rsidR="00156D4E" w:rsidRPr="00E95BC4">
        <w:rPr>
          <w:lang w:val="sr-Cyrl-CS"/>
        </w:rPr>
        <w:t xml:space="preserve"> (</w:t>
      </w:r>
      <w:r>
        <w:rPr>
          <w:lang w:val="sr-Cyrl-CS"/>
        </w:rPr>
        <w:t>NI</w:t>
      </w:r>
      <w:r w:rsidR="00156D4E" w:rsidRPr="00E95BC4">
        <w:rPr>
          <w:lang w:val="sr-Cyrl-CS"/>
        </w:rPr>
        <w:t>1)</w:t>
      </w:r>
      <w:r w:rsidR="00425B43" w:rsidRPr="00E95BC4">
        <w:rPr>
          <w:lang w:val="sr-Cyrl-CS"/>
        </w:rPr>
        <w:t xml:space="preserve">, </w:t>
      </w:r>
      <w:r>
        <w:rPr>
          <w:lang w:val="sr-Cyrl-CS"/>
        </w:rPr>
        <w:t>ojačala</w:t>
      </w:r>
      <w:r w:rsidR="00425B43" w:rsidRPr="00E95BC4">
        <w:rPr>
          <w:lang w:val="sr-Cyrl-CS"/>
        </w:rPr>
        <w:t xml:space="preserve"> </w:t>
      </w:r>
      <w:r>
        <w:rPr>
          <w:lang w:val="sr-Cyrl-CS"/>
        </w:rPr>
        <w:t>nadzor</w:t>
      </w:r>
      <w:r w:rsidR="00425B43" w:rsidRPr="00E95BC4">
        <w:rPr>
          <w:lang w:val="sr-Cyrl-CS"/>
        </w:rPr>
        <w:t xml:space="preserve"> </w:t>
      </w:r>
      <w:r>
        <w:rPr>
          <w:lang w:val="sr-Cyrl-CS"/>
        </w:rPr>
        <w:t>nad</w:t>
      </w:r>
      <w:r w:rsidR="00425B43" w:rsidRPr="00E95BC4">
        <w:rPr>
          <w:lang w:val="sr-Cyrl-CS"/>
        </w:rPr>
        <w:t xml:space="preserve"> </w:t>
      </w:r>
      <w:r>
        <w:rPr>
          <w:lang w:val="sr-Cyrl-CS"/>
        </w:rPr>
        <w:t>advokatima</w:t>
      </w:r>
      <w:r w:rsidR="00425B43" w:rsidRPr="00E95BC4">
        <w:rPr>
          <w:lang w:val="sr-Cyrl-CS"/>
        </w:rPr>
        <w:t xml:space="preserve"> </w:t>
      </w:r>
      <w:r>
        <w:rPr>
          <w:lang w:val="sr-Cyrl-CS"/>
        </w:rPr>
        <w:t>i</w:t>
      </w:r>
      <w:r w:rsidR="00425B43" w:rsidRPr="00E95BC4">
        <w:rPr>
          <w:lang w:val="sr-Cyrl-CS"/>
        </w:rPr>
        <w:t xml:space="preserve"> </w:t>
      </w:r>
      <w:r>
        <w:rPr>
          <w:lang w:val="sr-Cyrl-CS"/>
        </w:rPr>
        <w:t>javnim</w:t>
      </w:r>
      <w:r w:rsidR="00425B43" w:rsidRPr="00E95BC4">
        <w:rPr>
          <w:lang w:val="sr-Cyrl-CS"/>
        </w:rPr>
        <w:t xml:space="preserve"> </w:t>
      </w:r>
      <w:r>
        <w:rPr>
          <w:lang w:val="sr-Cyrl-CS"/>
        </w:rPr>
        <w:t>beležnicima</w:t>
      </w:r>
      <w:r w:rsidR="00425B43" w:rsidRPr="00E95BC4">
        <w:rPr>
          <w:lang w:val="sr-Cyrl-CS"/>
        </w:rPr>
        <w:t xml:space="preserve"> </w:t>
      </w:r>
      <w:r>
        <w:rPr>
          <w:lang w:val="sr-Cyrl-CS"/>
        </w:rPr>
        <w:t>i</w:t>
      </w:r>
      <w:r w:rsidR="00425B43" w:rsidRPr="00E95BC4">
        <w:rPr>
          <w:lang w:val="sr-Cyrl-CS"/>
        </w:rPr>
        <w:t xml:space="preserve"> </w:t>
      </w:r>
      <w:r>
        <w:rPr>
          <w:lang w:val="sr-Cyrl-CS"/>
        </w:rPr>
        <w:t>kapacitete</w:t>
      </w:r>
      <w:r w:rsidR="00425B43" w:rsidRPr="00E95BC4">
        <w:rPr>
          <w:lang w:val="sr-Cyrl-CS"/>
        </w:rPr>
        <w:t xml:space="preserve"> </w:t>
      </w:r>
      <w:r>
        <w:rPr>
          <w:lang w:val="sr-Cyrl-CS"/>
        </w:rPr>
        <w:t>nadzornih</w:t>
      </w:r>
      <w:r w:rsidR="00425B43" w:rsidRPr="00E95BC4">
        <w:rPr>
          <w:lang w:val="sr-Cyrl-CS"/>
        </w:rPr>
        <w:t xml:space="preserve"> </w:t>
      </w:r>
      <w:r>
        <w:rPr>
          <w:lang w:val="sr-Cyrl-CS"/>
        </w:rPr>
        <w:t>organa</w:t>
      </w:r>
      <w:r w:rsidR="00156D4E" w:rsidRPr="00E95BC4">
        <w:rPr>
          <w:lang w:val="sr-Cyrl-CS"/>
        </w:rPr>
        <w:t xml:space="preserve"> (</w:t>
      </w:r>
      <w:r>
        <w:rPr>
          <w:lang w:val="sr-Cyrl-CS"/>
        </w:rPr>
        <w:t>NI</w:t>
      </w:r>
      <w:r w:rsidR="00156D4E" w:rsidRPr="00E95BC4">
        <w:rPr>
          <w:lang w:val="sr-Cyrl-CS"/>
        </w:rPr>
        <w:t>3)</w:t>
      </w:r>
      <w:r w:rsidR="00425B43" w:rsidRPr="00E95BC4">
        <w:rPr>
          <w:lang w:val="sr-Cyrl-CS"/>
        </w:rPr>
        <w:t xml:space="preserve">, </w:t>
      </w:r>
      <w:r>
        <w:rPr>
          <w:lang w:val="sr-Cyrl-CS"/>
        </w:rPr>
        <w:t>uvela</w:t>
      </w:r>
      <w:r w:rsidR="00425B43" w:rsidRPr="00E95BC4">
        <w:rPr>
          <w:lang w:val="sr-Cyrl-CS"/>
        </w:rPr>
        <w:t xml:space="preserve"> </w:t>
      </w:r>
      <w:r>
        <w:rPr>
          <w:lang w:val="sr-Cyrl-CS"/>
        </w:rPr>
        <w:t>je</w:t>
      </w:r>
      <w:r w:rsidR="00425B43" w:rsidRPr="00E95BC4">
        <w:rPr>
          <w:lang w:val="sr-Cyrl-CS"/>
        </w:rPr>
        <w:t xml:space="preserve"> </w:t>
      </w:r>
      <w:r>
        <w:rPr>
          <w:lang w:val="sr-Cyrl-CS"/>
        </w:rPr>
        <w:t>Centralnu</w:t>
      </w:r>
      <w:r w:rsidR="00425B43" w:rsidRPr="00E95BC4">
        <w:rPr>
          <w:lang w:val="sr-Cyrl-CS"/>
        </w:rPr>
        <w:t xml:space="preserve"> </w:t>
      </w:r>
      <w:r>
        <w:rPr>
          <w:lang w:val="sr-Cyrl-CS"/>
        </w:rPr>
        <w:t>evidenciju</w:t>
      </w:r>
      <w:r w:rsidR="00425B43" w:rsidRPr="00E95BC4">
        <w:rPr>
          <w:lang w:val="sr-Cyrl-CS"/>
        </w:rPr>
        <w:t xml:space="preserve"> </w:t>
      </w:r>
      <w:r>
        <w:rPr>
          <w:lang w:val="sr-Cyrl-CS"/>
        </w:rPr>
        <w:t>stvarnih</w:t>
      </w:r>
      <w:r w:rsidR="00425B43" w:rsidRPr="00E95BC4">
        <w:rPr>
          <w:lang w:val="sr-Cyrl-CS"/>
        </w:rPr>
        <w:t xml:space="preserve"> </w:t>
      </w:r>
      <w:r>
        <w:rPr>
          <w:lang w:val="sr-Cyrl-CS"/>
        </w:rPr>
        <w:t>vlasnika</w:t>
      </w:r>
      <w:r w:rsidR="00156D4E" w:rsidRPr="00E95BC4">
        <w:rPr>
          <w:lang w:val="sr-Cyrl-CS"/>
        </w:rPr>
        <w:t xml:space="preserve"> (</w:t>
      </w:r>
      <w:r>
        <w:rPr>
          <w:lang w:val="sr-Cyrl-CS"/>
        </w:rPr>
        <w:t>NI</w:t>
      </w:r>
      <w:r w:rsidR="00156D4E" w:rsidRPr="00E95BC4">
        <w:rPr>
          <w:lang w:val="sr-Cyrl-CS"/>
        </w:rPr>
        <w:t>5)</w:t>
      </w:r>
      <w:r w:rsidR="00425B43" w:rsidRPr="00E95BC4">
        <w:rPr>
          <w:lang w:val="sr-Cyrl-CS"/>
        </w:rPr>
        <w:t xml:space="preserve">, </w:t>
      </w:r>
      <w:r>
        <w:rPr>
          <w:lang w:val="sr-Cyrl-CS"/>
        </w:rPr>
        <w:t>povećala</w:t>
      </w:r>
      <w:r w:rsidR="00425B43" w:rsidRPr="00E95BC4">
        <w:rPr>
          <w:lang w:val="sr-Cyrl-CS"/>
        </w:rPr>
        <w:t xml:space="preserve"> </w:t>
      </w:r>
      <w:r>
        <w:rPr>
          <w:lang w:val="sr-Cyrl-CS"/>
        </w:rPr>
        <w:t>broj</w:t>
      </w:r>
      <w:r w:rsidR="00425B43" w:rsidRPr="00E95BC4">
        <w:rPr>
          <w:lang w:val="sr-Cyrl-CS"/>
        </w:rPr>
        <w:t xml:space="preserve"> </w:t>
      </w:r>
      <w:r>
        <w:rPr>
          <w:lang w:val="sr-Cyrl-CS"/>
        </w:rPr>
        <w:t>istraga</w:t>
      </w:r>
      <w:r w:rsidR="00425B43" w:rsidRPr="00E95BC4">
        <w:rPr>
          <w:lang w:val="sr-Cyrl-CS"/>
        </w:rPr>
        <w:t xml:space="preserve">, </w:t>
      </w:r>
      <w:r>
        <w:rPr>
          <w:lang w:val="sr-Cyrl-CS"/>
        </w:rPr>
        <w:t>postupaka</w:t>
      </w:r>
      <w:r w:rsidR="00425B43" w:rsidRPr="00E95BC4">
        <w:rPr>
          <w:lang w:val="sr-Cyrl-CS"/>
        </w:rPr>
        <w:t xml:space="preserve"> </w:t>
      </w:r>
      <w:r>
        <w:rPr>
          <w:lang w:val="sr-Cyrl-CS"/>
        </w:rPr>
        <w:t>i</w:t>
      </w:r>
      <w:r w:rsidR="00425B43" w:rsidRPr="00E95BC4">
        <w:rPr>
          <w:lang w:val="sr-Cyrl-CS"/>
        </w:rPr>
        <w:t xml:space="preserve"> </w:t>
      </w:r>
      <w:r>
        <w:rPr>
          <w:lang w:val="sr-Cyrl-CS"/>
        </w:rPr>
        <w:t>presuda</w:t>
      </w:r>
      <w:r w:rsidR="00425B43" w:rsidRPr="00E95BC4">
        <w:rPr>
          <w:lang w:val="sr-Cyrl-CS"/>
        </w:rPr>
        <w:t xml:space="preserve"> </w:t>
      </w:r>
      <w:r>
        <w:rPr>
          <w:lang w:val="sr-Cyrl-CS"/>
        </w:rPr>
        <w:t>za</w:t>
      </w:r>
      <w:r w:rsidR="00425B43" w:rsidRPr="00E95BC4">
        <w:rPr>
          <w:lang w:val="sr-Cyrl-CS"/>
        </w:rPr>
        <w:t xml:space="preserve"> </w:t>
      </w:r>
      <w:r>
        <w:rPr>
          <w:lang w:val="sr-Cyrl-CS"/>
        </w:rPr>
        <w:t>pranje</w:t>
      </w:r>
      <w:r w:rsidR="00425B43" w:rsidRPr="00E95BC4">
        <w:rPr>
          <w:lang w:val="sr-Cyrl-CS"/>
        </w:rPr>
        <w:t xml:space="preserve"> </w:t>
      </w:r>
      <w:r>
        <w:rPr>
          <w:lang w:val="sr-Cyrl-CS"/>
        </w:rPr>
        <w:t>novca</w:t>
      </w:r>
      <w:r w:rsidR="00425B43" w:rsidRPr="00E95BC4">
        <w:rPr>
          <w:lang w:val="sr-Cyrl-CS"/>
        </w:rPr>
        <w:t xml:space="preserve"> </w:t>
      </w:r>
      <w:r>
        <w:rPr>
          <w:lang w:val="sr-Cyrl-CS"/>
        </w:rPr>
        <w:t>za</w:t>
      </w:r>
      <w:r w:rsidR="00425B43" w:rsidRPr="00E95BC4">
        <w:rPr>
          <w:lang w:val="sr-Cyrl-CS"/>
        </w:rPr>
        <w:t xml:space="preserve"> </w:t>
      </w:r>
      <w:r>
        <w:rPr>
          <w:lang w:val="sr-Cyrl-CS"/>
        </w:rPr>
        <w:t>treća</w:t>
      </w:r>
      <w:r w:rsidR="00425B43" w:rsidRPr="00E95BC4">
        <w:rPr>
          <w:lang w:val="sr-Cyrl-CS"/>
        </w:rPr>
        <w:t xml:space="preserve"> </w:t>
      </w:r>
      <w:r>
        <w:rPr>
          <w:lang w:val="sr-Cyrl-CS"/>
        </w:rPr>
        <w:t>lica</w:t>
      </w:r>
      <w:r w:rsidR="00425B43" w:rsidRPr="00E95BC4">
        <w:rPr>
          <w:lang w:val="sr-Cyrl-CS"/>
        </w:rPr>
        <w:t xml:space="preserve"> </w:t>
      </w:r>
      <w:r>
        <w:rPr>
          <w:lang w:val="sr-Cyrl-CS"/>
        </w:rPr>
        <w:t>i</w:t>
      </w:r>
      <w:r w:rsidR="00425B43" w:rsidRPr="00E95BC4">
        <w:rPr>
          <w:lang w:val="sr-Cyrl-CS"/>
        </w:rPr>
        <w:t xml:space="preserve"> </w:t>
      </w:r>
      <w:r>
        <w:rPr>
          <w:lang w:val="sr-Cyrl-CS"/>
        </w:rPr>
        <w:t>samostalno</w:t>
      </w:r>
      <w:r w:rsidR="00425B43" w:rsidRPr="00E95BC4">
        <w:rPr>
          <w:lang w:val="sr-Cyrl-CS"/>
        </w:rPr>
        <w:t xml:space="preserve"> </w:t>
      </w:r>
      <w:r>
        <w:rPr>
          <w:lang w:val="sr-Cyrl-CS"/>
        </w:rPr>
        <w:t>pranje</w:t>
      </w:r>
      <w:r w:rsidR="00425B43" w:rsidRPr="00E95BC4">
        <w:rPr>
          <w:lang w:val="sr-Cyrl-CS"/>
        </w:rPr>
        <w:t xml:space="preserve"> </w:t>
      </w:r>
      <w:r>
        <w:rPr>
          <w:lang w:val="sr-Cyrl-CS"/>
        </w:rPr>
        <w:t>novca</w:t>
      </w:r>
      <w:r w:rsidR="00156D4E" w:rsidRPr="00E95BC4">
        <w:rPr>
          <w:lang w:val="sr-Cyrl-CS"/>
        </w:rPr>
        <w:t xml:space="preserve"> (</w:t>
      </w:r>
      <w:r>
        <w:rPr>
          <w:lang w:val="sr-Cyrl-CS"/>
        </w:rPr>
        <w:t>NI</w:t>
      </w:r>
      <w:r w:rsidR="00156D4E" w:rsidRPr="00E95BC4">
        <w:rPr>
          <w:lang w:val="sr-Cyrl-CS"/>
        </w:rPr>
        <w:t>7)</w:t>
      </w:r>
      <w:r w:rsidR="00425B43" w:rsidRPr="00E95BC4">
        <w:rPr>
          <w:lang w:val="sr-Cyrl-CS"/>
        </w:rPr>
        <w:t xml:space="preserve">, </w:t>
      </w:r>
      <w:r>
        <w:rPr>
          <w:lang w:val="sr-Cyrl-CS"/>
        </w:rPr>
        <w:t>proširila</w:t>
      </w:r>
      <w:r w:rsidR="00425B43" w:rsidRPr="00E95BC4">
        <w:rPr>
          <w:lang w:val="sr-Cyrl-CS"/>
        </w:rPr>
        <w:t xml:space="preserve"> </w:t>
      </w:r>
      <w:r>
        <w:rPr>
          <w:lang w:val="sr-Cyrl-CS"/>
        </w:rPr>
        <w:t>mogućnost</w:t>
      </w:r>
      <w:r w:rsidR="00425B43" w:rsidRPr="00E95BC4">
        <w:rPr>
          <w:lang w:val="sr-Cyrl-CS"/>
        </w:rPr>
        <w:t xml:space="preserve"> </w:t>
      </w:r>
      <w:r>
        <w:rPr>
          <w:lang w:val="sr-Cyrl-CS"/>
        </w:rPr>
        <w:t>primene</w:t>
      </w:r>
      <w:r w:rsidR="00425B43" w:rsidRPr="00E95BC4">
        <w:rPr>
          <w:lang w:val="sr-Cyrl-CS"/>
        </w:rPr>
        <w:t xml:space="preserve"> </w:t>
      </w:r>
      <w:r>
        <w:rPr>
          <w:lang w:val="sr-Cyrl-CS"/>
        </w:rPr>
        <w:t>ciljanih</w:t>
      </w:r>
      <w:r w:rsidR="00425B43" w:rsidRPr="00E95BC4">
        <w:rPr>
          <w:lang w:val="sr-Cyrl-CS"/>
        </w:rPr>
        <w:t xml:space="preserve"> </w:t>
      </w:r>
      <w:r>
        <w:rPr>
          <w:lang w:val="sr-Cyrl-CS"/>
        </w:rPr>
        <w:t>finansijskih</w:t>
      </w:r>
      <w:r w:rsidR="00425B43" w:rsidRPr="00E95BC4">
        <w:rPr>
          <w:lang w:val="sr-Cyrl-CS"/>
        </w:rPr>
        <w:t xml:space="preserve"> </w:t>
      </w:r>
      <w:r>
        <w:rPr>
          <w:lang w:val="sr-Cyrl-CS"/>
        </w:rPr>
        <w:t>sankcija</w:t>
      </w:r>
      <w:r w:rsidR="00425B43" w:rsidRPr="00E95BC4">
        <w:rPr>
          <w:lang w:val="sr-Cyrl-CS"/>
        </w:rPr>
        <w:t xml:space="preserve"> </w:t>
      </w:r>
      <w:r>
        <w:rPr>
          <w:lang w:val="sr-Cyrl-CS"/>
        </w:rPr>
        <w:t>na</w:t>
      </w:r>
      <w:r w:rsidR="00425B43" w:rsidRPr="00E95BC4">
        <w:rPr>
          <w:lang w:val="sr-Cyrl-CS"/>
        </w:rPr>
        <w:t xml:space="preserve"> </w:t>
      </w:r>
      <w:r>
        <w:rPr>
          <w:lang w:val="sr-Cyrl-CS"/>
        </w:rPr>
        <w:t>oblast</w:t>
      </w:r>
      <w:r w:rsidR="00425B43" w:rsidRPr="00E95BC4">
        <w:rPr>
          <w:lang w:val="sr-Cyrl-CS"/>
        </w:rPr>
        <w:t xml:space="preserve"> </w:t>
      </w:r>
      <w:r>
        <w:rPr>
          <w:lang w:val="sr-Cyrl-CS"/>
        </w:rPr>
        <w:t>širenja</w:t>
      </w:r>
      <w:r w:rsidR="00425B43" w:rsidRPr="00E95BC4">
        <w:rPr>
          <w:lang w:val="sr-Cyrl-CS"/>
        </w:rPr>
        <w:t xml:space="preserve"> </w:t>
      </w:r>
      <w:r>
        <w:rPr>
          <w:lang w:val="sr-Cyrl-CS"/>
        </w:rPr>
        <w:t>oružja</w:t>
      </w:r>
      <w:r w:rsidR="00425B43" w:rsidRPr="00E95BC4">
        <w:rPr>
          <w:lang w:val="sr-Cyrl-CS"/>
        </w:rPr>
        <w:t xml:space="preserve"> </w:t>
      </w:r>
      <w:r>
        <w:rPr>
          <w:lang w:val="sr-Cyrl-CS"/>
        </w:rPr>
        <w:t>za</w:t>
      </w:r>
      <w:r w:rsidR="00425B43" w:rsidRPr="00E95BC4">
        <w:rPr>
          <w:lang w:val="sr-Cyrl-CS"/>
        </w:rPr>
        <w:t xml:space="preserve"> </w:t>
      </w:r>
      <w:r>
        <w:rPr>
          <w:lang w:val="sr-Cyrl-CS"/>
        </w:rPr>
        <w:t>masovno</w:t>
      </w:r>
      <w:r w:rsidR="00425B43" w:rsidRPr="00E95BC4">
        <w:rPr>
          <w:lang w:val="sr-Cyrl-CS"/>
        </w:rPr>
        <w:t xml:space="preserve"> </w:t>
      </w:r>
      <w:r>
        <w:rPr>
          <w:lang w:val="sr-Cyrl-CS"/>
        </w:rPr>
        <w:t>uništenje</w:t>
      </w:r>
      <w:r w:rsidR="008A65BD" w:rsidRPr="00E95BC4">
        <w:rPr>
          <w:lang w:val="sr-Cyrl-CS"/>
        </w:rPr>
        <w:t xml:space="preserve"> </w:t>
      </w:r>
      <w:r>
        <w:rPr>
          <w:lang w:val="sr-Cyrl-CS"/>
        </w:rPr>
        <w:t>i</w:t>
      </w:r>
      <w:r w:rsidR="008A65BD" w:rsidRPr="00E95BC4">
        <w:rPr>
          <w:lang w:val="sr-Cyrl-CS"/>
        </w:rPr>
        <w:t xml:space="preserve"> </w:t>
      </w:r>
      <w:r>
        <w:rPr>
          <w:lang w:val="sr-Cyrl-CS"/>
        </w:rPr>
        <w:t>uvela</w:t>
      </w:r>
      <w:r w:rsidR="008A65BD" w:rsidRPr="00E95BC4">
        <w:rPr>
          <w:lang w:val="sr-Cyrl-CS"/>
        </w:rPr>
        <w:t xml:space="preserve"> </w:t>
      </w:r>
      <w:r>
        <w:rPr>
          <w:lang w:val="sr-Cyrl-CS"/>
        </w:rPr>
        <w:t>nadzor</w:t>
      </w:r>
      <w:r w:rsidR="008A65BD" w:rsidRPr="00E95BC4">
        <w:rPr>
          <w:lang w:val="sr-Cyrl-CS"/>
        </w:rPr>
        <w:t xml:space="preserve"> </w:t>
      </w:r>
      <w:r>
        <w:rPr>
          <w:lang w:val="sr-Cyrl-CS"/>
        </w:rPr>
        <w:t>nad</w:t>
      </w:r>
      <w:r w:rsidR="008A65BD" w:rsidRPr="00E95BC4">
        <w:rPr>
          <w:lang w:val="sr-Cyrl-CS"/>
        </w:rPr>
        <w:t xml:space="preserve"> </w:t>
      </w:r>
      <w:r>
        <w:rPr>
          <w:lang w:val="sr-Cyrl-CS"/>
        </w:rPr>
        <w:t>neprofitnim</w:t>
      </w:r>
      <w:r w:rsidR="008A65BD" w:rsidRPr="00E95BC4">
        <w:rPr>
          <w:lang w:val="sr-Cyrl-CS"/>
        </w:rPr>
        <w:t xml:space="preserve"> </w:t>
      </w:r>
      <w:r>
        <w:rPr>
          <w:lang w:val="sr-Cyrl-CS"/>
        </w:rPr>
        <w:t>sektorom</w:t>
      </w:r>
      <w:r w:rsidR="00425B43" w:rsidRPr="00E95BC4">
        <w:rPr>
          <w:lang w:val="sr-Cyrl-CS"/>
        </w:rPr>
        <w:t xml:space="preserve"> </w:t>
      </w:r>
      <w:r>
        <w:rPr>
          <w:lang w:val="sr-Cyrl-CS"/>
        </w:rPr>
        <w:t>sa</w:t>
      </w:r>
      <w:r w:rsidR="00425B43" w:rsidRPr="00E95BC4">
        <w:rPr>
          <w:lang w:val="sr-Cyrl-CS"/>
        </w:rPr>
        <w:t xml:space="preserve"> </w:t>
      </w:r>
      <w:r>
        <w:rPr>
          <w:lang w:val="sr-Cyrl-CS"/>
        </w:rPr>
        <w:t>stanovišta</w:t>
      </w:r>
      <w:r w:rsidR="00425B43" w:rsidRPr="00E95BC4">
        <w:rPr>
          <w:lang w:val="sr-Cyrl-CS"/>
        </w:rPr>
        <w:t xml:space="preserve"> </w:t>
      </w:r>
      <w:r>
        <w:rPr>
          <w:lang w:val="sr-Cyrl-CS"/>
        </w:rPr>
        <w:t>mogućnosti</w:t>
      </w:r>
      <w:r w:rsidR="00425B43" w:rsidRPr="00E95BC4">
        <w:rPr>
          <w:lang w:val="sr-Cyrl-CS"/>
        </w:rPr>
        <w:t xml:space="preserve"> </w:t>
      </w:r>
      <w:r>
        <w:rPr>
          <w:lang w:val="sr-Cyrl-CS"/>
        </w:rPr>
        <w:t>zloupotrebe</w:t>
      </w:r>
      <w:r w:rsidR="00425B43" w:rsidRPr="00E95BC4">
        <w:rPr>
          <w:lang w:val="sr-Cyrl-CS"/>
        </w:rPr>
        <w:t xml:space="preserve"> </w:t>
      </w:r>
      <w:r>
        <w:rPr>
          <w:lang w:val="sr-Cyrl-CS"/>
        </w:rPr>
        <w:t>za</w:t>
      </w:r>
      <w:r w:rsidR="00425B43" w:rsidRPr="00E95BC4">
        <w:rPr>
          <w:lang w:val="sr-Cyrl-CS"/>
        </w:rPr>
        <w:t xml:space="preserve"> </w:t>
      </w:r>
      <w:r>
        <w:rPr>
          <w:lang w:val="sr-Cyrl-CS"/>
        </w:rPr>
        <w:t>finansiranje</w:t>
      </w:r>
      <w:r w:rsidR="00425B43" w:rsidRPr="00E95BC4">
        <w:rPr>
          <w:lang w:val="sr-Cyrl-CS"/>
        </w:rPr>
        <w:t xml:space="preserve"> </w:t>
      </w:r>
      <w:r>
        <w:rPr>
          <w:lang w:val="sr-Cyrl-CS"/>
        </w:rPr>
        <w:t>terorizma</w:t>
      </w:r>
      <w:r w:rsidR="00156D4E" w:rsidRPr="00E95BC4">
        <w:rPr>
          <w:lang w:val="sr-Cyrl-CS"/>
        </w:rPr>
        <w:t xml:space="preserve"> (</w:t>
      </w:r>
      <w:r>
        <w:rPr>
          <w:lang w:val="sr-Cyrl-CS"/>
        </w:rPr>
        <w:t>NI</w:t>
      </w:r>
      <w:r w:rsidR="00156D4E" w:rsidRPr="00E95BC4">
        <w:rPr>
          <w:lang w:val="sr-Cyrl-CS"/>
        </w:rPr>
        <w:t xml:space="preserve">10 </w:t>
      </w:r>
      <w:r>
        <w:rPr>
          <w:lang w:val="sr-Cyrl-CS"/>
        </w:rPr>
        <w:t>i</w:t>
      </w:r>
      <w:r w:rsidR="00156D4E" w:rsidRPr="00E95BC4">
        <w:rPr>
          <w:lang w:val="sr-Cyrl-CS"/>
        </w:rPr>
        <w:t xml:space="preserve"> </w:t>
      </w:r>
      <w:r>
        <w:rPr>
          <w:lang w:val="sr-Cyrl-CS"/>
        </w:rPr>
        <w:t>NI</w:t>
      </w:r>
      <w:r w:rsidR="00156D4E" w:rsidRPr="00E95BC4">
        <w:rPr>
          <w:lang w:val="sr-Cyrl-CS"/>
        </w:rPr>
        <w:t>11)</w:t>
      </w:r>
      <w:r w:rsidR="00425B43" w:rsidRPr="00E95BC4">
        <w:rPr>
          <w:lang w:val="sr-Cyrl-CS"/>
        </w:rPr>
        <w:t>.</w:t>
      </w:r>
    </w:p>
    <w:p w:rsidR="00040297" w:rsidRPr="00E95BC4" w:rsidRDefault="005818C0" w:rsidP="00285FD7">
      <w:pPr>
        <w:ind w:firstLine="720"/>
        <w:jc w:val="both"/>
        <w:rPr>
          <w:lang w:val="sr-Cyrl-CS"/>
        </w:rPr>
      </w:pPr>
      <w:r>
        <w:rPr>
          <w:lang w:val="sr-Cyrl-CS"/>
        </w:rPr>
        <w:t>Republika</w:t>
      </w:r>
      <w:r w:rsidR="004A6FEC" w:rsidRPr="00E95BC4">
        <w:rPr>
          <w:lang w:val="sr-Cyrl-CS"/>
        </w:rPr>
        <w:t xml:space="preserve"> </w:t>
      </w:r>
      <w:r>
        <w:rPr>
          <w:lang w:val="sr-Cyrl-CS"/>
        </w:rPr>
        <w:t>Srbija</w:t>
      </w:r>
      <w:r w:rsidR="0088138E" w:rsidRPr="00E95BC4">
        <w:rPr>
          <w:lang w:val="sr-Cyrl-CS"/>
        </w:rPr>
        <w:t xml:space="preserve"> </w:t>
      </w:r>
      <w:r>
        <w:rPr>
          <w:lang w:val="sr-Cyrl-CS"/>
        </w:rPr>
        <w:t>se</w:t>
      </w:r>
      <w:r w:rsidR="0088138E" w:rsidRPr="00E95BC4">
        <w:rPr>
          <w:lang w:val="sr-Cyrl-CS"/>
        </w:rPr>
        <w:t xml:space="preserve"> </w:t>
      </w:r>
      <w:r>
        <w:rPr>
          <w:lang w:val="sr-Cyrl-CS"/>
        </w:rPr>
        <w:t>za</w:t>
      </w:r>
      <w:r w:rsidR="0088138E" w:rsidRPr="00E95BC4">
        <w:rPr>
          <w:lang w:val="sr-Cyrl-CS"/>
        </w:rPr>
        <w:t xml:space="preserve"> </w:t>
      </w:r>
      <w:r>
        <w:rPr>
          <w:lang w:val="sr-Cyrl-CS"/>
        </w:rPr>
        <w:t>potrebe</w:t>
      </w:r>
      <w:r w:rsidR="0088138E" w:rsidRPr="00E95BC4">
        <w:rPr>
          <w:lang w:val="sr-Cyrl-CS"/>
        </w:rPr>
        <w:t xml:space="preserve"> </w:t>
      </w:r>
      <w:r>
        <w:rPr>
          <w:lang w:val="sr-Cyrl-CS"/>
        </w:rPr>
        <w:t>Trećeg</w:t>
      </w:r>
      <w:r w:rsidR="0088138E" w:rsidRPr="00E95BC4">
        <w:rPr>
          <w:lang w:val="sr-Cyrl-CS"/>
        </w:rPr>
        <w:t xml:space="preserve"> </w:t>
      </w:r>
      <w:r>
        <w:rPr>
          <w:lang w:val="sr-Cyrl-CS"/>
        </w:rPr>
        <w:t>izveštaja</w:t>
      </w:r>
      <w:r w:rsidR="0088138E" w:rsidRPr="00E95BC4">
        <w:rPr>
          <w:lang w:val="sr-Cyrl-CS"/>
        </w:rPr>
        <w:t xml:space="preserve"> </w:t>
      </w:r>
      <w:r>
        <w:rPr>
          <w:lang w:val="sr-Cyrl-CS"/>
        </w:rPr>
        <w:t>o</w:t>
      </w:r>
      <w:r w:rsidR="0088138E" w:rsidRPr="00E95BC4">
        <w:rPr>
          <w:lang w:val="sr-Cyrl-CS"/>
        </w:rPr>
        <w:t xml:space="preserve"> </w:t>
      </w:r>
      <w:r>
        <w:rPr>
          <w:lang w:val="sr-Cyrl-CS"/>
        </w:rPr>
        <w:t>pojačanom</w:t>
      </w:r>
      <w:r w:rsidR="0088138E" w:rsidRPr="00E95BC4">
        <w:rPr>
          <w:lang w:val="sr-Cyrl-CS"/>
        </w:rPr>
        <w:t xml:space="preserve"> </w:t>
      </w:r>
      <w:r>
        <w:rPr>
          <w:lang w:val="sr-Cyrl-CS"/>
        </w:rPr>
        <w:t>praćenju</w:t>
      </w:r>
      <w:r w:rsidR="0088138E" w:rsidRPr="00E95BC4">
        <w:rPr>
          <w:lang w:val="sr-Cyrl-CS"/>
        </w:rPr>
        <w:t xml:space="preserve"> </w:t>
      </w:r>
      <w:r>
        <w:rPr>
          <w:lang w:val="sr-Cyrl-CS"/>
        </w:rPr>
        <w:t>od</w:t>
      </w:r>
      <w:r w:rsidR="0088138E" w:rsidRPr="00E95BC4">
        <w:rPr>
          <w:lang w:val="sr-Cyrl-CS"/>
        </w:rPr>
        <w:t xml:space="preserve"> </w:t>
      </w:r>
      <w:r>
        <w:rPr>
          <w:lang w:val="sr-Cyrl-CS"/>
        </w:rPr>
        <w:t>strane</w:t>
      </w:r>
      <w:r w:rsidR="0088138E" w:rsidRPr="00E95BC4">
        <w:rPr>
          <w:lang w:val="sr-Cyrl-CS"/>
        </w:rPr>
        <w:t xml:space="preserve"> </w:t>
      </w:r>
      <w:r>
        <w:rPr>
          <w:lang w:val="sr-Cyrl-CS"/>
        </w:rPr>
        <w:t>Manivala</w:t>
      </w:r>
      <w:r w:rsidR="0088138E" w:rsidRPr="00E95BC4">
        <w:rPr>
          <w:lang w:val="sr-Cyrl-CS"/>
        </w:rPr>
        <w:t xml:space="preserve"> </w:t>
      </w:r>
      <w:r>
        <w:rPr>
          <w:lang w:val="sr-Cyrl-CS"/>
        </w:rPr>
        <w:t>izjašnjavala</w:t>
      </w:r>
      <w:r w:rsidR="0088138E" w:rsidRPr="00E95BC4">
        <w:rPr>
          <w:lang w:val="sr-Cyrl-CS"/>
        </w:rPr>
        <w:t xml:space="preserve"> </w:t>
      </w:r>
      <w:r>
        <w:rPr>
          <w:lang w:val="sr-Cyrl-CS"/>
        </w:rPr>
        <w:t>o</w:t>
      </w:r>
      <w:r w:rsidR="0088138E" w:rsidRPr="00E95BC4">
        <w:rPr>
          <w:lang w:val="sr-Cyrl-CS"/>
        </w:rPr>
        <w:t xml:space="preserve"> </w:t>
      </w:r>
      <w:r>
        <w:rPr>
          <w:lang w:val="sr-Cyrl-CS"/>
        </w:rPr>
        <w:t>napretku</w:t>
      </w:r>
      <w:r w:rsidR="0088138E" w:rsidRPr="00E95BC4">
        <w:rPr>
          <w:lang w:val="sr-Cyrl-CS"/>
        </w:rPr>
        <w:t xml:space="preserve"> </w:t>
      </w:r>
      <w:r>
        <w:rPr>
          <w:lang w:val="sr-Cyrl-CS"/>
        </w:rPr>
        <w:t>u</w:t>
      </w:r>
      <w:r w:rsidR="0088138E" w:rsidRPr="00E95BC4">
        <w:rPr>
          <w:lang w:val="sr-Cyrl-CS"/>
        </w:rPr>
        <w:t xml:space="preserve"> </w:t>
      </w:r>
      <w:r>
        <w:rPr>
          <w:lang w:val="sr-Cyrl-CS"/>
        </w:rPr>
        <w:t>pogledu</w:t>
      </w:r>
      <w:r w:rsidR="0088138E" w:rsidRPr="00E95BC4">
        <w:rPr>
          <w:lang w:val="sr-Cyrl-CS"/>
        </w:rPr>
        <w:t xml:space="preserve"> </w:t>
      </w:r>
      <w:r>
        <w:rPr>
          <w:i/>
          <w:lang w:val="sr-Cyrl-CS"/>
        </w:rPr>
        <w:t>delotvornosti</w:t>
      </w:r>
      <w:r w:rsidR="0088138E" w:rsidRPr="00E95BC4">
        <w:rPr>
          <w:lang w:val="sr-Cyrl-CS"/>
        </w:rPr>
        <w:t xml:space="preserve"> </w:t>
      </w:r>
      <w:r>
        <w:rPr>
          <w:lang w:val="sr-Cyrl-CS"/>
        </w:rPr>
        <w:t>u</w:t>
      </w:r>
      <w:r w:rsidR="0088138E" w:rsidRPr="00E95BC4">
        <w:rPr>
          <w:lang w:val="sr-Cyrl-CS"/>
        </w:rPr>
        <w:t xml:space="preserve"> </w:t>
      </w:r>
      <w:r>
        <w:rPr>
          <w:lang w:val="sr-Cyrl-CS"/>
        </w:rPr>
        <w:t>odnosu</w:t>
      </w:r>
      <w:r w:rsidR="0088138E" w:rsidRPr="00E95BC4">
        <w:rPr>
          <w:lang w:val="sr-Cyrl-CS"/>
        </w:rPr>
        <w:t xml:space="preserve"> </w:t>
      </w:r>
      <w:r>
        <w:rPr>
          <w:lang w:val="sr-Cyrl-CS"/>
        </w:rPr>
        <w:t>na</w:t>
      </w:r>
      <w:r w:rsidR="0088138E" w:rsidRPr="00E95BC4">
        <w:rPr>
          <w:lang w:val="sr-Cyrl-CS"/>
        </w:rPr>
        <w:t xml:space="preserve"> 56 </w:t>
      </w:r>
      <w:r>
        <w:rPr>
          <w:lang w:val="sr-Cyrl-CS"/>
        </w:rPr>
        <w:t>preporuka</w:t>
      </w:r>
      <w:r w:rsidR="0088138E" w:rsidRPr="00E95BC4">
        <w:rPr>
          <w:lang w:val="sr-Cyrl-CS"/>
        </w:rPr>
        <w:t xml:space="preserve"> </w:t>
      </w:r>
      <w:r>
        <w:rPr>
          <w:lang w:val="sr-Cyrl-CS"/>
        </w:rPr>
        <w:t>Manivala</w:t>
      </w:r>
      <w:r w:rsidR="0088138E" w:rsidRPr="00E95BC4">
        <w:rPr>
          <w:lang w:val="sr-Cyrl-CS"/>
        </w:rPr>
        <w:t xml:space="preserve"> </w:t>
      </w:r>
      <w:r>
        <w:rPr>
          <w:lang w:val="sr-Cyrl-CS"/>
        </w:rPr>
        <w:t>koje</w:t>
      </w:r>
      <w:r w:rsidR="0088138E" w:rsidRPr="00E95BC4">
        <w:rPr>
          <w:lang w:val="sr-Cyrl-CS"/>
        </w:rPr>
        <w:t xml:space="preserve"> </w:t>
      </w:r>
      <w:r>
        <w:rPr>
          <w:lang w:val="sr-Cyrl-CS"/>
        </w:rPr>
        <w:t>su</w:t>
      </w:r>
      <w:r w:rsidR="0088138E" w:rsidRPr="00E95BC4">
        <w:rPr>
          <w:lang w:val="sr-Cyrl-CS"/>
        </w:rPr>
        <w:t xml:space="preserve"> </w:t>
      </w:r>
      <w:r>
        <w:rPr>
          <w:lang w:val="sr-Cyrl-CS"/>
        </w:rPr>
        <w:t>podeljene</w:t>
      </w:r>
      <w:r w:rsidR="0088138E" w:rsidRPr="00E95BC4">
        <w:rPr>
          <w:lang w:val="sr-Cyrl-CS"/>
        </w:rPr>
        <w:t xml:space="preserve"> </w:t>
      </w:r>
      <w:r>
        <w:rPr>
          <w:lang w:val="sr-Cyrl-CS"/>
        </w:rPr>
        <w:t>po</w:t>
      </w:r>
      <w:r w:rsidR="0088138E" w:rsidRPr="00E95BC4">
        <w:rPr>
          <w:lang w:val="sr-Cyrl-CS"/>
        </w:rPr>
        <w:t xml:space="preserve"> </w:t>
      </w:r>
      <w:r>
        <w:rPr>
          <w:lang w:val="sr-Cyrl-CS"/>
        </w:rPr>
        <w:t>neposrednim</w:t>
      </w:r>
      <w:r w:rsidR="0088138E" w:rsidRPr="00E95BC4">
        <w:rPr>
          <w:lang w:val="sr-Cyrl-CS"/>
        </w:rPr>
        <w:t xml:space="preserve"> </w:t>
      </w:r>
      <w:r>
        <w:rPr>
          <w:lang w:val="sr-Cyrl-CS"/>
        </w:rPr>
        <w:t>ishodima</w:t>
      </w:r>
      <w:r w:rsidR="0088138E" w:rsidRPr="00E95BC4">
        <w:rPr>
          <w:lang w:val="sr-Cyrl-CS"/>
        </w:rPr>
        <w:t xml:space="preserve"> </w:t>
      </w:r>
      <w:r>
        <w:rPr>
          <w:lang w:val="sr-Cyrl-CS"/>
        </w:rPr>
        <w:t>na</w:t>
      </w:r>
      <w:r w:rsidR="0088138E" w:rsidRPr="00E95BC4">
        <w:rPr>
          <w:lang w:val="sr-Cyrl-CS"/>
        </w:rPr>
        <w:t xml:space="preserve"> </w:t>
      </w:r>
      <w:r>
        <w:rPr>
          <w:lang w:val="sr-Cyrl-CS"/>
        </w:rPr>
        <w:t>sledeći</w:t>
      </w:r>
      <w:r w:rsidR="0088138E" w:rsidRPr="00E95BC4">
        <w:rPr>
          <w:lang w:val="sr-Cyrl-CS"/>
        </w:rPr>
        <w:t xml:space="preserve"> </w:t>
      </w:r>
      <w:r>
        <w:rPr>
          <w:lang w:val="sr-Cyrl-CS"/>
        </w:rPr>
        <w:t>način</w:t>
      </w:r>
      <w:r w:rsidR="0088138E" w:rsidRPr="00E95BC4">
        <w:rPr>
          <w:lang w:val="sr-Cyrl-CS"/>
        </w:rPr>
        <w:t>:</w:t>
      </w:r>
    </w:p>
    <w:p w:rsidR="0004492D" w:rsidRPr="00E95BC4" w:rsidRDefault="0004492D" w:rsidP="00285FD7">
      <w:pPr>
        <w:ind w:firstLine="720"/>
        <w:jc w:val="both"/>
        <w:rPr>
          <w:lang w:val="sr-Cyrl-CS"/>
        </w:rPr>
      </w:pPr>
    </w:p>
    <w:tbl>
      <w:tblPr>
        <w:tblStyle w:val="TableGrid"/>
        <w:tblW w:w="0" w:type="auto"/>
        <w:tblInd w:w="108"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tblPr>
      <w:tblGrid>
        <w:gridCol w:w="7371"/>
        <w:gridCol w:w="284"/>
        <w:gridCol w:w="1559"/>
      </w:tblGrid>
      <w:tr w:rsidR="0088138E" w:rsidRPr="00E95BC4" w:rsidTr="00286710">
        <w:tc>
          <w:tcPr>
            <w:tcW w:w="7371" w:type="dxa"/>
          </w:tcPr>
          <w:p w:rsidR="0088138E" w:rsidRPr="00E95BC4" w:rsidRDefault="005818C0" w:rsidP="00285FD7">
            <w:pPr>
              <w:jc w:val="center"/>
              <w:rPr>
                <w:b/>
                <w:lang w:val="sr-Cyrl-CS"/>
              </w:rPr>
            </w:pPr>
            <w:r>
              <w:rPr>
                <w:b/>
                <w:lang w:val="sr-Cyrl-CS"/>
              </w:rPr>
              <w:t>Neposredni</w:t>
            </w:r>
            <w:r w:rsidR="0088138E" w:rsidRPr="00E95BC4">
              <w:rPr>
                <w:b/>
                <w:lang w:val="sr-Cyrl-CS"/>
              </w:rPr>
              <w:t xml:space="preserve"> </w:t>
            </w:r>
            <w:r>
              <w:rPr>
                <w:b/>
                <w:lang w:val="sr-Cyrl-CS"/>
              </w:rPr>
              <w:t>ishod</w:t>
            </w:r>
          </w:p>
        </w:tc>
        <w:tc>
          <w:tcPr>
            <w:tcW w:w="284" w:type="dxa"/>
          </w:tcPr>
          <w:p w:rsidR="0088138E" w:rsidRPr="00E95BC4" w:rsidRDefault="0088138E" w:rsidP="00285FD7">
            <w:pPr>
              <w:jc w:val="center"/>
              <w:rPr>
                <w:b/>
                <w:lang w:val="sr-Cyrl-CS"/>
              </w:rPr>
            </w:pPr>
          </w:p>
        </w:tc>
        <w:tc>
          <w:tcPr>
            <w:tcW w:w="1559" w:type="dxa"/>
          </w:tcPr>
          <w:p w:rsidR="0088138E" w:rsidRPr="00E95BC4" w:rsidRDefault="005818C0" w:rsidP="00285FD7">
            <w:pPr>
              <w:jc w:val="center"/>
              <w:rPr>
                <w:b/>
                <w:lang w:val="sr-Cyrl-CS"/>
              </w:rPr>
            </w:pPr>
            <w:r>
              <w:rPr>
                <w:b/>
                <w:lang w:val="sr-Cyrl-CS"/>
              </w:rPr>
              <w:t>Broj</w:t>
            </w:r>
            <w:r w:rsidR="0088138E" w:rsidRPr="00E95BC4">
              <w:rPr>
                <w:b/>
                <w:lang w:val="sr-Cyrl-CS"/>
              </w:rPr>
              <w:t xml:space="preserve"> </w:t>
            </w:r>
            <w:r>
              <w:rPr>
                <w:b/>
                <w:lang w:val="sr-Cyrl-CS"/>
              </w:rPr>
              <w:t>preporuka</w:t>
            </w:r>
          </w:p>
        </w:tc>
      </w:tr>
      <w:tr w:rsidR="0088138E" w:rsidRPr="00E95BC4" w:rsidTr="00286710">
        <w:tc>
          <w:tcPr>
            <w:tcW w:w="7371" w:type="dxa"/>
          </w:tcPr>
          <w:p w:rsidR="0088138E" w:rsidRPr="00E95BC4" w:rsidRDefault="005818C0" w:rsidP="00285FD7">
            <w:pPr>
              <w:rPr>
                <w:lang w:val="sr-Cyrl-CS"/>
              </w:rPr>
            </w:pPr>
            <w:r>
              <w:rPr>
                <w:lang w:val="sr-Cyrl-CS"/>
              </w:rPr>
              <w:t>NR</w:t>
            </w:r>
            <w:r w:rsidR="0088138E" w:rsidRPr="00E95BC4">
              <w:rPr>
                <w:lang w:val="sr-Cyrl-CS"/>
              </w:rPr>
              <w:t xml:space="preserve"> 1 </w:t>
            </w:r>
            <w:r w:rsidR="00816358" w:rsidRPr="00E95BC4">
              <w:rPr>
                <w:lang w:val="sr-Cyrl-CS"/>
              </w:rPr>
              <w:t>–</w:t>
            </w:r>
            <w:r w:rsidR="0088138E" w:rsidRPr="00E95BC4">
              <w:rPr>
                <w:lang w:val="sr-Cyrl-CS"/>
              </w:rPr>
              <w:t xml:space="preserve"> </w:t>
            </w:r>
            <w:r>
              <w:rPr>
                <w:lang w:val="sr-Cyrl-CS"/>
              </w:rPr>
              <w:t>Rizik</w:t>
            </w:r>
            <w:r w:rsidR="0088138E" w:rsidRPr="00E95BC4">
              <w:rPr>
                <w:lang w:val="sr-Cyrl-CS"/>
              </w:rPr>
              <w:t xml:space="preserve">, </w:t>
            </w:r>
            <w:r>
              <w:rPr>
                <w:lang w:val="sr-Cyrl-CS"/>
              </w:rPr>
              <w:t>politika</w:t>
            </w:r>
            <w:r w:rsidR="0088138E" w:rsidRPr="00E95BC4">
              <w:rPr>
                <w:lang w:val="sr-Cyrl-CS"/>
              </w:rPr>
              <w:t xml:space="preserve">, </w:t>
            </w:r>
            <w:r>
              <w:rPr>
                <w:lang w:val="sr-Cyrl-CS"/>
              </w:rPr>
              <w:t>koordinacija</w:t>
            </w:r>
          </w:p>
        </w:tc>
        <w:tc>
          <w:tcPr>
            <w:tcW w:w="284" w:type="dxa"/>
          </w:tcPr>
          <w:p w:rsidR="0088138E" w:rsidRPr="00E95BC4" w:rsidRDefault="0088138E" w:rsidP="00285FD7">
            <w:pPr>
              <w:rPr>
                <w:lang w:val="sr-Cyrl-CS"/>
              </w:rPr>
            </w:pPr>
          </w:p>
        </w:tc>
        <w:tc>
          <w:tcPr>
            <w:tcW w:w="1559" w:type="dxa"/>
          </w:tcPr>
          <w:p w:rsidR="0088138E" w:rsidRPr="00E95BC4" w:rsidRDefault="00816358" w:rsidP="00285FD7">
            <w:pPr>
              <w:rPr>
                <w:lang w:val="sr-Cyrl-CS"/>
              </w:rPr>
            </w:pPr>
            <w:r w:rsidRPr="00E95BC4">
              <w:rPr>
                <w:lang w:val="sr-Cyrl-CS"/>
              </w:rPr>
              <w:t>6</w:t>
            </w:r>
          </w:p>
        </w:tc>
      </w:tr>
      <w:tr w:rsidR="0088138E" w:rsidRPr="00E95BC4" w:rsidTr="00286710">
        <w:tc>
          <w:tcPr>
            <w:tcW w:w="7371" w:type="dxa"/>
          </w:tcPr>
          <w:p w:rsidR="0088138E" w:rsidRPr="00E95BC4" w:rsidRDefault="005818C0" w:rsidP="00285FD7">
            <w:pPr>
              <w:rPr>
                <w:lang w:val="sr-Cyrl-CS"/>
              </w:rPr>
            </w:pPr>
            <w:r>
              <w:rPr>
                <w:lang w:val="sr-Cyrl-CS"/>
              </w:rPr>
              <w:t>NR</w:t>
            </w:r>
            <w:r w:rsidR="00816358" w:rsidRPr="00E95BC4">
              <w:rPr>
                <w:lang w:val="sr-Cyrl-CS"/>
              </w:rPr>
              <w:t xml:space="preserve"> 2 – </w:t>
            </w:r>
            <w:r>
              <w:rPr>
                <w:lang w:val="sr-Cyrl-CS"/>
              </w:rPr>
              <w:t>Međunarodna</w:t>
            </w:r>
            <w:r w:rsidR="0088138E" w:rsidRPr="00E95BC4">
              <w:rPr>
                <w:lang w:val="sr-Cyrl-CS"/>
              </w:rPr>
              <w:t xml:space="preserve"> </w:t>
            </w:r>
            <w:r>
              <w:rPr>
                <w:lang w:val="sr-Cyrl-CS"/>
              </w:rPr>
              <w:t>saradnja</w:t>
            </w:r>
          </w:p>
        </w:tc>
        <w:tc>
          <w:tcPr>
            <w:tcW w:w="284" w:type="dxa"/>
          </w:tcPr>
          <w:p w:rsidR="0088138E" w:rsidRPr="00E95BC4" w:rsidRDefault="0088138E" w:rsidP="00285FD7">
            <w:pPr>
              <w:rPr>
                <w:lang w:val="sr-Cyrl-CS"/>
              </w:rPr>
            </w:pPr>
          </w:p>
        </w:tc>
        <w:tc>
          <w:tcPr>
            <w:tcW w:w="1559" w:type="dxa"/>
          </w:tcPr>
          <w:p w:rsidR="0088138E" w:rsidRPr="00E95BC4" w:rsidRDefault="00816358" w:rsidP="00285FD7">
            <w:pPr>
              <w:rPr>
                <w:lang w:val="sr-Cyrl-CS"/>
              </w:rPr>
            </w:pPr>
            <w:r w:rsidRPr="00E95BC4">
              <w:rPr>
                <w:lang w:val="sr-Cyrl-CS"/>
              </w:rPr>
              <w:t>5</w:t>
            </w:r>
          </w:p>
        </w:tc>
      </w:tr>
      <w:tr w:rsidR="00816358" w:rsidRPr="00E95BC4" w:rsidTr="00286710">
        <w:tc>
          <w:tcPr>
            <w:tcW w:w="7371" w:type="dxa"/>
          </w:tcPr>
          <w:p w:rsidR="00816358" w:rsidRPr="00E95BC4" w:rsidRDefault="005818C0" w:rsidP="00285FD7">
            <w:pPr>
              <w:rPr>
                <w:lang w:val="sr-Cyrl-CS"/>
              </w:rPr>
            </w:pPr>
            <w:r>
              <w:rPr>
                <w:lang w:val="sr-Cyrl-CS"/>
              </w:rPr>
              <w:t>NR</w:t>
            </w:r>
            <w:r w:rsidR="00816358" w:rsidRPr="00E95BC4">
              <w:rPr>
                <w:lang w:val="sr-Cyrl-CS"/>
              </w:rPr>
              <w:t xml:space="preserve"> 3 – </w:t>
            </w:r>
            <w:r>
              <w:rPr>
                <w:lang w:val="sr-Cyrl-CS"/>
              </w:rPr>
              <w:t>Nadzor</w:t>
            </w:r>
          </w:p>
        </w:tc>
        <w:tc>
          <w:tcPr>
            <w:tcW w:w="284" w:type="dxa"/>
          </w:tcPr>
          <w:p w:rsidR="00816358" w:rsidRPr="00E95BC4" w:rsidRDefault="00816358" w:rsidP="00285FD7">
            <w:pPr>
              <w:rPr>
                <w:lang w:val="sr-Cyrl-CS"/>
              </w:rPr>
            </w:pPr>
          </w:p>
        </w:tc>
        <w:tc>
          <w:tcPr>
            <w:tcW w:w="1559" w:type="dxa"/>
          </w:tcPr>
          <w:p w:rsidR="00816358" w:rsidRPr="00E95BC4" w:rsidRDefault="00816358" w:rsidP="00285FD7">
            <w:pPr>
              <w:rPr>
                <w:lang w:val="sr-Cyrl-CS"/>
              </w:rPr>
            </w:pPr>
            <w:r w:rsidRPr="00E95BC4">
              <w:rPr>
                <w:lang w:val="sr-Cyrl-CS"/>
              </w:rPr>
              <w:t>7</w:t>
            </w:r>
          </w:p>
        </w:tc>
      </w:tr>
      <w:tr w:rsidR="00816358" w:rsidRPr="00E95BC4" w:rsidTr="00286710">
        <w:tc>
          <w:tcPr>
            <w:tcW w:w="7371" w:type="dxa"/>
          </w:tcPr>
          <w:p w:rsidR="00816358" w:rsidRPr="00E95BC4" w:rsidRDefault="005818C0" w:rsidP="00285FD7">
            <w:pPr>
              <w:rPr>
                <w:lang w:val="sr-Cyrl-CS"/>
              </w:rPr>
            </w:pPr>
            <w:r>
              <w:rPr>
                <w:lang w:val="sr-Cyrl-CS"/>
              </w:rPr>
              <w:t>NR</w:t>
            </w:r>
            <w:r w:rsidR="00816358" w:rsidRPr="00E95BC4">
              <w:rPr>
                <w:lang w:val="sr-Cyrl-CS"/>
              </w:rPr>
              <w:t xml:space="preserve"> 4 – </w:t>
            </w:r>
            <w:r>
              <w:rPr>
                <w:lang w:val="sr-Cyrl-CS"/>
              </w:rPr>
              <w:t>Preventivne</w:t>
            </w:r>
            <w:r w:rsidR="00816358" w:rsidRPr="00E95BC4">
              <w:rPr>
                <w:lang w:val="sr-Cyrl-CS"/>
              </w:rPr>
              <w:t xml:space="preserve"> </w:t>
            </w:r>
            <w:r>
              <w:rPr>
                <w:lang w:val="sr-Cyrl-CS"/>
              </w:rPr>
              <w:t>mere</w:t>
            </w:r>
          </w:p>
        </w:tc>
        <w:tc>
          <w:tcPr>
            <w:tcW w:w="284" w:type="dxa"/>
          </w:tcPr>
          <w:p w:rsidR="00816358" w:rsidRPr="00E95BC4" w:rsidRDefault="00816358" w:rsidP="00285FD7">
            <w:pPr>
              <w:rPr>
                <w:lang w:val="sr-Cyrl-CS"/>
              </w:rPr>
            </w:pPr>
          </w:p>
        </w:tc>
        <w:tc>
          <w:tcPr>
            <w:tcW w:w="1559" w:type="dxa"/>
          </w:tcPr>
          <w:p w:rsidR="00816358" w:rsidRPr="00E95BC4" w:rsidRDefault="00816358" w:rsidP="00285FD7">
            <w:pPr>
              <w:rPr>
                <w:lang w:val="sr-Cyrl-CS"/>
              </w:rPr>
            </w:pPr>
            <w:r w:rsidRPr="00E95BC4">
              <w:rPr>
                <w:lang w:val="sr-Cyrl-CS"/>
              </w:rPr>
              <w:t>4</w:t>
            </w:r>
          </w:p>
        </w:tc>
      </w:tr>
      <w:tr w:rsidR="00816358" w:rsidRPr="00E95BC4" w:rsidTr="00286710">
        <w:tc>
          <w:tcPr>
            <w:tcW w:w="7371" w:type="dxa"/>
          </w:tcPr>
          <w:p w:rsidR="00816358" w:rsidRPr="00E95BC4" w:rsidRDefault="005818C0" w:rsidP="00285FD7">
            <w:pPr>
              <w:rPr>
                <w:lang w:val="sr-Cyrl-CS"/>
              </w:rPr>
            </w:pPr>
            <w:r>
              <w:rPr>
                <w:lang w:val="sr-Cyrl-CS"/>
              </w:rPr>
              <w:t>NR</w:t>
            </w:r>
            <w:r w:rsidR="00816358" w:rsidRPr="00E95BC4">
              <w:rPr>
                <w:lang w:val="sr-Cyrl-CS"/>
              </w:rPr>
              <w:t xml:space="preserve"> 5 – </w:t>
            </w:r>
            <w:r>
              <w:rPr>
                <w:lang w:val="sr-Cyrl-CS"/>
              </w:rPr>
              <w:t>Pravna</w:t>
            </w:r>
            <w:r w:rsidR="00816358" w:rsidRPr="00E95BC4">
              <w:rPr>
                <w:lang w:val="sr-Cyrl-CS"/>
              </w:rPr>
              <w:t xml:space="preserve"> </w:t>
            </w:r>
            <w:r>
              <w:rPr>
                <w:lang w:val="sr-Cyrl-CS"/>
              </w:rPr>
              <w:t>lica</w:t>
            </w:r>
            <w:r w:rsidR="00816358" w:rsidRPr="00E95BC4">
              <w:rPr>
                <w:lang w:val="sr-Cyrl-CS"/>
              </w:rPr>
              <w:t xml:space="preserve"> </w:t>
            </w:r>
            <w:r>
              <w:rPr>
                <w:lang w:val="sr-Cyrl-CS"/>
              </w:rPr>
              <w:t>i</w:t>
            </w:r>
            <w:r w:rsidR="00816358" w:rsidRPr="00E95BC4">
              <w:rPr>
                <w:lang w:val="sr-Cyrl-CS"/>
              </w:rPr>
              <w:t xml:space="preserve"> </w:t>
            </w:r>
            <w:r>
              <w:rPr>
                <w:lang w:val="sr-Cyrl-CS"/>
              </w:rPr>
              <w:t>lica</w:t>
            </w:r>
            <w:r w:rsidR="00816358" w:rsidRPr="00E95BC4">
              <w:rPr>
                <w:lang w:val="sr-Cyrl-CS"/>
              </w:rPr>
              <w:t xml:space="preserve"> </w:t>
            </w:r>
            <w:r>
              <w:rPr>
                <w:lang w:val="sr-Cyrl-CS"/>
              </w:rPr>
              <w:t>stranog</w:t>
            </w:r>
            <w:r w:rsidR="00816358" w:rsidRPr="00E95BC4">
              <w:rPr>
                <w:lang w:val="sr-Cyrl-CS"/>
              </w:rPr>
              <w:t xml:space="preserve"> </w:t>
            </w:r>
            <w:r>
              <w:rPr>
                <w:lang w:val="sr-Cyrl-CS"/>
              </w:rPr>
              <w:t>prava</w:t>
            </w:r>
          </w:p>
        </w:tc>
        <w:tc>
          <w:tcPr>
            <w:tcW w:w="284" w:type="dxa"/>
          </w:tcPr>
          <w:p w:rsidR="00816358" w:rsidRPr="00E95BC4" w:rsidRDefault="00816358" w:rsidP="00285FD7">
            <w:pPr>
              <w:rPr>
                <w:lang w:val="sr-Cyrl-CS"/>
              </w:rPr>
            </w:pPr>
          </w:p>
        </w:tc>
        <w:tc>
          <w:tcPr>
            <w:tcW w:w="1559" w:type="dxa"/>
          </w:tcPr>
          <w:p w:rsidR="00816358" w:rsidRPr="00E95BC4" w:rsidRDefault="00816358" w:rsidP="00285FD7">
            <w:pPr>
              <w:rPr>
                <w:lang w:val="sr-Cyrl-CS"/>
              </w:rPr>
            </w:pPr>
            <w:r w:rsidRPr="00E95BC4">
              <w:rPr>
                <w:lang w:val="sr-Cyrl-CS"/>
              </w:rPr>
              <w:t>4</w:t>
            </w:r>
          </w:p>
        </w:tc>
      </w:tr>
      <w:tr w:rsidR="00816358" w:rsidRPr="00E95BC4" w:rsidTr="00286710">
        <w:tc>
          <w:tcPr>
            <w:tcW w:w="7371" w:type="dxa"/>
          </w:tcPr>
          <w:p w:rsidR="00816358" w:rsidRPr="00E95BC4" w:rsidRDefault="005818C0" w:rsidP="00285FD7">
            <w:pPr>
              <w:rPr>
                <w:lang w:val="sr-Cyrl-CS"/>
              </w:rPr>
            </w:pPr>
            <w:r>
              <w:rPr>
                <w:lang w:val="sr-Cyrl-CS"/>
              </w:rPr>
              <w:t>NR</w:t>
            </w:r>
            <w:r w:rsidR="00816358" w:rsidRPr="00E95BC4">
              <w:rPr>
                <w:lang w:val="sr-Cyrl-CS"/>
              </w:rPr>
              <w:t xml:space="preserve"> 6 – </w:t>
            </w:r>
            <w:r>
              <w:rPr>
                <w:lang w:val="sr-Cyrl-CS"/>
              </w:rPr>
              <w:t>Finansijskoobaveštajni</w:t>
            </w:r>
            <w:r w:rsidR="00816358" w:rsidRPr="00E95BC4">
              <w:rPr>
                <w:lang w:val="sr-Cyrl-CS"/>
              </w:rPr>
              <w:t xml:space="preserve"> </w:t>
            </w:r>
            <w:r>
              <w:rPr>
                <w:lang w:val="sr-Cyrl-CS"/>
              </w:rPr>
              <w:t>podaci</w:t>
            </w:r>
          </w:p>
        </w:tc>
        <w:tc>
          <w:tcPr>
            <w:tcW w:w="284" w:type="dxa"/>
          </w:tcPr>
          <w:p w:rsidR="00816358" w:rsidRPr="00E95BC4" w:rsidRDefault="00816358" w:rsidP="00285FD7">
            <w:pPr>
              <w:rPr>
                <w:lang w:val="sr-Cyrl-CS"/>
              </w:rPr>
            </w:pPr>
          </w:p>
        </w:tc>
        <w:tc>
          <w:tcPr>
            <w:tcW w:w="1559" w:type="dxa"/>
          </w:tcPr>
          <w:p w:rsidR="00816358" w:rsidRPr="00E95BC4" w:rsidRDefault="00816358" w:rsidP="00285FD7">
            <w:pPr>
              <w:rPr>
                <w:lang w:val="sr-Cyrl-CS"/>
              </w:rPr>
            </w:pPr>
            <w:r w:rsidRPr="00E95BC4">
              <w:rPr>
                <w:lang w:val="sr-Cyrl-CS"/>
              </w:rPr>
              <w:t>6</w:t>
            </w:r>
          </w:p>
        </w:tc>
      </w:tr>
      <w:tr w:rsidR="00816358" w:rsidRPr="00E95BC4" w:rsidTr="00286710">
        <w:tc>
          <w:tcPr>
            <w:tcW w:w="7371" w:type="dxa"/>
          </w:tcPr>
          <w:p w:rsidR="00816358" w:rsidRPr="00E95BC4" w:rsidRDefault="005818C0" w:rsidP="00285FD7">
            <w:pPr>
              <w:rPr>
                <w:lang w:val="sr-Cyrl-CS"/>
              </w:rPr>
            </w:pPr>
            <w:r>
              <w:rPr>
                <w:lang w:val="sr-Cyrl-CS"/>
              </w:rPr>
              <w:t>NR</w:t>
            </w:r>
            <w:r w:rsidR="00816358" w:rsidRPr="00E95BC4">
              <w:rPr>
                <w:lang w:val="sr-Cyrl-CS"/>
              </w:rPr>
              <w:t xml:space="preserve"> 7 – </w:t>
            </w:r>
            <w:r>
              <w:rPr>
                <w:lang w:val="sr-Cyrl-CS"/>
              </w:rPr>
              <w:t>Istrage</w:t>
            </w:r>
            <w:r w:rsidR="00816358" w:rsidRPr="00E95BC4">
              <w:rPr>
                <w:lang w:val="sr-Cyrl-CS"/>
              </w:rPr>
              <w:t xml:space="preserve"> </w:t>
            </w:r>
            <w:r>
              <w:rPr>
                <w:lang w:val="sr-Cyrl-CS"/>
              </w:rPr>
              <w:t>i</w:t>
            </w:r>
            <w:r w:rsidR="00816358" w:rsidRPr="00E95BC4">
              <w:rPr>
                <w:lang w:val="sr-Cyrl-CS"/>
              </w:rPr>
              <w:t xml:space="preserve"> </w:t>
            </w:r>
            <w:r>
              <w:rPr>
                <w:lang w:val="sr-Cyrl-CS"/>
              </w:rPr>
              <w:t>postupci</w:t>
            </w:r>
            <w:r w:rsidR="00816358" w:rsidRPr="00E95BC4">
              <w:rPr>
                <w:lang w:val="sr-Cyrl-CS"/>
              </w:rPr>
              <w:t xml:space="preserve"> </w:t>
            </w:r>
            <w:r>
              <w:rPr>
                <w:lang w:val="sr-Cyrl-CS"/>
              </w:rPr>
              <w:t>za</w:t>
            </w:r>
            <w:r w:rsidR="00816358" w:rsidRPr="00E95BC4">
              <w:rPr>
                <w:lang w:val="sr-Cyrl-CS"/>
              </w:rPr>
              <w:t xml:space="preserve"> </w:t>
            </w:r>
            <w:r>
              <w:rPr>
                <w:lang w:val="sr-Cyrl-CS"/>
              </w:rPr>
              <w:t>pranje</w:t>
            </w:r>
            <w:r w:rsidR="00816358" w:rsidRPr="00E95BC4">
              <w:rPr>
                <w:lang w:val="sr-Cyrl-CS"/>
              </w:rPr>
              <w:t xml:space="preserve"> </w:t>
            </w:r>
            <w:r>
              <w:rPr>
                <w:lang w:val="sr-Cyrl-CS"/>
              </w:rPr>
              <w:t>novca</w:t>
            </w:r>
          </w:p>
        </w:tc>
        <w:tc>
          <w:tcPr>
            <w:tcW w:w="284" w:type="dxa"/>
          </w:tcPr>
          <w:p w:rsidR="00816358" w:rsidRPr="00E95BC4" w:rsidRDefault="00816358" w:rsidP="00285FD7">
            <w:pPr>
              <w:rPr>
                <w:lang w:val="sr-Cyrl-CS"/>
              </w:rPr>
            </w:pPr>
          </w:p>
        </w:tc>
        <w:tc>
          <w:tcPr>
            <w:tcW w:w="1559" w:type="dxa"/>
          </w:tcPr>
          <w:p w:rsidR="00816358" w:rsidRPr="00E95BC4" w:rsidRDefault="00816358" w:rsidP="00285FD7">
            <w:pPr>
              <w:rPr>
                <w:lang w:val="sr-Cyrl-CS"/>
              </w:rPr>
            </w:pPr>
            <w:r w:rsidRPr="00E95BC4">
              <w:rPr>
                <w:lang w:val="sr-Cyrl-CS"/>
              </w:rPr>
              <w:t>4</w:t>
            </w:r>
          </w:p>
        </w:tc>
      </w:tr>
      <w:tr w:rsidR="00816358" w:rsidRPr="00E95BC4" w:rsidTr="00286710">
        <w:tc>
          <w:tcPr>
            <w:tcW w:w="7371" w:type="dxa"/>
          </w:tcPr>
          <w:p w:rsidR="00816358" w:rsidRPr="00E95BC4" w:rsidRDefault="005818C0" w:rsidP="00285FD7">
            <w:pPr>
              <w:rPr>
                <w:lang w:val="sr-Cyrl-CS"/>
              </w:rPr>
            </w:pPr>
            <w:r>
              <w:rPr>
                <w:lang w:val="sr-Cyrl-CS"/>
              </w:rPr>
              <w:t>NR</w:t>
            </w:r>
            <w:r w:rsidR="00816358" w:rsidRPr="00E95BC4">
              <w:rPr>
                <w:lang w:val="sr-Cyrl-CS"/>
              </w:rPr>
              <w:t xml:space="preserve"> 8 - </w:t>
            </w:r>
            <w:r>
              <w:rPr>
                <w:lang w:val="sr-Cyrl-CS"/>
              </w:rPr>
              <w:t>Trajno</w:t>
            </w:r>
            <w:r w:rsidR="00816358" w:rsidRPr="00E95BC4">
              <w:rPr>
                <w:lang w:val="sr-Cyrl-CS"/>
              </w:rPr>
              <w:t xml:space="preserve"> </w:t>
            </w:r>
            <w:r>
              <w:rPr>
                <w:lang w:val="sr-Cyrl-CS"/>
              </w:rPr>
              <w:t>oduzimanje</w:t>
            </w:r>
            <w:r w:rsidR="00816358" w:rsidRPr="00E95BC4">
              <w:rPr>
                <w:lang w:val="sr-Cyrl-CS"/>
              </w:rPr>
              <w:t xml:space="preserve"> </w:t>
            </w:r>
            <w:r>
              <w:rPr>
                <w:lang w:val="sr-Cyrl-CS"/>
              </w:rPr>
              <w:t>imovine</w:t>
            </w:r>
          </w:p>
        </w:tc>
        <w:tc>
          <w:tcPr>
            <w:tcW w:w="284" w:type="dxa"/>
          </w:tcPr>
          <w:p w:rsidR="00816358" w:rsidRPr="00E95BC4" w:rsidRDefault="00816358" w:rsidP="00285FD7">
            <w:pPr>
              <w:rPr>
                <w:lang w:val="sr-Cyrl-CS"/>
              </w:rPr>
            </w:pPr>
          </w:p>
        </w:tc>
        <w:tc>
          <w:tcPr>
            <w:tcW w:w="1559" w:type="dxa"/>
          </w:tcPr>
          <w:p w:rsidR="00816358" w:rsidRPr="00E95BC4" w:rsidRDefault="00816358" w:rsidP="00285FD7">
            <w:pPr>
              <w:rPr>
                <w:lang w:val="sr-Cyrl-CS"/>
              </w:rPr>
            </w:pPr>
            <w:r w:rsidRPr="00E95BC4">
              <w:rPr>
                <w:lang w:val="sr-Cyrl-CS"/>
              </w:rPr>
              <w:t>7</w:t>
            </w:r>
          </w:p>
        </w:tc>
      </w:tr>
      <w:tr w:rsidR="00816358" w:rsidRPr="00E95BC4" w:rsidTr="00286710">
        <w:tc>
          <w:tcPr>
            <w:tcW w:w="7371" w:type="dxa"/>
          </w:tcPr>
          <w:p w:rsidR="00816358" w:rsidRPr="00E95BC4" w:rsidRDefault="005818C0" w:rsidP="00285FD7">
            <w:pPr>
              <w:rPr>
                <w:lang w:val="sr-Cyrl-CS"/>
              </w:rPr>
            </w:pPr>
            <w:r>
              <w:rPr>
                <w:lang w:val="sr-Cyrl-CS"/>
              </w:rPr>
              <w:t>NR</w:t>
            </w:r>
            <w:r w:rsidR="00286710" w:rsidRPr="00E95BC4">
              <w:rPr>
                <w:lang w:val="sr-Cyrl-CS"/>
              </w:rPr>
              <w:t xml:space="preserve"> 9 – </w:t>
            </w:r>
            <w:r>
              <w:rPr>
                <w:lang w:val="sr-Cyrl-CS"/>
              </w:rPr>
              <w:t>Istrage</w:t>
            </w:r>
            <w:r w:rsidR="00816358" w:rsidRPr="00E95BC4">
              <w:rPr>
                <w:lang w:val="sr-Cyrl-CS"/>
              </w:rPr>
              <w:t xml:space="preserve"> </w:t>
            </w:r>
            <w:r>
              <w:rPr>
                <w:lang w:val="sr-Cyrl-CS"/>
              </w:rPr>
              <w:t>i</w:t>
            </w:r>
            <w:r w:rsidR="00816358" w:rsidRPr="00E95BC4">
              <w:rPr>
                <w:lang w:val="sr-Cyrl-CS"/>
              </w:rPr>
              <w:t xml:space="preserve"> </w:t>
            </w:r>
            <w:r>
              <w:rPr>
                <w:lang w:val="sr-Cyrl-CS"/>
              </w:rPr>
              <w:t>postupci</w:t>
            </w:r>
            <w:r w:rsidR="00816358" w:rsidRPr="00E95BC4">
              <w:rPr>
                <w:lang w:val="sr-Cyrl-CS"/>
              </w:rPr>
              <w:t xml:space="preserve"> </w:t>
            </w:r>
            <w:r>
              <w:rPr>
                <w:lang w:val="sr-Cyrl-CS"/>
              </w:rPr>
              <w:t>za</w:t>
            </w:r>
            <w:r w:rsidR="00816358" w:rsidRPr="00E95BC4">
              <w:rPr>
                <w:lang w:val="sr-Cyrl-CS"/>
              </w:rPr>
              <w:t xml:space="preserve"> </w:t>
            </w:r>
            <w:r>
              <w:rPr>
                <w:lang w:val="sr-Cyrl-CS"/>
              </w:rPr>
              <w:t>finansiranje</w:t>
            </w:r>
            <w:r w:rsidR="00816358" w:rsidRPr="00E95BC4">
              <w:rPr>
                <w:lang w:val="sr-Cyrl-CS"/>
              </w:rPr>
              <w:t xml:space="preserve"> </w:t>
            </w:r>
            <w:r>
              <w:rPr>
                <w:lang w:val="sr-Cyrl-CS"/>
              </w:rPr>
              <w:t>terorizma</w:t>
            </w:r>
          </w:p>
        </w:tc>
        <w:tc>
          <w:tcPr>
            <w:tcW w:w="284" w:type="dxa"/>
          </w:tcPr>
          <w:p w:rsidR="00816358" w:rsidRPr="00E95BC4" w:rsidRDefault="00816358" w:rsidP="00285FD7">
            <w:pPr>
              <w:rPr>
                <w:lang w:val="sr-Cyrl-CS"/>
              </w:rPr>
            </w:pPr>
          </w:p>
        </w:tc>
        <w:tc>
          <w:tcPr>
            <w:tcW w:w="1559" w:type="dxa"/>
          </w:tcPr>
          <w:p w:rsidR="00816358" w:rsidRPr="00E95BC4" w:rsidRDefault="00286710" w:rsidP="00285FD7">
            <w:pPr>
              <w:rPr>
                <w:lang w:val="sr-Cyrl-CS"/>
              </w:rPr>
            </w:pPr>
            <w:r w:rsidRPr="00E95BC4">
              <w:rPr>
                <w:lang w:val="sr-Cyrl-CS"/>
              </w:rPr>
              <w:t>4</w:t>
            </w:r>
          </w:p>
        </w:tc>
      </w:tr>
      <w:tr w:rsidR="00816358" w:rsidRPr="00E95BC4" w:rsidTr="00286710">
        <w:tc>
          <w:tcPr>
            <w:tcW w:w="7371" w:type="dxa"/>
          </w:tcPr>
          <w:p w:rsidR="00816358" w:rsidRPr="00E95BC4" w:rsidRDefault="005818C0" w:rsidP="00285FD7">
            <w:pPr>
              <w:rPr>
                <w:lang w:val="sr-Cyrl-CS"/>
              </w:rPr>
            </w:pPr>
            <w:r>
              <w:rPr>
                <w:lang w:val="sr-Cyrl-CS"/>
              </w:rPr>
              <w:t>NR</w:t>
            </w:r>
            <w:r w:rsidR="00286710" w:rsidRPr="00E95BC4">
              <w:rPr>
                <w:lang w:val="sr-Cyrl-CS"/>
              </w:rPr>
              <w:t xml:space="preserve"> 10 – </w:t>
            </w:r>
            <w:r>
              <w:rPr>
                <w:lang w:val="sr-Cyrl-CS"/>
              </w:rPr>
              <w:t>Preventivne</w:t>
            </w:r>
            <w:r w:rsidR="00816358" w:rsidRPr="00E95BC4">
              <w:rPr>
                <w:lang w:val="sr-Cyrl-CS"/>
              </w:rPr>
              <w:t xml:space="preserve"> </w:t>
            </w:r>
            <w:r>
              <w:rPr>
                <w:lang w:val="sr-Cyrl-CS"/>
              </w:rPr>
              <w:t>mere</w:t>
            </w:r>
            <w:r w:rsidR="00816358" w:rsidRPr="00E95BC4">
              <w:rPr>
                <w:lang w:val="sr-Cyrl-CS"/>
              </w:rPr>
              <w:t xml:space="preserve"> </w:t>
            </w:r>
            <w:r>
              <w:rPr>
                <w:lang w:val="sr-Cyrl-CS"/>
              </w:rPr>
              <w:t>i</w:t>
            </w:r>
            <w:r w:rsidR="00816358" w:rsidRPr="00E95BC4">
              <w:rPr>
                <w:lang w:val="sr-Cyrl-CS"/>
              </w:rPr>
              <w:t xml:space="preserve"> </w:t>
            </w:r>
            <w:r>
              <w:rPr>
                <w:lang w:val="sr-Cyrl-CS"/>
              </w:rPr>
              <w:t>finansijske</w:t>
            </w:r>
            <w:r w:rsidR="00816358" w:rsidRPr="00E95BC4">
              <w:rPr>
                <w:lang w:val="sr-Cyrl-CS"/>
              </w:rPr>
              <w:t xml:space="preserve"> </w:t>
            </w:r>
            <w:r>
              <w:rPr>
                <w:lang w:val="sr-Cyrl-CS"/>
              </w:rPr>
              <w:t>sankcije</w:t>
            </w:r>
            <w:r w:rsidR="00816358" w:rsidRPr="00E95BC4">
              <w:rPr>
                <w:lang w:val="sr-Cyrl-CS"/>
              </w:rPr>
              <w:t xml:space="preserve"> </w:t>
            </w:r>
            <w:r>
              <w:rPr>
                <w:lang w:val="sr-Cyrl-CS"/>
              </w:rPr>
              <w:t>za</w:t>
            </w:r>
            <w:r w:rsidR="00816358" w:rsidRPr="00E95BC4">
              <w:rPr>
                <w:lang w:val="sr-Cyrl-CS"/>
              </w:rPr>
              <w:t xml:space="preserve"> </w:t>
            </w:r>
            <w:r>
              <w:rPr>
                <w:lang w:val="sr-Cyrl-CS"/>
              </w:rPr>
              <w:t>finansiranje</w:t>
            </w:r>
            <w:r w:rsidR="00816358" w:rsidRPr="00E95BC4">
              <w:rPr>
                <w:lang w:val="sr-Cyrl-CS"/>
              </w:rPr>
              <w:t xml:space="preserve"> </w:t>
            </w:r>
            <w:r>
              <w:rPr>
                <w:lang w:val="sr-Cyrl-CS"/>
              </w:rPr>
              <w:t>terorizma</w:t>
            </w:r>
          </w:p>
        </w:tc>
        <w:tc>
          <w:tcPr>
            <w:tcW w:w="284" w:type="dxa"/>
          </w:tcPr>
          <w:p w:rsidR="00816358" w:rsidRPr="00E95BC4" w:rsidRDefault="00816358" w:rsidP="00285FD7">
            <w:pPr>
              <w:rPr>
                <w:lang w:val="sr-Cyrl-CS"/>
              </w:rPr>
            </w:pPr>
          </w:p>
        </w:tc>
        <w:tc>
          <w:tcPr>
            <w:tcW w:w="1559" w:type="dxa"/>
          </w:tcPr>
          <w:p w:rsidR="00816358" w:rsidRPr="00E95BC4" w:rsidRDefault="00816358" w:rsidP="00285FD7">
            <w:pPr>
              <w:rPr>
                <w:lang w:val="sr-Cyrl-CS"/>
              </w:rPr>
            </w:pPr>
            <w:r w:rsidRPr="00E95BC4">
              <w:rPr>
                <w:lang w:val="sr-Cyrl-CS"/>
              </w:rPr>
              <w:t>8</w:t>
            </w:r>
          </w:p>
        </w:tc>
      </w:tr>
      <w:tr w:rsidR="00816358" w:rsidRPr="00E95BC4" w:rsidTr="00286710">
        <w:tc>
          <w:tcPr>
            <w:tcW w:w="7371" w:type="dxa"/>
          </w:tcPr>
          <w:p w:rsidR="00816358" w:rsidRPr="00E95BC4" w:rsidRDefault="005818C0" w:rsidP="00285FD7">
            <w:pPr>
              <w:rPr>
                <w:lang w:val="sr-Cyrl-CS"/>
              </w:rPr>
            </w:pPr>
            <w:r>
              <w:rPr>
                <w:lang w:val="sr-Cyrl-CS"/>
              </w:rPr>
              <w:t>NR</w:t>
            </w:r>
            <w:r w:rsidR="00286710" w:rsidRPr="00E95BC4">
              <w:rPr>
                <w:lang w:val="sr-Cyrl-CS"/>
              </w:rPr>
              <w:t xml:space="preserve"> 11 – </w:t>
            </w:r>
            <w:r>
              <w:rPr>
                <w:lang w:val="sr-Cyrl-CS"/>
              </w:rPr>
              <w:t>Finansijske</w:t>
            </w:r>
            <w:r w:rsidR="00816358" w:rsidRPr="00E95BC4">
              <w:rPr>
                <w:lang w:val="sr-Cyrl-CS"/>
              </w:rPr>
              <w:t xml:space="preserve"> </w:t>
            </w:r>
            <w:r>
              <w:rPr>
                <w:lang w:val="sr-Cyrl-CS"/>
              </w:rPr>
              <w:t>sankcije</w:t>
            </w:r>
            <w:r w:rsidR="00816358" w:rsidRPr="00E95BC4">
              <w:rPr>
                <w:lang w:val="sr-Cyrl-CS"/>
              </w:rPr>
              <w:t xml:space="preserve"> </w:t>
            </w:r>
            <w:r>
              <w:rPr>
                <w:lang w:val="sr-Cyrl-CS"/>
              </w:rPr>
              <w:t>za</w:t>
            </w:r>
            <w:r w:rsidR="00816358" w:rsidRPr="00E95BC4">
              <w:rPr>
                <w:lang w:val="sr-Cyrl-CS"/>
              </w:rPr>
              <w:t xml:space="preserve"> </w:t>
            </w:r>
            <w:r>
              <w:rPr>
                <w:lang w:val="sr-Cyrl-CS"/>
              </w:rPr>
              <w:t>širenje</w:t>
            </w:r>
            <w:r w:rsidR="00816358" w:rsidRPr="00E95BC4">
              <w:rPr>
                <w:lang w:val="sr-Cyrl-CS"/>
              </w:rPr>
              <w:t xml:space="preserve"> </w:t>
            </w:r>
            <w:r>
              <w:rPr>
                <w:lang w:val="sr-Cyrl-CS"/>
              </w:rPr>
              <w:t>oružja</w:t>
            </w:r>
            <w:r w:rsidR="00816358" w:rsidRPr="00E95BC4">
              <w:rPr>
                <w:lang w:val="sr-Cyrl-CS"/>
              </w:rPr>
              <w:t xml:space="preserve"> </w:t>
            </w:r>
            <w:r>
              <w:rPr>
                <w:lang w:val="sr-Cyrl-CS"/>
              </w:rPr>
              <w:t>za</w:t>
            </w:r>
            <w:r w:rsidR="00816358" w:rsidRPr="00E95BC4">
              <w:rPr>
                <w:lang w:val="sr-Cyrl-CS"/>
              </w:rPr>
              <w:t xml:space="preserve"> </w:t>
            </w:r>
            <w:r>
              <w:rPr>
                <w:lang w:val="sr-Cyrl-CS"/>
              </w:rPr>
              <w:t>masovno</w:t>
            </w:r>
            <w:r w:rsidR="00816358" w:rsidRPr="00E95BC4">
              <w:rPr>
                <w:lang w:val="sr-Cyrl-CS"/>
              </w:rPr>
              <w:t xml:space="preserve"> </w:t>
            </w:r>
            <w:r>
              <w:rPr>
                <w:lang w:val="sr-Cyrl-CS"/>
              </w:rPr>
              <w:t>uništenje</w:t>
            </w:r>
          </w:p>
        </w:tc>
        <w:tc>
          <w:tcPr>
            <w:tcW w:w="284" w:type="dxa"/>
          </w:tcPr>
          <w:p w:rsidR="00816358" w:rsidRPr="00E95BC4" w:rsidRDefault="00816358" w:rsidP="00285FD7">
            <w:pPr>
              <w:rPr>
                <w:lang w:val="sr-Cyrl-CS"/>
              </w:rPr>
            </w:pPr>
          </w:p>
        </w:tc>
        <w:tc>
          <w:tcPr>
            <w:tcW w:w="1559" w:type="dxa"/>
          </w:tcPr>
          <w:p w:rsidR="00816358" w:rsidRPr="00E95BC4" w:rsidRDefault="00816358" w:rsidP="00285FD7">
            <w:pPr>
              <w:rPr>
                <w:lang w:val="sr-Cyrl-CS"/>
              </w:rPr>
            </w:pPr>
            <w:r w:rsidRPr="00E95BC4">
              <w:rPr>
                <w:lang w:val="sr-Cyrl-CS"/>
              </w:rPr>
              <w:t>1</w:t>
            </w:r>
          </w:p>
        </w:tc>
      </w:tr>
    </w:tbl>
    <w:p w:rsidR="0088138E" w:rsidRPr="00E95BC4" w:rsidRDefault="0088138E" w:rsidP="00285FD7">
      <w:pPr>
        <w:rPr>
          <w:lang w:val="sr-Cyrl-CS"/>
        </w:rPr>
      </w:pPr>
    </w:p>
    <w:p w:rsidR="0088138E" w:rsidRPr="00E95BC4" w:rsidRDefault="005818C0" w:rsidP="00285FD7">
      <w:pPr>
        <w:ind w:firstLine="720"/>
        <w:jc w:val="both"/>
        <w:rPr>
          <w:lang w:val="sr-Cyrl-CS"/>
        </w:rPr>
      </w:pPr>
      <w:r>
        <w:rPr>
          <w:lang w:val="sr-Cyrl-CS"/>
        </w:rPr>
        <w:t>Za</w:t>
      </w:r>
      <w:r w:rsidR="00EF185F" w:rsidRPr="00E95BC4">
        <w:rPr>
          <w:lang w:val="sr-Cyrl-CS"/>
        </w:rPr>
        <w:t xml:space="preserve"> </w:t>
      </w:r>
      <w:r>
        <w:rPr>
          <w:lang w:val="sr-Cyrl-CS"/>
        </w:rPr>
        <w:t>veći</w:t>
      </w:r>
      <w:r w:rsidR="00EF185F" w:rsidRPr="00E95BC4">
        <w:rPr>
          <w:lang w:val="sr-Cyrl-CS"/>
        </w:rPr>
        <w:t xml:space="preserve"> </w:t>
      </w:r>
      <w:r>
        <w:rPr>
          <w:lang w:val="sr-Cyrl-CS"/>
        </w:rPr>
        <w:t>broj</w:t>
      </w:r>
      <w:r w:rsidR="00EF185F" w:rsidRPr="00E95BC4">
        <w:rPr>
          <w:lang w:val="sr-Cyrl-CS"/>
        </w:rPr>
        <w:t xml:space="preserve"> </w:t>
      </w:r>
      <w:r>
        <w:rPr>
          <w:lang w:val="sr-Cyrl-CS"/>
        </w:rPr>
        <w:t>gore</w:t>
      </w:r>
      <w:r w:rsidR="00EF185F" w:rsidRPr="00E95BC4">
        <w:rPr>
          <w:lang w:val="sr-Cyrl-CS"/>
        </w:rPr>
        <w:t xml:space="preserve"> </w:t>
      </w:r>
      <w:r>
        <w:rPr>
          <w:lang w:val="sr-Cyrl-CS"/>
        </w:rPr>
        <w:t>navedenih</w:t>
      </w:r>
      <w:r w:rsidR="00EF185F" w:rsidRPr="00E95BC4">
        <w:rPr>
          <w:lang w:val="sr-Cyrl-CS"/>
        </w:rPr>
        <w:t xml:space="preserve"> </w:t>
      </w:r>
      <w:r>
        <w:rPr>
          <w:lang w:val="sr-Cyrl-CS"/>
        </w:rPr>
        <w:t>preporučenih</w:t>
      </w:r>
      <w:r w:rsidR="00EF185F" w:rsidRPr="00E95BC4">
        <w:rPr>
          <w:lang w:val="sr-Cyrl-CS"/>
        </w:rPr>
        <w:t xml:space="preserve"> </w:t>
      </w:r>
      <w:r>
        <w:rPr>
          <w:lang w:val="sr-Cyrl-CS"/>
        </w:rPr>
        <w:t>mera</w:t>
      </w:r>
      <w:r w:rsidR="00EF185F" w:rsidRPr="00E95BC4">
        <w:rPr>
          <w:lang w:val="sr-Cyrl-CS"/>
        </w:rPr>
        <w:t xml:space="preserve">, </w:t>
      </w:r>
      <w:r>
        <w:rPr>
          <w:lang w:val="sr-Cyrl-CS"/>
        </w:rPr>
        <w:t>Republika</w:t>
      </w:r>
      <w:r w:rsidR="00EF185F" w:rsidRPr="00E95BC4">
        <w:rPr>
          <w:lang w:val="sr-Cyrl-CS"/>
        </w:rPr>
        <w:t xml:space="preserve"> </w:t>
      </w:r>
      <w:r>
        <w:rPr>
          <w:lang w:val="sr-Cyrl-CS"/>
        </w:rPr>
        <w:t>Srbija</w:t>
      </w:r>
      <w:r w:rsidR="00EF185F" w:rsidRPr="00E95BC4">
        <w:rPr>
          <w:lang w:val="sr-Cyrl-CS"/>
        </w:rPr>
        <w:t xml:space="preserve"> </w:t>
      </w:r>
      <w:r>
        <w:rPr>
          <w:lang w:val="sr-Cyrl-CS"/>
        </w:rPr>
        <w:t>je</w:t>
      </w:r>
      <w:r w:rsidR="00EF185F" w:rsidRPr="00E95BC4">
        <w:rPr>
          <w:lang w:val="sr-Cyrl-CS"/>
        </w:rPr>
        <w:t xml:space="preserve"> </w:t>
      </w:r>
      <w:r>
        <w:rPr>
          <w:lang w:val="sr-Cyrl-CS"/>
        </w:rPr>
        <w:t>dostavila</w:t>
      </w:r>
      <w:r w:rsidR="00EF185F" w:rsidRPr="00E95BC4">
        <w:rPr>
          <w:lang w:val="sr-Cyrl-CS"/>
        </w:rPr>
        <w:t xml:space="preserve"> </w:t>
      </w:r>
      <w:r>
        <w:rPr>
          <w:lang w:val="sr-Cyrl-CS"/>
        </w:rPr>
        <w:t>informacije</w:t>
      </w:r>
      <w:r w:rsidR="00EF185F" w:rsidRPr="00E95BC4">
        <w:rPr>
          <w:lang w:val="sr-Cyrl-CS"/>
        </w:rPr>
        <w:t xml:space="preserve"> </w:t>
      </w:r>
      <w:r>
        <w:rPr>
          <w:lang w:val="sr-Cyrl-CS"/>
        </w:rPr>
        <w:t>Manivalu</w:t>
      </w:r>
      <w:r w:rsidR="00EF185F" w:rsidRPr="00E95BC4">
        <w:rPr>
          <w:lang w:val="sr-Cyrl-CS"/>
        </w:rPr>
        <w:t xml:space="preserve"> </w:t>
      </w:r>
      <w:r>
        <w:rPr>
          <w:lang w:val="sr-Cyrl-CS"/>
        </w:rPr>
        <w:t>kojima</w:t>
      </w:r>
      <w:r w:rsidR="00EF185F" w:rsidRPr="00E95BC4">
        <w:rPr>
          <w:lang w:val="sr-Cyrl-CS"/>
        </w:rPr>
        <w:t xml:space="preserve"> </w:t>
      </w:r>
      <w:r>
        <w:rPr>
          <w:lang w:val="sr-Cyrl-CS"/>
        </w:rPr>
        <w:t>nadležni</w:t>
      </w:r>
      <w:r w:rsidR="00BF68B6" w:rsidRPr="00E95BC4">
        <w:rPr>
          <w:lang w:val="sr-Cyrl-CS"/>
        </w:rPr>
        <w:t xml:space="preserve"> </w:t>
      </w:r>
      <w:r>
        <w:rPr>
          <w:lang w:val="sr-Cyrl-CS"/>
        </w:rPr>
        <w:t>organi</w:t>
      </w:r>
      <w:r w:rsidR="00BF68B6" w:rsidRPr="00E95BC4">
        <w:rPr>
          <w:lang w:val="sr-Cyrl-CS"/>
        </w:rPr>
        <w:t xml:space="preserve"> </w:t>
      </w:r>
      <w:r>
        <w:rPr>
          <w:lang w:val="sr-Cyrl-CS"/>
        </w:rPr>
        <w:t>dokazuju</w:t>
      </w:r>
      <w:r w:rsidR="00EF185F" w:rsidRPr="00E95BC4">
        <w:rPr>
          <w:lang w:val="sr-Cyrl-CS"/>
        </w:rPr>
        <w:t xml:space="preserve"> </w:t>
      </w:r>
      <w:r>
        <w:rPr>
          <w:lang w:val="sr-Cyrl-CS"/>
        </w:rPr>
        <w:t>uspešnu</w:t>
      </w:r>
      <w:r w:rsidR="00EF185F" w:rsidRPr="00E95BC4">
        <w:rPr>
          <w:lang w:val="sr-Cyrl-CS"/>
        </w:rPr>
        <w:t xml:space="preserve"> </w:t>
      </w:r>
      <w:r>
        <w:rPr>
          <w:lang w:val="sr-Cyrl-CS"/>
        </w:rPr>
        <w:t>primenu</w:t>
      </w:r>
      <w:r w:rsidR="00EF185F" w:rsidRPr="00E95BC4">
        <w:rPr>
          <w:lang w:val="sr-Cyrl-CS"/>
        </w:rPr>
        <w:t xml:space="preserve"> </w:t>
      </w:r>
      <w:r>
        <w:rPr>
          <w:lang w:val="sr-Cyrl-CS"/>
        </w:rPr>
        <w:t>predloženih</w:t>
      </w:r>
      <w:r w:rsidR="00EF185F" w:rsidRPr="00E95BC4">
        <w:rPr>
          <w:lang w:val="sr-Cyrl-CS"/>
        </w:rPr>
        <w:t xml:space="preserve"> </w:t>
      </w:r>
      <w:r>
        <w:rPr>
          <w:lang w:val="sr-Cyrl-CS"/>
        </w:rPr>
        <w:t>mera</w:t>
      </w:r>
      <w:r w:rsidR="00EF185F" w:rsidRPr="00E95BC4">
        <w:rPr>
          <w:lang w:val="sr-Cyrl-CS"/>
        </w:rPr>
        <w:t xml:space="preserve">. </w:t>
      </w:r>
      <w:r>
        <w:rPr>
          <w:lang w:val="sr-Cyrl-CS"/>
        </w:rPr>
        <w:t>Manival</w:t>
      </w:r>
      <w:r w:rsidR="00EF185F" w:rsidRPr="00E95BC4">
        <w:rPr>
          <w:lang w:val="sr-Cyrl-CS"/>
        </w:rPr>
        <w:t xml:space="preserve"> </w:t>
      </w:r>
      <w:r>
        <w:rPr>
          <w:lang w:val="sr-Cyrl-CS"/>
        </w:rPr>
        <w:t>će</w:t>
      </w:r>
      <w:r w:rsidR="00EF185F" w:rsidRPr="00E95BC4">
        <w:rPr>
          <w:lang w:val="sr-Cyrl-CS"/>
        </w:rPr>
        <w:t xml:space="preserve"> </w:t>
      </w:r>
      <w:r>
        <w:rPr>
          <w:lang w:val="sr-Cyrl-CS"/>
        </w:rPr>
        <w:t>do</w:t>
      </w:r>
      <w:r w:rsidR="00EF185F" w:rsidRPr="00E95BC4">
        <w:rPr>
          <w:lang w:val="sr-Cyrl-CS"/>
        </w:rPr>
        <w:t xml:space="preserve"> 2021. </w:t>
      </w:r>
      <w:r>
        <w:rPr>
          <w:lang w:val="sr-Cyrl-CS"/>
        </w:rPr>
        <w:t>godine</w:t>
      </w:r>
      <w:r w:rsidR="00EF185F" w:rsidRPr="00E95BC4">
        <w:rPr>
          <w:lang w:val="sr-Cyrl-CS"/>
        </w:rPr>
        <w:t xml:space="preserve"> </w:t>
      </w:r>
      <w:r>
        <w:rPr>
          <w:lang w:val="sr-Cyrl-CS"/>
        </w:rPr>
        <w:t>u</w:t>
      </w:r>
      <w:r w:rsidR="00EF185F" w:rsidRPr="00E95BC4">
        <w:rPr>
          <w:lang w:val="sr-Cyrl-CS"/>
        </w:rPr>
        <w:t xml:space="preserve"> </w:t>
      </w:r>
      <w:r>
        <w:rPr>
          <w:lang w:val="sr-Cyrl-CS"/>
        </w:rPr>
        <w:t>okviru</w:t>
      </w:r>
      <w:r w:rsidR="00EF185F" w:rsidRPr="00E95BC4">
        <w:rPr>
          <w:lang w:val="sr-Cyrl-CS"/>
        </w:rPr>
        <w:t xml:space="preserve"> </w:t>
      </w:r>
      <w:r>
        <w:rPr>
          <w:lang w:val="sr-Cyrl-CS"/>
        </w:rPr>
        <w:t>pojačanog</w:t>
      </w:r>
      <w:r w:rsidR="00EF185F" w:rsidRPr="00E95BC4">
        <w:rPr>
          <w:lang w:val="sr-Cyrl-CS"/>
        </w:rPr>
        <w:t xml:space="preserve"> (</w:t>
      </w:r>
      <w:r>
        <w:rPr>
          <w:lang w:val="sr-Cyrl-CS"/>
        </w:rPr>
        <w:t>ili</w:t>
      </w:r>
      <w:r w:rsidR="00EF185F" w:rsidRPr="00E95BC4">
        <w:rPr>
          <w:lang w:val="sr-Cyrl-CS"/>
        </w:rPr>
        <w:t xml:space="preserve"> </w:t>
      </w:r>
      <w:r>
        <w:rPr>
          <w:lang w:val="sr-Cyrl-CS"/>
        </w:rPr>
        <w:t>eventualno</w:t>
      </w:r>
      <w:r w:rsidR="00EF185F" w:rsidRPr="00E95BC4">
        <w:rPr>
          <w:lang w:val="sr-Cyrl-CS"/>
        </w:rPr>
        <w:t xml:space="preserve"> </w:t>
      </w:r>
      <w:r>
        <w:rPr>
          <w:lang w:val="sr-Cyrl-CS"/>
        </w:rPr>
        <w:t>redovnog</w:t>
      </w:r>
      <w:r w:rsidR="00EF185F" w:rsidRPr="00E95BC4">
        <w:rPr>
          <w:lang w:val="sr-Cyrl-CS"/>
        </w:rPr>
        <w:t xml:space="preserve">) </w:t>
      </w:r>
      <w:r>
        <w:rPr>
          <w:lang w:val="sr-Cyrl-CS"/>
        </w:rPr>
        <w:t>praćenja</w:t>
      </w:r>
      <w:r w:rsidR="00EF185F" w:rsidRPr="00E95BC4">
        <w:rPr>
          <w:lang w:val="sr-Cyrl-CS"/>
        </w:rPr>
        <w:t xml:space="preserve"> </w:t>
      </w:r>
      <w:r>
        <w:rPr>
          <w:lang w:val="sr-Cyrl-CS"/>
        </w:rPr>
        <w:t>Republike</w:t>
      </w:r>
      <w:r w:rsidR="00370282" w:rsidRPr="00E95BC4">
        <w:rPr>
          <w:lang w:val="sr-Cyrl-CS"/>
        </w:rPr>
        <w:t xml:space="preserve"> </w:t>
      </w:r>
      <w:r>
        <w:rPr>
          <w:lang w:val="sr-Cyrl-CS"/>
        </w:rPr>
        <w:t>Srbije</w:t>
      </w:r>
      <w:r w:rsidR="00EF185F" w:rsidRPr="00E95BC4">
        <w:rPr>
          <w:lang w:val="sr-Cyrl-CS"/>
        </w:rPr>
        <w:t xml:space="preserve"> </w:t>
      </w:r>
      <w:r>
        <w:rPr>
          <w:lang w:val="sr-Cyrl-CS"/>
        </w:rPr>
        <w:t>pratiti</w:t>
      </w:r>
      <w:r w:rsidR="00EF185F" w:rsidRPr="00E95BC4">
        <w:rPr>
          <w:lang w:val="sr-Cyrl-CS"/>
        </w:rPr>
        <w:t xml:space="preserve"> </w:t>
      </w:r>
      <w:r>
        <w:rPr>
          <w:lang w:val="sr-Cyrl-CS"/>
        </w:rPr>
        <w:t>napredak</w:t>
      </w:r>
      <w:r w:rsidR="00EF185F" w:rsidRPr="00E95BC4">
        <w:rPr>
          <w:lang w:val="sr-Cyrl-CS"/>
        </w:rPr>
        <w:t xml:space="preserve"> </w:t>
      </w:r>
      <w:r>
        <w:rPr>
          <w:lang w:val="sr-Cyrl-CS"/>
        </w:rPr>
        <w:t>na</w:t>
      </w:r>
      <w:r w:rsidR="00EF185F" w:rsidRPr="00E95BC4">
        <w:rPr>
          <w:lang w:val="sr-Cyrl-CS"/>
        </w:rPr>
        <w:t xml:space="preserve"> </w:t>
      </w:r>
      <w:r>
        <w:rPr>
          <w:lang w:val="sr-Cyrl-CS"/>
        </w:rPr>
        <w:t>ispunjavanju</w:t>
      </w:r>
      <w:r w:rsidR="00EF185F" w:rsidRPr="00E95BC4">
        <w:rPr>
          <w:lang w:val="sr-Cyrl-CS"/>
        </w:rPr>
        <w:t xml:space="preserve"> </w:t>
      </w:r>
      <w:r>
        <w:rPr>
          <w:lang w:val="sr-Cyrl-CS"/>
        </w:rPr>
        <w:t>ovih</w:t>
      </w:r>
      <w:r w:rsidR="00EF185F" w:rsidRPr="00E95BC4">
        <w:rPr>
          <w:lang w:val="sr-Cyrl-CS"/>
        </w:rPr>
        <w:t xml:space="preserve"> </w:t>
      </w:r>
      <w:r>
        <w:rPr>
          <w:lang w:val="sr-Cyrl-CS"/>
        </w:rPr>
        <w:t>preporuka</w:t>
      </w:r>
      <w:r w:rsidR="00EF185F" w:rsidRPr="00E95BC4">
        <w:rPr>
          <w:lang w:val="sr-Cyrl-CS"/>
        </w:rPr>
        <w:t xml:space="preserve"> </w:t>
      </w:r>
      <w:r>
        <w:rPr>
          <w:lang w:val="sr-Cyrl-CS"/>
        </w:rPr>
        <w:t>kada</w:t>
      </w:r>
      <w:r w:rsidR="00EF185F" w:rsidRPr="00E95BC4">
        <w:rPr>
          <w:lang w:val="sr-Cyrl-CS"/>
        </w:rPr>
        <w:t xml:space="preserve"> </w:t>
      </w:r>
      <w:r>
        <w:rPr>
          <w:lang w:val="sr-Cyrl-CS"/>
        </w:rPr>
        <w:t>će</w:t>
      </w:r>
      <w:r w:rsidR="00EF185F" w:rsidRPr="00E95BC4">
        <w:rPr>
          <w:lang w:val="sr-Cyrl-CS"/>
        </w:rPr>
        <w:t xml:space="preserve"> </w:t>
      </w:r>
      <w:r>
        <w:rPr>
          <w:lang w:val="sr-Cyrl-CS"/>
        </w:rPr>
        <w:t>uputiti</w:t>
      </w:r>
      <w:r w:rsidR="00EF185F" w:rsidRPr="00E95BC4">
        <w:rPr>
          <w:lang w:val="sr-Cyrl-CS"/>
        </w:rPr>
        <w:t xml:space="preserve"> </w:t>
      </w:r>
      <w:r>
        <w:rPr>
          <w:lang w:val="sr-Cyrl-CS"/>
        </w:rPr>
        <w:t>ekspertsku</w:t>
      </w:r>
      <w:r w:rsidR="00EF185F" w:rsidRPr="00E95BC4">
        <w:rPr>
          <w:lang w:val="sr-Cyrl-CS"/>
        </w:rPr>
        <w:t xml:space="preserve"> </w:t>
      </w:r>
      <w:r>
        <w:rPr>
          <w:lang w:val="sr-Cyrl-CS"/>
        </w:rPr>
        <w:t>misiju</w:t>
      </w:r>
      <w:r w:rsidR="00EF185F" w:rsidRPr="00E95BC4">
        <w:rPr>
          <w:lang w:val="sr-Cyrl-CS"/>
        </w:rPr>
        <w:t xml:space="preserve"> </w:t>
      </w:r>
      <w:r>
        <w:rPr>
          <w:lang w:val="sr-Cyrl-CS"/>
        </w:rPr>
        <w:t>u</w:t>
      </w:r>
      <w:r w:rsidR="00EF185F" w:rsidRPr="00E95BC4">
        <w:rPr>
          <w:lang w:val="sr-Cyrl-CS"/>
        </w:rPr>
        <w:t xml:space="preserve"> </w:t>
      </w:r>
      <w:r>
        <w:rPr>
          <w:lang w:val="sr-Cyrl-CS"/>
        </w:rPr>
        <w:t>Srbiju</w:t>
      </w:r>
      <w:r w:rsidR="00EF185F" w:rsidRPr="00E95BC4">
        <w:rPr>
          <w:lang w:val="sr-Cyrl-CS"/>
        </w:rPr>
        <w:t xml:space="preserve"> </w:t>
      </w:r>
      <w:r>
        <w:rPr>
          <w:lang w:val="sr-Cyrl-CS"/>
        </w:rPr>
        <w:t>kako</w:t>
      </w:r>
      <w:r w:rsidR="00EF185F" w:rsidRPr="00E95BC4">
        <w:rPr>
          <w:lang w:val="sr-Cyrl-CS"/>
        </w:rPr>
        <w:t xml:space="preserve"> </w:t>
      </w:r>
      <w:r>
        <w:rPr>
          <w:lang w:val="sr-Cyrl-CS"/>
        </w:rPr>
        <w:t>bi</w:t>
      </w:r>
      <w:r w:rsidR="00EF185F" w:rsidRPr="00E95BC4">
        <w:rPr>
          <w:lang w:val="sr-Cyrl-CS"/>
        </w:rPr>
        <w:t xml:space="preserve"> </w:t>
      </w:r>
      <w:r>
        <w:rPr>
          <w:lang w:val="sr-Cyrl-CS"/>
        </w:rPr>
        <w:t>na</w:t>
      </w:r>
      <w:r w:rsidR="00EF185F" w:rsidRPr="00E95BC4">
        <w:rPr>
          <w:lang w:val="sr-Cyrl-CS"/>
        </w:rPr>
        <w:t xml:space="preserve"> </w:t>
      </w:r>
      <w:r>
        <w:rPr>
          <w:lang w:val="sr-Cyrl-CS"/>
        </w:rPr>
        <w:lastRenderedPageBreak/>
        <w:t>licu</w:t>
      </w:r>
      <w:r w:rsidR="00EF185F" w:rsidRPr="00E95BC4">
        <w:rPr>
          <w:lang w:val="sr-Cyrl-CS"/>
        </w:rPr>
        <w:t xml:space="preserve"> </w:t>
      </w:r>
      <w:r>
        <w:rPr>
          <w:lang w:val="sr-Cyrl-CS"/>
        </w:rPr>
        <w:t>mesta</w:t>
      </w:r>
      <w:r w:rsidR="00EF185F" w:rsidRPr="00E95BC4">
        <w:rPr>
          <w:lang w:val="sr-Cyrl-CS"/>
        </w:rPr>
        <w:t xml:space="preserve"> </w:t>
      </w:r>
      <w:r>
        <w:rPr>
          <w:lang w:val="sr-Cyrl-CS"/>
        </w:rPr>
        <w:t>konstatovao</w:t>
      </w:r>
      <w:r w:rsidR="00EF185F" w:rsidRPr="00E95BC4">
        <w:rPr>
          <w:lang w:val="sr-Cyrl-CS"/>
        </w:rPr>
        <w:t xml:space="preserve"> </w:t>
      </w:r>
      <w:r>
        <w:rPr>
          <w:lang w:val="sr-Cyrl-CS"/>
        </w:rPr>
        <w:t>stanje</w:t>
      </w:r>
      <w:r w:rsidR="00EF185F" w:rsidRPr="00E95BC4">
        <w:rPr>
          <w:lang w:val="sr-Cyrl-CS"/>
        </w:rPr>
        <w:t xml:space="preserve"> </w:t>
      </w:r>
      <w:r>
        <w:rPr>
          <w:lang w:val="sr-Cyrl-CS"/>
        </w:rPr>
        <w:t>u</w:t>
      </w:r>
      <w:r w:rsidR="00EF185F" w:rsidRPr="00E95BC4">
        <w:rPr>
          <w:lang w:val="sr-Cyrl-CS"/>
        </w:rPr>
        <w:t xml:space="preserve"> </w:t>
      </w:r>
      <w:r>
        <w:rPr>
          <w:lang w:val="sr-Cyrl-CS"/>
        </w:rPr>
        <w:t>pogledu</w:t>
      </w:r>
      <w:r w:rsidR="00EF185F" w:rsidRPr="00E95BC4">
        <w:rPr>
          <w:lang w:val="sr-Cyrl-CS"/>
        </w:rPr>
        <w:t xml:space="preserve"> </w:t>
      </w:r>
      <w:r>
        <w:rPr>
          <w:lang w:val="sr-Cyrl-CS"/>
        </w:rPr>
        <w:t>sprovedenosti</w:t>
      </w:r>
      <w:r w:rsidR="00EF185F" w:rsidRPr="00E95BC4">
        <w:rPr>
          <w:lang w:val="sr-Cyrl-CS"/>
        </w:rPr>
        <w:t xml:space="preserve"> </w:t>
      </w:r>
      <w:r>
        <w:rPr>
          <w:lang w:val="sr-Cyrl-CS"/>
        </w:rPr>
        <w:t>utvrđenih</w:t>
      </w:r>
      <w:r w:rsidR="00EF185F" w:rsidRPr="00E95BC4">
        <w:rPr>
          <w:lang w:val="sr-Cyrl-CS"/>
        </w:rPr>
        <w:t xml:space="preserve"> </w:t>
      </w:r>
      <w:r>
        <w:rPr>
          <w:lang w:val="sr-Cyrl-CS"/>
        </w:rPr>
        <w:t>mera</w:t>
      </w:r>
      <w:r w:rsidR="00EF185F" w:rsidRPr="00E95BC4">
        <w:rPr>
          <w:lang w:val="sr-Cyrl-CS"/>
        </w:rPr>
        <w:t>.</w:t>
      </w:r>
      <w:r w:rsidR="00BF68B6" w:rsidRPr="00E95BC4">
        <w:rPr>
          <w:lang w:val="sr-Cyrl-CS"/>
        </w:rPr>
        <w:t xml:space="preserve"> </w:t>
      </w:r>
      <w:r>
        <w:rPr>
          <w:lang w:val="sr-Cyrl-CS"/>
        </w:rPr>
        <w:t>Izveštaj</w:t>
      </w:r>
      <w:r w:rsidR="00BF68B6" w:rsidRPr="00E95BC4">
        <w:rPr>
          <w:lang w:val="sr-Cyrl-CS"/>
        </w:rPr>
        <w:t xml:space="preserve"> </w:t>
      </w:r>
      <w:r>
        <w:rPr>
          <w:lang w:val="sr-Cyrl-CS"/>
        </w:rPr>
        <w:t>te</w:t>
      </w:r>
      <w:r w:rsidR="00BF68B6" w:rsidRPr="00E95BC4">
        <w:rPr>
          <w:lang w:val="sr-Cyrl-CS"/>
        </w:rPr>
        <w:t xml:space="preserve"> </w:t>
      </w:r>
      <w:r>
        <w:rPr>
          <w:lang w:val="sr-Cyrl-CS"/>
        </w:rPr>
        <w:t>ekspertske</w:t>
      </w:r>
      <w:r w:rsidR="00BF68B6" w:rsidRPr="00E95BC4">
        <w:rPr>
          <w:lang w:val="sr-Cyrl-CS"/>
        </w:rPr>
        <w:t xml:space="preserve"> </w:t>
      </w:r>
      <w:r>
        <w:rPr>
          <w:lang w:val="sr-Cyrl-CS"/>
        </w:rPr>
        <w:t>misije</w:t>
      </w:r>
      <w:r w:rsidR="00BF68B6" w:rsidRPr="00E95BC4">
        <w:rPr>
          <w:lang w:val="sr-Cyrl-CS"/>
        </w:rPr>
        <w:t xml:space="preserve"> </w:t>
      </w:r>
      <w:r>
        <w:rPr>
          <w:lang w:val="sr-Cyrl-CS"/>
        </w:rPr>
        <w:t>biće</w:t>
      </w:r>
      <w:r w:rsidR="00BF68B6" w:rsidRPr="00E95BC4">
        <w:rPr>
          <w:lang w:val="sr-Cyrl-CS"/>
        </w:rPr>
        <w:t xml:space="preserve"> </w:t>
      </w:r>
      <w:r>
        <w:rPr>
          <w:lang w:val="sr-Cyrl-CS"/>
        </w:rPr>
        <w:t>izvor</w:t>
      </w:r>
      <w:r w:rsidR="00BF68B6" w:rsidRPr="00E95BC4">
        <w:rPr>
          <w:lang w:val="sr-Cyrl-CS"/>
        </w:rPr>
        <w:t xml:space="preserve"> </w:t>
      </w:r>
      <w:r>
        <w:rPr>
          <w:lang w:val="sr-Cyrl-CS"/>
        </w:rPr>
        <w:t>verifikacije</w:t>
      </w:r>
      <w:r w:rsidR="00BF68B6" w:rsidRPr="00E95BC4">
        <w:rPr>
          <w:lang w:val="sr-Cyrl-CS"/>
        </w:rPr>
        <w:t xml:space="preserve"> </w:t>
      </w:r>
      <w:r>
        <w:rPr>
          <w:lang w:val="sr-Cyrl-CS"/>
        </w:rPr>
        <w:t>sprovođenja</w:t>
      </w:r>
      <w:r w:rsidR="00BF68B6" w:rsidRPr="00E95BC4">
        <w:rPr>
          <w:lang w:val="sr-Cyrl-CS"/>
        </w:rPr>
        <w:t xml:space="preserve"> </w:t>
      </w:r>
      <w:r>
        <w:rPr>
          <w:lang w:val="sr-Cyrl-CS"/>
        </w:rPr>
        <w:t>preporuka</w:t>
      </w:r>
      <w:r w:rsidR="00BF68B6" w:rsidRPr="00E95BC4">
        <w:rPr>
          <w:lang w:val="sr-Cyrl-CS"/>
        </w:rPr>
        <w:t xml:space="preserve"> </w:t>
      </w:r>
      <w:r>
        <w:rPr>
          <w:lang w:val="sr-Cyrl-CS"/>
        </w:rPr>
        <w:t>Manivala</w:t>
      </w:r>
      <w:r w:rsidR="00BF68B6" w:rsidRPr="00E95BC4">
        <w:rPr>
          <w:lang w:val="sr-Cyrl-CS"/>
        </w:rPr>
        <w:t xml:space="preserve"> </w:t>
      </w:r>
      <w:r>
        <w:rPr>
          <w:lang w:val="sr-Cyrl-CS"/>
        </w:rPr>
        <w:t>na</w:t>
      </w:r>
      <w:r w:rsidR="00BF68B6" w:rsidRPr="00E95BC4">
        <w:rPr>
          <w:lang w:val="sr-Cyrl-CS"/>
        </w:rPr>
        <w:t xml:space="preserve"> </w:t>
      </w:r>
      <w:r>
        <w:rPr>
          <w:lang w:val="sr-Cyrl-CS"/>
        </w:rPr>
        <w:t>nivou</w:t>
      </w:r>
      <w:r w:rsidR="00BF68B6" w:rsidRPr="00E95BC4">
        <w:rPr>
          <w:lang w:val="sr-Cyrl-CS"/>
        </w:rPr>
        <w:t xml:space="preserve"> </w:t>
      </w:r>
      <w:r>
        <w:rPr>
          <w:lang w:val="sr-Cyrl-CS"/>
        </w:rPr>
        <w:t>delotvornosti</w:t>
      </w:r>
      <w:r w:rsidR="00BF68B6" w:rsidRPr="00E95BC4">
        <w:rPr>
          <w:lang w:val="sr-Cyrl-CS"/>
        </w:rPr>
        <w:t xml:space="preserve"> </w:t>
      </w:r>
      <w:r>
        <w:rPr>
          <w:lang w:val="sr-Cyrl-CS"/>
        </w:rPr>
        <w:t>sistema</w:t>
      </w:r>
      <w:r w:rsidR="00BF68B6" w:rsidRPr="00E95BC4">
        <w:rPr>
          <w:lang w:val="sr-Cyrl-CS"/>
        </w:rPr>
        <w:t>.</w:t>
      </w:r>
    </w:p>
    <w:p w:rsidR="00847FC1" w:rsidRPr="00E95BC4" w:rsidRDefault="005818C0" w:rsidP="00285FD7">
      <w:pPr>
        <w:ind w:firstLine="720"/>
        <w:jc w:val="both"/>
        <w:rPr>
          <w:lang w:val="sr-Cyrl-CS"/>
        </w:rPr>
      </w:pPr>
      <w:r>
        <w:rPr>
          <w:lang w:val="sr-Cyrl-CS"/>
        </w:rPr>
        <w:t>Što</w:t>
      </w:r>
      <w:r w:rsidR="00BF68B6" w:rsidRPr="00E95BC4">
        <w:rPr>
          <w:lang w:val="sr-Cyrl-CS"/>
        </w:rPr>
        <w:t xml:space="preserve"> </w:t>
      </w:r>
      <w:r>
        <w:rPr>
          <w:lang w:val="sr-Cyrl-CS"/>
        </w:rPr>
        <w:t>se</w:t>
      </w:r>
      <w:r w:rsidR="00BF68B6" w:rsidRPr="00E95BC4">
        <w:rPr>
          <w:lang w:val="sr-Cyrl-CS"/>
        </w:rPr>
        <w:t xml:space="preserve"> </w:t>
      </w:r>
      <w:r>
        <w:rPr>
          <w:lang w:val="sr-Cyrl-CS"/>
        </w:rPr>
        <w:t>tiče</w:t>
      </w:r>
      <w:r w:rsidR="00BF68B6" w:rsidRPr="00E95BC4">
        <w:rPr>
          <w:lang w:val="sr-Cyrl-CS"/>
        </w:rPr>
        <w:t xml:space="preserve"> </w:t>
      </w:r>
      <w:r>
        <w:rPr>
          <w:b/>
          <w:lang w:val="sr-Cyrl-CS"/>
        </w:rPr>
        <w:t>mera</w:t>
      </w:r>
      <w:r w:rsidR="00BF68B6" w:rsidRPr="00E95BC4">
        <w:rPr>
          <w:b/>
          <w:lang w:val="sr-Cyrl-CS"/>
        </w:rPr>
        <w:t xml:space="preserve"> </w:t>
      </w:r>
      <w:r>
        <w:rPr>
          <w:b/>
          <w:lang w:val="sr-Cyrl-CS"/>
        </w:rPr>
        <w:t>i</w:t>
      </w:r>
      <w:r w:rsidR="00BF68B6" w:rsidRPr="00E95BC4">
        <w:rPr>
          <w:b/>
          <w:lang w:val="sr-Cyrl-CS"/>
        </w:rPr>
        <w:t xml:space="preserve"> </w:t>
      </w:r>
      <w:r>
        <w:rPr>
          <w:b/>
          <w:lang w:val="sr-Cyrl-CS"/>
        </w:rPr>
        <w:t>aktivnosti</w:t>
      </w:r>
      <w:r w:rsidR="00BF68B6" w:rsidRPr="00E95BC4">
        <w:rPr>
          <w:b/>
          <w:lang w:val="sr-Cyrl-CS"/>
        </w:rPr>
        <w:t xml:space="preserve"> </w:t>
      </w:r>
      <w:r>
        <w:rPr>
          <w:b/>
          <w:lang w:val="sr-Cyrl-CS"/>
        </w:rPr>
        <w:t>koje</w:t>
      </w:r>
      <w:r w:rsidR="00BF68B6" w:rsidRPr="00E95BC4">
        <w:rPr>
          <w:b/>
          <w:lang w:val="sr-Cyrl-CS"/>
        </w:rPr>
        <w:t xml:space="preserve"> </w:t>
      </w:r>
      <w:r>
        <w:rPr>
          <w:b/>
          <w:lang w:val="sr-Cyrl-CS"/>
        </w:rPr>
        <w:t>su</w:t>
      </w:r>
      <w:r w:rsidR="00BF68B6" w:rsidRPr="00E95BC4">
        <w:rPr>
          <w:b/>
          <w:lang w:val="sr-Cyrl-CS"/>
        </w:rPr>
        <w:t xml:space="preserve"> </w:t>
      </w:r>
      <w:r>
        <w:rPr>
          <w:b/>
          <w:lang w:val="sr-Cyrl-CS"/>
        </w:rPr>
        <w:t>predviđene</w:t>
      </w:r>
      <w:r w:rsidR="00BF68B6" w:rsidRPr="00E95BC4">
        <w:rPr>
          <w:b/>
          <w:lang w:val="sr-Cyrl-CS"/>
        </w:rPr>
        <w:t xml:space="preserve"> </w:t>
      </w:r>
      <w:r>
        <w:rPr>
          <w:b/>
          <w:lang w:val="sr-Cyrl-CS"/>
        </w:rPr>
        <w:t>Akcionim</w:t>
      </w:r>
      <w:r w:rsidR="00BF68B6" w:rsidRPr="00E95BC4">
        <w:rPr>
          <w:b/>
          <w:lang w:val="sr-Cyrl-CS"/>
        </w:rPr>
        <w:t xml:space="preserve"> </w:t>
      </w:r>
      <w:r>
        <w:rPr>
          <w:b/>
          <w:lang w:val="sr-Cyrl-CS"/>
        </w:rPr>
        <w:t>planom</w:t>
      </w:r>
      <w:r w:rsidR="00D9541E" w:rsidRPr="00E95BC4">
        <w:rPr>
          <w:lang w:val="sr-Cyrl-CS"/>
        </w:rPr>
        <w:t xml:space="preserve"> </w:t>
      </w:r>
      <w:r>
        <w:rPr>
          <w:lang w:val="sr-Cyrl-CS"/>
        </w:rPr>
        <w:t>uz</w:t>
      </w:r>
      <w:r w:rsidR="00D9541E" w:rsidRPr="00E95BC4">
        <w:rPr>
          <w:lang w:val="sr-Cyrl-CS"/>
        </w:rPr>
        <w:t xml:space="preserve"> </w:t>
      </w:r>
      <w:r>
        <w:rPr>
          <w:lang w:val="sr-Cyrl-CS"/>
        </w:rPr>
        <w:t>procene</w:t>
      </w:r>
      <w:r w:rsidR="00424D8F" w:rsidRPr="00E95BC4">
        <w:rPr>
          <w:lang w:val="sr-Cyrl-CS"/>
        </w:rPr>
        <w:t xml:space="preserve"> </w:t>
      </w:r>
      <w:r>
        <w:rPr>
          <w:lang w:val="sr-Cyrl-CS"/>
        </w:rPr>
        <w:t>rizika</w:t>
      </w:r>
      <w:r w:rsidR="00847FC1" w:rsidRPr="00E95BC4">
        <w:rPr>
          <w:rStyle w:val="FootnoteReference"/>
          <w:lang w:val="sr-Cyrl-CS"/>
        </w:rPr>
        <w:footnoteReference w:id="18"/>
      </w:r>
      <w:r w:rsidR="00847FC1" w:rsidRPr="00E95BC4">
        <w:rPr>
          <w:lang w:val="sr-Cyrl-CS"/>
        </w:rPr>
        <w:t xml:space="preserve">, </w:t>
      </w:r>
      <w:r>
        <w:rPr>
          <w:lang w:val="sr-Cyrl-CS"/>
        </w:rPr>
        <w:t>može</w:t>
      </w:r>
      <w:r w:rsidR="00D9541E" w:rsidRPr="00E95BC4">
        <w:rPr>
          <w:lang w:val="sr-Cyrl-CS"/>
        </w:rPr>
        <w:t xml:space="preserve"> </w:t>
      </w:r>
      <w:r>
        <w:rPr>
          <w:lang w:val="sr-Cyrl-CS"/>
        </w:rPr>
        <w:t>se</w:t>
      </w:r>
      <w:r w:rsidR="00D9541E" w:rsidRPr="00E95BC4">
        <w:rPr>
          <w:lang w:val="sr-Cyrl-CS"/>
        </w:rPr>
        <w:t xml:space="preserve"> </w:t>
      </w:r>
      <w:r>
        <w:rPr>
          <w:lang w:val="sr-Cyrl-CS"/>
        </w:rPr>
        <w:t>reći</w:t>
      </w:r>
      <w:r w:rsidR="00D9541E" w:rsidRPr="00E95BC4">
        <w:rPr>
          <w:lang w:val="sr-Cyrl-CS"/>
        </w:rPr>
        <w:t xml:space="preserve"> </w:t>
      </w:r>
      <w:r>
        <w:rPr>
          <w:lang w:val="sr-Cyrl-CS"/>
        </w:rPr>
        <w:t>da</w:t>
      </w:r>
      <w:r w:rsidR="00D9541E" w:rsidRPr="00E95BC4">
        <w:rPr>
          <w:lang w:val="sr-Cyrl-CS"/>
        </w:rPr>
        <w:t xml:space="preserve"> </w:t>
      </w:r>
      <w:r>
        <w:rPr>
          <w:lang w:val="sr-Cyrl-CS"/>
        </w:rPr>
        <w:t>je</w:t>
      </w:r>
      <w:r w:rsidR="00D9541E" w:rsidRPr="00E95BC4">
        <w:rPr>
          <w:lang w:val="sr-Cyrl-CS"/>
        </w:rPr>
        <w:t xml:space="preserve"> </w:t>
      </w:r>
      <w:r>
        <w:rPr>
          <w:lang w:val="sr-Cyrl-CS"/>
        </w:rPr>
        <w:t>sprovedeno</w:t>
      </w:r>
      <w:r w:rsidR="00D9541E" w:rsidRPr="00E95BC4">
        <w:rPr>
          <w:lang w:val="sr-Cyrl-CS"/>
        </w:rPr>
        <w:t xml:space="preserve"> </w:t>
      </w:r>
      <w:r>
        <w:rPr>
          <w:lang w:val="sr-Cyrl-CS"/>
        </w:rPr>
        <w:t>oko</w:t>
      </w:r>
      <w:r w:rsidR="00D9541E" w:rsidRPr="00E95BC4">
        <w:rPr>
          <w:lang w:val="sr-Cyrl-CS"/>
        </w:rPr>
        <w:t xml:space="preserve"> 90% </w:t>
      </w:r>
      <w:r>
        <w:rPr>
          <w:lang w:val="sr-Cyrl-CS"/>
        </w:rPr>
        <w:t>svih</w:t>
      </w:r>
      <w:r w:rsidR="00D9541E" w:rsidRPr="00E95BC4">
        <w:rPr>
          <w:lang w:val="sr-Cyrl-CS"/>
        </w:rPr>
        <w:t xml:space="preserve"> </w:t>
      </w:r>
      <w:r>
        <w:rPr>
          <w:lang w:val="sr-Cyrl-CS"/>
        </w:rPr>
        <w:t>predviđenih</w:t>
      </w:r>
      <w:r w:rsidR="00D9541E" w:rsidRPr="00E95BC4">
        <w:rPr>
          <w:lang w:val="sr-Cyrl-CS"/>
        </w:rPr>
        <w:t xml:space="preserve"> </w:t>
      </w:r>
      <w:r>
        <w:rPr>
          <w:lang w:val="sr-Cyrl-CS"/>
        </w:rPr>
        <w:t>mera</w:t>
      </w:r>
      <w:r w:rsidR="00BF68B6" w:rsidRPr="00E95BC4">
        <w:rPr>
          <w:lang w:val="sr-Cyrl-CS"/>
        </w:rPr>
        <w:t xml:space="preserve">. </w:t>
      </w:r>
      <w:r>
        <w:rPr>
          <w:lang w:val="sr-Cyrl-CS"/>
        </w:rPr>
        <w:t>Kao</w:t>
      </w:r>
      <w:r w:rsidR="00BF68B6" w:rsidRPr="00E95BC4">
        <w:rPr>
          <w:lang w:val="sr-Cyrl-CS"/>
        </w:rPr>
        <w:t xml:space="preserve"> </w:t>
      </w:r>
      <w:r>
        <w:rPr>
          <w:lang w:val="sr-Cyrl-CS"/>
        </w:rPr>
        <w:t>što</w:t>
      </w:r>
      <w:r w:rsidR="00BF68B6" w:rsidRPr="00E95BC4">
        <w:rPr>
          <w:lang w:val="sr-Cyrl-CS"/>
        </w:rPr>
        <w:t xml:space="preserve"> </w:t>
      </w:r>
      <w:r>
        <w:rPr>
          <w:lang w:val="sr-Cyrl-CS"/>
        </w:rPr>
        <w:t>je</w:t>
      </w:r>
      <w:r w:rsidR="00BF68B6" w:rsidRPr="00E95BC4">
        <w:rPr>
          <w:lang w:val="sr-Cyrl-CS"/>
        </w:rPr>
        <w:t xml:space="preserve"> </w:t>
      </w:r>
      <w:r>
        <w:rPr>
          <w:lang w:val="sr-Cyrl-CS"/>
        </w:rPr>
        <w:t>rečeno</w:t>
      </w:r>
      <w:r w:rsidR="00BF68B6" w:rsidRPr="00E95BC4">
        <w:rPr>
          <w:lang w:val="sr-Cyrl-CS"/>
        </w:rPr>
        <w:t xml:space="preserve">, </w:t>
      </w:r>
      <w:r>
        <w:rPr>
          <w:lang w:val="sr-Cyrl-CS"/>
        </w:rPr>
        <w:t>svrha</w:t>
      </w:r>
      <w:r w:rsidR="00BF68B6" w:rsidRPr="00E95BC4">
        <w:rPr>
          <w:lang w:val="sr-Cyrl-CS"/>
        </w:rPr>
        <w:t xml:space="preserve"> </w:t>
      </w:r>
      <w:r>
        <w:rPr>
          <w:lang w:val="sr-Cyrl-CS"/>
        </w:rPr>
        <w:t>intervencija</w:t>
      </w:r>
      <w:r w:rsidR="00BF68B6" w:rsidRPr="00E95BC4">
        <w:rPr>
          <w:lang w:val="sr-Cyrl-CS"/>
        </w:rPr>
        <w:t xml:space="preserve"> </w:t>
      </w:r>
      <w:r>
        <w:rPr>
          <w:lang w:val="sr-Cyrl-CS"/>
        </w:rPr>
        <w:t>predviđenih</w:t>
      </w:r>
      <w:r w:rsidR="00BF68B6" w:rsidRPr="00E95BC4">
        <w:rPr>
          <w:lang w:val="sr-Cyrl-CS"/>
        </w:rPr>
        <w:t xml:space="preserve"> </w:t>
      </w:r>
      <w:r>
        <w:rPr>
          <w:lang w:val="sr-Cyrl-CS"/>
        </w:rPr>
        <w:t>u</w:t>
      </w:r>
      <w:r w:rsidR="00BF68B6" w:rsidRPr="00E95BC4">
        <w:rPr>
          <w:lang w:val="sr-Cyrl-CS"/>
        </w:rPr>
        <w:t xml:space="preserve"> </w:t>
      </w:r>
      <w:r>
        <w:rPr>
          <w:lang w:val="sr-Cyrl-CS"/>
        </w:rPr>
        <w:t>ovom</w:t>
      </w:r>
      <w:r w:rsidR="00BF68B6" w:rsidRPr="00E95BC4">
        <w:rPr>
          <w:lang w:val="sr-Cyrl-CS"/>
        </w:rPr>
        <w:t xml:space="preserve"> </w:t>
      </w:r>
      <w:r>
        <w:rPr>
          <w:lang w:val="sr-Cyrl-CS"/>
        </w:rPr>
        <w:t>akcionom</w:t>
      </w:r>
      <w:r w:rsidR="00BF68B6" w:rsidRPr="00E95BC4">
        <w:rPr>
          <w:lang w:val="sr-Cyrl-CS"/>
        </w:rPr>
        <w:t xml:space="preserve"> </w:t>
      </w:r>
      <w:r>
        <w:rPr>
          <w:lang w:val="sr-Cyrl-CS"/>
        </w:rPr>
        <w:t>planu</w:t>
      </w:r>
      <w:r w:rsidR="00BF68B6" w:rsidRPr="00E95BC4">
        <w:rPr>
          <w:lang w:val="sr-Cyrl-CS"/>
        </w:rPr>
        <w:t xml:space="preserve"> </w:t>
      </w:r>
      <w:r>
        <w:rPr>
          <w:lang w:val="sr-Cyrl-CS"/>
        </w:rPr>
        <w:t>jeste</w:t>
      </w:r>
      <w:r w:rsidR="00BF68B6" w:rsidRPr="00E95BC4">
        <w:rPr>
          <w:lang w:val="sr-Cyrl-CS"/>
        </w:rPr>
        <w:t xml:space="preserve"> </w:t>
      </w:r>
      <w:r>
        <w:rPr>
          <w:lang w:val="sr-Cyrl-CS"/>
        </w:rPr>
        <w:t>ublažavanje</w:t>
      </w:r>
      <w:r w:rsidR="00BF68B6" w:rsidRPr="00E95BC4">
        <w:rPr>
          <w:lang w:val="sr-Cyrl-CS"/>
        </w:rPr>
        <w:t xml:space="preserve"> </w:t>
      </w:r>
      <w:r>
        <w:rPr>
          <w:lang w:val="sr-Cyrl-CS"/>
        </w:rPr>
        <w:t>rizika</w:t>
      </w:r>
      <w:r w:rsidR="00BF68B6" w:rsidRPr="00E95BC4">
        <w:rPr>
          <w:lang w:val="sr-Cyrl-CS"/>
        </w:rPr>
        <w:t xml:space="preserve"> </w:t>
      </w:r>
      <w:r>
        <w:rPr>
          <w:lang w:val="sr-Cyrl-CS"/>
        </w:rPr>
        <w:t>kroz</w:t>
      </w:r>
      <w:r w:rsidR="00BF68B6" w:rsidRPr="00E95BC4">
        <w:rPr>
          <w:lang w:val="sr-Cyrl-CS"/>
        </w:rPr>
        <w:t xml:space="preserve"> </w:t>
      </w:r>
      <w:r>
        <w:rPr>
          <w:lang w:val="sr-Cyrl-CS"/>
        </w:rPr>
        <w:t>otklanjanje</w:t>
      </w:r>
      <w:r w:rsidR="00BF68B6" w:rsidRPr="00E95BC4">
        <w:rPr>
          <w:lang w:val="sr-Cyrl-CS"/>
        </w:rPr>
        <w:t xml:space="preserve"> </w:t>
      </w:r>
      <w:r>
        <w:rPr>
          <w:lang w:val="sr-Cyrl-CS"/>
        </w:rPr>
        <w:t>i</w:t>
      </w:r>
      <w:r w:rsidR="00BF68B6" w:rsidRPr="00E95BC4">
        <w:rPr>
          <w:lang w:val="sr-Cyrl-CS"/>
        </w:rPr>
        <w:t xml:space="preserve"> </w:t>
      </w:r>
      <w:r>
        <w:rPr>
          <w:lang w:val="sr-Cyrl-CS"/>
        </w:rPr>
        <w:t>smanjenje</w:t>
      </w:r>
      <w:r w:rsidR="00BF68B6" w:rsidRPr="00E95BC4">
        <w:rPr>
          <w:lang w:val="sr-Cyrl-CS"/>
        </w:rPr>
        <w:t xml:space="preserve"> </w:t>
      </w:r>
      <w:r>
        <w:rPr>
          <w:lang w:val="sr-Cyrl-CS"/>
        </w:rPr>
        <w:t>ranjivosti</w:t>
      </w:r>
      <w:r w:rsidR="00BF68B6" w:rsidRPr="00E95BC4">
        <w:rPr>
          <w:lang w:val="sr-Cyrl-CS"/>
        </w:rPr>
        <w:t>/</w:t>
      </w:r>
      <w:r>
        <w:rPr>
          <w:lang w:val="sr-Cyrl-CS"/>
        </w:rPr>
        <w:t>slabosti</w:t>
      </w:r>
      <w:r w:rsidR="000F7156">
        <w:rPr>
          <w:lang w:val="sr-Cyrl-CS"/>
        </w:rPr>
        <w:t>,</w:t>
      </w:r>
      <w:r w:rsidR="00BF68B6" w:rsidRPr="00E95BC4">
        <w:rPr>
          <w:lang w:val="sr-Cyrl-CS"/>
        </w:rPr>
        <w:t xml:space="preserve"> </w:t>
      </w:r>
      <w:r>
        <w:rPr>
          <w:lang w:val="sr-Cyrl-CS"/>
        </w:rPr>
        <w:t>odnosno</w:t>
      </w:r>
      <w:r w:rsidR="00BF68B6" w:rsidRPr="00E95BC4">
        <w:rPr>
          <w:lang w:val="sr-Cyrl-CS"/>
        </w:rPr>
        <w:t xml:space="preserve"> </w:t>
      </w:r>
      <w:r>
        <w:rPr>
          <w:lang w:val="sr-Cyrl-CS"/>
        </w:rPr>
        <w:t>pretnji</w:t>
      </w:r>
      <w:r w:rsidR="00D9541E" w:rsidRPr="00E95BC4">
        <w:rPr>
          <w:lang w:val="sr-Cyrl-CS"/>
        </w:rPr>
        <w:t>.</w:t>
      </w:r>
    </w:p>
    <w:p w:rsidR="00D9541E" w:rsidRPr="00E95BC4" w:rsidRDefault="005818C0" w:rsidP="00285FD7">
      <w:pPr>
        <w:ind w:firstLine="720"/>
        <w:jc w:val="both"/>
        <w:rPr>
          <w:lang w:val="sr-Cyrl-CS"/>
        </w:rPr>
      </w:pPr>
      <w:r>
        <w:rPr>
          <w:lang w:val="sr-Cyrl-CS"/>
        </w:rPr>
        <w:t>Analizom</w:t>
      </w:r>
      <w:r w:rsidR="00D9541E" w:rsidRPr="00E95BC4">
        <w:rPr>
          <w:lang w:val="sr-Cyrl-CS"/>
        </w:rPr>
        <w:t xml:space="preserve"> </w:t>
      </w:r>
      <w:r>
        <w:rPr>
          <w:lang w:val="sr-Cyrl-CS"/>
        </w:rPr>
        <w:t>stepena</w:t>
      </w:r>
      <w:r w:rsidR="00D9541E" w:rsidRPr="00E95BC4">
        <w:rPr>
          <w:lang w:val="sr-Cyrl-CS"/>
        </w:rPr>
        <w:t xml:space="preserve"> </w:t>
      </w:r>
      <w:r>
        <w:rPr>
          <w:lang w:val="sr-Cyrl-CS"/>
        </w:rPr>
        <w:t>realizacije</w:t>
      </w:r>
      <w:r w:rsidR="00D9541E" w:rsidRPr="00E95BC4">
        <w:rPr>
          <w:lang w:val="sr-Cyrl-CS"/>
        </w:rPr>
        <w:t xml:space="preserve"> </w:t>
      </w:r>
      <w:r>
        <w:rPr>
          <w:lang w:val="sr-Cyrl-CS"/>
        </w:rPr>
        <w:t>predviđenih</w:t>
      </w:r>
      <w:r w:rsidR="00D9541E" w:rsidRPr="00E95BC4">
        <w:rPr>
          <w:lang w:val="sr-Cyrl-CS"/>
        </w:rPr>
        <w:t xml:space="preserve"> </w:t>
      </w:r>
      <w:r>
        <w:rPr>
          <w:lang w:val="sr-Cyrl-CS"/>
        </w:rPr>
        <w:t>mera</w:t>
      </w:r>
      <w:r w:rsidR="00D9541E" w:rsidRPr="00E95BC4">
        <w:rPr>
          <w:lang w:val="sr-Cyrl-CS"/>
        </w:rPr>
        <w:t xml:space="preserve"> </w:t>
      </w:r>
      <w:r>
        <w:rPr>
          <w:lang w:val="sr-Cyrl-CS"/>
        </w:rPr>
        <w:t>uočavaju</w:t>
      </w:r>
      <w:r w:rsidR="00424D8F" w:rsidRPr="00E95BC4">
        <w:rPr>
          <w:lang w:val="sr-Cyrl-CS"/>
        </w:rPr>
        <w:t xml:space="preserve"> </w:t>
      </w:r>
      <w:r>
        <w:rPr>
          <w:lang w:val="sr-Cyrl-CS"/>
        </w:rPr>
        <w:t>se</w:t>
      </w:r>
      <w:r w:rsidR="00424D8F" w:rsidRPr="00E95BC4">
        <w:rPr>
          <w:lang w:val="sr-Cyrl-CS"/>
        </w:rPr>
        <w:t xml:space="preserve"> </w:t>
      </w:r>
      <w:r>
        <w:rPr>
          <w:lang w:val="sr-Cyrl-CS"/>
        </w:rPr>
        <w:t>određeni</w:t>
      </w:r>
      <w:r w:rsidR="00424D8F" w:rsidRPr="00E95BC4">
        <w:rPr>
          <w:lang w:val="sr-Cyrl-CS"/>
        </w:rPr>
        <w:t xml:space="preserve"> </w:t>
      </w:r>
      <w:r>
        <w:rPr>
          <w:lang w:val="sr-Cyrl-CS"/>
        </w:rPr>
        <w:t>izvori</w:t>
      </w:r>
      <w:r w:rsidR="00424D8F" w:rsidRPr="00E95BC4">
        <w:rPr>
          <w:lang w:val="sr-Cyrl-CS"/>
        </w:rPr>
        <w:t xml:space="preserve"> </w:t>
      </w:r>
      <w:r>
        <w:rPr>
          <w:lang w:val="sr-Cyrl-CS"/>
        </w:rPr>
        <w:t>pretnji</w:t>
      </w:r>
      <w:r w:rsidR="00424D8F" w:rsidRPr="00E95BC4">
        <w:rPr>
          <w:lang w:val="sr-Cyrl-CS"/>
        </w:rPr>
        <w:t xml:space="preserve"> </w:t>
      </w:r>
      <w:r>
        <w:rPr>
          <w:lang w:val="sr-Cyrl-CS"/>
        </w:rPr>
        <w:t>i</w:t>
      </w:r>
      <w:r w:rsidR="00D9541E" w:rsidRPr="00E95BC4">
        <w:rPr>
          <w:lang w:val="sr-Cyrl-CS"/>
        </w:rPr>
        <w:t xml:space="preserve"> </w:t>
      </w:r>
      <w:r>
        <w:rPr>
          <w:lang w:val="sr-Cyrl-CS"/>
        </w:rPr>
        <w:t>ranjivosti</w:t>
      </w:r>
      <w:r w:rsidR="00D9541E" w:rsidRPr="00E95BC4">
        <w:rPr>
          <w:lang w:val="sr-Cyrl-CS"/>
        </w:rPr>
        <w:t xml:space="preserve"> </w:t>
      </w:r>
      <w:r>
        <w:rPr>
          <w:lang w:val="sr-Cyrl-CS"/>
        </w:rPr>
        <w:t>na</w:t>
      </w:r>
      <w:r w:rsidR="00D9541E" w:rsidRPr="00E95BC4">
        <w:rPr>
          <w:lang w:val="sr-Cyrl-CS"/>
        </w:rPr>
        <w:t xml:space="preserve"> </w:t>
      </w:r>
      <w:r>
        <w:rPr>
          <w:lang w:val="sr-Cyrl-CS"/>
        </w:rPr>
        <w:t>koje</w:t>
      </w:r>
      <w:r w:rsidR="00D9541E" w:rsidRPr="00E95BC4">
        <w:rPr>
          <w:lang w:val="sr-Cyrl-CS"/>
        </w:rPr>
        <w:t xml:space="preserve"> </w:t>
      </w:r>
      <w:r>
        <w:rPr>
          <w:lang w:val="sr-Cyrl-CS"/>
        </w:rPr>
        <w:t>je</w:t>
      </w:r>
      <w:r w:rsidR="00D9541E" w:rsidRPr="00E95BC4">
        <w:rPr>
          <w:lang w:val="sr-Cyrl-CS"/>
        </w:rPr>
        <w:t xml:space="preserve"> </w:t>
      </w:r>
      <w:r>
        <w:rPr>
          <w:lang w:val="sr-Cyrl-CS"/>
        </w:rPr>
        <w:t>i</w:t>
      </w:r>
      <w:r w:rsidR="00BF68B6" w:rsidRPr="00E95BC4">
        <w:rPr>
          <w:lang w:val="sr-Cyrl-CS"/>
        </w:rPr>
        <w:t xml:space="preserve"> </w:t>
      </w:r>
      <w:r>
        <w:rPr>
          <w:lang w:val="sr-Cyrl-CS"/>
        </w:rPr>
        <w:t>dalje</w:t>
      </w:r>
      <w:r w:rsidR="00BF68B6" w:rsidRPr="00E95BC4">
        <w:rPr>
          <w:lang w:val="sr-Cyrl-CS"/>
        </w:rPr>
        <w:t xml:space="preserve"> </w:t>
      </w:r>
      <w:r>
        <w:rPr>
          <w:lang w:val="sr-Cyrl-CS"/>
        </w:rPr>
        <w:t>potrebno</w:t>
      </w:r>
      <w:r w:rsidR="00D9541E" w:rsidRPr="00E95BC4">
        <w:rPr>
          <w:lang w:val="sr-Cyrl-CS"/>
        </w:rPr>
        <w:t xml:space="preserve"> </w:t>
      </w:r>
      <w:r>
        <w:rPr>
          <w:lang w:val="sr-Cyrl-CS"/>
        </w:rPr>
        <w:t>posvetiti</w:t>
      </w:r>
      <w:r w:rsidR="00BF68B6" w:rsidRPr="00E95BC4">
        <w:rPr>
          <w:lang w:val="sr-Cyrl-CS"/>
        </w:rPr>
        <w:t xml:space="preserve"> </w:t>
      </w:r>
      <w:r>
        <w:rPr>
          <w:lang w:val="sr-Cyrl-CS"/>
        </w:rPr>
        <w:t>pažnju</w:t>
      </w:r>
      <w:r w:rsidR="00D9541E" w:rsidRPr="00E95BC4">
        <w:rPr>
          <w:lang w:val="sr-Cyrl-CS"/>
        </w:rPr>
        <w:t xml:space="preserve"> </w:t>
      </w:r>
      <w:r>
        <w:rPr>
          <w:lang w:val="sr-Cyrl-CS"/>
        </w:rPr>
        <w:t>u</w:t>
      </w:r>
      <w:r w:rsidR="00D9541E" w:rsidRPr="00E95BC4">
        <w:rPr>
          <w:lang w:val="sr-Cyrl-CS"/>
        </w:rPr>
        <w:t xml:space="preserve"> </w:t>
      </w:r>
      <w:r>
        <w:rPr>
          <w:lang w:val="sr-Cyrl-CS"/>
        </w:rPr>
        <w:t>narednom</w:t>
      </w:r>
      <w:r w:rsidR="00D9541E" w:rsidRPr="00E95BC4">
        <w:rPr>
          <w:lang w:val="sr-Cyrl-CS"/>
        </w:rPr>
        <w:t xml:space="preserve"> </w:t>
      </w:r>
      <w:r>
        <w:rPr>
          <w:lang w:val="sr-Cyrl-CS"/>
        </w:rPr>
        <w:t>periodu</w:t>
      </w:r>
      <w:r w:rsidR="00D9541E" w:rsidRPr="00E95BC4">
        <w:rPr>
          <w:rStyle w:val="FootnoteReference"/>
          <w:lang w:val="sr-Cyrl-CS"/>
        </w:rPr>
        <w:footnoteReference w:id="19"/>
      </w:r>
      <w:r w:rsidR="00D9541E" w:rsidRPr="00E95BC4">
        <w:rPr>
          <w:lang w:val="sr-Cyrl-CS"/>
        </w:rPr>
        <w:t xml:space="preserve">, </w:t>
      </w:r>
      <w:r>
        <w:rPr>
          <w:lang w:val="sr-Cyrl-CS"/>
        </w:rPr>
        <w:t>kao</w:t>
      </w:r>
      <w:r w:rsidR="00D9541E" w:rsidRPr="00E95BC4">
        <w:rPr>
          <w:lang w:val="sr-Cyrl-CS"/>
        </w:rPr>
        <w:t xml:space="preserve"> </w:t>
      </w:r>
      <w:r>
        <w:rPr>
          <w:lang w:val="sr-Cyrl-CS"/>
        </w:rPr>
        <w:t>i</w:t>
      </w:r>
      <w:r w:rsidR="00D9541E" w:rsidRPr="00E95BC4">
        <w:rPr>
          <w:lang w:val="sr-Cyrl-CS"/>
        </w:rPr>
        <w:t xml:space="preserve"> </w:t>
      </w:r>
      <w:r>
        <w:rPr>
          <w:lang w:val="sr-Cyrl-CS"/>
        </w:rPr>
        <w:t>određene</w:t>
      </w:r>
      <w:r w:rsidR="00D9541E" w:rsidRPr="00E95BC4">
        <w:rPr>
          <w:lang w:val="sr-Cyrl-CS"/>
        </w:rPr>
        <w:t xml:space="preserve"> </w:t>
      </w:r>
      <w:r>
        <w:rPr>
          <w:lang w:val="sr-Cyrl-CS"/>
        </w:rPr>
        <w:t>aktivnosti</w:t>
      </w:r>
      <w:r w:rsidR="00D9541E" w:rsidRPr="00E95BC4">
        <w:rPr>
          <w:lang w:val="sr-Cyrl-CS"/>
        </w:rPr>
        <w:t xml:space="preserve"> </w:t>
      </w:r>
      <w:r>
        <w:rPr>
          <w:lang w:val="sr-Cyrl-CS"/>
        </w:rPr>
        <w:t>koje</w:t>
      </w:r>
      <w:r w:rsidR="00D9541E" w:rsidRPr="00E95BC4">
        <w:rPr>
          <w:lang w:val="sr-Cyrl-CS"/>
        </w:rPr>
        <w:t xml:space="preserve"> </w:t>
      </w:r>
      <w:r>
        <w:rPr>
          <w:lang w:val="sr-Cyrl-CS"/>
        </w:rPr>
        <w:t>je</w:t>
      </w:r>
      <w:r w:rsidR="00D9541E" w:rsidRPr="00E95BC4">
        <w:rPr>
          <w:lang w:val="sr-Cyrl-CS"/>
        </w:rPr>
        <w:t xml:space="preserve"> </w:t>
      </w:r>
      <w:r>
        <w:rPr>
          <w:lang w:val="sr-Cyrl-CS"/>
        </w:rPr>
        <w:t>neophodno</w:t>
      </w:r>
      <w:r w:rsidR="00D9541E" w:rsidRPr="00E95BC4">
        <w:rPr>
          <w:lang w:val="sr-Cyrl-CS"/>
        </w:rPr>
        <w:t xml:space="preserve"> </w:t>
      </w:r>
      <w:r>
        <w:rPr>
          <w:lang w:val="sr-Cyrl-CS"/>
        </w:rPr>
        <w:t>kontinuirano</w:t>
      </w:r>
      <w:r w:rsidR="00D9541E" w:rsidRPr="00E95BC4">
        <w:rPr>
          <w:lang w:val="sr-Cyrl-CS"/>
        </w:rPr>
        <w:t xml:space="preserve"> </w:t>
      </w:r>
      <w:r>
        <w:rPr>
          <w:lang w:val="sr-Cyrl-CS"/>
        </w:rPr>
        <w:t>sprovoditi</w:t>
      </w:r>
      <w:r w:rsidR="00D9541E" w:rsidRPr="00E95BC4">
        <w:rPr>
          <w:rStyle w:val="FootnoteReference"/>
          <w:lang w:val="sr-Cyrl-CS"/>
        </w:rPr>
        <w:footnoteReference w:id="20"/>
      </w:r>
      <w:r w:rsidR="00D9541E" w:rsidRPr="00E95BC4">
        <w:rPr>
          <w:lang w:val="sr-Cyrl-CS"/>
        </w:rPr>
        <w:t xml:space="preserve">. </w:t>
      </w:r>
    </w:p>
    <w:p w:rsidR="00A278FF" w:rsidRPr="00E95BC4" w:rsidRDefault="00BF68B6" w:rsidP="00156D4E">
      <w:pPr>
        <w:pStyle w:val="FATF-TEXTE1115"/>
        <w:spacing w:after="0" w:line="240" w:lineRule="auto"/>
        <w:rPr>
          <w:rFonts w:ascii="Times New Roman" w:hAnsi="Times New Roman"/>
          <w:color w:val="262626" w:themeColor="text1" w:themeTint="D9"/>
          <w:sz w:val="24"/>
          <w:szCs w:val="24"/>
          <w:lang w:val="sr-Cyrl-CS"/>
        </w:rPr>
      </w:pPr>
      <w:r w:rsidRPr="00E95BC4">
        <w:rPr>
          <w:rFonts w:ascii="Times New Roman" w:hAnsi="Times New Roman"/>
          <w:b/>
          <w:sz w:val="24"/>
          <w:szCs w:val="24"/>
          <w:lang w:val="sr-Cyrl-CS"/>
        </w:rPr>
        <w:tab/>
      </w:r>
      <w:r w:rsidR="005818C0">
        <w:rPr>
          <w:rFonts w:ascii="Times New Roman" w:hAnsi="Times New Roman"/>
          <w:b/>
          <w:sz w:val="24"/>
          <w:szCs w:val="24"/>
          <w:lang w:val="sr-Cyrl-CS"/>
        </w:rPr>
        <w:t>Rezultati</w:t>
      </w:r>
      <w:r w:rsidR="00A278FF" w:rsidRPr="00E95BC4">
        <w:rPr>
          <w:rFonts w:ascii="Times New Roman" w:hAnsi="Times New Roman"/>
          <w:b/>
          <w:sz w:val="24"/>
          <w:szCs w:val="24"/>
          <w:lang w:val="sr-Cyrl-CS"/>
        </w:rPr>
        <w:t xml:space="preserve"> </w:t>
      </w:r>
      <w:r w:rsidR="005818C0">
        <w:rPr>
          <w:rFonts w:ascii="Times New Roman" w:hAnsi="Times New Roman"/>
          <w:b/>
          <w:sz w:val="24"/>
          <w:szCs w:val="24"/>
          <w:lang w:val="sr-Cyrl-CS"/>
        </w:rPr>
        <w:t>sprovođenja</w:t>
      </w:r>
      <w:r w:rsidR="00A278FF" w:rsidRPr="00E95BC4">
        <w:rPr>
          <w:rFonts w:ascii="Times New Roman" w:hAnsi="Times New Roman"/>
          <w:b/>
          <w:sz w:val="24"/>
          <w:szCs w:val="24"/>
          <w:lang w:val="sr-Cyrl-CS"/>
        </w:rPr>
        <w:t xml:space="preserve"> </w:t>
      </w:r>
      <w:r w:rsidR="005818C0">
        <w:rPr>
          <w:rFonts w:ascii="Times New Roman" w:hAnsi="Times New Roman"/>
          <w:b/>
          <w:sz w:val="24"/>
          <w:szCs w:val="24"/>
          <w:lang w:val="sr-Cyrl-CS"/>
        </w:rPr>
        <w:t>Nacionalne</w:t>
      </w:r>
      <w:r w:rsidR="00A278FF" w:rsidRPr="00E95BC4">
        <w:rPr>
          <w:rFonts w:ascii="Times New Roman" w:hAnsi="Times New Roman"/>
          <w:b/>
          <w:sz w:val="24"/>
          <w:szCs w:val="24"/>
          <w:lang w:val="sr-Cyrl-CS"/>
        </w:rPr>
        <w:t xml:space="preserve"> </w:t>
      </w:r>
      <w:r w:rsidR="005818C0">
        <w:rPr>
          <w:rFonts w:ascii="Times New Roman" w:hAnsi="Times New Roman"/>
          <w:b/>
          <w:sz w:val="24"/>
          <w:szCs w:val="24"/>
          <w:lang w:val="sr-Cyrl-CS"/>
        </w:rPr>
        <w:t>strategije</w:t>
      </w:r>
      <w:r w:rsidR="00A278FF" w:rsidRPr="00E95BC4">
        <w:rPr>
          <w:rFonts w:ascii="Times New Roman" w:hAnsi="Times New Roman"/>
          <w:b/>
          <w:sz w:val="24"/>
          <w:szCs w:val="24"/>
          <w:lang w:val="sr-Cyrl-CS"/>
        </w:rPr>
        <w:t xml:space="preserve"> 2014-2019</w:t>
      </w:r>
      <w:r w:rsidR="001E55D5" w:rsidRPr="00E95BC4">
        <w:rPr>
          <w:rFonts w:ascii="Times New Roman" w:hAnsi="Times New Roman"/>
          <w:b/>
          <w:sz w:val="24"/>
          <w:szCs w:val="24"/>
          <w:lang w:val="sr-Cyrl-CS"/>
        </w:rPr>
        <w:t>.</w:t>
      </w:r>
      <w:r w:rsidR="00A278FF" w:rsidRPr="00E95BC4">
        <w:rPr>
          <w:rFonts w:ascii="Times New Roman" w:hAnsi="Times New Roman"/>
          <w:sz w:val="24"/>
          <w:szCs w:val="24"/>
          <w:lang w:val="sr-Cyrl-CS"/>
        </w:rPr>
        <w:t xml:space="preserve"> </w:t>
      </w:r>
      <w:r w:rsidR="005818C0">
        <w:rPr>
          <w:rFonts w:ascii="Times New Roman" w:hAnsi="Times New Roman"/>
          <w:color w:val="262626" w:themeColor="text1" w:themeTint="D9"/>
          <w:sz w:val="24"/>
          <w:szCs w:val="24"/>
          <w:lang w:val="sr-Cyrl-CS"/>
        </w:rPr>
        <w:t>U</w:t>
      </w:r>
      <w:r w:rsidR="00A278FF" w:rsidRPr="00E95BC4">
        <w:rPr>
          <w:rFonts w:ascii="Times New Roman" w:hAnsi="Times New Roman"/>
          <w:color w:val="262626" w:themeColor="text1" w:themeTint="D9"/>
          <w:sz w:val="24"/>
          <w:szCs w:val="24"/>
          <w:lang w:val="sr-Cyrl-CS"/>
        </w:rPr>
        <w:t xml:space="preserve"> </w:t>
      </w:r>
      <w:r w:rsidR="005818C0">
        <w:rPr>
          <w:rFonts w:ascii="Times New Roman" w:hAnsi="Times New Roman"/>
          <w:color w:val="262626" w:themeColor="text1" w:themeTint="D9"/>
          <w:sz w:val="24"/>
          <w:szCs w:val="24"/>
          <w:lang w:val="sr-Cyrl-CS"/>
        </w:rPr>
        <w:t>oceni</w:t>
      </w:r>
      <w:r w:rsidR="00A278FF" w:rsidRPr="00E95BC4">
        <w:rPr>
          <w:rFonts w:ascii="Times New Roman" w:hAnsi="Times New Roman"/>
          <w:color w:val="262626" w:themeColor="text1" w:themeTint="D9"/>
          <w:sz w:val="24"/>
          <w:szCs w:val="24"/>
          <w:lang w:val="sr-Cyrl-CS"/>
        </w:rPr>
        <w:t xml:space="preserve"> </w:t>
      </w:r>
      <w:r w:rsidR="005818C0">
        <w:rPr>
          <w:rFonts w:ascii="Times New Roman" w:hAnsi="Times New Roman"/>
          <w:color w:val="262626" w:themeColor="text1" w:themeTint="D9"/>
          <w:sz w:val="24"/>
          <w:szCs w:val="24"/>
          <w:lang w:val="sr-Cyrl-CS"/>
        </w:rPr>
        <w:t>stepena</w:t>
      </w:r>
      <w:r w:rsidR="00A278FF" w:rsidRPr="00E95BC4">
        <w:rPr>
          <w:rFonts w:ascii="Times New Roman" w:hAnsi="Times New Roman"/>
          <w:color w:val="262626" w:themeColor="text1" w:themeTint="D9"/>
          <w:sz w:val="24"/>
          <w:szCs w:val="24"/>
          <w:lang w:val="sr-Cyrl-CS"/>
        </w:rPr>
        <w:t xml:space="preserve"> </w:t>
      </w:r>
      <w:r w:rsidR="005818C0">
        <w:rPr>
          <w:rFonts w:ascii="Times New Roman" w:hAnsi="Times New Roman"/>
          <w:color w:val="262626" w:themeColor="text1" w:themeTint="D9"/>
          <w:sz w:val="24"/>
          <w:szCs w:val="24"/>
          <w:lang w:val="sr-Cyrl-CS"/>
        </w:rPr>
        <w:t>ispunjenosti</w:t>
      </w:r>
      <w:r w:rsidR="00A278FF" w:rsidRPr="00E95BC4">
        <w:rPr>
          <w:rFonts w:ascii="Times New Roman" w:hAnsi="Times New Roman"/>
          <w:color w:val="262626" w:themeColor="text1" w:themeTint="D9"/>
          <w:sz w:val="24"/>
          <w:szCs w:val="24"/>
          <w:lang w:val="sr-Cyrl-CS"/>
        </w:rPr>
        <w:t xml:space="preserve"> </w:t>
      </w:r>
      <w:r w:rsidR="005818C0">
        <w:rPr>
          <w:rFonts w:ascii="Times New Roman" w:hAnsi="Times New Roman"/>
          <w:color w:val="262626" w:themeColor="text1" w:themeTint="D9"/>
          <w:sz w:val="24"/>
          <w:szCs w:val="24"/>
          <w:lang w:val="sr-Cyrl-CS"/>
        </w:rPr>
        <w:t>Nacionalne</w:t>
      </w:r>
      <w:r w:rsidR="00A278FF" w:rsidRPr="00E95BC4">
        <w:rPr>
          <w:rFonts w:ascii="Times New Roman" w:hAnsi="Times New Roman"/>
          <w:color w:val="262626" w:themeColor="text1" w:themeTint="D9"/>
          <w:sz w:val="24"/>
          <w:szCs w:val="24"/>
          <w:lang w:val="sr-Cyrl-CS"/>
        </w:rPr>
        <w:t xml:space="preserve"> </w:t>
      </w:r>
      <w:r w:rsidR="005818C0">
        <w:rPr>
          <w:rFonts w:ascii="Times New Roman" w:hAnsi="Times New Roman"/>
          <w:color w:val="262626" w:themeColor="text1" w:themeTint="D9"/>
          <w:sz w:val="24"/>
          <w:szCs w:val="24"/>
          <w:lang w:val="sr-Cyrl-CS"/>
        </w:rPr>
        <w:t>strategije</w:t>
      </w:r>
      <w:r w:rsidR="00A278FF" w:rsidRPr="00E95BC4">
        <w:rPr>
          <w:rFonts w:ascii="Times New Roman" w:hAnsi="Times New Roman"/>
          <w:color w:val="262626" w:themeColor="text1" w:themeTint="D9"/>
          <w:sz w:val="24"/>
          <w:szCs w:val="24"/>
          <w:lang w:val="sr-Cyrl-CS"/>
        </w:rPr>
        <w:t xml:space="preserve"> </w:t>
      </w:r>
      <w:r w:rsidR="005818C0">
        <w:rPr>
          <w:rFonts w:ascii="Times New Roman" w:hAnsi="Times New Roman"/>
          <w:color w:val="262626" w:themeColor="text1" w:themeTint="D9"/>
          <w:sz w:val="24"/>
          <w:szCs w:val="24"/>
          <w:lang w:val="sr-Cyrl-CS"/>
        </w:rPr>
        <w:t>treba</w:t>
      </w:r>
      <w:r w:rsidR="00A278FF" w:rsidRPr="00E95BC4">
        <w:rPr>
          <w:rFonts w:ascii="Times New Roman" w:hAnsi="Times New Roman"/>
          <w:color w:val="262626" w:themeColor="text1" w:themeTint="D9"/>
          <w:sz w:val="24"/>
          <w:szCs w:val="24"/>
          <w:lang w:val="sr-Cyrl-CS"/>
        </w:rPr>
        <w:t xml:space="preserve"> </w:t>
      </w:r>
      <w:r w:rsidR="005818C0">
        <w:rPr>
          <w:rFonts w:ascii="Times New Roman" w:hAnsi="Times New Roman"/>
          <w:color w:val="262626" w:themeColor="text1" w:themeTint="D9"/>
          <w:sz w:val="24"/>
          <w:szCs w:val="24"/>
          <w:lang w:val="sr-Cyrl-CS"/>
        </w:rPr>
        <w:t>imati</w:t>
      </w:r>
      <w:r w:rsidR="00A278FF" w:rsidRPr="00E95BC4">
        <w:rPr>
          <w:rFonts w:ascii="Times New Roman" w:hAnsi="Times New Roman"/>
          <w:color w:val="262626" w:themeColor="text1" w:themeTint="D9"/>
          <w:sz w:val="24"/>
          <w:szCs w:val="24"/>
          <w:lang w:val="sr-Cyrl-CS"/>
        </w:rPr>
        <w:t xml:space="preserve"> </w:t>
      </w:r>
      <w:r w:rsidR="005818C0">
        <w:rPr>
          <w:rFonts w:ascii="Times New Roman" w:hAnsi="Times New Roman"/>
          <w:color w:val="262626" w:themeColor="text1" w:themeTint="D9"/>
          <w:sz w:val="24"/>
          <w:szCs w:val="24"/>
          <w:lang w:val="sr-Cyrl-CS"/>
        </w:rPr>
        <w:t>u</w:t>
      </w:r>
      <w:r w:rsidR="00A278FF" w:rsidRPr="00E95BC4">
        <w:rPr>
          <w:rFonts w:ascii="Times New Roman" w:hAnsi="Times New Roman"/>
          <w:color w:val="262626" w:themeColor="text1" w:themeTint="D9"/>
          <w:sz w:val="24"/>
          <w:szCs w:val="24"/>
          <w:lang w:val="sr-Cyrl-CS"/>
        </w:rPr>
        <w:t xml:space="preserve"> </w:t>
      </w:r>
      <w:r w:rsidR="005818C0">
        <w:rPr>
          <w:rFonts w:ascii="Times New Roman" w:hAnsi="Times New Roman"/>
          <w:color w:val="262626" w:themeColor="text1" w:themeTint="D9"/>
          <w:sz w:val="24"/>
          <w:szCs w:val="24"/>
          <w:lang w:val="sr-Cyrl-CS"/>
        </w:rPr>
        <w:t>vidu</w:t>
      </w:r>
      <w:r w:rsidR="00A278FF" w:rsidRPr="00E95BC4">
        <w:rPr>
          <w:rFonts w:ascii="Times New Roman" w:hAnsi="Times New Roman"/>
          <w:color w:val="262626" w:themeColor="text1" w:themeTint="D9"/>
          <w:sz w:val="24"/>
          <w:szCs w:val="24"/>
          <w:lang w:val="sr-Cyrl-CS"/>
        </w:rPr>
        <w:t xml:space="preserve"> </w:t>
      </w:r>
      <w:r w:rsidR="005818C0">
        <w:rPr>
          <w:rFonts w:ascii="Times New Roman" w:hAnsi="Times New Roman"/>
          <w:color w:val="262626" w:themeColor="text1" w:themeTint="D9"/>
          <w:sz w:val="24"/>
          <w:szCs w:val="24"/>
          <w:lang w:val="sr-Cyrl-CS"/>
        </w:rPr>
        <w:t>aktivnosti</w:t>
      </w:r>
      <w:r w:rsidR="00A278FF" w:rsidRPr="00E95BC4">
        <w:rPr>
          <w:rFonts w:ascii="Times New Roman" w:hAnsi="Times New Roman"/>
          <w:color w:val="262626" w:themeColor="text1" w:themeTint="D9"/>
          <w:sz w:val="24"/>
          <w:szCs w:val="24"/>
          <w:lang w:val="sr-Cyrl-CS"/>
        </w:rPr>
        <w:t xml:space="preserve"> </w:t>
      </w:r>
      <w:r w:rsidR="005818C0">
        <w:rPr>
          <w:rFonts w:ascii="Times New Roman" w:hAnsi="Times New Roman"/>
          <w:color w:val="262626" w:themeColor="text1" w:themeTint="D9"/>
          <w:sz w:val="24"/>
          <w:szCs w:val="24"/>
          <w:lang w:val="sr-Cyrl-CS"/>
        </w:rPr>
        <w:t>u</w:t>
      </w:r>
      <w:r w:rsidR="00A278FF" w:rsidRPr="00E95BC4">
        <w:rPr>
          <w:rFonts w:ascii="Times New Roman" w:hAnsi="Times New Roman"/>
          <w:color w:val="262626" w:themeColor="text1" w:themeTint="D9"/>
          <w:sz w:val="24"/>
          <w:szCs w:val="24"/>
          <w:lang w:val="sr-Cyrl-CS"/>
        </w:rPr>
        <w:t xml:space="preserve"> </w:t>
      </w:r>
      <w:r w:rsidR="005818C0">
        <w:rPr>
          <w:rFonts w:ascii="Times New Roman" w:hAnsi="Times New Roman"/>
          <w:color w:val="262626" w:themeColor="text1" w:themeTint="D9"/>
          <w:sz w:val="24"/>
          <w:szCs w:val="24"/>
          <w:lang w:val="sr-Cyrl-CS"/>
        </w:rPr>
        <w:t>okviru</w:t>
      </w:r>
      <w:r w:rsidR="00A278FF" w:rsidRPr="00E95BC4">
        <w:rPr>
          <w:rFonts w:ascii="Times New Roman" w:hAnsi="Times New Roman"/>
          <w:color w:val="262626" w:themeColor="text1" w:themeTint="D9"/>
          <w:sz w:val="24"/>
          <w:szCs w:val="24"/>
          <w:lang w:val="sr-Cyrl-CS"/>
        </w:rPr>
        <w:t xml:space="preserve"> </w:t>
      </w:r>
      <w:r w:rsidR="005818C0">
        <w:rPr>
          <w:rFonts w:ascii="Times New Roman" w:hAnsi="Times New Roman"/>
          <w:color w:val="262626" w:themeColor="text1" w:themeTint="D9"/>
          <w:sz w:val="24"/>
          <w:szCs w:val="24"/>
          <w:lang w:val="sr-Cyrl-CS"/>
        </w:rPr>
        <w:t>drugih</w:t>
      </w:r>
      <w:r w:rsidR="00A278FF" w:rsidRPr="00E95BC4">
        <w:rPr>
          <w:rFonts w:ascii="Times New Roman" w:hAnsi="Times New Roman"/>
          <w:color w:val="262626" w:themeColor="text1" w:themeTint="D9"/>
          <w:sz w:val="24"/>
          <w:szCs w:val="24"/>
          <w:lang w:val="sr-Cyrl-CS"/>
        </w:rPr>
        <w:t xml:space="preserve"> </w:t>
      </w:r>
      <w:r w:rsidR="005818C0">
        <w:rPr>
          <w:rFonts w:ascii="Times New Roman" w:hAnsi="Times New Roman"/>
          <w:color w:val="262626" w:themeColor="text1" w:themeTint="D9"/>
          <w:sz w:val="24"/>
          <w:szCs w:val="24"/>
          <w:lang w:val="sr-Cyrl-CS"/>
        </w:rPr>
        <w:t>inicijativa</w:t>
      </w:r>
      <w:r w:rsidR="00A278FF" w:rsidRPr="00E95BC4">
        <w:rPr>
          <w:rFonts w:ascii="Times New Roman" w:hAnsi="Times New Roman"/>
          <w:color w:val="262626" w:themeColor="text1" w:themeTint="D9"/>
          <w:sz w:val="24"/>
          <w:szCs w:val="24"/>
          <w:lang w:val="sr-Cyrl-CS"/>
        </w:rPr>
        <w:t xml:space="preserve">, </w:t>
      </w:r>
      <w:r w:rsidR="005818C0">
        <w:rPr>
          <w:rFonts w:ascii="Times New Roman" w:hAnsi="Times New Roman"/>
          <w:color w:val="262626" w:themeColor="text1" w:themeTint="D9"/>
          <w:sz w:val="24"/>
          <w:szCs w:val="24"/>
          <w:lang w:val="sr-Cyrl-CS"/>
        </w:rPr>
        <w:t>procesa</w:t>
      </w:r>
      <w:r w:rsidR="00A278FF" w:rsidRPr="00E95BC4">
        <w:rPr>
          <w:rFonts w:ascii="Times New Roman" w:hAnsi="Times New Roman"/>
          <w:color w:val="262626" w:themeColor="text1" w:themeTint="D9"/>
          <w:sz w:val="24"/>
          <w:szCs w:val="24"/>
          <w:lang w:val="sr-Cyrl-CS"/>
        </w:rPr>
        <w:t xml:space="preserve"> </w:t>
      </w:r>
      <w:r w:rsidR="005818C0">
        <w:rPr>
          <w:rFonts w:ascii="Times New Roman" w:hAnsi="Times New Roman"/>
          <w:color w:val="262626" w:themeColor="text1" w:themeTint="D9"/>
          <w:sz w:val="24"/>
          <w:szCs w:val="24"/>
          <w:lang w:val="sr-Cyrl-CS"/>
        </w:rPr>
        <w:t>i</w:t>
      </w:r>
      <w:r w:rsidR="00A278FF" w:rsidRPr="00E95BC4">
        <w:rPr>
          <w:rFonts w:ascii="Times New Roman" w:hAnsi="Times New Roman"/>
          <w:color w:val="262626" w:themeColor="text1" w:themeTint="D9"/>
          <w:sz w:val="24"/>
          <w:szCs w:val="24"/>
          <w:lang w:val="sr-Cyrl-CS"/>
        </w:rPr>
        <w:t xml:space="preserve"> </w:t>
      </w:r>
      <w:r w:rsidR="005818C0">
        <w:rPr>
          <w:rFonts w:ascii="Times New Roman" w:hAnsi="Times New Roman"/>
          <w:color w:val="262626" w:themeColor="text1" w:themeTint="D9"/>
          <w:sz w:val="24"/>
          <w:szCs w:val="24"/>
          <w:lang w:val="sr-Cyrl-CS"/>
        </w:rPr>
        <w:t>planova</w:t>
      </w:r>
      <w:r w:rsidR="00A278FF" w:rsidRPr="00E95BC4">
        <w:rPr>
          <w:rFonts w:ascii="Times New Roman" w:hAnsi="Times New Roman"/>
          <w:color w:val="262626" w:themeColor="text1" w:themeTint="D9"/>
          <w:sz w:val="24"/>
          <w:szCs w:val="24"/>
          <w:lang w:val="sr-Cyrl-CS"/>
        </w:rPr>
        <w:t xml:space="preserve"> </w:t>
      </w:r>
      <w:r w:rsidR="005818C0">
        <w:rPr>
          <w:rFonts w:ascii="Times New Roman" w:hAnsi="Times New Roman"/>
          <w:color w:val="262626" w:themeColor="text1" w:themeTint="D9"/>
          <w:sz w:val="24"/>
          <w:szCs w:val="24"/>
          <w:lang w:val="sr-Cyrl-CS"/>
        </w:rPr>
        <w:t>državnih</w:t>
      </w:r>
      <w:r w:rsidR="00A278FF" w:rsidRPr="00E95BC4">
        <w:rPr>
          <w:rFonts w:ascii="Times New Roman" w:hAnsi="Times New Roman"/>
          <w:color w:val="262626" w:themeColor="text1" w:themeTint="D9"/>
          <w:sz w:val="24"/>
          <w:szCs w:val="24"/>
          <w:lang w:val="sr-Cyrl-CS"/>
        </w:rPr>
        <w:t xml:space="preserve"> </w:t>
      </w:r>
      <w:r w:rsidR="005818C0">
        <w:rPr>
          <w:rFonts w:ascii="Times New Roman" w:hAnsi="Times New Roman"/>
          <w:color w:val="262626" w:themeColor="text1" w:themeTint="D9"/>
          <w:sz w:val="24"/>
          <w:szCs w:val="24"/>
          <w:lang w:val="sr-Cyrl-CS"/>
        </w:rPr>
        <w:t>organa</w:t>
      </w:r>
      <w:r w:rsidR="00A278FF" w:rsidRPr="00E95BC4">
        <w:rPr>
          <w:rFonts w:ascii="Times New Roman" w:hAnsi="Times New Roman"/>
          <w:color w:val="262626" w:themeColor="text1" w:themeTint="D9"/>
          <w:sz w:val="24"/>
          <w:szCs w:val="24"/>
          <w:lang w:val="sr-Cyrl-CS"/>
        </w:rPr>
        <w:t xml:space="preserve">, </w:t>
      </w:r>
      <w:r w:rsidR="005818C0">
        <w:rPr>
          <w:rFonts w:ascii="Times New Roman" w:hAnsi="Times New Roman"/>
          <w:color w:val="262626" w:themeColor="text1" w:themeTint="D9"/>
          <w:sz w:val="24"/>
          <w:szCs w:val="24"/>
          <w:lang w:val="sr-Cyrl-CS"/>
        </w:rPr>
        <w:t>kao</w:t>
      </w:r>
      <w:r w:rsidR="00A278FF" w:rsidRPr="00E95BC4">
        <w:rPr>
          <w:rFonts w:ascii="Times New Roman" w:hAnsi="Times New Roman"/>
          <w:color w:val="262626" w:themeColor="text1" w:themeTint="D9"/>
          <w:sz w:val="24"/>
          <w:szCs w:val="24"/>
          <w:lang w:val="sr-Cyrl-CS"/>
        </w:rPr>
        <w:t xml:space="preserve"> </w:t>
      </w:r>
      <w:r w:rsidR="005818C0">
        <w:rPr>
          <w:rFonts w:ascii="Times New Roman" w:hAnsi="Times New Roman"/>
          <w:color w:val="262626" w:themeColor="text1" w:themeTint="D9"/>
          <w:sz w:val="24"/>
          <w:szCs w:val="24"/>
          <w:lang w:val="sr-Cyrl-CS"/>
        </w:rPr>
        <w:t>i</w:t>
      </w:r>
      <w:r w:rsidR="00A278FF" w:rsidRPr="00E95BC4">
        <w:rPr>
          <w:rFonts w:ascii="Times New Roman" w:hAnsi="Times New Roman"/>
          <w:color w:val="262626" w:themeColor="text1" w:themeTint="D9"/>
          <w:sz w:val="24"/>
          <w:szCs w:val="24"/>
          <w:lang w:val="sr-Cyrl-CS"/>
        </w:rPr>
        <w:t xml:space="preserve"> </w:t>
      </w:r>
      <w:r w:rsidR="005818C0">
        <w:rPr>
          <w:rFonts w:ascii="Times New Roman" w:hAnsi="Times New Roman"/>
          <w:color w:val="262626" w:themeColor="text1" w:themeTint="D9"/>
          <w:sz w:val="24"/>
          <w:szCs w:val="24"/>
          <w:lang w:val="sr-Cyrl-CS"/>
        </w:rPr>
        <w:t>objektivnim</w:t>
      </w:r>
      <w:r w:rsidR="00A278FF" w:rsidRPr="00E95BC4">
        <w:rPr>
          <w:rFonts w:ascii="Times New Roman" w:hAnsi="Times New Roman"/>
          <w:color w:val="262626" w:themeColor="text1" w:themeTint="D9"/>
          <w:sz w:val="24"/>
          <w:szCs w:val="24"/>
          <w:lang w:val="sr-Cyrl-CS"/>
        </w:rPr>
        <w:t xml:space="preserve"> </w:t>
      </w:r>
      <w:r w:rsidR="005818C0">
        <w:rPr>
          <w:rFonts w:ascii="Times New Roman" w:hAnsi="Times New Roman"/>
          <w:color w:val="262626" w:themeColor="text1" w:themeTint="D9"/>
          <w:sz w:val="24"/>
          <w:szCs w:val="24"/>
          <w:lang w:val="sr-Cyrl-CS"/>
        </w:rPr>
        <w:t>okolnostima</w:t>
      </w:r>
      <w:r w:rsidR="00A278FF" w:rsidRPr="00E95BC4">
        <w:rPr>
          <w:rFonts w:ascii="Times New Roman" w:hAnsi="Times New Roman"/>
          <w:color w:val="262626" w:themeColor="text1" w:themeTint="D9"/>
          <w:sz w:val="24"/>
          <w:szCs w:val="24"/>
          <w:lang w:val="sr-Cyrl-CS"/>
        </w:rPr>
        <w:t xml:space="preserve"> – </w:t>
      </w:r>
      <w:r w:rsidR="005818C0">
        <w:rPr>
          <w:rFonts w:ascii="Times New Roman" w:hAnsi="Times New Roman"/>
          <w:color w:val="262626" w:themeColor="text1" w:themeTint="D9"/>
          <w:sz w:val="24"/>
          <w:szCs w:val="24"/>
          <w:lang w:val="sr-Cyrl-CS"/>
        </w:rPr>
        <w:t>kao</w:t>
      </w:r>
      <w:r w:rsidR="00A278FF" w:rsidRPr="00E95BC4">
        <w:rPr>
          <w:rFonts w:ascii="Times New Roman" w:hAnsi="Times New Roman"/>
          <w:color w:val="262626" w:themeColor="text1" w:themeTint="D9"/>
          <w:sz w:val="24"/>
          <w:szCs w:val="24"/>
          <w:lang w:val="sr-Cyrl-CS"/>
        </w:rPr>
        <w:t xml:space="preserve"> </w:t>
      </w:r>
      <w:r w:rsidR="005818C0">
        <w:rPr>
          <w:rFonts w:ascii="Times New Roman" w:hAnsi="Times New Roman"/>
          <w:color w:val="262626" w:themeColor="text1" w:themeTint="D9"/>
          <w:sz w:val="24"/>
          <w:szCs w:val="24"/>
          <w:lang w:val="sr-Cyrl-CS"/>
        </w:rPr>
        <w:t>što</w:t>
      </w:r>
      <w:r w:rsidR="00A278FF" w:rsidRPr="00E95BC4">
        <w:rPr>
          <w:rFonts w:ascii="Times New Roman" w:hAnsi="Times New Roman"/>
          <w:color w:val="262626" w:themeColor="text1" w:themeTint="D9"/>
          <w:sz w:val="24"/>
          <w:szCs w:val="24"/>
          <w:lang w:val="sr-Cyrl-CS"/>
        </w:rPr>
        <w:t xml:space="preserve"> </w:t>
      </w:r>
      <w:r w:rsidR="005818C0">
        <w:rPr>
          <w:rFonts w:ascii="Times New Roman" w:hAnsi="Times New Roman"/>
          <w:color w:val="262626" w:themeColor="text1" w:themeTint="D9"/>
          <w:sz w:val="24"/>
          <w:szCs w:val="24"/>
          <w:lang w:val="sr-Cyrl-CS"/>
        </w:rPr>
        <w:t>su</w:t>
      </w:r>
      <w:r w:rsidR="00A278FF" w:rsidRPr="00E95BC4">
        <w:rPr>
          <w:rFonts w:ascii="Times New Roman" w:hAnsi="Times New Roman"/>
          <w:color w:val="262626" w:themeColor="text1" w:themeTint="D9"/>
          <w:sz w:val="24"/>
          <w:szCs w:val="24"/>
          <w:lang w:val="sr-Cyrl-CS"/>
        </w:rPr>
        <w:t xml:space="preserve"> </w:t>
      </w:r>
      <w:r w:rsidR="005818C0">
        <w:rPr>
          <w:rFonts w:ascii="Times New Roman" w:hAnsi="Times New Roman"/>
          <w:color w:val="262626" w:themeColor="text1" w:themeTint="D9"/>
          <w:sz w:val="24"/>
          <w:szCs w:val="24"/>
          <w:lang w:val="sr-Cyrl-CS"/>
        </w:rPr>
        <w:t>ubrzano</w:t>
      </w:r>
      <w:r w:rsidR="00A278FF" w:rsidRPr="00E95BC4">
        <w:rPr>
          <w:rFonts w:ascii="Times New Roman" w:hAnsi="Times New Roman"/>
          <w:color w:val="262626" w:themeColor="text1" w:themeTint="D9"/>
          <w:sz w:val="24"/>
          <w:szCs w:val="24"/>
          <w:lang w:val="sr-Cyrl-CS"/>
        </w:rPr>
        <w:t xml:space="preserve"> </w:t>
      </w:r>
      <w:r w:rsidR="005818C0">
        <w:rPr>
          <w:rFonts w:ascii="Times New Roman" w:hAnsi="Times New Roman"/>
          <w:color w:val="262626" w:themeColor="text1" w:themeTint="D9"/>
          <w:sz w:val="24"/>
          <w:szCs w:val="24"/>
          <w:lang w:val="sr-Cyrl-CS"/>
        </w:rPr>
        <w:t>ispunjavanje</w:t>
      </w:r>
      <w:r w:rsidR="00A278FF" w:rsidRPr="00E95BC4">
        <w:rPr>
          <w:rFonts w:ascii="Times New Roman" w:hAnsi="Times New Roman"/>
          <w:color w:val="262626" w:themeColor="text1" w:themeTint="D9"/>
          <w:sz w:val="24"/>
          <w:szCs w:val="24"/>
          <w:lang w:val="sr-Cyrl-CS"/>
        </w:rPr>
        <w:t xml:space="preserve"> </w:t>
      </w:r>
      <w:r w:rsidR="005818C0">
        <w:rPr>
          <w:rFonts w:ascii="Times New Roman" w:hAnsi="Times New Roman"/>
          <w:color w:val="262626" w:themeColor="text1" w:themeTint="D9"/>
          <w:sz w:val="24"/>
          <w:szCs w:val="24"/>
          <w:lang w:val="sr-Cyrl-CS"/>
        </w:rPr>
        <w:t>preporuka</w:t>
      </w:r>
      <w:r w:rsidR="00A278FF" w:rsidRPr="00E95BC4">
        <w:rPr>
          <w:rFonts w:ascii="Times New Roman" w:hAnsi="Times New Roman"/>
          <w:color w:val="262626" w:themeColor="text1" w:themeTint="D9"/>
          <w:sz w:val="24"/>
          <w:szCs w:val="24"/>
          <w:lang w:val="sr-Cyrl-CS"/>
        </w:rPr>
        <w:t xml:space="preserve"> </w:t>
      </w:r>
      <w:r w:rsidR="005818C0">
        <w:rPr>
          <w:rFonts w:ascii="Times New Roman" w:hAnsi="Times New Roman"/>
          <w:color w:val="262626" w:themeColor="text1" w:themeTint="D9"/>
          <w:sz w:val="24"/>
          <w:szCs w:val="24"/>
          <w:lang w:val="sr-Cyrl-CS"/>
        </w:rPr>
        <w:t>Manivala</w:t>
      </w:r>
      <w:r w:rsidR="00A278FF" w:rsidRPr="00E95BC4">
        <w:rPr>
          <w:rFonts w:ascii="Times New Roman" w:hAnsi="Times New Roman"/>
          <w:color w:val="262626" w:themeColor="text1" w:themeTint="D9"/>
          <w:sz w:val="24"/>
          <w:szCs w:val="24"/>
          <w:lang w:val="sr-Cyrl-CS"/>
        </w:rPr>
        <w:t xml:space="preserve">, </w:t>
      </w:r>
      <w:r w:rsidR="005818C0">
        <w:rPr>
          <w:rFonts w:ascii="Times New Roman" w:hAnsi="Times New Roman"/>
          <w:color w:val="262626" w:themeColor="text1" w:themeTint="D9"/>
          <w:sz w:val="24"/>
          <w:szCs w:val="24"/>
          <w:lang w:val="sr-Cyrl-CS"/>
        </w:rPr>
        <w:t>hitno</w:t>
      </w:r>
      <w:r w:rsidR="00A278FF" w:rsidRPr="00E95BC4">
        <w:rPr>
          <w:rFonts w:ascii="Times New Roman" w:hAnsi="Times New Roman"/>
          <w:color w:val="262626" w:themeColor="text1" w:themeTint="D9"/>
          <w:sz w:val="24"/>
          <w:szCs w:val="24"/>
          <w:lang w:val="sr-Cyrl-CS"/>
        </w:rPr>
        <w:t xml:space="preserve"> </w:t>
      </w:r>
      <w:r w:rsidR="005818C0">
        <w:rPr>
          <w:rFonts w:ascii="Times New Roman" w:hAnsi="Times New Roman"/>
          <w:color w:val="262626" w:themeColor="text1" w:themeTint="D9"/>
          <w:sz w:val="24"/>
          <w:szCs w:val="24"/>
          <w:lang w:val="sr-Cyrl-CS"/>
        </w:rPr>
        <w:t>ispunjavanje</w:t>
      </w:r>
      <w:r w:rsidR="00A278FF" w:rsidRPr="00E95BC4">
        <w:rPr>
          <w:rFonts w:ascii="Times New Roman" w:hAnsi="Times New Roman"/>
          <w:color w:val="262626" w:themeColor="text1" w:themeTint="D9"/>
          <w:sz w:val="24"/>
          <w:szCs w:val="24"/>
          <w:lang w:val="sr-Cyrl-CS"/>
        </w:rPr>
        <w:t xml:space="preserve"> </w:t>
      </w:r>
      <w:r w:rsidR="005818C0">
        <w:rPr>
          <w:rFonts w:ascii="Times New Roman" w:hAnsi="Times New Roman"/>
          <w:color w:val="262626" w:themeColor="text1" w:themeTint="D9"/>
          <w:sz w:val="24"/>
          <w:szCs w:val="24"/>
          <w:lang w:val="sr-Cyrl-CS"/>
        </w:rPr>
        <w:t>Akcionog</w:t>
      </w:r>
      <w:r w:rsidR="00A278FF" w:rsidRPr="00E95BC4">
        <w:rPr>
          <w:rFonts w:ascii="Times New Roman" w:hAnsi="Times New Roman"/>
          <w:color w:val="262626" w:themeColor="text1" w:themeTint="D9"/>
          <w:sz w:val="24"/>
          <w:szCs w:val="24"/>
          <w:lang w:val="sr-Cyrl-CS"/>
        </w:rPr>
        <w:t xml:space="preserve"> </w:t>
      </w:r>
      <w:r w:rsidR="005818C0">
        <w:rPr>
          <w:rFonts w:ascii="Times New Roman" w:hAnsi="Times New Roman"/>
          <w:color w:val="262626" w:themeColor="text1" w:themeTint="D9"/>
          <w:sz w:val="24"/>
          <w:szCs w:val="24"/>
          <w:lang w:val="sr-Cyrl-CS"/>
        </w:rPr>
        <w:t>plana</w:t>
      </w:r>
      <w:r w:rsidR="00A278FF" w:rsidRPr="00E95BC4">
        <w:rPr>
          <w:rFonts w:ascii="Times New Roman" w:hAnsi="Times New Roman"/>
          <w:color w:val="262626" w:themeColor="text1" w:themeTint="D9"/>
          <w:sz w:val="24"/>
          <w:szCs w:val="24"/>
          <w:lang w:val="sr-Cyrl-CS"/>
        </w:rPr>
        <w:t xml:space="preserve"> FATF </w:t>
      </w:r>
      <w:r w:rsidR="005818C0">
        <w:rPr>
          <w:rFonts w:ascii="Times New Roman" w:hAnsi="Times New Roman"/>
          <w:color w:val="262626" w:themeColor="text1" w:themeTint="D9"/>
          <w:sz w:val="24"/>
          <w:szCs w:val="24"/>
          <w:lang w:val="sr-Cyrl-CS"/>
        </w:rPr>
        <w:t>i</w:t>
      </w:r>
      <w:r w:rsidR="00A278FF" w:rsidRPr="00E95BC4">
        <w:rPr>
          <w:rFonts w:ascii="Times New Roman" w:hAnsi="Times New Roman"/>
          <w:color w:val="262626" w:themeColor="text1" w:themeTint="D9"/>
          <w:sz w:val="24"/>
          <w:szCs w:val="24"/>
          <w:lang w:val="sr-Cyrl-CS"/>
        </w:rPr>
        <w:t xml:space="preserve"> </w:t>
      </w:r>
      <w:r w:rsidR="005818C0">
        <w:rPr>
          <w:rFonts w:ascii="Times New Roman" w:hAnsi="Times New Roman"/>
          <w:color w:val="262626" w:themeColor="text1" w:themeTint="D9"/>
          <w:sz w:val="24"/>
          <w:szCs w:val="24"/>
          <w:lang w:val="sr-Cyrl-CS"/>
        </w:rPr>
        <w:t>Akcionog</w:t>
      </w:r>
      <w:r w:rsidR="00A278FF" w:rsidRPr="00E95BC4">
        <w:rPr>
          <w:rFonts w:ascii="Times New Roman" w:hAnsi="Times New Roman"/>
          <w:color w:val="262626" w:themeColor="text1" w:themeTint="D9"/>
          <w:sz w:val="24"/>
          <w:szCs w:val="24"/>
          <w:lang w:val="sr-Cyrl-CS"/>
        </w:rPr>
        <w:t xml:space="preserve"> </w:t>
      </w:r>
      <w:r w:rsidR="005818C0">
        <w:rPr>
          <w:rFonts w:ascii="Times New Roman" w:hAnsi="Times New Roman"/>
          <w:color w:val="262626" w:themeColor="text1" w:themeTint="D9"/>
          <w:sz w:val="24"/>
          <w:szCs w:val="24"/>
          <w:lang w:val="sr-Cyrl-CS"/>
        </w:rPr>
        <w:t>plana</w:t>
      </w:r>
      <w:r w:rsidR="00A278FF" w:rsidRPr="00E95BC4">
        <w:rPr>
          <w:rFonts w:ascii="Times New Roman" w:hAnsi="Times New Roman"/>
          <w:color w:val="262626" w:themeColor="text1" w:themeTint="D9"/>
          <w:sz w:val="24"/>
          <w:szCs w:val="24"/>
          <w:lang w:val="sr-Cyrl-CS"/>
        </w:rPr>
        <w:t xml:space="preserve"> </w:t>
      </w:r>
      <w:r w:rsidR="005818C0">
        <w:rPr>
          <w:rFonts w:ascii="Times New Roman" w:hAnsi="Times New Roman"/>
          <w:color w:val="262626" w:themeColor="text1" w:themeTint="D9"/>
          <w:sz w:val="24"/>
          <w:szCs w:val="24"/>
          <w:lang w:val="sr-Cyrl-CS"/>
        </w:rPr>
        <w:t>uz</w:t>
      </w:r>
      <w:r w:rsidR="00A278FF" w:rsidRPr="00E95BC4">
        <w:rPr>
          <w:rFonts w:ascii="Times New Roman" w:hAnsi="Times New Roman"/>
          <w:color w:val="262626" w:themeColor="text1" w:themeTint="D9"/>
          <w:sz w:val="24"/>
          <w:szCs w:val="24"/>
          <w:lang w:val="sr-Cyrl-CS"/>
        </w:rPr>
        <w:t xml:space="preserve"> </w:t>
      </w:r>
      <w:r w:rsidR="005818C0">
        <w:rPr>
          <w:rFonts w:ascii="Times New Roman" w:hAnsi="Times New Roman"/>
          <w:color w:val="262626" w:themeColor="text1" w:themeTint="D9"/>
          <w:sz w:val="24"/>
          <w:szCs w:val="24"/>
          <w:lang w:val="sr-Cyrl-CS"/>
        </w:rPr>
        <w:t>Procenu</w:t>
      </w:r>
      <w:r w:rsidR="00A278FF" w:rsidRPr="00E95BC4">
        <w:rPr>
          <w:rFonts w:ascii="Times New Roman" w:hAnsi="Times New Roman"/>
          <w:color w:val="262626" w:themeColor="text1" w:themeTint="D9"/>
          <w:sz w:val="24"/>
          <w:szCs w:val="24"/>
          <w:lang w:val="sr-Cyrl-CS"/>
        </w:rPr>
        <w:t xml:space="preserve"> </w:t>
      </w:r>
      <w:r w:rsidR="005818C0">
        <w:rPr>
          <w:rFonts w:ascii="Times New Roman" w:hAnsi="Times New Roman"/>
          <w:color w:val="262626" w:themeColor="text1" w:themeTint="D9"/>
          <w:sz w:val="24"/>
          <w:szCs w:val="24"/>
          <w:lang w:val="sr-Cyrl-CS"/>
        </w:rPr>
        <w:t>rizika</w:t>
      </w:r>
      <w:r w:rsidR="00A278FF" w:rsidRPr="00E95BC4">
        <w:rPr>
          <w:rFonts w:ascii="Times New Roman" w:hAnsi="Times New Roman"/>
          <w:color w:val="262626" w:themeColor="text1" w:themeTint="D9"/>
          <w:sz w:val="24"/>
          <w:szCs w:val="24"/>
          <w:lang w:val="sr-Cyrl-CS"/>
        </w:rPr>
        <w:t xml:space="preserve"> </w:t>
      </w:r>
      <w:r w:rsidR="005818C0">
        <w:rPr>
          <w:rFonts w:ascii="Times New Roman" w:hAnsi="Times New Roman"/>
          <w:color w:val="262626" w:themeColor="text1" w:themeTint="D9"/>
          <w:sz w:val="24"/>
          <w:szCs w:val="24"/>
          <w:lang w:val="sr-Cyrl-CS"/>
        </w:rPr>
        <w:t>od</w:t>
      </w:r>
      <w:r w:rsidR="00A278FF" w:rsidRPr="00E95BC4">
        <w:rPr>
          <w:rFonts w:ascii="Times New Roman" w:hAnsi="Times New Roman"/>
          <w:color w:val="262626" w:themeColor="text1" w:themeTint="D9"/>
          <w:sz w:val="24"/>
          <w:szCs w:val="24"/>
          <w:lang w:val="sr-Cyrl-CS"/>
        </w:rPr>
        <w:t xml:space="preserve"> </w:t>
      </w:r>
      <w:r w:rsidR="005818C0">
        <w:rPr>
          <w:rFonts w:ascii="Times New Roman" w:hAnsi="Times New Roman"/>
          <w:color w:val="262626" w:themeColor="text1" w:themeTint="D9"/>
          <w:sz w:val="24"/>
          <w:szCs w:val="24"/>
          <w:lang w:val="sr-Cyrl-CS"/>
        </w:rPr>
        <w:t>pranja</w:t>
      </w:r>
      <w:r w:rsidR="00A278FF" w:rsidRPr="00E95BC4">
        <w:rPr>
          <w:rFonts w:ascii="Times New Roman" w:hAnsi="Times New Roman"/>
          <w:color w:val="262626" w:themeColor="text1" w:themeTint="D9"/>
          <w:sz w:val="24"/>
          <w:szCs w:val="24"/>
          <w:lang w:val="sr-Cyrl-CS"/>
        </w:rPr>
        <w:t xml:space="preserve"> </w:t>
      </w:r>
      <w:r w:rsidR="005818C0">
        <w:rPr>
          <w:rFonts w:ascii="Times New Roman" w:hAnsi="Times New Roman"/>
          <w:color w:val="262626" w:themeColor="text1" w:themeTint="D9"/>
          <w:sz w:val="24"/>
          <w:szCs w:val="24"/>
          <w:lang w:val="sr-Cyrl-CS"/>
        </w:rPr>
        <w:t>novca</w:t>
      </w:r>
      <w:r w:rsidR="00A278FF" w:rsidRPr="00E95BC4">
        <w:rPr>
          <w:rFonts w:ascii="Times New Roman" w:hAnsi="Times New Roman"/>
          <w:color w:val="262626" w:themeColor="text1" w:themeTint="D9"/>
          <w:sz w:val="24"/>
          <w:szCs w:val="24"/>
          <w:lang w:val="sr-Cyrl-CS"/>
        </w:rPr>
        <w:t xml:space="preserve"> </w:t>
      </w:r>
      <w:r w:rsidR="005818C0">
        <w:rPr>
          <w:rFonts w:ascii="Times New Roman" w:hAnsi="Times New Roman"/>
          <w:color w:val="262626" w:themeColor="text1" w:themeTint="D9"/>
          <w:sz w:val="24"/>
          <w:szCs w:val="24"/>
          <w:lang w:val="sr-Cyrl-CS"/>
        </w:rPr>
        <w:t>i</w:t>
      </w:r>
      <w:r w:rsidR="00A278FF" w:rsidRPr="00E95BC4">
        <w:rPr>
          <w:rFonts w:ascii="Times New Roman" w:hAnsi="Times New Roman"/>
          <w:color w:val="262626" w:themeColor="text1" w:themeTint="D9"/>
          <w:sz w:val="24"/>
          <w:szCs w:val="24"/>
          <w:lang w:val="sr-Cyrl-CS"/>
        </w:rPr>
        <w:t xml:space="preserve"> </w:t>
      </w:r>
      <w:r w:rsidR="005818C0">
        <w:rPr>
          <w:rFonts w:ascii="Times New Roman" w:hAnsi="Times New Roman"/>
          <w:color w:val="262626" w:themeColor="text1" w:themeTint="D9"/>
          <w:sz w:val="24"/>
          <w:szCs w:val="24"/>
          <w:lang w:val="sr-Cyrl-CS"/>
        </w:rPr>
        <w:t>Procenu</w:t>
      </w:r>
      <w:r w:rsidR="00424D8F" w:rsidRPr="00E95BC4">
        <w:rPr>
          <w:rFonts w:ascii="Times New Roman" w:hAnsi="Times New Roman"/>
          <w:color w:val="262626" w:themeColor="text1" w:themeTint="D9"/>
          <w:sz w:val="24"/>
          <w:szCs w:val="24"/>
          <w:lang w:val="sr-Cyrl-CS"/>
        </w:rPr>
        <w:t xml:space="preserve"> </w:t>
      </w:r>
      <w:r w:rsidR="005818C0">
        <w:rPr>
          <w:rFonts w:ascii="Times New Roman" w:hAnsi="Times New Roman"/>
          <w:color w:val="262626" w:themeColor="text1" w:themeTint="D9"/>
          <w:sz w:val="24"/>
          <w:szCs w:val="24"/>
          <w:lang w:val="sr-Cyrl-CS"/>
        </w:rPr>
        <w:t>rizika</w:t>
      </w:r>
      <w:r w:rsidR="00424D8F" w:rsidRPr="00E95BC4">
        <w:rPr>
          <w:rFonts w:ascii="Times New Roman" w:hAnsi="Times New Roman"/>
          <w:color w:val="262626" w:themeColor="text1" w:themeTint="D9"/>
          <w:sz w:val="24"/>
          <w:szCs w:val="24"/>
          <w:lang w:val="sr-Cyrl-CS"/>
        </w:rPr>
        <w:t xml:space="preserve"> </w:t>
      </w:r>
      <w:r w:rsidR="005818C0">
        <w:rPr>
          <w:rFonts w:ascii="Times New Roman" w:hAnsi="Times New Roman"/>
          <w:color w:val="262626" w:themeColor="text1" w:themeTint="D9"/>
          <w:sz w:val="24"/>
          <w:szCs w:val="24"/>
          <w:lang w:val="sr-Cyrl-CS"/>
        </w:rPr>
        <w:t>od</w:t>
      </w:r>
      <w:r w:rsidR="00424D8F" w:rsidRPr="00E95BC4">
        <w:rPr>
          <w:rFonts w:ascii="Times New Roman" w:hAnsi="Times New Roman"/>
          <w:color w:val="262626" w:themeColor="text1" w:themeTint="D9"/>
          <w:sz w:val="24"/>
          <w:szCs w:val="24"/>
          <w:lang w:val="sr-Cyrl-CS"/>
        </w:rPr>
        <w:t xml:space="preserve"> </w:t>
      </w:r>
      <w:r w:rsidR="005818C0">
        <w:rPr>
          <w:rFonts w:ascii="Times New Roman" w:hAnsi="Times New Roman"/>
          <w:color w:val="262626" w:themeColor="text1" w:themeTint="D9"/>
          <w:sz w:val="24"/>
          <w:szCs w:val="24"/>
          <w:lang w:val="sr-Cyrl-CS"/>
        </w:rPr>
        <w:t>finansiranja</w:t>
      </w:r>
      <w:r w:rsidR="00A278FF" w:rsidRPr="00E95BC4">
        <w:rPr>
          <w:rFonts w:ascii="Times New Roman" w:hAnsi="Times New Roman"/>
          <w:color w:val="262626" w:themeColor="text1" w:themeTint="D9"/>
          <w:sz w:val="24"/>
          <w:szCs w:val="24"/>
          <w:lang w:val="sr-Cyrl-CS"/>
        </w:rPr>
        <w:t xml:space="preserve"> </w:t>
      </w:r>
      <w:r w:rsidR="005818C0">
        <w:rPr>
          <w:rFonts w:ascii="Times New Roman" w:hAnsi="Times New Roman"/>
          <w:color w:val="262626" w:themeColor="text1" w:themeTint="D9"/>
          <w:sz w:val="24"/>
          <w:szCs w:val="24"/>
          <w:lang w:val="sr-Cyrl-CS"/>
        </w:rPr>
        <w:t>terorizma</w:t>
      </w:r>
      <w:r w:rsidR="00A278FF" w:rsidRPr="00E95BC4">
        <w:rPr>
          <w:rFonts w:ascii="Times New Roman" w:hAnsi="Times New Roman"/>
          <w:color w:val="262626" w:themeColor="text1" w:themeTint="D9"/>
          <w:sz w:val="24"/>
          <w:szCs w:val="24"/>
          <w:lang w:val="sr-Cyrl-CS"/>
        </w:rPr>
        <w:t xml:space="preserve">. </w:t>
      </w:r>
    </w:p>
    <w:p w:rsidR="00A278FF" w:rsidRPr="00E95BC4" w:rsidRDefault="005818C0" w:rsidP="00285FD7">
      <w:pPr>
        <w:ind w:firstLine="720"/>
        <w:jc w:val="both"/>
        <w:rPr>
          <w:noProof/>
          <w:color w:val="262626" w:themeColor="text1" w:themeTint="D9"/>
          <w:lang w:val="sr-Cyrl-CS"/>
        </w:rPr>
      </w:pPr>
      <w:r>
        <w:rPr>
          <w:color w:val="262626" w:themeColor="text1" w:themeTint="D9"/>
          <w:lang w:val="sr-Cyrl-CS"/>
        </w:rPr>
        <w:t>U</w:t>
      </w:r>
      <w:r w:rsidR="00B02F59" w:rsidRPr="00E95BC4">
        <w:rPr>
          <w:color w:val="262626" w:themeColor="text1" w:themeTint="D9"/>
          <w:lang w:val="sr-Cyrl-CS"/>
        </w:rPr>
        <w:t xml:space="preserve"> </w:t>
      </w:r>
      <w:r>
        <w:rPr>
          <w:color w:val="262626" w:themeColor="text1" w:themeTint="D9"/>
          <w:lang w:val="sr-Cyrl-CS"/>
        </w:rPr>
        <w:t>većini</w:t>
      </w:r>
      <w:r w:rsidR="00A278FF" w:rsidRPr="00E95BC4">
        <w:rPr>
          <w:color w:val="262626" w:themeColor="text1" w:themeTint="D9"/>
          <w:lang w:val="sr-Cyrl-CS"/>
        </w:rPr>
        <w:t xml:space="preserve"> </w:t>
      </w:r>
      <w:r>
        <w:rPr>
          <w:color w:val="262626" w:themeColor="text1" w:themeTint="D9"/>
          <w:lang w:val="sr-Cyrl-CS"/>
        </w:rPr>
        <w:t>slučajeva</w:t>
      </w:r>
      <w:r w:rsidR="00A278FF" w:rsidRPr="00E95BC4">
        <w:rPr>
          <w:color w:val="262626" w:themeColor="text1" w:themeTint="D9"/>
          <w:lang w:val="sr-Cyrl-CS"/>
        </w:rPr>
        <w:t xml:space="preserve">, </w:t>
      </w:r>
      <w:r>
        <w:rPr>
          <w:color w:val="262626" w:themeColor="text1" w:themeTint="D9"/>
          <w:lang w:val="sr-Cyrl-CS"/>
        </w:rPr>
        <w:t>dakle</w:t>
      </w:r>
      <w:r w:rsidR="00A278FF" w:rsidRPr="00E95BC4">
        <w:rPr>
          <w:color w:val="262626" w:themeColor="text1" w:themeTint="D9"/>
          <w:lang w:val="sr-Cyrl-CS"/>
        </w:rPr>
        <w:t xml:space="preserve">, </w:t>
      </w:r>
      <w:r>
        <w:rPr>
          <w:color w:val="262626" w:themeColor="text1" w:themeTint="D9"/>
          <w:lang w:val="sr-Cyrl-CS"/>
        </w:rPr>
        <w:t>inicijatori</w:t>
      </w:r>
      <w:r w:rsidR="00A278FF" w:rsidRPr="00E95BC4">
        <w:rPr>
          <w:color w:val="262626" w:themeColor="text1" w:themeTint="D9"/>
          <w:lang w:val="sr-Cyrl-CS"/>
        </w:rPr>
        <w:t>/</w:t>
      </w:r>
      <w:r>
        <w:rPr>
          <w:color w:val="262626" w:themeColor="text1" w:themeTint="D9"/>
          <w:lang w:val="sr-Cyrl-CS"/>
        </w:rPr>
        <w:t>nosioci</w:t>
      </w:r>
      <w:r w:rsidR="00A278FF" w:rsidRPr="00E95BC4">
        <w:rPr>
          <w:color w:val="262626" w:themeColor="text1" w:themeTint="D9"/>
          <w:lang w:val="sr-Cyrl-CS"/>
        </w:rPr>
        <w:t xml:space="preserve"> </w:t>
      </w:r>
      <w:r>
        <w:rPr>
          <w:color w:val="262626" w:themeColor="text1" w:themeTint="D9"/>
          <w:lang w:val="sr-Cyrl-CS"/>
        </w:rPr>
        <w:t>aktivnosti</w:t>
      </w:r>
      <w:r w:rsidR="00A278FF" w:rsidRPr="00E95BC4">
        <w:rPr>
          <w:color w:val="262626" w:themeColor="text1" w:themeTint="D9"/>
          <w:lang w:val="sr-Cyrl-CS"/>
        </w:rPr>
        <w:t xml:space="preserve"> </w:t>
      </w:r>
      <w:r>
        <w:rPr>
          <w:color w:val="262626" w:themeColor="text1" w:themeTint="D9"/>
          <w:lang w:val="sr-Cyrl-CS"/>
        </w:rPr>
        <w:t>bili</w:t>
      </w:r>
      <w:r w:rsidR="00A278FF" w:rsidRPr="00E95BC4">
        <w:rPr>
          <w:color w:val="262626" w:themeColor="text1" w:themeTint="D9"/>
          <w:lang w:val="sr-Cyrl-CS"/>
        </w:rPr>
        <w:t xml:space="preserve"> </w:t>
      </w:r>
      <w:r>
        <w:rPr>
          <w:color w:val="262626" w:themeColor="text1" w:themeTint="D9"/>
          <w:lang w:val="sr-Cyrl-CS"/>
        </w:rPr>
        <w:t>su</w:t>
      </w:r>
      <w:r w:rsidR="00A278FF" w:rsidRPr="00E95BC4">
        <w:rPr>
          <w:color w:val="262626" w:themeColor="text1" w:themeTint="D9"/>
          <w:lang w:val="sr-Cyrl-CS"/>
        </w:rPr>
        <w:t xml:space="preserve"> </w:t>
      </w:r>
      <w:r>
        <w:rPr>
          <w:color w:val="262626" w:themeColor="text1" w:themeTint="D9"/>
          <w:lang w:val="sr-Cyrl-CS"/>
        </w:rPr>
        <w:t>članovi</w:t>
      </w:r>
      <w:r w:rsidR="00A278FF" w:rsidRPr="00E95BC4">
        <w:rPr>
          <w:color w:val="262626" w:themeColor="text1" w:themeTint="D9"/>
          <w:lang w:val="sr-Cyrl-CS"/>
        </w:rPr>
        <w:t xml:space="preserve"> </w:t>
      </w:r>
      <w:r>
        <w:rPr>
          <w:color w:val="262626" w:themeColor="text1" w:themeTint="D9"/>
          <w:lang w:val="sr-Cyrl-CS"/>
        </w:rPr>
        <w:t>bivše</w:t>
      </w:r>
      <w:r w:rsidR="00A278FF" w:rsidRPr="00E95BC4">
        <w:rPr>
          <w:color w:val="262626" w:themeColor="text1" w:themeTint="D9"/>
          <w:lang w:val="sr-Cyrl-CS"/>
        </w:rPr>
        <w:t xml:space="preserve"> </w:t>
      </w:r>
      <w:r>
        <w:rPr>
          <w:color w:val="262626" w:themeColor="text1" w:themeTint="D9"/>
          <w:lang w:val="sr-Cyrl-CS"/>
        </w:rPr>
        <w:t>Stalne</w:t>
      </w:r>
      <w:r w:rsidR="00A278FF" w:rsidRPr="00E95BC4">
        <w:rPr>
          <w:color w:val="262626" w:themeColor="text1" w:themeTint="D9"/>
          <w:lang w:val="sr-Cyrl-CS"/>
        </w:rPr>
        <w:t xml:space="preserve"> </w:t>
      </w:r>
      <w:r>
        <w:rPr>
          <w:color w:val="262626" w:themeColor="text1" w:themeTint="D9"/>
          <w:lang w:val="sr-Cyrl-CS"/>
        </w:rPr>
        <w:t>koordinacione</w:t>
      </w:r>
      <w:r w:rsidR="00A278FF" w:rsidRPr="00E95BC4">
        <w:rPr>
          <w:color w:val="262626" w:themeColor="text1" w:themeTint="D9"/>
          <w:lang w:val="sr-Cyrl-CS"/>
        </w:rPr>
        <w:t xml:space="preserve"> </w:t>
      </w:r>
      <w:r>
        <w:rPr>
          <w:color w:val="262626" w:themeColor="text1" w:themeTint="D9"/>
          <w:lang w:val="sr-Cyrl-CS"/>
        </w:rPr>
        <w:t>grupe</w:t>
      </w:r>
      <w:r w:rsidR="00A278FF" w:rsidRPr="00E95BC4">
        <w:rPr>
          <w:color w:val="262626" w:themeColor="text1" w:themeTint="D9"/>
          <w:lang w:val="sr-Cyrl-CS"/>
        </w:rPr>
        <w:t xml:space="preserve">, </w:t>
      </w:r>
      <w:r>
        <w:rPr>
          <w:color w:val="262626" w:themeColor="text1" w:themeTint="D9"/>
          <w:lang w:val="sr-Cyrl-CS"/>
        </w:rPr>
        <w:t>odnosno</w:t>
      </w:r>
      <w:r w:rsidR="00A278FF" w:rsidRPr="00E95BC4">
        <w:rPr>
          <w:color w:val="262626" w:themeColor="text1" w:themeTint="D9"/>
          <w:lang w:val="sr-Cyrl-CS"/>
        </w:rPr>
        <w:t xml:space="preserve"> </w:t>
      </w:r>
      <w:r>
        <w:rPr>
          <w:color w:val="262626" w:themeColor="text1" w:themeTint="D9"/>
          <w:lang w:val="sr-Cyrl-CS"/>
        </w:rPr>
        <w:t>sadašnjeg</w:t>
      </w:r>
      <w:r w:rsidR="00A278FF" w:rsidRPr="00E95BC4">
        <w:rPr>
          <w:color w:val="262626" w:themeColor="text1" w:themeTint="D9"/>
          <w:lang w:val="sr-Cyrl-CS"/>
        </w:rPr>
        <w:t xml:space="preserve"> </w:t>
      </w:r>
      <w:r>
        <w:rPr>
          <w:color w:val="262626" w:themeColor="text1" w:themeTint="D9"/>
          <w:lang w:val="sr-Cyrl-CS"/>
        </w:rPr>
        <w:t>Koordinacionog</w:t>
      </w:r>
      <w:r w:rsidR="00A278FF" w:rsidRPr="00E95BC4">
        <w:rPr>
          <w:color w:val="262626" w:themeColor="text1" w:themeTint="D9"/>
          <w:lang w:val="sr-Cyrl-CS"/>
        </w:rPr>
        <w:t xml:space="preserve"> </w:t>
      </w:r>
      <w:r>
        <w:rPr>
          <w:color w:val="262626" w:themeColor="text1" w:themeTint="D9"/>
          <w:lang w:val="sr-Cyrl-CS"/>
        </w:rPr>
        <w:t>tela</w:t>
      </w:r>
      <w:r w:rsidR="00E517D0" w:rsidRPr="00E95BC4">
        <w:rPr>
          <w:color w:val="262626" w:themeColor="text1" w:themeTint="D9"/>
          <w:lang w:val="sr-Cyrl-CS"/>
        </w:rPr>
        <w:t xml:space="preserve"> </w:t>
      </w:r>
      <w:r>
        <w:rPr>
          <w:color w:val="262626" w:themeColor="text1" w:themeTint="D9"/>
          <w:lang w:val="sr-Cyrl-CS"/>
        </w:rPr>
        <w:t>za</w:t>
      </w:r>
      <w:r w:rsidR="00E517D0" w:rsidRPr="00E95BC4">
        <w:rPr>
          <w:color w:val="262626" w:themeColor="text1" w:themeTint="D9"/>
          <w:lang w:val="sr-Cyrl-CS"/>
        </w:rPr>
        <w:t xml:space="preserve"> </w:t>
      </w:r>
      <w:r>
        <w:rPr>
          <w:color w:val="262626" w:themeColor="text1" w:themeTint="D9"/>
          <w:lang w:val="sr-Cyrl-CS"/>
        </w:rPr>
        <w:t>sprečavanje</w:t>
      </w:r>
      <w:r w:rsidR="00E517D0" w:rsidRPr="00E95BC4">
        <w:rPr>
          <w:color w:val="262626" w:themeColor="text1" w:themeTint="D9"/>
          <w:lang w:val="sr-Cyrl-CS"/>
        </w:rPr>
        <w:t xml:space="preserve"> </w:t>
      </w:r>
      <w:r>
        <w:rPr>
          <w:color w:val="262626" w:themeColor="text1" w:themeTint="D9"/>
          <w:lang w:val="sr-Cyrl-CS"/>
        </w:rPr>
        <w:t>pranja</w:t>
      </w:r>
      <w:r w:rsidR="00E517D0" w:rsidRPr="00E95BC4">
        <w:rPr>
          <w:color w:val="262626" w:themeColor="text1" w:themeTint="D9"/>
          <w:lang w:val="sr-Cyrl-CS"/>
        </w:rPr>
        <w:t xml:space="preserve"> </w:t>
      </w:r>
      <w:r>
        <w:rPr>
          <w:color w:val="262626" w:themeColor="text1" w:themeTint="D9"/>
          <w:lang w:val="sr-Cyrl-CS"/>
        </w:rPr>
        <w:t>novca</w:t>
      </w:r>
      <w:r w:rsidR="00E517D0" w:rsidRPr="00E95BC4">
        <w:rPr>
          <w:color w:val="262626" w:themeColor="text1" w:themeTint="D9"/>
          <w:lang w:val="sr-Cyrl-CS"/>
        </w:rPr>
        <w:t xml:space="preserve"> </w:t>
      </w:r>
      <w:r>
        <w:rPr>
          <w:color w:val="262626" w:themeColor="text1" w:themeTint="D9"/>
          <w:lang w:val="sr-Cyrl-CS"/>
        </w:rPr>
        <w:t>i</w:t>
      </w:r>
      <w:r w:rsidR="00E517D0" w:rsidRPr="00E95BC4">
        <w:rPr>
          <w:color w:val="262626" w:themeColor="text1" w:themeTint="D9"/>
          <w:lang w:val="sr-Cyrl-CS"/>
        </w:rPr>
        <w:t xml:space="preserve"> </w:t>
      </w:r>
      <w:r>
        <w:rPr>
          <w:color w:val="262626" w:themeColor="text1" w:themeTint="D9"/>
          <w:lang w:val="sr-Cyrl-CS"/>
        </w:rPr>
        <w:t>finansiranja</w:t>
      </w:r>
      <w:r w:rsidR="00E517D0" w:rsidRPr="00E95BC4">
        <w:rPr>
          <w:color w:val="262626" w:themeColor="text1" w:themeTint="D9"/>
          <w:lang w:val="sr-Cyrl-CS"/>
        </w:rPr>
        <w:t xml:space="preserve"> </w:t>
      </w:r>
      <w:r>
        <w:rPr>
          <w:color w:val="262626" w:themeColor="text1" w:themeTint="D9"/>
          <w:lang w:val="sr-Cyrl-CS"/>
        </w:rPr>
        <w:t>terorizma</w:t>
      </w:r>
      <w:r w:rsidR="00E517D0" w:rsidRPr="00E95BC4">
        <w:rPr>
          <w:color w:val="262626" w:themeColor="text1" w:themeTint="D9"/>
          <w:lang w:val="sr-Cyrl-CS"/>
        </w:rPr>
        <w:t xml:space="preserve"> (</w:t>
      </w:r>
      <w:r>
        <w:rPr>
          <w:color w:val="262626" w:themeColor="text1" w:themeTint="D9"/>
          <w:lang w:val="sr-Cyrl-CS"/>
        </w:rPr>
        <w:t>u</w:t>
      </w:r>
      <w:r w:rsidR="00E517D0" w:rsidRPr="00E95BC4">
        <w:rPr>
          <w:color w:val="262626" w:themeColor="text1" w:themeTint="D9"/>
          <w:lang w:val="sr-Cyrl-CS"/>
        </w:rPr>
        <w:t xml:space="preserve"> </w:t>
      </w:r>
      <w:r>
        <w:rPr>
          <w:color w:val="262626" w:themeColor="text1" w:themeTint="D9"/>
          <w:lang w:val="sr-Cyrl-CS"/>
        </w:rPr>
        <w:t>daljem</w:t>
      </w:r>
      <w:r w:rsidR="00E517D0" w:rsidRPr="00E95BC4">
        <w:rPr>
          <w:color w:val="262626" w:themeColor="text1" w:themeTint="D9"/>
          <w:lang w:val="sr-Cyrl-CS"/>
        </w:rPr>
        <w:t xml:space="preserve"> </w:t>
      </w:r>
      <w:r>
        <w:rPr>
          <w:color w:val="262626" w:themeColor="text1" w:themeTint="D9"/>
          <w:lang w:val="sr-Cyrl-CS"/>
        </w:rPr>
        <w:t>tekstu</w:t>
      </w:r>
      <w:r w:rsidR="00E517D0" w:rsidRPr="00E95BC4">
        <w:rPr>
          <w:color w:val="262626" w:themeColor="text1" w:themeTint="D9"/>
          <w:lang w:val="sr-Cyrl-CS"/>
        </w:rPr>
        <w:t xml:space="preserve">: </w:t>
      </w:r>
      <w:r>
        <w:rPr>
          <w:color w:val="262626" w:themeColor="text1" w:themeTint="D9"/>
          <w:lang w:val="sr-Cyrl-CS"/>
        </w:rPr>
        <w:t>Koordinaciono</w:t>
      </w:r>
      <w:r w:rsidR="00E517D0" w:rsidRPr="00E95BC4">
        <w:rPr>
          <w:color w:val="262626" w:themeColor="text1" w:themeTint="D9"/>
          <w:lang w:val="sr-Cyrl-CS"/>
        </w:rPr>
        <w:t xml:space="preserve"> </w:t>
      </w:r>
      <w:r>
        <w:rPr>
          <w:color w:val="262626" w:themeColor="text1" w:themeTint="D9"/>
          <w:lang w:val="sr-Cyrl-CS"/>
        </w:rPr>
        <w:t>telo</w:t>
      </w:r>
      <w:r w:rsidR="00E517D0" w:rsidRPr="00E95BC4">
        <w:rPr>
          <w:color w:val="262626" w:themeColor="text1" w:themeTint="D9"/>
          <w:lang w:val="sr-Cyrl-CS"/>
        </w:rPr>
        <w:t>)</w:t>
      </w:r>
      <w:r w:rsidR="00A278FF" w:rsidRPr="00E95BC4">
        <w:rPr>
          <w:color w:val="262626" w:themeColor="text1" w:themeTint="D9"/>
          <w:lang w:val="sr-Cyrl-CS"/>
        </w:rPr>
        <w:t xml:space="preserve">. </w:t>
      </w:r>
      <w:r>
        <w:rPr>
          <w:color w:val="262626" w:themeColor="text1" w:themeTint="D9"/>
          <w:lang w:val="sr-Cyrl-CS"/>
        </w:rPr>
        <w:t>Kod</w:t>
      </w:r>
      <w:r w:rsidR="00A278FF" w:rsidRPr="00E95BC4">
        <w:rPr>
          <w:color w:val="262626" w:themeColor="text1" w:themeTint="D9"/>
          <w:lang w:val="sr-Cyrl-CS"/>
        </w:rPr>
        <w:t xml:space="preserve"> </w:t>
      </w:r>
      <w:r>
        <w:rPr>
          <w:color w:val="262626" w:themeColor="text1" w:themeTint="D9"/>
          <w:lang w:val="sr-Cyrl-CS"/>
        </w:rPr>
        <w:t>nekih</w:t>
      </w:r>
      <w:r w:rsidR="00A278FF" w:rsidRPr="00E95BC4">
        <w:rPr>
          <w:color w:val="262626" w:themeColor="text1" w:themeTint="D9"/>
          <w:lang w:val="sr-Cyrl-CS"/>
        </w:rPr>
        <w:t xml:space="preserve"> </w:t>
      </w:r>
      <w:r>
        <w:rPr>
          <w:color w:val="262626" w:themeColor="text1" w:themeTint="D9"/>
          <w:lang w:val="sr-Cyrl-CS"/>
        </w:rPr>
        <w:t>aktivnosti</w:t>
      </w:r>
      <w:r w:rsidR="00A278FF" w:rsidRPr="00E95BC4">
        <w:rPr>
          <w:color w:val="262626" w:themeColor="text1" w:themeTint="D9"/>
          <w:lang w:val="sr-Cyrl-CS"/>
        </w:rPr>
        <w:t xml:space="preserve">, </w:t>
      </w:r>
      <w:r>
        <w:rPr>
          <w:color w:val="262626" w:themeColor="text1" w:themeTint="D9"/>
          <w:lang w:val="sr-Cyrl-CS"/>
        </w:rPr>
        <w:t>međutim</w:t>
      </w:r>
      <w:r w:rsidR="00A278FF" w:rsidRPr="00E95BC4">
        <w:rPr>
          <w:color w:val="262626" w:themeColor="text1" w:themeTint="D9"/>
          <w:lang w:val="sr-Cyrl-CS"/>
        </w:rPr>
        <w:t xml:space="preserve">, </w:t>
      </w:r>
      <w:r>
        <w:rPr>
          <w:color w:val="262626" w:themeColor="text1" w:themeTint="D9"/>
          <w:lang w:val="sr-Cyrl-CS"/>
        </w:rPr>
        <w:t>za</w:t>
      </w:r>
      <w:r w:rsidR="00A278FF" w:rsidRPr="00E95BC4">
        <w:rPr>
          <w:color w:val="262626" w:themeColor="text1" w:themeTint="D9"/>
          <w:lang w:val="sr-Cyrl-CS"/>
        </w:rPr>
        <w:t xml:space="preserve"> </w:t>
      </w:r>
      <w:r>
        <w:rPr>
          <w:color w:val="262626" w:themeColor="text1" w:themeTint="D9"/>
          <w:lang w:val="sr-Cyrl-CS"/>
        </w:rPr>
        <w:t>inicijatore</w:t>
      </w:r>
      <w:r w:rsidR="00A278FF" w:rsidRPr="00E95BC4">
        <w:rPr>
          <w:color w:val="262626" w:themeColor="text1" w:themeTint="D9"/>
          <w:lang w:val="sr-Cyrl-CS"/>
        </w:rPr>
        <w:t xml:space="preserve"> </w:t>
      </w:r>
      <w:r>
        <w:rPr>
          <w:color w:val="262626" w:themeColor="text1" w:themeTint="D9"/>
          <w:lang w:val="sr-Cyrl-CS"/>
        </w:rPr>
        <w:t>su</w:t>
      </w:r>
      <w:r w:rsidR="00A278FF" w:rsidRPr="00E95BC4">
        <w:rPr>
          <w:color w:val="262626" w:themeColor="text1" w:themeTint="D9"/>
          <w:lang w:val="sr-Cyrl-CS"/>
        </w:rPr>
        <w:t xml:space="preserve"> </w:t>
      </w:r>
      <w:r>
        <w:rPr>
          <w:color w:val="262626" w:themeColor="text1" w:themeTint="D9"/>
          <w:lang w:val="sr-Cyrl-CS"/>
        </w:rPr>
        <w:t>određeni</w:t>
      </w:r>
      <w:r w:rsidR="00A278FF" w:rsidRPr="00E95BC4">
        <w:rPr>
          <w:color w:val="262626" w:themeColor="text1" w:themeTint="D9"/>
          <w:lang w:val="sr-Cyrl-CS"/>
        </w:rPr>
        <w:t xml:space="preserve"> </w:t>
      </w:r>
      <w:r>
        <w:rPr>
          <w:color w:val="262626" w:themeColor="text1" w:themeTint="D9"/>
          <w:lang w:val="sr-Cyrl-CS"/>
        </w:rPr>
        <w:t>državni</w:t>
      </w:r>
      <w:r w:rsidR="00A278FF" w:rsidRPr="00E95BC4">
        <w:rPr>
          <w:color w:val="262626" w:themeColor="text1" w:themeTint="D9"/>
          <w:lang w:val="sr-Cyrl-CS"/>
        </w:rPr>
        <w:t xml:space="preserve"> </w:t>
      </w:r>
      <w:r>
        <w:rPr>
          <w:color w:val="262626" w:themeColor="text1" w:themeTint="D9"/>
          <w:lang w:val="sr-Cyrl-CS"/>
        </w:rPr>
        <w:t>organi</w:t>
      </w:r>
      <w:r w:rsidR="00A278FF" w:rsidRPr="00E95BC4">
        <w:rPr>
          <w:color w:val="262626" w:themeColor="text1" w:themeTint="D9"/>
          <w:lang w:val="sr-Cyrl-CS"/>
        </w:rPr>
        <w:t xml:space="preserve"> </w:t>
      </w:r>
      <w:r>
        <w:rPr>
          <w:color w:val="262626" w:themeColor="text1" w:themeTint="D9"/>
          <w:lang w:val="sr-Cyrl-CS"/>
        </w:rPr>
        <w:t>ili</w:t>
      </w:r>
      <w:r w:rsidR="00E517D0" w:rsidRPr="00E95BC4">
        <w:rPr>
          <w:color w:val="262626" w:themeColor="text1" w:themeTint="D9"/>
          <w:lang w:val="sr-Cyrl-CS"/>
        </w:rPr>
        <w:t xml:space="preserve"> </w:t>
      </w:r>
      <w:r>
        <w:rPr>
          <w:color w:val="262626" w:themeColor="text1" w:themeTint="D9"/>
          <w:lang w:val="sr-Cyrl-CS"/>
        </w:rPr>
        <w:t>subjekti</w:t>
      </w:r>
      <w:r w:rsidR="00E517D0" w:rsidRPr="00E95BC4">
        <w:rPr>
          <w:color w:val="262626" w:themeColor="text1" w:themeTint="D9"/>
          <w:lang w:val="sr-Cyrl-CS"/>
        </w:rPr>
        <w:t xml:space="preserve"> </w:t>
      </w:r>
      <w:r>
        <w:rPr>
          <w:color w:val="262626" w:themeColor="text1" w:themeTint="D9"/>
          <w:lang w:val="sr-Cyrl-CS"/>
        </w:rPr>
        <w:t>koji</w:t>
      </w:r>
      <w:r w:rsidR="00E517D0" w:rsidRPr="00E95BC4">
        <w:rPr>
          <w:color w:val="262626" w:themeColor="text1" w:themeTint="D9"/>
          <w:lang w:val="sr-Cyrl-CS"/>
        </w:rPr>
        <w:t xml:space="preserve"> </w:t>
      </w:r>
      <w:r>
        <w:rPr>
          <w:color w:val="262626" w:themeColor="text1" w:themeTint="D9"/>
          <w:lang w:val="sr-Cyrl-CS"/>
        </w:rPr>
        <w:t>nisu</w:t>
      </w:r>
      <w:r w:rsidR="00E517D0" w:rsidRPr="00E95BC4">
        <w:rPr>
          <w:color w:val="262626" w:themeColor="text1" w:themeTint="D9"/>
          <w:lang w:val="sr-Cyrl-CS"/>
        </w:rPr>
        <w:t xml:space="preserve"> </w:t>
      </w:r>
      <w:r>
        <w:rPr>
          <w:color w:val="262626" w:themeColor="text1" w:themeTint="D9"/>
          <w:lang w:val="sr-Cyrl-CS"/>
        </w:rPr>
        <w:t>članovi</w:t>
      </w:r>
      <w:r w:rsidR="00E517D0" w:rsidRPr="00E95BC4">
        <w:rPr>
          <w:color w:val="262626" w:themeColor="text1" w:themeTint="D9"/>
          <w:lang w:val="sr-Cyrl-CS"/>
        </w:rPr>
        <w:t xml:space="preserve"> </w:t>
      </w:r>
      <w:r>
        <w:rPr>
          <w:color w:val="262626" w:themeColor="text1" w:themeTint="D9"/>
          <w:lang w:val="sr-Cyrl-CS"/>
        </w:rPr>
        <w:t>Koordinacionog</w:t>
      </w:r>
      <w:r w:rsidR="00A278FF" w:rsidRPr="00E95BC4">
        <w:rPr>
          <w:color w:val="262626" w:themeColor="text1" w:themeTint="D9"/>
          <w:lang w:val="sr-Cyrl-CS"/>
        </w:rPr>
        <w:t xml:space="preserve"> </w:t>
      </w:r>
      <w:r>
        <w:rPr>
          <w:color w:val="262626" w:themeColor="text1" w:themeTint="D9"/>
          <w:lang w:val="sr-Cyrl-CS"/>
        </w:rPr>
        <w:t>tela</w:t>
      </w:r>
      <w:r w:rsidR="00A278FF" w:rsidRPr="00E95BC4">
        <w:rPr>
          <w:color w:val="262626" w:themeColor="text1" w:themeTint="D9"/>
          <w:lang w:val="sr-Cyrl-CS"/>
        </w:rPr>
        <w:t xml:space="preserve">, </w:t>
      </w:r>
      <w:r>
        <w:rPr>
          <w:color w:val="262626" w:themeColor="text1" w:themeTint="D9"/>
          <w:lang w:val="sr-Cyrl-CS"/>
        </w:rPr>
        <w:t>što</w:t>
      </w:r>
      <w:r w:rsidR="00A278FF" w:rsidRPr="00E95BC4">
        <w:rPr>
          <w:color w:val="262626" w:themeColor="text1" w:themeTint="D9"/>
          <w:lang w:val="sr-Cyrl-CS"/>
        </w:rPr>
        <w:t xml:space="preserve"> </w:t>
      </w:r>
      <w:r>
        <w:rPr>
          <w:color w:val="262626" w:themeColor="text1" w:themeTint="D9"/>
          <w:lang w:val="sr-Cyrl-CS"/>
        </w:rPr>
        <w:t>može</w:t>
      </w:r>
      <w:r w:rsidR="00A278FF" w:rsidRPr="00E95BC4">
        <w:rPr>
          <w:color w:val="262626" w:themeColor="text1" w:themeTint="D9"/>
          <w:lang w:val="sr-Cyrl-CS"/>
        </w:rPr>
        <w:t xml:space="preserve"> </w:t>
      </w:r>
      <w:r>
        <w:rPr>
          <w:color w:val="262626" w:themeColor="text1" w:themeTint="D9"/>
          <w:lang w:val="sr-Cyrl-CS"/>
        </w:rPr>
        <w:t>da</w:t>
      </w:r>
      <w:r w:rsidR="00A278FF" w:rsidRPr="00E95BC4">
        <w:rPr>
          <w:color w:val="262626" w:themeColor="text1" w:themeTint="D9"/>
          <w:lang w:val="sr-Cyrl-CS"/>
        </w:rPr>
        <w:t xml:space="preserve"> </w:t>
      </w:r>
      <w:r>
        <w:rPr>
          <w:color w:val="262626" w:themeColor="text1" w:themeTint="D9"/>
          <w:lang w:val="sr-Cyrl-CS"/>
        </w:rPr>
        <w:t>predstavlja</w:t>
      </w:r>
      <w:r w:rsidR="00A278FF" w:rsidRPr="00E95BC4">
        <w:rPr>
          <w:color w:val="262626" w:themeColor="text1" w:themeTint="D9"/>
          <w:lang w:val="sr-Cyrl-CS"/>
        </w:rPr>
        <w:t xml:space="preserve"> </w:t>
      </w:r>
      <w:r>
        <w:rPr>
          <w:color w:val="262626" w:themeColor="text1" w:themeTint="D9"/>
          <w:lang w:val="sr-Cyrl-CS"/>
        </w:rPr>
        <w:t>izazov</w:t>
      </w:r>
      <w:r w:rsidR="00A278FF" w:rsidRPr="00E95BC4">
        <w:rPr>
          <w:color w:val="262626" w:themeColor="text1" w:themeTint="D9"/>
          <w:lang w:val="sr-Cyrl-CS"/>
        </w:rPr>
        <w:t xml:space="preserve"> </w:t>
      </w:r>
      <w:r>
        <w:rPr>
          <w:color w:val="262626" w:themeColor="text1" w:themeTint="D9"/>
          <w:lang w:val="sr-Cyrl-CS"/>
        </w:rPr>
        <w:t>kada</w:t>
      </w:r>
      <w:r w:rsidR="00A278FF" w:rsidRPr="00E95BC4">
        <w:rPr>
          <w:color w:val="262626" w:themeColor="text1" w:themeTint="D9"/>
          <w:lang w:val="sr-Cyrl-CS"/>
        </w:rPr>
        <w:t xml:space="preserve"> </w:t>
      </w:r>
      <w:r>
        <w:rPr>
          <w:color w:val="262626" w:themeColor="text1" w:themeTint="D9"/>
          <w:lang w:val="sr-Cyrl-CS"/>
        </w:rPr>
        <w:t>je</w:t>
      </w:r>
      <w:r w:rsidR="00A278FF" w:rsidRPr="00E95BC4">
        <w:rPr>
          <w:color w:val="262626" w:themeColor="text1" w:themeTint="D9"/>
          <w:lang w:val="sr-Cyrl-CS"/>
        </w:rPr>
        <w:t xml:space="preserve"> </w:t>
      </w:r>
      <w:r>
        <w:rPr>
          <w:color w:val="262626" w:themeColor="text1" w:themeTint="D9"/>
          <w:lang w:val="sr-Cyrl-CS"/>
        </w:rPr>
        <w:t>u</w:t>
      </w:r>
      <w:r w:rsidR="00A278FF" w:rsidRPr="00E95BC4">
        <w:rPr>
          <w:color w:val="262626" w:themeColor="text1" w:themeTint="D9"/>
          <w:lang w:val="sr-Cyrl-CS"/>
        </w:rPr>
        <w:t xml:space="preserve"> </w:t>
      </w:r>
      <w:r>
        <w:rPr>
          <w:color w:val="262626" w:themeColor="text1" w:themeTint="D9"/>
          <w:lang w:val="sr-Cyrl-CS"/>
        </w:rPr>
        <w:t>pitanju</w:t>
      </w:r>
      <w:r w:rsidR="00A278FF" w:rsidRPr="00E95BC4">
        <w:rPr>
          <w:color w:val="262626" w:themeColor="text1" w:themeTint="D9"/>
          <w:lang w:val="sr-Cyrl-CS"/>
        </w:rPr>
        <w:t xml:space="preserve"> </w:t>
      </w:r>
      <w:r>
        <w:rPr>
          <w:color w:val="262626" w:themeColor="text1" w:themeTint="D9"/>
          <w:lang w:val="sr-Cyrl-CS"/>
        </w:rPr>
        <w:t>koordinacija</w:t>
      </w:r>
      <w:r w:rsidR="00A278FF" w:rsidRPr="00E95BC4">
        <w:rPr>
          <w:color w:val="262626" w:themeColor="text1" w:themeTint="D9"/>
          <w:lang w:val="sr-Cyrl-CS"/>
        </w:rPr>
        <w:t xml:space="preserve"> </w:t>
      </w:r>
      <w:r>
        <w:rPr>
          <w:color w:val="262626" w:themeColor="text1" w:themeTint="D9"/>
          <w:lang w:val="sr-Cyrl-CS"/>
        </w:rPr>
        <w:t>i</w:t>
      </w:r>
      <w:r w:rsidR="00A278FF" w:rsidRPr="00E95BC4">
        <w:rPr>
          <w:color w:val="262626" w:themeColor="text1" w:themeTint="D9"/>
          <w:lang w:val="sr-Cyrl-CS"/>
        </w:rPr>
        <w:t xml:space="preserve"> </w:t>
      </w:r>
      <w:r>
        <w:rPr>
          <w:color w:val="262626" w:themeColor="text1" w:themeTint="D9"/>
          <w:lang w:val="sr-Cyrl-CS"/>
        </w:rPr>
        <w:t>izveštavanje</w:t>
      </w:r>
      <w:r w:rsidR="00A278FF" w:rsidRPr="00E95BC4">
        <w:rPr>
          <w:color w:val="262626" w:themeColor="text1" w:themeTint="D9"/>
          <w:lang w:val="sr-Cyrl-CS"/>
        </w:rPr>
        <w:t>.</w:t>
      </w:r>
      <w:r w:rsidR="00A278FF" w:rsidRPr="00E95BC4">
        <w:rPr>
          <w:rStyle w:val="FootnoteReference"/>
          <w:color w:val="262626" w:themeColor="text1" w:themeTint="D9"/>
          <w:lang w:val="sr-Cyrl-CS"/>
        </w:rPr>
        <w:footnoteReference w:id="21"/>
      </w:r>
      <w:r w:rsidR="00D12FC8" w:rsidRPr="00E95BC4">
        <w:rPr>
          <w:color w:val="262626" w:themeColor="text1" w:themeTint="D9"/>
          <w:lang w:val="sr-Cyrl-CS"/>
        </w:rPr>
        <w:t xml:space="preserve"> </w:t>
      </w:r>
      <w:r>
        <w:rPr>
          <w:color w:val="262626" w:themeColor="text1" w:themeTint="D9"/>
          <w:lang w:val="sr-Cyrl-CS"/>
        </w:rPr>
        <w:t>Ti</w:t>
      </w:r>
      <w:r w:rsidR="00D12FC8" w:rsidRPr="00E95BC4">
        <w:rPr>
          <w:color w:val="262626" w:themeColor="text1" w:themeTint="D9"/>
          <w:lang w:val="sr-Cyrl-CS"/>
        </w:rPr>
        <w:t xml:space="preserve"> </w:t>
      </w:r>
      <w:r>
        <w:rPr>
          <w:color w:val="262626" w:themeColor="text1" w:themeTint="D9"/>
          <w:lang w:val="sr-Cyrl-CS"/>
        </w:rPr>
        <w:t>izazovi</w:t>
      </w:r>
      <w:r w:rsidR="00D12FC8" w:rsidRPr="00E95BC4">
        <w:rPr>
          <w:color w:val="262626" w:themeColor="text1" w:themeTint="D9"/>
          <w:lang w:val="sr-Cyrl-CS"/>
        </w:rPr>
        <w:t xml:space="preserve"> </w:t>
      </w:r>
      <w:r>
        <w:rPr>
          <w:color w:val="262626" w:themeColor="text1" w:themeTint="D9"/>
          <w:lang w:val="sr-Cyrl-CS"/>
        </w:rPr>
        <w:t>su</w:t>
      </w:r>
      <w:r w:rsidR="00D12FC8" w:rsidRPr="00E95BC4">
        <w:rPr>
          <w:color w:val="262626" w:themeColor="text1" w:themeTint="D9"/>
          <w:lang w:val="sr-Cyrl-CS"/>
        </w:rPr>
        <w:t xml:space="preserve"> </w:t>
      </w:r>
      <w:r>
        <w:rPr>
          <w:color w:val="262626" w:themeColor="text1" w:themeTint="D9"/>
          <w:lang w:val="sr-Cyrl-CS"/>
        </w:rPr>
        <w:t>uzeti</w:t>
      </w:r>
      <w:r w:rsidR="00D12FC8" w:rsidRPr="00E95BC4">
        <w:rPr>
          <w:color w:val="262626" w:themeColor="text1" w:themeTint="D9"/>
          <w:lang w:val="sr-Cyrl-CS"/>
        </w:rPr>
        <w:t xml:space="preserve"> </w:t>
      </w:r>
      <w:r>
        <w:rPr>
          <w:color w:val="262626" w:themeColor="text1" w:themeTint="D9"/>
          <w:lang w:val="sr-Cyrl-CS"/>
        </w:rPr>
        <w:t>u</w:t>
      </w:r>
      <w:r w:rsidR="00D12FC8" w:rsidRPr="00E95BC4">
        <w:rPr>
          <w:color w:val="262626" w:themeColor="text1" w:themeTint="D9"/>
          <w:lang w:val="sr-Cyrl-CS"/>
        </w:rPr>
        <w:t xml:space="preserve"> </w:t>
      </w:r>
      <w:r>
        <w:rPr>
          <w:color w:val="262626" w:themeColor="text1" w:themeTint="D9"/>
          <w:lang w:val="sr-Cyrl-CS"/>
        </w:rPr>
        <w:t>obzir</w:t>
      </w:r>
      <w:r w:rsidR="00D12FC8" w:rsidRPr="00E95BC4">
        <w:rPr>
          <w:color w:val="262626" w:themeColor="text1" w:themeTint="D9"/>
          <w:lang w:val="sr-Cyrl-CS"/>
        </w:rPr>
        <w:t xml:space="preserve"> </w:t>
      </w:r>
      <w:r>
        <w:rPr>
          <w:color w:val="262626" w:themeColor="text1" w:themeTint="D9"/>
          <w:lang w:val="sr-Cyrl-CS"/>
        </w:rPr>
        <w:t>prilikom</w:t>
      </w:r>
      <w:r w:rsidR="00D12FC8" w:rsidRPr="00E95BC4">
        <w:rPr>
          <w:color w:val="262626" w:themeColor="text1" w:themeTint="D9"/>
          <w:lang w:val="sr-Cyrl-CS"/>
        </w:rPr>
        <w:t xml:space="preserve"> </w:t>
      </w:r>
      <w:r>
        <w:rPr>
          <w:color w:val="262626" w:themeColor="text1" w:themeTint="D9"/>
          <w:lang w:val="sr-Cyrl-CS"/>
        </w:rPr>
        <w:t>izrade</w:t>
      </w:r>
      <w:r w:rsidR="00D12FC8" w:rsidRPr="00E95BC4">
        <w:rPr>
          <w:color w:val="262626" w:themeColor="text1" w:themeTint="D9"/>
          <w:lang w:val="sr-Cyrl-CS"/>
        </w:rPr>
        <w:t xml:space="preserve"> </w:t>
      </w:r>
      <w:r>
        <w:rPr>
          <w:color w:val="262626" w:themeColor="text1" w:themeTint="D9"/>
          <w:lang w:val="sr-Cyrl-CS"/>
        </w:rPr>
        <w:t>nove</w:t>
      </w:r>
      <w:r w:rsidR="00D12FC8" w:rsidRPr="00E95BC4">
        <w:rPr>
          <w:color w:val="262626" w:themeColor="text1" w:themeTint="D9"/>
          <w:lang w:val="sr-Cyrl-CS"/>
        </w:rPr>
        <w:t xml:space="preserve"> </w:t>
      </w:r>
      <w:r>
        <w:rPr>
          <w:color w:val="262626" w:themeColor="text1" w:themeTint="D9"/>
          <w:lang w:val="sr-Cyrl-CS"/>
        </w:rPr>
        <w:t>strategije</w:t>
      </w:r>
      <w:r w:rsidR="00D12FC8" w:rsidRPr="00E95BC4">
        <w:rPr>
          <w:color w:val="262626" w:themeColor="text1" w:themeTint="D9"/>
          <w:lang w:val="sr-Cyrl-CS"/>
        </w:rPr>
        <w:t xml:space="preserve">, </w:t>
      </w:r>
      <w:r>
        <w:rPr>
          <w:color w:val="262626" w:themeColor="text1" w:themeTint="D9"/>
          <w:lang w:val="sr-Cyrl-CS"/>
        </w:rPr>
        <w:t>a</w:t>
      </w:r>
      <w:r w:rsidR="00D12FC8" w:rsidRPr="00E95BC4">
        <w:rPr>
          <w:color w:val="262626" w:themeColor="text1" w:themeTint="D9"/>
          <w:lang w:val="sr-Cyrl-CS"/>
        </w:rPr>
        <w:t xml:space="preserve"> </w:t>
      </w:r>
      <w:r>
        <w:rPr>
          <w:color w:val="262626" w:themeColor="text1" w:themeTint="D9"/>
          <w:lang w:val="sr-Cyrl-CS"/>
        </w:rPr>
        <w:t>Koordinaciono</w:t>
      </w:r>
      <w:r w:rsidR="00D12FC8" w:rsidRPr="00E95BC4">
        <w:rPr>
          <w:color w:val="262626" w:themeColor="text1" w:themeTint="D9"/>
          <w:lang w:val="sr-Cyrl-CS"/>
        </w:rPr>
        <w:t xml:space="preserve"> </w:t>
      </w:r>
      <w:r>
        <w:rPr>
          <w:color w:val="262626" w:themeColor="text1" w:themeTint="D9"/>
          <w:lang w:val="sr-Cyrl-CS"/>
        </w:rPr>
        <w:t>telo</w:t>
      </w:r>
      <w:r w:rsidR="00D12FC8" w:rsidRPr="00E95BC4">
        <w:rPr>
          <w:color w:val="262626" w:themeColor="text1" w:themeTint="D9"/>
          <w:lang w:val="sr-Cyrl-CS"/>
        </w:rPr>
        <w:t xml:space="preserve"> </w:t>
      </w:r>
      <w:r>
        <w:rPr>
          <w:color w:val="262626" w:themeColor="text1" w:themeTint="D9"/>
          <w:lang w:val="sr-Cyrl-CS"/>
        </w:rPr>
        <w:t>će</w:t>
      </w:r>
      <w:r w:rsidR="00D12FC8" w:rsidRPr="00E95BC4">
        <w:rPr>
          <w:color w:val="262626" w:themeColor="text1" w:themeTint="D9"/>
          <w:lang w:val="sr-Cyrl-CS"/>
        </w:rPr>
        <w:t xml:space="preserve"> </w:t>
      </w:r>
      <w:r>
        <w:rPr>
          <w:color w:val="262626" w:themeColor="text1" w:themeTint="D9"/>
          <w:lang w:val="sr-Cyrl-CS"/>
        </w:rPr>
        <w:t>nastaviti</w:t>
      </w:r>
      <w:r w:rsidR="00D12FC8" w:rsidRPr="00E95BC4">
        <w:rPr>
          <w:color w:val="262626" w:themeColor="text1" w:themeTint="D9"/>
          <w:lang w:val="sr-Cyrl-CS"/>
        </w:rPr>
        <w:t xml:space="preserve"> </w:t>
      </w:r>
      <w:r>
        <w:rPr>
          <w:color w:val="262626" w:themeColor="text1" w:themeTint="D9"/>
          <w:lang w:val="sr-Cyrl-CS"/>
        </w:rPr>
        <w:t>da</w:t>
      </w:r>
      <w:r w:rsidR="00D12FC8" w:rsidRPr="00E95BC4">
        <w:rPr>
          <w:color w:val="262626" w:themeColor="text1" w:themeTint="D9"/>
          <w:lang w:val="sr-Cyrl-CS"/>
        </w:rPr>
        <w:t xml:space="preserve"> </w:t>
      </w:r>
      <w:r>
        <w:rPr>
          <w:color w:val="262626" w:themeColor="text1" w:themeTint="D9"/>
          <w:lang w:val="sr-Cyrl-CS"/>
        </w:rPr>
        <w:t>ih</w:t>
      </w:r>
      <w:r w:rsidR="00D12FC8" w:rsidRPr="00E95BC4">
        <w:rPr>
          <w:color w:val="262626" w:themeColor="text1" w:themeTint="D9"/>
          <w:lang w:val="sr-Cyrl-CS"/>
        </w:rPr>
        <w:t xml:space="preserve"> </w:t>
      </w:r>
      <w:r>
        <w:rPr>
          <w:color w:val="262626" w:themeColor="text1" w:themeTint="D9"/>
          <w:lang w:val="sr-Cyrl-CS"/>
        </w:rPr>
        <w:t>prati</w:t>
      </w:r>
      <w:r w:rsidR="00D12FC8" w:rsidRPr="00E95BC4">
        <w:rPr>
          <w:color w:val="262626" w:themeColor="text1" w:themeTint="D9"/>
          <w:lang w:val="sr-Cyrl-CS"/>
        </w:rPr>
        <w:t>.</w:t>
      </w:r>
      <w:r w:rsidR="00A278FF" w:rsidRPr="00E95BC4">
        <w:rPr>
          <w:color w:val="262626" w:themeColor="text1" w:themeTint="D9"/>
          <w:lang w:val="sr-Cyrl-CS"/>
        </w:rPr>
        <w:t xml:space="preserve"> </w:t>
      </w:r>
      <w:r>
        <w:rPr>
          <w:color w:val="262626" w:themeColor="text1" w:themeTint="D9"/>
          <w:lang w:val="sr-Cyrl-CS"/>
        </w:rPr>
        <w:t>Takođe</w:t>
      </w:r>
      <w:r w:rsidR="00A278FF" w:rsidRPr="00E95BC4">
        <w:rPr>
          <w:color w:val="262626" w:themeColor="text1" w:themeTint="D9"/>
          <w:lang w:val="sr-Cyrl-CS"/>
        </w:rPr>
        <w:t xml:space="preserve"> </w:t>
      </w:r>
      <w:r>
        <w:rPr>
          <w:color w:val="262626" w:themeColor="text1" w:themeTint="D9"/>
          <w:lang w:val="sr-Cyrl-CS"/>
        </w:rPr>
        <w:t>je</w:t>
      </w:r>
      <w:r w:rsidR="00A278FF" w:rsidRPr="00E95BC4">
        <w:rPr>
          <w:color w:val="262626" w:themeColor="text1" w:themeTint="D9"/>
          <w:lang w:val="sr-Cyrl-CS"/>
        </w:rPr>
        <w:t xml:space="preserve"> </w:t>
      </w:r>
      <w:r>
        <w:rPr>
          <w:color w:val="262626" w:themeColor="text1" w:themeTint="D9"/>
          <w:lang w:val="sr-Cyrl-CS"/>
        </w:rPr>
        <w:t>potrebno</w:t>
      </w:r>
      <w:r w:rsidR="00A278FF" w:rsidRPr="00E95BC4">
        <w:rPr>
          <w:color w:val="262626" w:themeColor="text1" w:themeTint="D9"/>
          <w:lang w:val="sr-Cyrl-CS"/>
        </w:rPr>
        <w:t xml:space="preserve"> </w:t>
      </w:r>
      <w:r>
        <w:rPr>
          <w:color w:val="262626" w:themeColor="text1" w:themeTint="D9"/>
          <w:lang w:val="sr-Cyrl-CS"/>
        </w:rPr>
        <w:t>utvrditi</w:t>
      </w:r>
      <w:r w:rsidR="00A278FF" w:rsidRPr="00E95BC4">
        <w:rPr>
          <w:color w:val="262626" w:themeColor="text1" w:themeTint="D9"/>
          <w:lang w:val="sr-Cyrl-CS"/>
        </w:rPr>
        <w:t xml:space="preserve"> </w:t>
      </w:r>
      <w:r>
        <w:rPr>
          <w:color w:val="262626" w:themeColor="text1" w:themeTint="D9"/>
          <w:lang w:val="sr-Cyrl-CS"/>
        </w:rPr>
        <w:t>najadekvatniji</w:t>
      </w:r>
      <w:r w:rsidR="00A278FF" w:rsidRPr="00E95BC4">
        <w:rPr>
          <w:color w:val="262626" w:themeColor="text1" w:themeTint="D9"/>
          <w:lang w:val="sr-Cyrl-CS"/>
        </w:rPr>
        <w:t xml:space="preserve"> </w:t>
      </w:r>
      <w:r>
        <w:rPr>
          <w:color w:val="262626" w:themeColor="text1" w:themeTint="D9"/>
          <w:lang w:val="sr-Cyrl-CS"/>
        </w:rPr>
        <w:t>način</w:t>
      </w:r>
      <w:r w:rsidR="00A278FF" w:rsidRPr="00E95BC4">
        <w:rPr>
          <w:color w:val="262626" w:themeColor="text1" w:themeTint="D9"/>
          <w:lang w:val="sr-Cyrl-CS"/>
        </w:rPr>
        <w:t xml:space="preserve"> </w:t>
      </w:r>
      <w:r>
        <w:rPr>
          <w:color w:val="262626" w:themeColor="text1" w:themeTint="D9"/>
          <w:lang w:val="sr-Cyrl-CS"/>
        </w:rPr>
        <w:t>za</w:t>
      </w:r>
      <w:r w:rsidR="00A278FF" w:rsidRPr="00E95BC4">
        <w:rPr>
          <w:color w:val="262626" w:themeColor="text1" w:themeTint="D9"/>
          <w:lang w:val="sr-Cyrl-CS"/>
        </w:rPr>
        <w:t xml:space="preserve"> </w:t>
      </w:r>
      <w:r>
        <w:rPr>
          <w:color w:val="262626" w:themeColor="text1" w:themeTint="D9"/>
          <w:lang w:val="sr-Cyrl-CS"/>
        </w:rPr>
        <w:t>iniciranje</w:t>
      </w:r>
      <w:r w:rsidR="00A278FF" w:rsidRPr="00E95BC4">
        <w:rPr>
          <w:color w:val="262626" w:themeColor="text1" w:themeTint="D9"/>
          <w:lang w:val="sr-Cyrl-CS"/>
        </w:rPr>
        <w:t xml:space="preserve"> </w:t>
      </w:r>
      <w:r>
        <w:rPr>
          <w:color w:val="262626" w:themeColor="text1" w:themeTint="D9"/>
          <w:lang w:val="sr-Cyrl-CS"/>
        </w:rPr>
        <w:t>i</w:t>
      </w:r>
      <w:r w:rsidR="00A278FF" w:rsidRPr="00E95BC4">
        <w:rPr>
          <w:color w:val="262626" w:themeColor="text1" w:themeTint="D9"/>
          <w:lang w:val="sr-Cyrl-CS"/>
        </w:rPr>
        <w:t xml:space="preserve"> </w:t>
      </w:r>
      <w:r>
        <w:rPr>
          <w:color w:val="262626" w:themeColor="text1" w:themeTint="D9"/>
          <w:lang w:val="sr-Cyrl-CS"/>
        </w:rPr>
        <w:t>sprovođenje</w:t>
      </w:r>
      <w:r w:rsidR="00A278FF" w:rsidRPr="00E95BC4">
        <w:rPr>
          <w:color w:val="262626" w:themeColor="text1" w:themeTint="D9"/>
          <w:lang w:val="sr-Cyrl-CS"/>
        </w:rPr>
        <w:t xml:space="preserve"> </w:t>
      </w:r>
      <w:r>
        <w:rPr>
          <w:color w:val="262626" w:themeColor="text1" w:themeTint="D9"/>
          <w:lang w:val="sr-Cyrl-CS"/>
        </w:rPr>
        <w:t>aktivnosti</w:t>
      </w:r>
      <w:r w:rsidR="00A278FF" w:rsidRPr="00E95BC4">
        <w:rPr>
          <w:color w:val="262626" w:themeColor="text1" w:themeTint="D9"/>
          <w:lang w:val="sr-Cyrl-CS"/>
        </w:rPr>
        <w:t xml:space="preserve"> </w:t>
      </w:r>
      <w:r>
        <w:rPr>
          <w:color w:val="262626" w:themeColor="text1" w:themeTint="D9"/>
          <w:lang w:val="sr-Cyrl-CS"/>
        </w:rPr>
        <w:t>za</w:t>
      </w:r>
      <w:r w:rsidR="00A278FF" w:rsidRPr="00E95BC4">
        <w:rPr>
          <w:color w:val="262626" w:themeColor="text1" w:themeTint="D9"/>
          <w:lang w:val="sr-Cyrl-CS"/>
        </w:rPr>
        <w:t xml:space="preserve"> </w:t>
      </w:r>
      <w:r>
        <w:rPr>
          <w:color w:val="262626" w:themeColor="text1" w:themeTint="D9"/>
          <w:lang w:val="sr-Cyrl-CS"/>
        </w:rPr>
        <w:t>koje</w:t>
      </w:r>
      <w:r w:rsidR="00A278FF" w:rsidRPr="00E95BC4">
        <w:rPr>
          <w:color w:val="262626" w:themeColor="text1" w:themeTint="D9"/>
          <w:lang w:val="sr-Cyrl-CS"/>
        </w:rPr>
        <w:t xml:space="preserve"> </w:t>
      </w:r>
      <w:r>
        <w:rPr>
          <w:color w:val="262626" w:themeColor="text1" w:themeTint="D9"/>
          <w:lang w:val="sr-Cyrl-CS"/>
        </w:rPr>
        <w:t>je</w:t>
      </w:r>
      <w:r w:rsidR="00A278FF" w:rsidRPr="00E95BC4">
        <w:rPr>
          <w:color w:val="262626" w:themeColor="text1" w:themeTint="D9"/>
          <w:lang w:val="sr-Cyrl-CS"/>
        </w:rPr>
        <w:t xml:space="preserve"> </w:t>
      </w:r>
      <w:r>
        <w:rPr>
          <w:color w:val="262626" w:themeColor="text1" w:themeTint="D9"/>
          <w:lang w:val="sr-Cyrl-CS"/>
        </w:rPr>
        <w:t>nadležna</w:t>
      </w:r>
      <w:r w:rsidR="00A278FF" w:rsidRPr="00E95BC4">
        <w:rPr>
          <w:color w:val="262626" w:themeColor="text1" w:themeTint="D9"/>
          <w:lang w:val="sr-Cyrl-CS"/>
        </w:rPr>
        <w:t xml:space="preserve"> </w:t>
      </w:r>
      <w:r>
        <w:rPr>
          <w:color w:val="262626" w:themeColor="text1" w:themeTint="D9"/>
          <w:lang w:val="sr-Cyrl-CS"/>
        </w:rPr>
        <w:t>Vlada</w:t>
      </w:r>
      <w:r w:rsidR="00A278FF" w:rsidRPr="00E95BC4">
        <w:rPr>
          <w:color w:val="262626" w:themeColor="text1" w:themeTint="D9"/>
          <w:lang w:val="sr-Cyrl-CS"/>
        </w:rPr>
        <w:t xml:space="preserve"> (</w:t>
      </w:r>
      <w:r>
        <w:rPr>
          <w:color w:val="262626" w:themeColor="text1" w:themeTint="D9"/>
          <w:lang w:val="sr-Cyrl-CS"/>
        </w:rPr>
        <w:t>npr</w:t>
      </w:r>
      <w:r w:rsidR="00A278FF" w:rsidRPr="00E95BC4">
        <w:rPr>
          <w:color w:val="262626" w:themeColor="text1" w:themeTint="D9"/>
          <w:lang w:val="sr-Cyrl-CS"/>
        </w:rPr>
        <w:t xml:space="preserve">. </w:t>
      </w:r>
      <w:r>
        <w:rPr>
          <w:color w:val="262626" w:themeColor="text1" w:themeTint="D9"/>
          <w:lang w:val="sr-Cyrl-CS"/>
        </w:rPr>
        <w:t>kod</w:t>
      </w:r>
      <w:r w:rsidR="00A278FF" w:rsidRPr="00E95BC4">
        <w:rPr>
          <w:color w:val="262626" w:themeColor="text1" w:themeTint="D9"/>
          <w:lang w:val="sr-Cyrl-CS"/>
        </w:rPr>
        <w:t xml:space="preserve"> </w:t>
      </w:r>
      <w:r>
        <w:rPr>
          <w:color w:val="262626" w:themeColor="text1" w:themeTint="D9"/>
          <w:lang w:val="sr-Cyrl-CS"/>
        </w:rPr>
        <w:t>pitanja</w:t>
      </w:r>
      <w:r w:rsidR="00A278FF" w:rsidRPr="00E95BC4">
        <w:rPr>
          <w:color w:val="262626" w:themeColor="text1" w:themeTint="D9"/>
          <w:lang w:val="sr-Cyrl-CS"/>
        </w:rPr>
        <w:t xml:space="preserve"> </w:t>
      </w:r>
      <w:r>
        <w:rPr>
          <w:color w:val="262626" w:themeColor="text1" w:themeTint="D9"/>
          <w:lang w:val="sr-Cyrl-CS"/>
        </w:rPr>
        <w:t>proširenja</w:t>
      </w:r>
      <w:r w:rsidR="00A278FF" w:rsidRPr="00E95BC4">
        <w:rPr>
          <w:color w:val="262626" w:themeColor="text1" w:themeTint="D9"/>
          <w:lang w:val="sr-Cyrl-CS"/>
        </w:rPr>
        <w:t xml:space="preserve"> </w:t>
      </w:r>
      <w:r>
        <w:rPr>
          <w:color w:val="262626" w:themeColor="text1" w:themeTint="D9"/>
          <w:lang w:val="sr-Cyrl-CS"/>
        </w:rPr>
        <w:t>institucionalnih</w:t>
      </w:r>
      <w:r w:rsidR="00A278FF" w:rsidRPr="00E95BC4">
        <w:rPr>
          <w:color w:val="262626" w:themeColor="text1" w:themeTint="D9"/>
          <w:lang w:val="sr-Cyrl-CS"/>
        </w:rPr>
        <w:t xml:space="preserve"> </w:t>
      </w:r>
      <w:r>
        <w:rPr>
          <w:color w:val="262626" w:themeColor="text1" w:themeTint="D9"/>
          <w:lang w:val="sr-Cyrl-CS"/>
        </w:rPr>
        <w:t>kapaciteta</w:t>
      </w:r>
      <w:r w:rsidR="00A278FF" w:rsidRPr="00E95BC4">
        <w:rPr>
          <w:color w:val="262626" w:themeColor="text1" w:themeTint="D9"/>
          <w:lang w:val="sr-Cyrl-CS"/>
        </w:rPr>
        <w:t xml:space="preserve">, </w:t>
      </w:r>
      <w:r>
        <w:rPr>
          <w:color w:val="262626" w:themeColor="text1" w:themeTint="D9"/>
          <w:lang w:val="sr-Cyrl-CS"/>
        </w:rPr>
        <w:t>dodatnog</w:t>
      </w:r>
      <w:r w:rsidR="00A278FF" w:rsidRPr="00E95BC4">
        <w:rPr>
          <w:color w:val="262626" w:themeColor="text1" w:themeTint="D9"/>
          <w:lang w:val="sr-Cyrl-CS"/>
        </w:rPr>
        <w:t xml:space="preserve"> </w:t>
      </w:r>
      <w:r>
        <w:rPr>
          <w:color w:val="262626" w:themeColor="text1" w:themeTint="D9"/>
          <w:lang w:val="sr-Cyrl-CS"/>
        </w:rPr>
        <w:t>zapošljavanja</w:t>
      </w:r>
      <w:r w:rsidR="00A278FF" w:rsidRPr="00E95BC4">
        <w:rPr>
          <w:color w:val="262626" w:themeColor="text1" w:themeTint="D9"/>
          <w:lang w:val="sr-Cyrl-CS"/>
        </w:rPr>
        <w:t xml:space="preserve"> </w:t>
      </w:r>
      <w:r>
        <w:rPr>
          <w:color w:val="262626" w:themeColor="text1" w:themeTint="D9"/>
          <w:lang w:val="sr-Cyrl-CS"/>
        </w:rPr>
        <w:t>ili</w:t>
      </w:r>
      <w:r w:rsidR="00A278FF" w:rsidRPr="00E95BC4">
        <w:rPr>
          <w:color w:val="262626" w:themeColor="text1" w:themeTint="D9"/>
          <w:lang w:val="sr-Cyrl-CS"/>
        </w:rPr>
        <w:t xml:space="preserve"> </w:t>
      </w:r>
      <w:r>
        <w:rPr>
          <w:color w:val="262626" w:themeColor="text1" w:themeTint="D9"/>
          <w:lang w:val="sr-Cyrl-CS"/>
        </w:rPr>
        <w:t>budžeta</w:t>
      </w:r>
      <w:r w:rsidR="00A278FF" w:rsidRPr="00E95BC4">
        <w:rPr>
          <w:color w:val="262626" w:themeColor="text1" w:themeTint="D9"/>
          <w:lang w:val="sr-Cyrl-CS"/>
        </w:rPr>
        <w:t>).</w:t>
      </w:r>
      <w:r w:rsidR="00A278FF" w:rsidRPr="00E95BC4">
        <w:rPr>
          <w:noProof/>
          <w:color w:val="262626" w:themeColor="text1" w:themeTint="D9"/>
          <w:lang w:val="sr-Cyrl-CS"/>
        </w:rPr>
        <w:t xml:space="preserve"> </w:t>
      </w:r>
      <w:r>
        <w:rPr>
          <w:noProof/>
          <w:color w:val="262626" w:themeColor="text1" w:themeTint="D9"/>
          <w:lang w:val="sr-Cyrl-CS"/>
        </w:rPr>
        <w:t>Ova</w:t>
      </w:r>
      <w:r w:rsidR="00156D4E" w:rsidRPr="00E95BC4">
        <w:rPr>
          <w:noProof/>
          <w:color w:val="262626" w:themeColor="text1" w:themeTint="D9"/>
          <w:lang w:val="sr-Cyrl-CS"/>
        </w:rPr>
        <w:t xml:space="preserve"> </w:t>
      </w:r>
      <w:r>
        <w:rPr>
          <w:noProof/>
          <w:color w:val="262626" w:themeColor="text1" w:themeTint="D9"/>
          <w:lang w:val="sr-Cyrl-CS"/>
        </w:rPr>
        <w:t>pitanja</w:t>
      </w:r>
      <w:r w:rsidR="00156D4E" w:rsidRPr="00E95BC4">
        <w:rPr>
          <w:noProof/>
          <w:color w:val="262626" w:themeColor="text1" w:themeTint="D9"/>
          <w:lang w:val="sr-Cyrl-CS"/>
        </w:rPr>
        <w:t xml:space="preserve"> </w:t>
      </w:r>
      <w:r>
        <w:rPr>
          <w:noProof/>
          <w:color w:val="262626" w:themeColor="text1" w:themeTint="D9"/>
          <w:lang w:val="sr-Cyrl-CS"/>
        </w:rPr>
        <w:t>su</w:t>
      </w:r>
      <w:r w:rsidR="00156D4E" w:rsidRPr="00E95BC4">
        <w:rPr>
          <w:noProof/>
          <w:color w:val="262626" w:themeColor="text1" w:themeTint="D9"/>
          <w:lang w:val="sr-Cyrl-CS"/>
        </w:rPr>
        <w:t xml:space="preserve"> </w:t>
      </w:r>
      <w:r>
        <w:rPr>
          <w:noProof/>
          <w:color w:val="262626" w:themeColor="text1" w:themeTint="D9"/>
          <w:lang w:val="sr-Cyrl-CS"/>
        </w:rPr>
        <w:t>rešena</w:t>
      </w:r>
      <w:r w:rsidR="00156D4E" w:rsidRPr="00E95BC4">
        <w:rPr>
          <w:noProof/>
          <w:color w:val="262626" w:themeColor="text1" w:themeTint="D9"/>
          <w:lang w:val="sr-Cyrl-CS"/>
        </w:rPr>
        <w:t xml:space="preserve"> </w:t>
      </w:r>
      <w:r>
        <w:rPr>
          <w:noProof/>
          <w:color w:val="262626" w:themeColor="text1" w:themeTint="D9"/>
          <w:lang w:val="sr-Cyrl-CS"/>
        </w:rPr>
        <w:t>jačanjem</w:t>
      </w:r>
      <w:r w:rsidR="00156D4E" w:rsidRPr="00E95BC4">
        <w:rPr>
          <w:noProof/>
          <w:color w:val="262626" w:themeColor="text1" w:themeTint="D9"/>
          <w:lang w:val="sr-Cyrl-CS"/>
        </w:rPr>
        <w:t xml:space="preserve"> </w:t>
      </w:r>
      <w:r>
        <w:rPr>
          <w:noProof/>
          <w:color w:val="262626" w:themeColor="text1" w:themeTint="D9"/>
          <w:lang w:val="sr-Cyrl-CS"/>
        </w:rPr>
        <w:t>i</w:t>
      </w:r>
      <w:r w:rsidR="00156D4E" w:rsidRPr="00E95BC4">
        <w:rPr>
          <w:noProof/>
          <w:color w:val="262626" w:themeColor="text1" w:themeTint="D9"/>
          <w:lang w:val="sr-Cyrl-CS"/>
        </w:rPr>
        <w:t xml:space="preserve"> </w:t>
      </w:r>
      <w:r>
        <w:rPr>
          <w:noProof/>
          <w:color w:val="262626" w:themeColor="text1" w:themeTint="D9"/>
          <w:lang w:val="sr-Cyrl-CS"/>
        </w:rPr>
        <w:t>organizacijom</w:t>
      </w:r>
      <w:r w:rsidR="00156D4E" w:rsidRPr="00E95BC4">
        <w:rPr>
          <w:noProof/>
          <w:color w:val="262626" w:themeColor="text1" w:themeTint="D9"/>
          <w:lang w:val="sr-Cyrl-CS"/>
        </w:rPr>
        <w:t xml:space="preserve"> </w:t>
      </w:r>
      <w:r>
        <w:rPr>
          <w:noProof/>
          <w:color w:val="262626" w:themeColor="text1" w:themeTint="D9"/>
          <w:lang w:val="sr-Cyrl-CS"/>
        </w:rPr>
        <w:t>mehanizma</w:t>
      </w:r>
      <w:r w:rsidR="00156D4E" w:rsidRPr="00E95BC4">
        <w:rPr>
          <w:noProof/>
          <w:color w:val="262626" w:themeColor="text1" w:themeTint="D9"/>
          <w:lang w:val="sr-Cyrl-CS"/>
        </w:rPr>
        <w:t xml:space="preserve"> </w:t>
      </w:r>
      <w:r>
        <w:rPr>
          <w:noProof/>
          <w:color w:val="262626" w:themeColor="text1" w:themeTint="D9"/>
          <w:lang w:val="sr-Cyrl-CS"/>
        </w:rPr>
        <w:t>koordinacije</w:t>
      </w:r>
      <w:r w:rsidR="00156D4E" w:rsidRPr="00E95BC4">
        <w:rPr>
          <w:noProof/>
          <w:color w:val="262626" w:themeColor="text1" w:themeTint="D9"/>
          <w:lang w:val="sr-Cyrl-CS"/>
        </w:rPr>
        <w:t xml:space="preserve"> (</w:t>
      </w:r>
      <w:r>
        <w:rPr>
          <w:noProof/>
          <w:color w:val="262626" w:themeColor="text1" w:themeTint="D9"/>
          <w:lang w:val="sr-Cyrl-CS"/>
        </w:rPr>
        <w:t>Koordinacionog</w:t>
      </w:r>
      <w:r w:rsidR="00156D4E" w:rsidRPr="00E95BC4">
        <w:rPr>
          <w:noProof/>
          <w:color w:val="262626" w:themeColor="text1" w:themeTint="D9"/>
          <w:lang w:val="sr-Cyrl-CS"/>
        </w:rPr>
        <w:t xml:space="preserve"> </w:t>
      </w:r>
      <w:r>
        <w:rPr>
          <w:noProof/>
          <w:color w:val="262626" w:themeColor="text1" w:themeTint="D9"/>
          <w:lang w:val="sr-Cyrl-CS"/>
        </w:rPr>
        <w:t>tela</w:t>
      </w:r>
      <w:r w:rsidR="00156D4E" w:rsidRPr="00E95BC4">
        <w:rPr>
          <w:noProof/>
          <w:color w:val="262626" w:themeColor="text1" w:themeTint="D9"/>
          <w:lang w:val="sr-Cyrl-CS"/>
        </w:rPr>
        <w:t>).</w:t>
      </w:r>
    </w:p>
    <w:p w:rsidR="00A278FF" w:rsidRPr="00E95BC4" w:rsidRDefault="005818C0" w:rsidP="00285FD7">
      <w:pPr>
        <w:ind w:firstLine="720"/>
        <w:jc w:val="both"/>
        <w:rPr>
          <w:color w:val="262626" w:themeColor="text1" w:themeTint="D9"/>
          <w:lang w:val="sr-Cyrl-CS"/>
        </w:rPr>
      </w:pPr>
      <w:r>
        <w:rPr>
          <w:color w:val="262626" w:themeColor="text1" w:themeTint="D9"/>
          <w:lang w:val="sr-Cyrl-CS"/>
        </w:rPr>
        <w:t>Na</w:t>
      </w:r>
      <w:r w:rsidR="00A278FF" w:rsidRPr="00E95BC4">
        <w:rPr>
          <w:color w:val="262626" w:themeColor="text1" w:themeTint="D9"/>
          <w:lang w:val="sr-Cyrl-CS"/>
        </w:rPr>
        <w:t xml:space="preserve"> </w:t>
      </w:r>
      <w:r>
        <w:rPr>
          <w:color w:val="262626" w:themeColor="text1" w:themeTint="D9"/>
          <w:lang w:val="sr-Cyrl-CS"/>
        </w:rPr>
        <w:t>osnovu</w:t>
      </w:r>
      <w:r w:rsidR="00A278FF" w:rsidRPr="00E95BC4">
        <w:rPr>
          <w:color w:val="262626" w:themeColor="text1" w:themeTint="D9"/>
          <w:lang w:val="sr-Cyrl-CS"/>
        </w:rPr>
        <w:t xml:space="preserve"> </w:t>
      </w:r>
      <w:r>
        <w:rPr>
          <w:color w:val="262626" w:themeColor="text1" w:themeTint="D9"/>
          <w:lang w:val="sr-Cyrl-CS"/>
        </w:rPr>
        <w:t>pribavljenih</w:t>
      </w:r>
      <w:r w:rsidR="00A278FF" w:rsidRPr="00E95BC4">
        <w:rPr>
          <w:color w:val="262626" w:themeColor="text1" w:themeTint="D9"/>
          <w:lang w:val="sr-Cyrl-CS"/>
        </w:rPr>
        <w:t xml:space="preserve"> </w:t>
      </w:r>
      <w:r>
        <w:rPr>
          <w:color w:val="262626" w:themeColor="text1" w:themeTint="D9"/>
          <w:lang w:val="sr-Cyrl-CS"/>
        </w:rPr>
        <w:t>podataka</w:t>
      </w:r>
      <w:r w:rsidR="00A278FF" w:rsidRPr="00E95BC4">
        <w:rPr>
          <w:rStyle w:val="FootnoteReference"/>
          <w:color w:val="262626" w:themeColor="text1" w:themeTint="D9"/>
          <w:lang w:val="sr-Cyrl-CS"/>
        </w:rPr>
        <w:footnoteReference w:id="22"/>
      </w:r>
      <w:r w:rsidR="00A278FF" w:rsidRPr="00E95BC4">
        <w:rPr>
          <w:color w:val="262626" w:themeColor="text1" w:themeTint="D9"/>
          <w:lang w:val="sr-Cyrl-CS"/>
        </w:rPr>
        <w:t xml:space="preserve"> </w:t>
      </w:r>
      <w:r>
        <w:rPr>
          <w:color w:val="262626" w:themeColor="text1" w:themeTint="D9"/>
          <w:lang w:val="sr-Cyrl-CS"/>
        </w:rPr>
        <w:t>o</w:t>
      </w:r>
      <w:r w:rsidR="00A278FF" w:rsidRPr="00E95BC4">
        <w:rPr>
          <w:color w:val="262626" w:themeColor="text1" w:themeTint="D9"/>
          <w:lang w:val="sr-Cyrl-CS"/>
        </w:rPr>
        <w:t xml:space="preserve"> </w:t>
      </w:r>
      <w:r>
        <w:rPr>
          <w:color w:val="262626" w:themeColor="text1" w:themeTint="D9"/>
          <w:lang w:val="sr-Cyrl-CS"/>
        </w:rPr>
        <w:t>stepenu</w:t>
      </w:r>
      <w:r w:rsidR="00A278FF" w:rsidRPr="00E95BC4">
        <w:rPr>
          <w:color w:val="262626" w:themeColor="text1" w:themeTint="D9"/>
          <w:lang w:val="sr-Cyrl-CS"/>
        </w:rPr>
        <w:t xml:space="preserve"> </w:t>
      </w:r>
      <w:r>
        <w:rPr>
          <w:color w:val="262626" w:themeColor="text1" w:themeTint="D9"/>
          <w:lang w:val="sr-Cyrl-CS"/>
        </w:rPr>
        <w:t>sprovođenja</w:t>
      </w:r>
      <w:r w:rsidR="00A278FF" w:rsidRPr="00E95BC4">
        <w:rPr>
          <w:color w:val="262626" w:themeColor="text1" w:themeTint="D9"/>
          <w:lang w:val="sr-Cyrl-CS"/>
        </w:rPr>
        <w:t xml:space="preserve"> </w:t>
      </w:r>
      <w:r>
        <w:rPr>
          <w:color w:val="262626" w:themeColor="text1" w:themeTint="D9"/>
          <w:lang w:val="sr-Cyrl-CS"/>
        </w:rPr>
        <w:t>aktivnosti</w:t>
      </w:r>
      <w:r w:rsidR="00A278FF" w:rsidRPr="00E95BC4">
        <w:rPr>
          <w:color w:val="262626" w:themeColor="text1" w:themeTint="D9"/>
          <w:lang w:val="sr-Cyrl-CS"/>
        </w:rPr>
        <w:t xml:space="preserve"> </w:t>
      </w:r>
      <w:r>
        <w:rPr>
          <w:color w:val="262626" w:themeColor="text1" w:themeTint="D9"/>
          <w:lang w:val="sr-Cyrl-CS"/>
        </w:rPr>
        <w:t>iz</w:t>
      </w:r>
      <w:r w:rsidR="00A278FF" w:rsidRPr="00E95BC4">
        <w:rPr>
          <w:color w:val="262626" w:themeColor="text1" w:themeTint="D9"/>
          <w:lang w:val="sr-Cyrl-CS"/>
        </w:rPr>
        <w:t xml:space="preserve"> </w:t>
      </w:r>
      <w:r>
        <w:rPr>
          <w:color w:val="262626" w:themeColor="text1" w:themeTint="D9"/>
          <w:lang w:val="sr-Cyrl-CS"/>
        </w:rPr>
        <w:t>Nacionalne</w:t>
      </w:r>
      <w:r w:rsidR="00A278FF" w:rsidRPr="00E95BC4">
        <w:rPr>
          <w:color w:val="262626" w:themeColor="text1" w:themeTint="D9"/>
          <w:lang w:val="sr-Cyrl-CS"/>
        </w:rPr>
        <w:t xml:space="preserve"> </w:t>
      </w:r>
      <w:r>
        <w:rPr>
          <w:color w:val="262626" w:themeColor="text1" w:themeTint="D9"/>
          <w:lang w:val="sr-Cyrl-CS"/>
        </w:rPr>
        <w:t>strategije</w:t>
      </w:r>
      <w:r w:rsidR="00AD151C" w:rsidRPr="00E95BC4">
        <w:rPr>
          <w:color w:val="262626" w:themeColor="text1" w:themeTint="D9"/>
          <w:lang w:val="sr-Cyrl-CS"/>
        </w:rPr>
        <w:t xml:space="preserve"> 2014-2019</w:t>
      </w:r>
      <w:r w:rsidR="00A278FF" w:rsidRPr="00E95BC4">
        <w:rPr>
          <w:color w:val="262626" w:themeColor="text1" w:themeTint="D9"/>
          <w:lang w:val="sr-Cyrl-CS"/>
        </w:rPr>
        <w:t xml:space="preserve">, </w:t>
      </w:r>
      <w:r>
        <w:rPr>
          <w:color w:val="262626" w:themeColor="text1" w:themeTint="D9"/>
          <w:lang w:val="sr-Cyrl-CS"/>
        </w:rPr>
        <w:t>od</w:t>
      </w:r>
      <w:r w:rsidR="00A278FF" w:rsidRPr="00E95BC4">
        <w:rPr>
          <w:color w:val="262626" w:themeColor="text1" w:themeTint="D9"/>
          <w:lang w:val="sr-Cyrl-CS"/>
        </w:rPr>
        <w:t xml:space="preserve"> </w:t>
      </w:r>
      <w:r>
        <w:rPr>
          <w:color w:val="262626" w:themeColor="text1" w:themeTint="D9"/>
          <w:lang w:val="sr-Cyrl-CS"/>
        </w:rPr>
        <w:t>ukupno</w:t>
      </w:r>
      <w:r w:rsidR="00A278FF" w:rsidRPr="00E95BC4">
        <w:rPr>
          <w:color w:val="262626" w:themeColor="text1" w:themeTint="D9"/>
          <w:lang w:val="sr-Cyrl-CS"/>
        </w:rPr>
        <w:t xml:space="preserve"> 109 </w:t>
      </w:r>
      <w:r>
        <w:rPr>
          <w:color w:val="262626" w:themeColor="text1" w:themeTint="D9"/>
          <w:lang w:val="sr-Cyrl-CS"/>
        </w:rPr>
        <w:t>aktivnosti</w:t>
      </w:r>
      <w:r w:rsidR="00A278FF" w:rsidRPr="00E95BC4">
        <w:rPr>
          <w:color w:val="262626" w:themeColor="text1" w:themeTint="D9"/>
          <w:lang w:val="sr-Cyrl-CS"/>
        </w:rPr>
        <w:t xml:space="preserve">, </w:t>
      </w:r>
      <w:r>
        <w:rPr>
          <w:color w:val="262626" w:themeColor="text1" w:themeTint="D9"/>
          <w:lang w:val="sr-Cyrl-CS"/>
        </w:rPr>
        <w:t>koje</w:t>
      </w:r>
      <w:r w:rsidR="00A278FF" w:rsidRPr="00E95BC4">
        <w:rPr>
          <w:color w:val="262626" w:themeColor="text1" w:themeTint="D9"/>
          <w:lang w:val="sr-Cyrl-CS"/>
        </w:rPr>
        <w:t xml:space="preserve"> </w:t>
      </w:r>
      <w:r>
        <w:rPr>
          <w:color w:val="262626" w:themeColor="text1" w:themeTint="D9"/>
          <w:lang w:val="sr-Cyrl-CS"/>
        </w:rPr>
        <w:t>su</w:t>
      </w:r>
      <w:r w:rsidR="00A278FF" w:rsidRPr="00E95BC4">
        <w:rPr>
          <w:color w:val="262626" w:themeColor="text1" w:themeTint="D9"/>
          <w:lang w:val="sr-Cyrl-CS"/>
        </w:rPr>
        <w:t xml:space="preserve"> </w:t>
      </w:r>
      <w:r>
        <w:rPr>
          <w:color w:val="262626" w:themeColor="text1" w:themeTint="D9"/>
          <w:lang w:val="sr-Cyrl-CS"/>
        </w:rPr>
        <w:t>različitog</w:t>
      </w:r>
      <w:r w:rsidR="00A278FF" w:rsidRPr="00E95BC4">
        <w:rPr>
          <w:color w:val="262626" w:themeColor="text1" w:themeTint="D9"/>
          <w:lang w:val="sr-Cyrl-CS"/>
        </w:rPr>
        <w:t xml:space="preserve"> </w:t>
      </w:r>
      <w:r>
        <w:rPr>
          <w:color w:val="262626" w:themeColor="text1" w:themeTint="D9"/>
          <w:lang w:val="sr-Cyrl-CS"/>
        </w:rPr>
        <w:t>nivoa</w:t>
      </w:r>
      <w:r w:rsidR="00A278FF" w:rsidRPr="00E95BC4">
        <w:rPr>
          <w:color w:val="262626" w:themeColor="text1" w:themeTint="D9"/>
          <w:lang w:val="sr-Cyrl-CS"/>
        </w:rPr>
        <w:t xml:space="preserve"> </w:t>
      </w:r>
      <w:r>
        <w:rPr>
          <w:color w:val="262626" w:themeColor="text1" w:themeTint="D9"/>
          <w:lang w:val="sr-Cyrl-CS"/>
        </w:rPr>
        <w:t>opštosti</w:t>
      </w:r>
      <w:r w:rsidR="00A278FF" w:rsidRPr="00E95BC4">
        <w:rPr>
          <w:color w:val="262626" w:themeColor="text1" w:themeTint="D9"/>
          <w:lang w:val="sr-Cyrl-CS"/>
        </w:rPr>
        <w:t xml:space="preserve"> – </w:t>
      </w:r>
      <w:r>
        <w:rPr>
          <w:color w:val="262626" w:themeColor="text1" w:themeTint="D9"/>
          <w:lang w:val="sr-Cyrl-CS"/>
        </w:rPr>
        <w:t>od</w:t>
      </w:r>
      <w:r w:rsidR="00A278FF" w:rsidRPr="00E95BC4">
        <w:rPr>
          <w:color w:val="262626" w:themeColor="text1" w:themeTint="D9"/>
          <w:lang w:val="sr-Cyrl-CS"/>
        </w:rPr>
        <w:t xml:space="preserve"> </w:t>
      </w:r>
      <w:r>
        <w:rPr>
          <w:color w:val="262626" w:themeColor="text1" w:themeTint="D9"/>
          <w:lang w:val="sr-Cyrl-CS"/>
        </w:rPr>
        <w:t>donošenja</w:t>
      </w:r>
      <w:r w:rsidR="00A278FF" w:rsidRPr="00E95BC4">
        <w:rPr>
          <w:color w:val="262626" w:themeColor="text1" w:themeTint="D9"/>
          <w:lang w:val="sr-Cyrl-CS"/>
        </w:rPr>
        <w:t xml:space="preserve"> </w:t>
      </w:r>
      <w:r>
        <w:rPr>
          <w:color w:val="262626" w:themeColor="text1" w:themeTint="D9"/>
          <w:lang w:val="sr-Cyrl-CS"/>
        </w:rPr>
        <w:lastRenderedPageBreak/>
        <w:t>propisa</w:t>
      </w:r>
      <w:r w:rsidR="00A278FF" w:rsidRPr="00E95BC4">
        <w:rPr>
          <w:color w:val="262626" w:themeColor="text1" w:themeTint="D9"/>
          <w:lang w:val="sr-Cyrl-CS"/>
        </w:rPr>
        <w:t xml:space="preserve"> </w:t>
      </w:r>
      <w:r>
        <w:rPr>
          <w:color w:val="262626" w:themeColor="text1" w:themeTint="D9"/>
          <w:lang w:val="sr-Cyrl-CS"/>
        </w:rPr>
        <w:t>do</w:t>
      </w:r>
      <w:r w:rsidR="00A278FF" w:rsidRPr="00E95BC4">
        <w:rPr>
          <w:color w:val="262626" w:themeColor="text1" w:themeTint="D9"/>
          <w:lang w:val="sr-Cyrl-CS"/>
        </w:rPr>
        <w:t xml:space="preserve"> </w:t>
      </w:r>
      <w:r>
        <w:rPr>
          <w:color w:val="262626" w:themeColor="text1" w:themeTint="D9"/>
          <w:lang w:val="sr-Cyrl-CS"/>
        </w:rPr>
        <w:t>izrade</w:t>
      </w:r>
      <w:r w:rsidR="00A278FF" w:rsidRPr="00E95BC4">
        <w:rPr>
          <w:color w:val="262626" w:themeColor="text1" w:themeTint="D9"/>
          <w:lang w:val="sr-Cyrl-CS"/>
        </w:rPr>
        <w:t xml:space="preserve"> </w:t>
      </w:r>
      <w:r>
        <w:rPr>
          <w:color w:val="262626" w:themeColor="text1" w:themeTint="D9"/>
          <w:lang w:val="sr-Cyrl-CS"/>
        </w:rPr>
        <w:t>zbirki</w:t>
      </w:r>
      <w:r w:rsidR="00A278FF" w:rsidRPr="00E95BC4">
        <w:rPr>
          <w:color w:val="262626" w:themeColor="text1" w:themeTint="D9"/>
          <w:lang w:val="sr-Cyrl-CS"/>
        </w:rPr>
        <w:t xml:space="preserve"> </w:t>
      </w:r>
      <w:r>
        <w:rPr>
          <w:color w:val="262626" w:themeColor="text1" w:themeTint="D9"/>
          <w:lang w:val="sr-Cyrl-CS"/>
        </w:rPr>
        <w:t>tekstova</w:t>
      </w:r>
      <w:r w:rsidR="00A278FF" w:rsidRPr="00E95BC4">
        <w:rPr>
          <w:color w:val="262626" w:themeColor="text1" w:themeTint="D9"/>
          <w:lang w:val="sr-Cyrl-CS"/>
        </w:rPr>
        <w:t xml:space="preserve"> – </w:t>
      </w:r>
      <w:r>
        <w:rPr>
          <w:color w:val="262626" w:themeColor="text1" w:themeTint="D9"/>
          <w:lang w:val="sr-Cyrl-CS"/>
        </w:rPr>
        <w:t>u</w:t>
      </w:r>
      <w:r w:rsidR="00A278FF" w:rsidRPr="00E95BC4">
        <w:rPr>
          <w:color w:val="262626" w:themeColor="text1" w:themeTint="D9"/>
          <w:lang w:val="sr-Cyrl-CS"/>
        </w:rPr>
        <w:t xml:space="preserve"> </w:t>
      </w:r>
      <w:r>
        <w:rPr>
          <w:color w:val="262626" w:themeColor="text1" w:themeTint="D9"/>
          <w:lang w:val="sr-Cyrl-CS"/>
        </w:rPr>
        <w:t>potpunosti</w:t>
      </w:r>
      <w:r w:rsidR="00A278FF" w:rsidRPr="00E95BC4">
        <w:rPr>
          <w:color w:val="262626" w:themeColor="text1" w:themeTint="D9"/>
          <w:lang w:val="sr-Cyrl-CS"/>
        </w:rPr>
        <w:t xml:space="preserve"> je </w:t>
      </w:r>
      <w:r>
        <w:rPr>
          <w:color w:val="262626" w:themeColor="text1" w:themeTint="D9"/>
          <w:lang w:val="sr-Cyrl-CS"/>
        </w:rPr>
        <w:t>ispunjeno</w:t>
      </w:r>
      <w:r w:rsidR="0073479B" w:rsidRPr="00E95BC4">
        <w:rPr>
          <w:color w:val="262626" w:themeColor="text1" w:themeTint="D9"/>
          <w:lang w:val="sr-Cyrl-CS"/>
        </w:rPr>
        <w:t>,</w:t>
      </w:r>
      <w:r w:rsidR="00A278FF" w:rsidRPr="00E95BC4">
        <w:rPr>
          <w:color w:val="262626" w:themeColor="text1" w:themeTint="D9"/>
          <w:lang w:val="sr-Cyrl-CS"/>
        </w:rPr>
        <w:t xml:space="preserve"> </w:t>
      </w:r>
      <w:r>
        <w:rPr>
          <w:color w:val="262626" w:themeColor="text1" w:themeTint="D9"/>
          <w:lang w:val="sr-Cyrl-CS"/>
        </w:rPr>
        <w:t>odnosno</w:t>
      </w:r>
      <w:r w:rsidR="00A278FF" w:rsidRPr="00E95BC4">
        <w:rPr>
          <w:color w:val="262626" w:themeColor="text1" w:themeTint="D9"/>
          <w:lang w:val="sr-Cyrl-CS"/>
        </w:rPr>
        <w:t xml:space="preserve"> </w:t>
      </w:r>
      <w:r>
        <w:rPr>
          <w:color w:val="262626" w:themeColor="text1" w:themeTint="D9"/>
          <w:lang w:val="sr-Cyrl-CS"/>
        </w:rPr>
        <w:t>kontinuirano</w:t>
      </w:r>
      <w:r w:rsidR="00A278FF" w:rsidRPr="00E95BC4">
        <w:rPr>
          <w:color w:val="262626" w:themeColor="text1" w:themeTint="D9"/>
          <w:lang w:val="sr-Cyrl-CS"/>
        </w:rPr>
        <w:t xml:space="preserve"> </w:t>
      </w:r>
      <w:r>
        <w:rPr>
          <w:color w:val="262626" w:themeColor="text1" w:themeTint="D9"/>
          <w:lang w:val="sr-Cyrl-CS"/>
        </w:rPr>
        <w:t>se</w:t>
      </w:r>
      <w:r w:rsidR="00A278FF" w:rsidRPr="00E95BC4">
        <w:rPr>
          <w:color w:val="262626" w:themeColor="text1" w:themeTint="D9"/>
          <w:lang w:val="sr-Cyrl-CS"/>
        </w:rPr>
        <w:t xml:space="preserve"> </w:t>
      </w:r>
      <w:r>
        <w:rPr>
          <w:color w:val="262626" w:themeColor="text1" w:themeTint="D9"/>
          <w:lang w:val="sr-Cyrl-CS"/>
        </w:rPr>
        <w:t>sprovodi</w:t>
      </w:r>
      <w:r w:rsidR="00A278FF" w:rsidRPr="00E95BC4">
        <w:rPr>
          <w:color w:val="262626" w:themeColor="text1" w:themeTint="D9"/>
          <w:lang w:val="sr-Cyrl-CS"/>
        </w:rPr>
        <w:t xml:space="preserve"> 87 (80%), </w:t>
      </w:r>
      <w:r>
        <w:rPr>
          <w:color w:val="262626" w:themeColor="text1" w:themeTint="D9"/>
          <w:lang w:val="sr-Cyrl-CS"/>
        </w:rPr>
        <w:t>delimično</w:t>
      </w:r>
      <w:r w:rsidR="00A278FF" w:rsidRPr="00E95BC4">
        <w:rPr>
          <w:color w:val="262626" w:themeColor="text1" w:themeTint="D9"/>
          <w:lang w:val="sr-Cyrl-CS"/>
        </w:rPr>
        <w:t xml:space="preserve"> </w:t>
      </w:r>
      <w:r>
        <w:rPr>
          <w:color w:val="262626" w:themeColor="text1" w:themeTint="D9"/>
          <w:lang w:val="sr-Cyrl-CS"/>
        </w:rPr>
        <w:t>je</w:t>
      </w:r>
      <w:r w:rsidR="00A278FF" w:rsidRPr="00E95BC4">
        <w:rPr>
          <w:color w:val="262626" w:themeColor="text1" w:themeTint="D9"/>
          <w:lang w:val="sr-Cyrl-CS"/>
        </w:rPr>
        <w:t xml:space="preserve"> </w:t>
      </w:r>
      <w:r>
        <w:rPr>
          <w:color w:val="262626" w:themeColor="text1" w:themeTint="D9"/>
          <w:lang w:val="sr-Cyrl-CS"/>
        </w:rPr>
        <w:t>ispunjeno</w:t>
      </w:r>
      <w:r w:rsidR="00A278FF" w:rsidRPr="00E95BC4">
        <w:rPr>
          <w:color w:val="262626" w:themeColor="text1" w:themeTint="D9"/>
          <w:lang w:val="sr-Cyrl-CS"/>
        </w:rPr>
        <w:t xml:space="preserve"> 12 (11%) </w:t>
      </w:r>
      <w:r>
        <w:rPr>
          <w:color w:val="262626" w:themeColor="text1" w:themeTint="D9"/>
          <w:lang w:val="sr-Cyrl-CS"/>
        </w:rPr>
        <w:t>aktivnosti</w:t>
      </w:r>
      <w:r w:rsidR="00A278FF" w:rsidRPr="00E95BC4">
        <w:rPr>
          <w:color w:val="262626" w:themeColor="text1" w:themeTint="D9"/>
          <w:lang w:val="sr-Cyrl-CS"/>
        </w:rPr>
        <w:t xml:space="preserve">, </w:t>
      </w:r>
      <w:r>
        <w:rPr>
          <w:color w:val="262626" w:themeColor="text1" w:themeTint="D9"/>
          <w:lang w:val="sr-Cyrl-CS"/>
        </w:rPr>
        <w:t>a</w:t>
      </w:r>
      <w:r w:rsidR="00A278FF" w:rsidRPr="00E95BC4">
        <w:rPr>
          <w:color w:val="262626" w:themeColor="text1" w:themeTint="D9"/>
          <w:lang w:val="sr-Cyrl-CS"/>
        </w:rPr>
        <w:t xml:space="preserve"> </w:t>
      </w:r>
      <w:r>
        <w:rPr>
          <w:color w:val="262626" w:themeColor="text1" w:themeTint="D9"/>
          <w:lang w:val="sr-Cyrl-CS"/>
        </w:rPr>
        <w:t>neispunjenih</w:t>
      </w:r>
      <w:r w:rsidR="00A278FF" w:rsidRPr="00E95BC4">
        <w:rPr>
          <w:color w:val="262626" w:themeColor="text1" w:themeTint="D9"/>
          <w:lang w:val="sr-Cyrl-CS"/>
        </w:rPr>
        <w:t xml:space="preserve"> 10 (9%).</w:t>
      </w:r>
    </w:p>
    <w:p w:rsidR="00A278FF" w:rsidRPr="00E95BC4" w:rsidRDefault="00A278FF" w:rsidP="00285FD7">
      <w:pPr>
        <w:rPr>
          <w:color w:val="262626" w:themeColor="text1" w:themeTint="D9"/>
          <w:lang w:val="sr-Cyrl-CS"/>
        </w:rPr>
      </w:pPr>
    </w:p>
    <w:p w:rsidR="00A278FF" w:rsidRPr="00E95BC4" w:rsidRDefault="00A278FF" w:rsidP="00285FD7">
      <w:pPr>
        <w:jc w:val="center"/>
        <w:rPr>
          <w:noProof/>
          <w:color w:val="262626" w:themeColor="text1" w:themeTint="D9"/>
          <w:lang w:val="sr-Cyrl-CS"/>
        </w:rPr>
      </w:pPr>
      <w:r w:rsidRPr="00E95BC4">
        <w:rPr>
          <w:noProof/>
          <w:color w:val="262626" w:themeColor="text1" w:themeTint="D9"/>
        </w:rPr>
        <w:drawing>
          <wp:inline distT="0" distB="0" distL="0" distR="0">
            <wp:extent cx="3564031" cy="2514600"/>
            <wp:effectExtent l="0" t="0" r="0" b="0"/>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278FF" w:rsidRPr="00E95BC4" w:rsidRDefault="005818C0" w:rsidP="00285FD7">
      <w:pPr>
        <w:ind w:firstLine="720"/>
        <w:jc w:val="both"/>
        <w:rPr>
          <w:color w:val="262626" w:themeColor="text1" w:themeTint="D9"/>
          <w:lang w:val="sr-Cyrl-CS"/>
        </w:rPr>
      </w:pPr>
      <w:r>
        <w:rPr>
          <w:color w:val="262626" w:themeColor="text1" w:themeTint="D9"/>
          <w:lang w:val="sr-Cyrl-CS"/>
        </w:rPr>
        <w:t>Razvoj</w:t>
      </w:r>
      <w:r w:rsidR="00A278FF" w:rsidRPr="00E95BC4">
        <w:rPr>
          <w:color w:val="262626" w:themeColor="text1" w:themeTint="D9"/>
          <w:lang w:val="sr-Cyrl-CS"/>
        </w:rPr>
        <w:t xml:space="preserve"> </w:t>
      </w:r>
      <w:r>
        <w:rPr>
          <w:color w:val="262626" w:themeColor="text1" w:themeTint="D9"/>
          <w:lang w:val="sr-Cyrl-CS"/>
        </w:rPr>
        <w:t>sistema</w:t>
      </w:r>
      <w:r w:rsidR="00A278FF" w:rsidRPr="00E95BC4">
        <w:rPr>
          <w:color w:val="262626" w:themeColor="text1" w:themeTint="D9"/>
          <w:lang w:val="sr-Cyrl-CS"/>
        </w:rPr>
        <w:t xml:space="preserve"> </w:t>
      </w:r>
      <w:r>
        <w:rPr>
          <w:color w:val="262626" w:themeColor="text1" w:themeTint="D9"/>
          <w:lang w:val="sr-Cyrl-CS"/>
        </w:rPr>
        <w:t>naročito</w:t>
      </w:r>
      <w:r w:rsidR="00A278FF" w:rsidRPr="00E95BC4">
        <w:rPr>
          <w:color w:val="262626" w:themeColor="text1" w:themeTint="D9"/>
          <w:lang w:val="sr-Cyrl-CS"/>
        </w:rPr>
        <w:t xml:space="preserve"> </w:t>
      </w:r>
      <w:r>
        <w:rPr>
          <w:color w:val="262626" w:themeColor="text1" w:themeTint="D9"/>
          <w:lang w:val="sr-Cyrl-CS"/>
        </w:rPr>
        <w:t>od</w:t>
      </w:r>
      <w:r w:rsidR="00A278FF" w:rsidRPr="00E95BC4">
        <w:rPr>
          <w:color w:val="262626" w:themeColor="text1" w:themeTint="D9"/>
          <w:lang w:val="sr-Cyrl-CS"/>
        </w:rPr>
        <w:t xml:space="preserve"> </w:t>
      </w:r>
      <w:r>
        <w:rPr>
          <w:color w:val="262626" w:themeColor="text1" w:themeTint="D9"/>
          <w:lang w:val="sr-Cyrl-CS"/>
        </w:rPr>
        <w:t>početka</w:t>
      </w:r>
      <w:r w:rsidR="00A278FF" w:rsidRPr="00E95BC4">
        <w:rPr>
          <w:color w:val="262626" w:themeColor="text1" w:themeTint="D9"/>
          <w:lang w:val="sr-Cyrl-CS"/>
        </w:rPr>
        <w:t xml:space="preserve"> 2018.</w:t>
      </w:r>
      <w:r w:rsidR="001E55D5" w:rsidRPr="00E95BC4">
        <w:rPr>
          <w:color w:val="262626" w:themeColor="text1" w:themeTint="D9"/>
          <w:lang w:val="sr-Cyrl-CS"/>
        </w:rPr>
        <w:t xml:space="preserve"> </w:t>
      </w:r>
      <w:r>
        <w:rPr>
          <w:color w:val="262626" w:themeColor="text1" w:themeTint="D9"/>
          <w:lang w:val="sr-Cyrl-CS"/>
        </w:rPr>
        <w:t>godine</w:t>
      </w:r>
      <w:r w:rsidR="00A278FF" w:rsidRPr="00E95BC4">
        <w:rPr>
          <w:color w:val="262626" w:themeColor="text1" w:themeTint="D9"/>
          <w:lang w:val="sr-Cyrl-CS"/>
        </w:rPr>
        <w:t xml:space="preserve"> (</w:t>
      </w:r>
      <w:r>
        <w:rPr>
          <w:color w:val="262626" w:themeColor="text1" w:themeTint="D9"/>
          <w:lang w:val="sr-Cyrl-CS"/>
        </w:rPr>
        <w:t>početak</w:t>
      </w:r>
      <w:r w:rsidR="00A278FF" w:rsidRPr="00E95BC4">
        <w:rPr>
          <w:color w:val="262626" w:themeColor="text1" w:themeTint="D9"/>
          <w:lang w:val="sr-Cyrl-CS"/>
        </w:rPr>
        <w:t xml:space="preserve"> </w:t>
      </w:r>
      <w:r>
        <w:rPr>
          <w:color w:val="262626" w:themeColor="text1" w:themeTint="D9"/>
          <w:lang w:val="sr-Cyrl-CS"/>
        </w:rPr>
        <w:t>četvrte</w:t>
      </w:r>
      <w:r w:rsidR="00A278FF" w:rsidRPr="00E95BC4">
        <w:rPr>
          <w:color w:val="262626" w:themeColor="text1" w:themeTint="D9"/>
          <w:lang w:val="sr-Cyrl-CS"/>
        </w:rPr>
        <w:t xml:space="preserve"> </w:t>
      </w:r>
      <w:r>
        <w:rPr>
          <w:color w:val="262626" w:themeColor="text1" w:themeTint="D9"/>
          <w:lang w:val="sr-Cyrl-CS"/>
        </w:rPr>
        <w:t>godine</w:t>
      </w:r>
      <w:r w:rsidR="00A278FF" w:rsidRPr="00E95BC4">
        <w:rPr>
          <w:color w:val="262626" w:themeColor="text1" w:themeTint="D9"/>
          <w:lang w:val="sr-Cyrl-CS"/>
        </w:rPr>
        <w:t xml:space="preserve"> </w:t>
      </w:r>
      <w:r>
        <w:rPr>
          <w:color w:val="262626" w:themeColor="text1" w:themeTint="D9"/>
          <w:lang w:val="sr-Cyrl-CS"/>
        </w:rPr>
        <w:t>implementacije</w:t>
      </w:r>
      <w:r w:rsidR="00A278FF" w:rsidRPr="00E95BC4">
        <w:rPr>
          <w:color w:val="262626" w:themeColor="text1" w:themeTint="D9"/>
          <w:lang w:val="sr-Cyrl-CS"/>
        </w:rPr>
        <w:t xml:space="preserve"> </w:t>
      </w:r>
      <w:r>
        <w:rPr>
          <w:color w:val="262626" w:themeColor="text1" w:themeTint="D9"/>
          <w:lang w:val="sr-Cyrl-CS"/>
        </w:rPr>
        <w:t>Nacionalne</w:t>
      </w:r>
      <w:r w:rsidR="00A278FF" w:rsidRPr="00E95BC4">
        <w:rPr>
          <w:color w:val="262626" w:themeColor="text1" w:themeTint="D9"/>
          <w:lang w:val="sr-Cyrl-CS"/>
        </w:rPr>
        <w:t xml:space="preserve"> </w:t>
      </w:r>
      <w:r>
        <w:rPr>
          <w:color w:val="262626" w:themeColor="text1" w:themeTint="D9"/>
          <w:lang w:val="sr-Cyrl-CS"/>
        </w:rPr>
        <w:t>strategije</w:t>
      </w:r>
      <w:r w:rsidR="001B2820" w:rsidRPr="00E95BC4">
        <w:rPr>
          <w:color w:val="262626" w:themeColor="text1" w:themeTint="D9"/>
          <w:lang w:val="sr-Cyrl-CS"/>
        </w:rPr>
        <w:t xml:space="preserve"> 2014-2019</w:t>
      </w:r>
      <w:r w:rsidR="00A278FF" w:rsidRPr="00E95BC4">
        <w:rPr>
          <w:color w:val="262626" w:themeColor="text1" w:themeTint="D9"/>
          <w:lang w:val="sr-Cyrl-CS"/>
        </w:rPr>
        <w:t xml:space="preserve">) </w:t>
      </w:r>
      <w:r>
        <w:rPr>
          <w:color w:val="262626" w:themeColor="text1" w:themeTint="D9"/>
          <w:lang w:val="sr-Cyrl-CS"/>
        </w:rPr>
        <w:t>išao</w:t>
      </w:r>
      <w:r w:rsidR="00A278FF" w:rsidRPr="00E95BC4">
        <w:rPr>
          <w:color w:val="262626" w:themeColor="text1" w:themeTint="D9"/>
          <w:lang w:val="sr-Cyrl-CS"/>
        </w:rPr>
        <w:t xml:space="preserve"> </w:t>
      </w:r>
      <w:r>
        <w:rPr>
          <w:color w:val="262626" w:themeColor="text1" w:themeTint="D9"/>
          <w:lang w:val="sr-Cyrl-CS"/>
        </w:rPr>
        <w:t>je</w:t>
      </w:r>
      <w:r w:rsidR="00A278FF" w:rsidRPr="00E95BC4">
        <w:rPr>
          <w:color w:val="262626" w:themeColor="text1" w:themeTint="D9"/>
          <w:lang w:val="sr-Cyrl-CS"/>
        </w:rPr>
        <w:t xml:space="preserve"> </w:t>
      </w:r>
      <w:r>
        <w:rPr>
          <w:color w:val="262626" w:themeColor="text1" w:themeTint="D9"/>
          <w:lang w:val="sr-Cyrl-CS"/>
        </w:rPr>
        <w:t>ubrzanim</w:t>
      </w:r>
      <w:r w:rsidR="00A278FF" w:rsidRPr="00E95BC4">
        <w:rPr>
          <w:color w:val="262626" w:themeColor="text1" w:themeTint="D9"/>
          <w:lang w:val="sr-Cyrl-CS"/>
        </w:rPr>
        <w:t xml:space="preserve"> </w:t>
      </w:r>
      <w:r>
        <w:rPr>
          <w:color w:val="262626" w:themeColor="text1" w:themeTint="D9"/>
          <w:lang w:val="sr-Cyrl-CS"/>
        </w:rPr>
        <w:t>koracima</w:t>
      </w:r>
      <w:r w:rsidR="00A278FF" w:rsidRPr="00E95BC4">
        <w:rPr>
          <w:color w:val="262626" w:themeColor="text1" w:themeTint="D9"/>
          <w:lang w:val="sr-Cyrl-CS"/>
        </w:rPr>
        <w:t xml:space="preserve"> </w:t>
      </w:r>
      <w:r>
        <w:rPr>
          <w:color w:val="262626" w:themeColor="text1" w:themeTint="D9"/>
          <w:lang w:val="sr-Cyrl-CS"/>
        </w:rPr>
        <w:t>i</w:t>
      </w:r>
      <w:r w:rsidR="00A278FF" w:rsidRPr="00E95BC4">
        <w:rPr>
          <w:color w:val="262626" w:themeColor="text1" w:themeTint="D9"/>
          <w:lang w:val="sr-Cyrl-CS"/>
        </w:rPr>
        <w:t xml:space="preserve"> </w:t>
      </w:r>
      <w:r>
        <w:rPr>
          <w:color w:val="262626" w:themeColor="text1" w:themeTint="D9"/>
          <w:lang w:val="sr-Cyrl-CS"/>
        </w:rPr>
        <w:t>u</w:t>
      </w:r>
      <w:r w:rsidR="00A278FF" w:rsidRPr="00E95BC4">
        <w:rPr>
          <w:color w:val="262626" w:themeColor="text1" w:themeTint="D9"/>
          <w:lang w:val="sr-Cyrl-CS"/>
        </w:rPr>
        <w:t xml:space="preserve"> </w:t>
      </w:r>
      <w:r>
        <w:rPr>
          <w:color w:val="262626" w:themeColor="text1" w:themeTint="D9"/>
          <w:lang w:val="sr-Cyrl-CS"/>
        </w:rPr>
        <w:t>mnogim</w:t>
      </w:r>
      <w:r w:rsidR="00A278FF" w:rsidRPr="00E95BC4">
        <w:rPr>
          <w:color w:val="262626" w:themeColor="text1" w:themeTint="D9"/>
          <w:lang w:val="sr-Cyrl-CS"/>
        </w:rPr>
        <w:t xml:space="preserve"> </w:t>
      </w:r>
      <w:r>
        <w:rPr>
          <w:color w:val="262626" w:themeColor="text1" w:themeTint="D9"/>
          <w:lang w:val="sr-Cyrl-CS"/>
        </w:rPr>
        <w:t>oblastima</w:t>
      </w:r>
      <w:r w:rsidR="00A278FF" w:rsidRPr="00E95BC4">
        <w:rPr>
          <w:color w:val="262626" w:themeColor="text1" w:themeTint="D9"/>
          <w:lang w:val="sr-Cyrl-CS"/>
        </w:rPr>
        <w:t xml:space="preserve"> </w:t>
      </w:r>
      <w:r>
        <w:rPr>
          <w:color w:val="262626" w:themeColor="text1" w:themeTint="D9"/>
          <w:lang w:val="sr-Cyrl-CS"/>
        </w:rPr>
        <w:t>postigao</w:t>
      </w:r>
      <w:r w:rsidR="00864EB1" w:rsidRPr="00E95BC4">
        <w:rPr>
          <w:color w:val="262626" w:themeColor="text1" w:themeTint="D9"/>
          <w:lang w:val="sr-Cyrl-CS"/>
        </w:rPr>
        <w:t xml:space="preserve"> </w:t>
      </w:r>
      <w:r>
        <w:rPr>
          <w:color w:val="262626" w:themeColor="text1" w:themeTint="D9"/>
          <w:lang w:val="sr-Cyrl-CS"/>
        </w:rPr>
        <w:t>više</w:t>
      </w:r>
      <w:r w:rsidR="00864EB1" w:rsidRPr="00E95BC4">
        <w:rPr>
          <w:color w:val="262626" w:themeColor="text1" w:themeTint="D9"/>
          <w:lang w:val="sr-Cyrl-CS"/>
        </w:rPr>
        <w:t xml:space="preserve"> </w:t>
      </w:r>
      <w:r>
        <w:rPr>
          <w:color w:val="262626" w:themeColor="text1" w:themeTint="D9"/>
          <w:lang w:val="sr-Cyrl-CS"/>
        </w:rPr>
        <w:t>nego</w:t>
      </w:r>
      <w:r w:rsidR="00864EB1" w:rsidRPr="00E95BC4">
        <w:rPr>
          <w:color w:val="262626" w:themeColor="text1" w:themeTint="D9"/>
          <w:lang w:val="sr-Cyrl-CS"/>
        </w:rPr>
        <w:t xml:space="preserve"> </w:t>
      </w:r>
      <w:r>
        <w:rPr>
          <w:color w:val="262626" w:themeColor="text1" w:themeTint="D9"/>
          <w:lang w:val="sr-Cyrl-CS"/>
        </w:rPr>
        <w:t>što</w:t>
      </w:r>
      <w:r w:rsidR="00864EB1" w:rsidRPr="00E95BC4">
        <w:rPr>
          <w:color w:val="262626" w:themeColor="text1" w:themeTint="D9"/>
          <w:lang w:val="sr-Cyrl-CS"/>
        </w:rPr>
        <w:t xml:space="preserve"> </w:t>
      </w:r>
      <w:r>
        <w:rPr>
          <w:color w:val="262626" w:themeColor="text1" w:themeTint="D9"/>
          <w:lang w:val="sr-Cyrl-CS"/>
        </w:rPr>
        <w:t>su</w:t>
      </w:r>
      <w:r w:rsidR="00864EB1" w:rsidRPr="00E95BC4">
        <w:rPr>
          <w:color w:val="262626" w:themeColor="text1" w:themeTint="D9"/>
          <w:lang w:val="sr-Cyrl-CS"/>
        </w:rPr>
        <w:t xml:space="preserve"> </w:t>
      </w:r>
      <w:r>
        <w:rPr>
          <w:color w:val="262626" w:themeColor="text1" w:themeTint="D9"/>
          <w:lang w:val="sr-Cyrl-CS"/>
        </w:rPr>
        <w:t>to</w:t>
      </w:r>
      <w:r w:rsidR="00864EB1" w:rsidRPr="00E95BC4">
        <w:rPr>
          <w:color w:val="262626" w:themeColor="text1" w:themeTint="D9"/>
          <w:lang w:val="sr-Cyrl-CS"/>
        </w:rPr>
        <w:t xml:space="preserve"> </w:t>
      </w:r>
      <w:r>
        <w:rPr>
          <w:color w:val="262626" w:themeColor="text1" w:themeTint="D9"/>
          <w:lang w:val="sr-Cyrl-CS"/>
        </w:rPr>
        <w:t>predviđale</w:t>
      </w:r>
      <w:r w:rsidR="00864EB1" w:rsidRPr="00E95BC4">
        <w:rPr>
          <w:color w:val="262626" w:themeColor="text1" w:themeTint="D9"/>
          <w:lang w:val="sr-Cyrl-CS"/>
        </w:rPr>
        <w:t xml:space="preserve"> </w:t>
      </w:r>
      <w:r>
        <w:rPr>
          <w:color w:val="262626" w:themeColor="text1" w:themeTint="D9"/>
          <w:lang w:val="sr-Cyrl-CS"/>
        </w:rPr>
        <w:t>mere</w:t>
      </w:r>
      <w:r w:rsidR="00864EB1" w:rsidRPr="00E95BC4">
        <w:rPr>
          <w:color w:val="262626" w:themeColor="text1" w:themeTint="D9"/>
          <w:lang w:val="sr-Cyrl-CS"/>
        </w:rPr>
        <w:t xml:space="preserve"> </w:t>
      </w:r>
      <w:r>
        <w:rPr>
          <w:color w:val="262626" w:themeColor="text1" w:themeTint="D9"/>
          <w:lang w:val="sr-Cyrl-CS"/>
        </w:rPr>
        <w:t>Nacionalne</w:t>
      </w:r>
      <w:r w:rsidR="00A278FF" w:rsidRPr="00E95BC4">
        <w:rPr>
          <w:color w:val="262626" w:themeColor="text1" w:themeTint="D9"/>
          <w:lang w:val="sr-Cyrl-CS"/>
        </w:rPr>
        <w:t xml:space="preserve"> </w:t>
      </w:r>
      <w:r>
        <w:rPr>
          <w:color w:val="262626" w:themeColor="text1" w:themeTint="D9"/>
          <w:lang w:val="sr-Cyrl-CS"/>
        </w:rPr>
        <w:t>strategije</w:t>
      </w:r>
      <w:r w:rsidR="00864EB1" w:rsidRPr="00E95BC4">
        <w:rPr>
          <w:color w:val="262626" w:themeColor="text1" w:themeTint="D9"/>
          <w:lang w:val="sr-Cyrl-CS"/>
        </w:rPr>
        <w:t xml:space="preserve"> </w:t>
      </w:r>
      <w:r>
        <w:rPr>
          <w:color w:val="262626" w:themeColor="text1" w:themeTint="D9"/>
          <w:lang w:val="sr-Cyrl-CS"/>
        </w:rPr>
        <w:t>i</w:t>
      </w:r>
      <w:r w:rsidR="00864EB1" w:rsidRPr="00E95BC4">
        <w:rPr>
          <w:color w:val="262626" w:themeColor="text1" w:themeTint="D9"/>
          <w:lang w:val="sr-Cyrl-CS"/>
        </w:rPr>
        <w:t xml:space="preserve"> </w:t>
      </w:r>
      <w:r>
        <w:rPr>
          <w:color w:val="262626" w:themeColor="text1" w:themeTint="D9"/>
          <w:lang w:val="sr-Cyrl-CS"/>
        </w:rPr>
        <w:t>bio</w:t>
      </w:r>
      <w:r w:rsidR="00864EB1" w:rsidRPr="00E95BC4">
        <w:rPr>
          <w:color w:val="262626" w:themeColor="text1" w:themeTint="D9"/>
          <w:lang w:val="sr-Cyrl-CS"/>
        </w:rPr>
        <w:t xml:space="preserve"> </w:t>
      </w:r>
      <w:r>
        <w:rPr>
          <w:color w:val="262626" w:themeColor="text1" w:themeTint="D9"/>
          <w:lang w:val="sr-Cyrl-CS"/>
        </w:rPr>
        <w:t>u</w:t>
      </w:r>
      <w:r w:rsidR="00864EB1" w:rsidRPr="00E95BC4">
        <w:rPr>
          <w:color w:val="262626" w:themeColor="text1" w:themeTint="D9"/>
          <w:lang w:val="sr-Cyrl-CS"/>
        </w:rPr>
        <w:t xml:space="preserve"> </w:t>
      </w:r>
      <w:r>
        <w:rPr>
          <w:color w:val="262626" w:themeColor="text1" w:themeTint="D9"/>
          <w:lang w:val="sr-Cyrl-CS"/>
        </w:rPr>
        <w:t>funkciji</w:t>
      </w:r>
      <w:r w:rsidR="00864EB1" w:rsidRPr="00E95BC4">
        <w:rPr>
          <w:color w:val="262626" w:themeColor="text1" w:themeTint="D9"/>
          <w:lang w:val="sr-Cyrl-CS"/>
        </w:rPr>
        <w:t xml:space="preserve"> </w:t>
      </w:r>
      <w:r>
        <w:rPr>
          <w:color w:val="262626" w:themeColor="text1" w:themeTint="D9"/>
          <w:lang w:val="sr-Cyrl-CS"/>
        </w:rPr>
        <w:t>ostvarenja</w:t>
      </w:r>
      <w:r w:rsidR="00864EB1" w:rsidRPr="00E95BC4">
        <w:rPr>
          <w:color w:val="262626" w:themeColor="text1" w:themeTint="D9"/>
          <w:lang w:val="sr-Cyrl-CS"/>
        </w:rPr>
        <w:t xml:space="preserve"> </w:t>
      </w:r>
      <w:r>
        <w:rPr>
          <w:color w:val="262626" w:themeColor="text1" w:themeTint="D9"/>
          <w:lang w:val="sr-Cyrl-CS"/>
        </w:rPr>
        <w:t>opšteg</w:t>
      </w:r>
      <w:r w:rsidR="00864EB1" w:rsidRPr="00E95BC4">
        <w:rPr>
          <w:color w:val="262626" w:themeColor="text1" w:themeTint="D9"/>
          <w:lang w:val="sr-Cyrl-CS"/>
        </w:rPr>
        <w:t xml:space="preserve"> </w:t>
      </w:r>
      <w:r>
        <w:rPr>
          <w:color w:val="262626" w:themeColor="text1" w:themeTint="D9"/>
          <w:lang w:val="sr-Cyrl-CS"/>
        </w:rPr>
        <w:t>cilja</w:t>
      </w:r>
      <w:r w:rsidR="00864EB1" w:rsidRPr="00E95BC4">
        <w:rPr>
          <w:color w:val="262626" w:themeColor="text1" w:themeTint="D9"/>
          <w:lang w:val="sr-Cyrl-CS"/>
        </w:rPr>
        <w:t xml:space="preserve"> </w:t>
      </w:r>
      <w:r>
        <w:rPr>
          <w:color w:val="262626" w:themeColor="text1" w:themeTint="D9"/>
          <w:lang w:val="sr-Cyrl-CS"/>
        </w:rPr>
        <w:t>i</w:t>
      </w:r>
      <w:r w:rsidR="00864EB1" w:rsidRPr="00E95BC4">
        <w:rPr>
          <w:color w:val="262626" w:themeColor="text1" w:themeTint="D9"/>
          <w:lang w:val="sr-Cyrl-CS"/>
        </w:rPr>
        <w:t xml:space="preserve"> </w:t>
      </w:r>
      <w:r>
        <w:rPr>
          <w:color w:val="262626" w:themeColor="text1" w:themeTint="D9"/>
          <w:lang w:val="sr-Cyrl-CS"/>
        </w:rPr>
        <w:t>tema</w:t>
      </w:r>
      <w:r w:rsidR="00864EB1" w:rsidRPr="00E95BC4">
        <w:rPr>
          <w:color w:val="262626" w:themeColor="text1" w:themeTint="D9"/>
          <w:lang w:val="sr-Cyrl-CS"/>
        </w:rPr>
        <w:t xml:space="preserve"> </w:t>
      </w:r>
      <w:r>
        <w:rPr>
          <w:color w:val="262626" w:themeColor="text1" w:themeTint="D9"/>
          <w:lang w:val="sr-Cyrl-CS"/>
        </w:rPr>
        <w:t>te</w:t>
      </w:r>
      <w:r w:rsidR="00864EB1" w:rsidRPr="00E95BC4">
        <w:rPr>
          <w:color w:val="262626" w:themeColor="text1" w:themeTint="D9"/>
          <w:lang w:val="sr-Cyrl-CS"/>
        </w:rPr>
        <w:t xml:space="preserve"> </w:t>
      </w:r>
      <w:r>
        <w:rPr>
          <w:color w:val="262626" w:themeColor="text1" w:themeTint="D9"/>
          <w:lang w:val="sr-Cyrl-CS"/>
        </w:rPr>
        <w:t>strategije</w:t>
      </w:r>
      <w:r w:rsidR="00A278FF" w:rsidRPr="00E95BC4">
        <w:rPr>
          <w:color w:val="262626" w:themeColor="text1" w:themeTint="D9"/>
          <w:lang w:val="sr-Cyrl-CS"/>
        </w:rPr>
        <w:t xml:space="preserve"> (</w:t>
      </w:r>
      <w:r>
        <w:rPr>
          <w:color w:val="262626" w:themeColor="text1" w:themeTint="D9"/>
          <w:lang w:val="sr-Cyrl-CS"/>
        </w:rPr>
        <w:t>na</w:t>
      </w:r>
      <w:r w:rsidR="00A278FF" w:rsidRPr="00E95BC4">
        <w:rPr>
          <w:color w:val="262626" w:themeColor="text1" w:themeTint="D9"/>
          <w:lang w:val="sr-Cyrl-CS"/>
        </w:rPr>
        <w:t xml:space="preserve"> </w:t>
      </w:r>
      <w:r>
        <w:rPr>
          <w:color w:val="262626" w:themeColor="text1" w:themeTint="D9"/>
          <w:lang w:val="sr-Cyrl-CS"/>
        </w:rPr>
        <w:t>primer</w:t>
      </w:r>
      <w:r w:rsidR="00A278FF" w:rsidRPr="00E95BC4">
        <w:rPr>
          <w:color w:val="262626" w:themeColor="text1" w:themeTint="D9"/>
          <w:lang w:val="sr-Cyrl-CS"/>
        </w:rPr>
        <w:t xml:space="preserve">, </w:t>
      </w:r>
      <w:r>
        <w:rPr>
          <w:color w:val="262626" w:themeColor="text1" w:themeTint="D9"/>
          <w:lang w:val="sr-Cyrl-CS"/>
        </w:rPr>
        <w:t>donošenjem</w:t>
      </w:r>
      <w:r w:rsidR="00A278FF" w:rsidRPr="00E95BC4">
        <w:rPr>
          <w:color w:val="262626" w:themeColor="text1" w:themeTint="D9"/>
          <w:lang w:val="sr-Cyrl-CS"/>
        </w:rPr>
        <w:t xml:space="preserve"> </w:t>
      </w:r>
      <w:r>
        <w:rPr>
          <w:color w:val="262626" w:themeColor="text1" w:themeTint="D9"/>
          <w:lang w:val="sr-Cyrl-CS"/>
        </w:rPr>
        <w:t>novog</w:t>
      </w:r>
      <w:r w:rsidR="00A278FF" w:rsidRPr="00E95BC4">
        <w:rPr>
          <w:color w:val="262626" w:themeColor="text1" w:themeTint="D9"/>
          <w:lang w:val="sr-Cyrl-CS"/>
        </w:rPr>
        <w:t xml:space="preserve"> </w:t>
      </w:r>
      <w:r>
        <w:rPr>
          <w:color w:val="262626" w:themeColor="text1" w:themeTint="D9"/>
          <w:lang w:val="sr-Cyrl-CS"/>
        </w:rPr>
        <w:t>Zakona</w:t>
      </w:r>
      <w:r w:rsidR="00F83CCF" w:rsidRPr="00E95BC4">
        <w:rPr>
          <w:color w:val="262626" w:themeColor="text1" w:themeTint="D9"/>
          <w:lang w:val="sr-Cyrl-CS"/>
        </w:rPr>
        <w:t xml:space="preserve"> </w:t>
      </w:r>
      <w:r>
        <w:rPr>
          <w:color w:val="262626" w:themeColor="text1" w:themeTint="D9"/>
          <w:lang w:val="sr-Cyrl-CS"/>
        </w:rPr>
        <w:t>o</w:t>
      </w:r>
      <w:r w:rsidR="00A278FF" w:rsidRPr="00E95BC4">
        <w:rPr>
          <w:color w:val="262626" w:themeColor="text1" w:themeTint="D9"/>
          <w:lang w:val="sr-Cyrl-CS"/>
        </w:rPr>
        <w:t xml:space="preserve"> </w:t>
      </w:r>
      <w:r>
        <w:rPr>
          <w:color w:val="262626" w:themeColor="text1" w:themeTint="D9"/>
          <w:lang w:val="sr-Cyrl-CS"/>
        </w:rPr>
        <w:t>sprečavanju</w:t>
      </w:r>
      <w:r w:rsidR="00A278FF" w:rsidRPr="00E95BC4">
        <w:rPr>
          <w:color w:val="262626" w:themeColor="text1" w:themeTint="D9"/>
          <w:lang w:val="sr-Cyrl-CS"/>
        </w:rPr>
        <w:t xml:space="preserve"> </w:t>
      </w:r>
      <w:r>
        <w:rPr>
          <w:color w:val="262626" w:themeColor="text1" w:themeTint="D9"/>
          <w:lang w:val="sr-Cyrl-CS"/>
        </w:rPr>
        <w:t>pranja</w:t>
      </w:r>
      <w:r w:rsidR="00A278FF" w:rsidRPr="00E95BC4">
        <w:rPr>
          <w:color w:val="262626" w:themeColor="text1" w:themeTint="D9"/>
          <w:lang w:val="sr-Cyrl-CS"/>
        </w:rPr>
        <w:t xml:space="preserve"> </w:t>
      </w:r>
      <w:r>
        <w:rPr>
          <w:color w:val="262626" w:themeColor="text1" w:themeTint="D9"/>
          <w:lang w:val="sr-Cyrl-CS"/>
        </w:rPr>
        <w:t>novca</w:t>
      </w:r>
      <w:r w:rsidR="00A278FF" w:rsidRPr="00E95BC4">
        <w:rPr>
          <w:color w:val="262626" w:themeColor="text1" w:themeTint="D9"/>
          <w:lang w:val="sr-Cyrl-CS"/>
        </w:rPr>
        <w:t xml:space="preserve"> </w:t>
      </w:r>
      <w:r>
        <w:rPr>
          <w:color w:val="262626" w:themeColor="text1" w:themeTint="D9"/>
          <w:lang w:val="sr-Cyrl-CS"/>
        </w:rPr>
        <w:t>i</w:t>
      </w:r>
      <w:r w:rsidR="00A278FF" w:rsidRPr="00E95BC4">
        <w:rPr>
          <w:color w:val="262626" w:themeColor="text1" w:themeTint="D9"/>
          <w:lang w:val="sr-Cyrl-CS"/>
        </w:rPr>
        <w:t xml:space="preserve"> </w:t>
      </w:r>
      <w:r>
        <w:rPr>
          <w:color w:val="262626" w:themeColor="text1" w:themeTint="D9"/>
          <w:lang w:val="sr-Cyrl-CS"/>
        </w:rPr>
        <w:t>finansiranja</w:t>
      </w:r>
      <w:r w:rsidR="00A278FF" w:rsidRPr="00E95BC4">
        <w:rPr>
          <w:color w:val="262626" w:themeColor="text1" w:themeTint="D9"/>
          <w:lang w:val="sr-Cyrl-CS"/>
        </w:rPr>
        <w:t xml:space="preserve"> </w:t>
      </w:r>
      <w:r>
        <w:rPr>
          <w:color w:val="262626" w:themeColor="text1" w:themeTint="D9"/>
          <w:lang w:val="sr-Cyrl-CS"/>
        </w:rPr>
        <w:t>terorizma</w:t>
      </w:r>
      <w:r w:rsidR="00A278FF" w:rsidRPr="00E95BC4">
        <w:rPr>
          <w:color w:val="262626" w:themeColor="text1" w:themeTint="D9"/>
          <w:lang w:val="sr-Cyrl-CS"/>
        </w:rPr>
        <w:t xml:space="preserve">, </w:t>
      </w:r>
      <w:r>
        <w:rPr>
          <w:color w:val="262626" w:themeColor="text1" w:themeTint="D9"/>
          <w:lang w:val="sr-Cyrl-CS"/>
        </w:rPr>
        <w:t>početkom</w:t>
      </w:r>
      <w:r w:rsidR="00A278FF" w:rsidRPr="00E95BC4">
        <w:rPr>
          <w:color w:val="262626" w:themeColor="text1" w:themeTint="D9"/>
          <w:lang w:val="sr-Cyrl-CS"/>
        </w:rPr>
        <w:t xml:space="preserve"> </w:t>
      </w:r>
      <w:r>
        <w:rPr>
          <w:color w:val="262626" w:themeColor="text1" w:themeTint="D9"/>
          <w:lang w:val="sr-Cyrl-CS"/>
        </w:rPr>
        <w:t>primene</w:t>
      </w:r>
      <w:r w:rsidR="00A278FF" w:rsidRPr="00E95BC4">
        <w:rPr>
          <w:color w:val="262626" w:themeColor="text1" w:themeTint="D9"/>
          <w:lang w:val="sr-Cyrl-CS"/>
        </w:rPr>
        <w:t xml:space="preserve"> </w:t>
      </w:r>
      <w:r>
        <w:rPr>
          <w:color w:val="262626" w:themeColor="text1" w:themeTint="D9"/>
          <w:lang w:val="sr-Cyrl-CS"/>
        </w:rPr>
        <w:t>Zakona</w:t>
      </w:r>
      <w:r w:rsidR="00A278FF" w:rsidRPr="00E95BC4">
        <w:rPr>
          <w:color w:val="262626" w:themeColor="text1" w:themeTint="D9"/>
          <w:lang w:val="sr-Cyrl-CS"/>
        </w:rPr>
        <w:t xml:space="preserve"> </w:t>
      </w:r>
      <w:r>
        <w:rPr>
          <w:color w:val="262626" w:themeColor="text1" w:themeTint="D9"/>
          <w:lang w:val="sr-Cyrl-CS"/>
        </w:rPr>
        <w:t>o</w:t>
      </w:r>
      <w:r w:rsidR="00A278FF" w:rsidRPr="00E95BC4">
        <w:rPr>
          <w:color w:val="262626" w:themeColor="text1" w:themeTint="D9"/>
          <w:lang w:val="sr-Cyrl-CS"/>
        </w:rPr>
        <w:t xml:space="preserve"> </w:t>
      </w:r>
      <w:r>
        <w:rPr>
          <w:color w:val="262626" w:themeColor="text1" w:themeTint="D9"/>
          <w:lang w:val="sr-Cyrl-CS"/>
        </w:rPr>
        <w:t>organizaciji</w:t>
      </w:r>
      <w:r w:rsidR="00A278FF" w:rsidRPr="00E95BC4">
        <w:rPr>
          <w:color w:val="262626" w:themeColor="text1" w:themeTint="D9"/>
          <w:lang w:val="sr-Cyrl-CS"/>
        </w:rPr>
        <w:t xml:space="preserve"> </w:t>
      </w:r>
      <w:r>
        <w:rPr>
          <w:color w:val="262626" w:themeColor="text1" w:themeTint="D9"/>
          <w:lang w:val="sr-Cyrl-CS"/>
        </w:rPr>
        <w:t>i</w:t>
      </w:r>
      <w:r w:rsidR="00A278FF" w:rsidRPr="00E95BC4">
        <w:rPr>
          <w:color w:val="262626" w:themeColor="text1" w:themeTint="D9"/>
          <w:lang w:val="sr-Cyrl-CS"/>
        </w:rPr>
        <w:t xml:space="preserve"> </w:t>
      </w:r>
      <w:r>
        <w:rPr>
          <w:color w:val="262626" w:themeColor="text1" w:themeTint="D9"/>
          <w:lang w:val="sr-Cyrl-CS"/>
        </w:rPr>
        <w:t>nadležnosti</w:t>
      </w:r>
      <w:r w:rsidR="001B2820" w:rsidRPr="00E95BC4">
        <w:rPr>
          <w:color w:val="262626" w:themeColor="text1" w:themeTint="D9"/>
          <w:lang w:val="sr-Cyrl-CS"/>
        </w:rPr>
        <w:t xml:space="preserve"> </w:t>
      </w:r>
      <w:r>
        <w:rPr>
          <w:color w:val="262626" w:themeColor="text1" w:themeTint="D9"/>
          <w:lang w:val="sr-Cyrl-CS"/>
        </w:rPr>
        <w:t>državnih</w:t>
      </w:r>
      <w:r w:rsidR="001B2820" w:rsidRPr="00E95BC4">
        <w:rPr>
          <w:color w:val="262626" w:themeColor="text1" w:themeTint="D9"/>
          <w:lang w:val="sr-Cyrl-CS"/>
        </w:rPr>
        <w:t xml:space="preserve"> </w:t>
      </w:r>
      <w:r>
        <w:rPr>
          <w:color w:val="262626" w:themeColor="text1" w:themeTint="D9"/>
          <w:lang w:val="sr-Cyrl-CS"/>
        </w:rPr>
        <w:t>organa</w:t>
      </w:r>
      <w:r w:rsidR="001B2820" w:rsidRPr="00E95BC4">
        <w:rPr>
          <w:color w:val="262626" w:themeColor="text1" w:themeTint="D9"/>
          <w:lang w:val="sr-Cyrl-CS"/>
        </w:rPr>
        <w:t xml:space="preserve"> </w:t>
      </w:r>
      <w:r>
        <w:rPr>
          <w:color w:val="262626" w:themeColor="text1" w:themeTint="D9"/>
          <w:lang w:val="sr-Cyrl-CS"/>
        </w:rPr>
        <w:t>u</w:t>
      </w:r>
      <w:r w:rsidR="001B2820" w:rsidRPr="00E95BC4">
        <w:rPr>
          <w:color w:val="262626" w:themeColor="text1" w:themeTint="D9"/>
          <w:lang w:val="sr-Cyrl-CS"/>
        </w:rPr>
        <w:t xml:space="preserve"> </w:t>
      </w:r>
      <w:r>
        <w:rPr>
          <w:color w:val="262626" w:themeColor="text1" w:themeTint="D9"/>
          <w:lang w:val="sr-Cyrl-CS"/>
        </w:rPr>
        <w:t>suzbijanju</w:t>
      </w:r>
      <w:r w:rsidR="001B2820" w:rsidRPr="00E95BC4">
        <w:rPr>
          <w:color w:val="262626" w:themeColor="text1" w:themeTint="D9"/>
          <w:lang w:val="sr-Cyrl-CS"/>
        </w:rPr>
        <w:t xml:space="preserve"> </w:t>
      </w:r>
      <w:r>
        <w:rPr>
          <w:color w:val="262626" w:themeColor="text1" w:themeTint="D9"/>
          <w:lang w:val="sr-Cyrl-CS"/>
        </w:rPr>
        <w:t>organizovanog</w:t>
      </w:r>
      <w:r w:rsidR="001B2820" w:rsidRPr="00E95BC4">
        <w:rPr>
          <w:color w:val="262626" w:themeColor="text1" w:themeTint="D9"/>
          <w:lang w:val="sr-Cyrl-CS"/>
        </w:rPr>
        <w:t xml:space="preserve"> </w:t>
      </w:r>
      <w:r>
        <w:rPr>
          <w:color w:val="262626" w:themeColor="text1" w:themeTint="D9"/>
          <w:lang w:val="sr-Cyrl-CS"/>
        </w:rPr>
        <w:t>kriminala</w:t>
      </w:r>
      <w:r w:rsidR="001B2820" w:rsidRPr="00E95BC4">
        <w:rPr>
          <w:color w:val="262626" w:themeColor="text1" w:themeTint="D9"/>
          <w:lang w:val="sr-Cyrl-CS"/>
        </w:rPr>
        <w:t xml:space="preserve">, </w:t>
      </w:r>
      <w:r>
        <w:rPr>
          <w:color w:val="262626" w:themeColor="text1" w:themeTint="D9"/>
          <w:lang w:val="sr-Cyrl-CS"/>
        </w:rPr>
        <w:t>terorizma</w:t>
      </w:r>
      <w:r w:rsidR="001B2820" w:rsidRPr="00E95BC4">
        <w:rPr>
          <w:color w:val="262626" w:themeColor="text1" w:themeTint="D9"/>
          <w:lang w:val="sr-Cyrl-CS"/>
        </w:rPr>
        <w:t xml:space="preserve"> </w:t>
      </w:r>
      <w:r>
        <w:rPr>
          <w:color w:val="262626" w:themeColor="text1" w:themeTint="D9"/>
          <w:lang w:val="sr-Cyrl-CS"/>
        </w:rPr>
        <w:t>i</w:t>
      </w:r>
      <w:r w:rsidR="001B2820" w:rsidRPr="00E95BC4">
        <w:rPr>
          <w:color w:val="262626" w:themeColor="text1" w:themeTint="D9"/>
          <w:lang w:val="sr-Cyrl-CS"/>
        </w:rPr>
        <w:t xml:space="preserve"> </w:t>
      </w:r>
      <w:r>
        <w:rPr>
          <w:color w:val="262626" w:themeColor="text1" w:themeTint="D9"/>
          <w:lang w:val="sr-Cyrl-CS"/>
        </w:rPr>
        <w:t>korupcije</w:t>
      </w:r>
      <w:r w:rsidR="00A278FF" w:rsidRPr="00E95BC4">
        <w:rPr>
          <w:color w:val="262626" w:themeColor="text1" w:themeTint="D9"/>
          <w:lang w:val="sr-Cyrl-CS"/>
        </w:rPr>
        <w:t xml:space="preserve">; </w:t>
      </w:r>
      <w:r>
        <w:rPr>
          <w:color w:val="262626" w:themeColor="text1" w:themeTint="D9"/>
          <w:lang w:val="sr-Cyrl-CS"/>
        </w:rPr>
        <w:t>sprovođenjem</w:t>
      </w:r>
      <w:r w:rsidR="00A278FF" w:rsidRPr="00E95BC4">
        <w:rPr>
          <w:color w:val="262626" w:themeColor="text1" w:themeTint="D9"/>
          <w:lang w:val="sr-Cyrl-CS"/>
        </w:rPr>
        <w:t xml:space="preserve"> </w:t>
      </w:r>
      <w:r>
        <w:rPr>
          <w:color w:val="262626" w:themeColor="text1" w:themeTint="D9"/>
          <w:lang w:val="sr-Cyrl-CS"/>
        </w:rPr>
        <w:t>mera</w:t>
      </w:r>
      <w:r w:rsidR="00A278FF" w:rsidRPr="00E95BC4">
        <w:rPr>
          <w:color w:val="262626" w:themeColor="text1" w:themeTint="D9"/>
          <w:lang w:val="sr-Cyrl-CS"/>
        </w:rPr>
        <w:t xml:space="preserve"> </w:t>
      </w:r>
      <w:r>
        <w:rPr>
          <w:color w:val="262626" w:themeColor="text1" w:themeTint="D9"/>
          <w:lang w:val="sr-Cyrl-CS"/>
        </w:rPr>
        <w:t>iz</w:t>
      </w:r>
      <w:r w:rsidR="00A278FF" w:rsidRPr="00E95BC4">
        <w:rPr>
          <w:color w:val="262626" w:themeColor="text1" w:themeTint="D9"/>
          <w:lang w:val="sr-Cyrl-CS"/>
        </w:rPr>
        <w:t xml:space="preserve"> </w:t>
      </w:r>
      <w:r>
        <w:rPr>
          <w:color w:val="262626" w:themeColor="text1" w:themeTint="D9"/>
          <w:lang w:val="sr-Cyrl-CS"/>
        </w:rPr>
        <w:t>Akcionog</w:t>
      </w:r>
      <w:r w:rsidR="00A278FF" w:rsidRPr="00E95BC4">
        <w:rPr>
          <w:color w:val="262626" w:themeColor="text1" w:themeTint="D9"/>
          <w:lang w:val="sr-Cyrl-CS"/>
        </w:rPr>
        <w:t xml:space="preserve"> </w:t>
      </w:r>
      <w:r>
        <w:rPr>
          <w:color w:val="262626" w:themeColor="text1" w:themeTint="D9"/>
          <w:lang w:val="sr-Cyrl-CS"/>
        </w:rPr>
        <w:t>plana</w:t>
      </w:r>
      <w:r w:rsidR="00A278FF" w:rsidRPr="00E95BC4">
        <w:rPr>
          <w:color w:val="262626" w:themeColor="text1" w:themeTint="D9"/>
          <w:lang w:val="sr-Cyrl-CS"/>
        </w:rPr>
        <w:t xml:space="preserve"> </w:t>
      </w:r>
      <w:r>
        <w:rPr>
          <w:color w:val="262626" w:themeColor="text1" w:themeTint="D9"/>
          <w:lang w:val="sr-Cyrl-CS"/>
        </w:rPr>
        <w:t>uz</w:t>
      </w:r>
      <w:r w:rsidR="00A278FF" w:rsidRPr="00E95BC4">
        <w:rPr>
          <w:color w:val="262626" w:themeColor="text1" w:themeTint="D9"/>
          <w:lang w:val="sr-Cyrl-CS"/>
        </w:rPr>
        <w:t xml:space="preserve"> </w:t>
      </w:r>
      <w:r>
        <w:rPr>
          <w:color w:val="262626" w:themeColor="text1" w:themeTint="D9"/>
          <w:lang w:val="sr-Cyrl-CS"/>
        </w:rPr>
        <w:t>Procenu</w:t>
      </w:r>
      <w:r w:rsidR="001B2820" w:rsidRPr="00E95BC4">
        <w:rPr>
          <w:color w:val="262626" w:themeColor="text1" w:themeTint="D9"/>
          <w:lang w:val="sr-Cyrl-CS"/>
        </w:rPr>
        <w:t xml:space="preserve"> </w:t>
      </w:r>
      <w:r>
        <w:rPr>
          <w:color w:val="262626" w:themeColor="text1" w:themeTint="D9"/>
          <w:lang w:val="sr-Cyrl-CS"/>
        </w:rPr>
        <w:t>rizika</w:t>
      </w:r>
      <w:r w:rsidR="001B2820" w:rsidRPr="00E95BC4">
        <w:rPr>
          <w:color w:val="262626" w:themeColor="text1" w:themeTint="D9"/>
          <w:lang w:val="sr-Cyrl-CS"/>
        </w:rPr>
        <w:t xml:space="preserve"> </w:t>
      </w:r>
      <w:r>
        <w:rPr>
          <w:color w:val="262626" w:themeColor="text1" w:themeTint="D9"/>
          <w:lang w:val="sr-Cyrl-CS"/>
        </w:rPr>
        <w:t>od</w:t>
      </w:r>
      <w:r w:rsidR="001B2820" w:rsidRPr="00E95BC4">
        <w:rPr>
          <w:color w:val="262626" w:themeColor="text1" w:themeTint="D9"/>
          <w:lang w:val="sr-Cyrl-CS"/>
        </w:rPr>
        <w:t xml:space="preserve"> </w:t>
      </w:r>
      <w:r>
        <w:rPr>
          <w:color w:val="262626" w:themeColor="text1" w:themeTint="D9"/>
          <w:lang w:val="sr-Cyrl-CS"/>
        </w:rPr>
        <w:t>pranja</w:t>
      </w:r>
      <w:r w:rsidR="001B2820" w:rsidRPr="00E95BC4">
        <w:rPr>
          <w:color w:val="262626" w:themeColor="text1" w:themeTint="D9"/>
          <w:lang w:val="sr-Cyrl-CS"/>
        </w:rPr>
        <w:t xml:space="preserve"> </w:t>
      </w:r>
      <w:r>
        <w:rPr>
          <w:color w:val="262626" w:themeColor="text1" w:themeTint="D9"/>
          <w:lang w:val="sr-Cyrl-CS"/>
        </w:rPr>
        <w:t>novca</w:t>
      </w:r>
      <w:r w:rsidR="001B2820" w:rsidRPr="00E95BC4">
        <w:rPr>
          <w:color w:val="262626" w:themeColor="text1" w:themeTint="D9"/>
          <w:lang w:val="sr-Cyrl-CS"/>
        </w:rPr>
        <w:t xml:space="preserve"> </w:t>
      </w:r>
      <w:r>
        <w:rPr>
          <w:color w:val="262626" w:themeColor="text1" w:themeTint="D9"/>
          <w:lang w:val="sr-Cyrl-CS"/>
        </w:rPr>
        <w:t>i</w:t>
      </w:r>
      <w:r w:rsidR="001B2820" w:rsidRPr="00E95BC4">
        <w:rPr>
          <w:color w:val="262626" w:themeColor="text1" w:themeTint="D9"/>
          <w:lang w:val="sr-Cyrl-CS"/>
        </w:rPr>
        <w:t xml:space="preserve"> </w:t>
      </w:r>
      <w:r>
        <w:rPr>
          <w:color w:val="262626" w:themeColor="text1" w:themeTint="D9"/>
          <w:lang w:val="sr-Cyrl-CS"/>
        </w:rPr>
        <w:t>Procenu</w:t>
      </w:r>
      <w:r w:rsidR="001B2820" w:rsidRPr="00E95BC4">
        <w:rPr>
          <w:color w:val="262626" w:themeColor="text1" w:themeTint="D9"/>
          <w:lang w:val="sr-Cyrl-CS"/>
        </w:rPr>
        <w:t xml:space="preserve"> </w:t>
      </w:r>
      <w:r>
        <w:rPr>
          <w:color w:val="262626" w:themeColor="text1" w:themeTint="D9"/>
          <w:lang w:val="sr-Cyrl-CS"/>
        </w:rPr>
        <w:t>rizika</w:t>
      </w:r>
      <w:r w:rsidR="001B2820" w:rsidRPr="00E95BC4">
        <w:rPr>
          <w:color w:val="262626" w:themeColor="text1" w:themeTint="D9"/>
          <w:lang w:val="sr-Cyrl-CS"/>
        </w:rPr>
        <w:t xml:space="preserve"> </w:t>
      </w:r>
      <w:r>
        <w:rPr>
          <w:color w:val="262626" w:themeColor="text1" w:themeTint="D9"/>
          <w:lang w:val="sr-Cyrl-CS"/>
        </w:rPr>
        <w:t>od</w:t>
      </w:r>
      <w:r w:rsidR="001B2820" w:rsidRPr="00E95BC4">
        <w:rPr>
          <w:color w:val="262626" w:themeColor="text1" w:themeTint="D9"/>
          <w:lang w:val="sr-Cyrl-CS"/>
        </w:rPr>
        <w:t xml:space="preserve"> </w:t>
      </w:r>
      <w:r>
        <w:rPr>
          <w:color w:val="262626" w:themeColor="text1" w:themeTint="D9"/>
          <w:lang w:val="sr-Cyrl-CS"/>
        </w:rPr>
        <w:t>finansiranja</w:t>
      </w:r>
      <w:r w:rsidR="001B2820" w:rsidRPr="00E95BC4">
        <w:rPr>
          <w:color w:val="262626" w:themeColor="text1" w:themeTint="D9"/>
          <w:lang w:val="sr-Cyrl-CS"/>
        </w:rPr>
        <w:t xml:space="preserve"> </w:t>
      </w:r>
      <w:r>
        <w:rPr>
          <w:color w:val="262626" w:themeColor="text1" w:themeTint="D9"/>
          <w:lang w:val="sr-Cyrl-CS"/>
        </w:rPr>
        <w:t>terorizma</w:t>
      </w:r>
      <w:r w:rsidR="001B2820" w:rsidRPr="00E95BC4">
        <w:rPr>
          <w:color w:val="262626" w:themeColor="text1" w:themeTint="D9"/>
          <w:lang w:val="sr-Cyrl-CS"/>
        </w:rPr>
        <w:t xml:space="preserve"> (2018) </w:t>
      </w:r>
      <w:r>
        <w:rPr>
          <w:color w:val="262626" w:themeColor="text1" w:themeTint="D9"/>
          <w:lang w:val="sr-Cyrl-CS"/>
        </w:rPr>
        <w:t>kao</w:t>
      </w:r>
      <w:r w:rsidR="00A278FF" w:rsidRPr="00E95BC4">
        <w:rPr>
          <w:color w:val="262626" w:themeColor="text1" w:themeTint="D9"/>
          <w:lang w:val="sr-Cyrl-CS"/>
        </w:rPr>
        <w:t xml:space="preserve"> </w:t>
      </w:r>
      <w:r>
        <w:rPr>
          <w:color w:val="262626" w:themeColor="text1" w:themeTint="D9"/>
          <w:lang w:val="sr-Cyrl-CS"/>
        </w:rPr>
        <w:t>što</w:t>
      </w:r>
      <w:r w:rsidR="00A278FF" w:rsidRPr="00E95BC4">
        <w:rPr>
          <w:color w:val="262626" w:themeColor="text1" w:themeTint="D9"/>
          <w:lang w:val="sr-Cyrl-CS"/>
        </w:rPr>
        <w:t xml:space="preserve"> </w:t>
      </w:r>
      <w:r>
        <w:rPr>
          <w:color w:val="262626" w:themeColor="text1" w:themeTint="D9"/>
          <w:lang w:val="sr-Cyrl-CS"/>
        </w:rPr>
        <w:t>je</w:t>
      </w:r>
      <w:r w:rsidR="00A278FF" w:rsidRPr="00E95BC4">
        <w:rPr>
          <w:color w:val="262626" w:themeColor="text1" w:themeTint="D9"/>
          <w:lang w:val="sr-Cyrl-CS"/>
        </w:rPr>
        <w:t xml:space="preserve"> </w:t>
      </w:r>
      <w:r>
        <w:rPr>
          <w:color w:val="262626" w:themeColor="text1" w:themeTint="D9"/>
          <w:lang w:val="sr-Cyrl-CS"/>
        </w:rPr>
        <w:t>donošenje</w:t>
      </w:r>
      <w:r w:rsidR="00A278FF" w:rsidRPr="00E95BC4">
        <w:rPr>
          <w:color w:val="262626" w:themeColor="text1" w:themeTint="D9"/>
          <w:lang w:val="sr-Cyrl-CS"/>
        </w:rPr>
        <w:t xml:space="preserve"> </w:t>
      </w:r>
      <w:r>
        <w:rPr>
          <w:color w:val="262626" w:themeColor="text1" w:themeTint="D9"/>
          <w:lang w:val="sr-Cyrl-CS"/>
        </w:rPr>
        <w:t>smernica</w:t>
      </w:r>
      <w:r w:rsidR="00A278FF" w:rsidRPr="00E95BC4">
        <w:rPr>
          <w:color w:val="262626" w:themeColor="text1" w:themeTint="D9"/>
          <w:lang w:val="sr-Cyrl-CS"/>
        </w:rPr>
        <w:t xml:space="preserve"> </w:t>
      </w:r>
      <w:r>
        <w:rPr>
          <w:color w:val="262626" w:themeColor="text1" w:themeTint="D9"/>
          <w:lang w:val="sr-Cyrl-CS"/>
        </w:rPr>
        <w:t>za</w:t>
      </w:r>
      <w:r w:rsidR="00A278FF" w:rsidRPr="00E95BC4">
        <w:rPr>
          <w:color w:val="262626" w:themeColor="text1" w:themeTint="D9"/>
          <w:lang w:val="sr-Cyrl-CS"/>
        </w:rPr>
        <w:t xml:space="preserve"> </w:t>
      </w:r>
      <w:r>
        <w:rPr>
          <w:color w:val="262626" w:themeColor="text1" w:themeTint="D9"/>
          <w:lang w:val="sr-Cyrl-CS"/>
        </w:rPr>
        <w:t>statističko</w:t>
      </w:r>
      <w:r w:rsidR="00A278FF" w:rsidRPr="00E95BC4">
        <w:rPr>
          <w:color w:val="262626" w:themeColor="text1" w:themeTint="D9"/>
          <w:lang w:val="sr-Cyrl-CS"/>
        </w:rPr>
        <w:t xml:space="preserve"> </w:t>
      </w:r>
      <w:r>
        <w:rPr>
          <w:color w:val="262626" w:themeColor="text1" w:themeTint="D9"/>
          <w:lang w:val="sr-Cyrl-CS"/>
        </w:rPr>
        <w:t>izveštavanje</w:t>
      </w:r>
      <w:r w:rsidR="00A278FF" w:rsidRPr="00E95BC4">
        <w:rPr>
          <w:color w:val="262626" w:themeColor="text1" w:themeTint="D9"/>
          <w:lang w:val="sr-Cyrl-CS"/>
        </w:rPr>
        <w:t xml:space="preserve"> </w:t>
      </w:r>
      <w:r>
        <w:rPr>
          <w:color w:val="262626" w:themeColor="text1" w:themeTint="D9"/>
          <w:lang w:val="sr-Cyrl-CS"/>
        </w:rPr>
        <w:t>i</w:t>
      </w:r>
      <w:r w:rsidR="00A278FF" w:rsidRPr="00E95BC4">
        <w:rPr>
          <w:color w:val="262626" w:themeColor="text1" w:themeTint="D9"/>
          <w:lang w:val="sr-Cyrl-CS"/>
        </w:rPr>
        <w:t xml:space="preserve"> </w:t>
      </w:r>
      <w:r>
        <w:rPr>
          <w:color w:val="262626" w:themeColor="text1" w:themeTint="D9"/>
          <w:lang w:val="sr-Cyrl-CS"/>
        </w:rPr>
        <w:t>praćenje</w:t>
      </w:r>
      <w:r w:rsidR="00A278FF" w:rsidRPr="00E95BC4">
        <w:rPr>
          <w:color w:val="262626" w:themeColor="text1" w:themeTint="D9"/>
          <w:lang w:val="sr-Cyrl-CS"/>
        </w:rPr>
        <w:t xml:space="preserve"> </w:t>
      </w:r>
      <w:r>
        <w:rPr>
          <w:color w:val="262626" w:themeColor="text1" w:themeTint="D9"/>
          <w:lang w:val="sr-Cyrl-CS"/>
        </w:rPr>
        <w:t>predmeta</w:t>
      </w:r>
      <w:r w:rsidR="00A278FF" w:rsidRPr="00E95BC4">
        <w:rPr>
          <w:color w:val="262626" w:themeColor="text1" w:themeTint="D9"/>
          <w:lang w:val="sr-Cyrl-CS"/>
        </w:rPr>
        <w:t xml:space="preserve"> </w:t>
      </w:r>
      <w:r>
        <w:rPr>
          <w:color w:val="262626" w:themeColor="text1" w:themeTint="D9"/>
          <w:lang w:val="sr-Cyrl-CS"/>
        </w:rPr>
        <w:t>pranja</w:t>
      </w:r>
      <w:r w:rsidR="00A278FF" w:rsidRPr="00E95BC4">
        <w:rPr>
          <w:color w:val="262626" w:themeColor="text1" w:themeTint="D9"/>
          <w:lang w:val="sr-Cyrl-CS"/>
        </w:rPr>
        <w:t xml:space="preserve"> </w:t>
      </w:r>
      <w:r>
        <w:rPr>
          <w:color w:val="262626" w:themeColor="text1" w:themeTint="D9"/>
          <w:lang w:val="sr-Cyrl-CS"/>
        </w:rPr>
        <w:t>novca</w:t>
      </w:r>
      <w:r w:rsidR="00BF5470">
        <w:rPr>
          <w:color w:val="262626" w:themeColor="text1" w:themeTint="D9"/>
          <w:lang w:val="sr-Cyrl-CS"/>
        </w:rPr>
        <w:t xml:space="preserve"> </w:t>
      </w:r>
      <w:r>
        <w:rPr>
          <w:color w:val="262626" w:themeColor="text1" w:themeTint="D9"/>
          <w:lang w:val="sr-Cyrl-CS"/>
        </w:rPr>
        <w:t>i</w:t>
      </w:r>
      <w:r w:rsidR="00BF5470">
        <w:rPr>
          <w:color w:val="262626" w:themeColor="text1" w:themeTint="D9"/>
          <w:lang w:val="sr-Cyrl-CS"/>
        </w:rPr>
        <w:t xml:space="preserve"> </w:t>
      </w:r>
      <w:r>
        <w:rPr>
          <w:color w:val="262626" w:themeColor="text1" w:themeTint="D9"/>
          <w:lang w:val="sr-Cyrl-CS"/>
        </w:rPr>
        <w:t>finansiranja</w:t>
      </w:r>
      <w:r w:rsidR="00BF5470">
        <w:rPr>
          <w:color w:val="262626" w:themeColor="text1" w:themeTint="D9"/>
          <w:lang w:val="sr-Cyrl-CS"/>
        </w:rPr>
        <w:t xml:space="preserve"> </w:t>
      </w:r>
      <w:r>
        <w:rPr>
          <w:color w:val="262626" w:themeColor="text1" w:themeTint="D9"/>
          <w:lang w:val="sr-Cyrl-CS"/>
        </w:rPr>
        <w:t>terorizma</w:t>
      </w:r>
      <w:r w:rsidR="00BF5470">
        <w:rPr>
          <w:color w:val="262626" w:themeColor="text1" w:themeTint="D9"/>
          <w:lang w:val="sr-Cyrl-CS"/>
        </w:rPr>
        <w:t xml:space="preserve">, </w:t>
      </w:r>
      <w:r>
        <w:rPr>
          <w:color w:val="262626" w:themeColor="text1" w:themeTint="D9"/>
          <w:lang w:val="sr-Cyrl-CS"/>
        </w:rPr>
        <w:t>itd</w:t>
      </w:r>
      <w:r w:rsidR="00BF5470">
        <w:rPr>
          <w:color w:val="262626" w:themeColor="text1" w:themeTint="D9"/>
          <w:lang w:val="sr-Cyrl-CS"/>
        </w:rPr>
        <w:t>.).</w:t>
      </w:r>
      <w:r w:rsidR="00A278FF" w:rsidRPr="00E95BC4">
        <w:rPr>
          <w:color w:val="262626" w:themeColor="text1" w:themeTint="D9"/>
          <w:lang w:val="sr-Cyrl-CS"/>
        </w:rPr>
        <w:t xml:space="preserve"> </w:t>
      </w:r>
    </w:p>
    <w:p w:rsidR="00A278FF" w:rsidRPr="00E95BC4" w:rsidRDefault="005818C0" w:rsidP="00285FD7">
      <w:pPr>
        <w:ind w:firstLine="720"/>
        <w:jc w:val="both"/>
        <w:rPr>
          <w:color w:val="262626" w:themeColor="text1" w:themeTint="D9"/>
          <w:lang w:val="sr-Cyrl-CS"/>
        </w:rPr>
      </w:pPr>
      <w:r>
        <w:rPr>
          <w:color w:val="262626" w:themeColor="text1" w:themeTint="D9"/>
          <w:lang w:val="sr-Cyrl-CS"/>
        </w:rPr>
        <w:t>Takođe</w:t>
      </w:r>
      <w:r w:rsidR="00A278FF" w:rsidRPr="00E95BC4">
        <w:rPr>
          <w:color w:val="262626" w:themeColor="text1" w:themeTint="D9"/>
          <w:lang w:val="sr-Cyrl-CS"/>
        </w:rPr>
        <w:t xml:space="preserve">, </w:t>
      </w:r>
      <w:r>
        <w:rPr>
          <w:color w:val="262626" w:themeColor="text1" w:themeTint="D9"/>
          <w:lang w:val="sr-Cyrl-CS"/>
        </w:rPr>
        <w:t>Nacionalna</w:t>
      </w:r>
      <w:r w:rsidR="00A278FF" w:rsidRPr="00E95BC4">
        <w:rPr>
          <w:color w:val="262626" w:themeColor="text1" w:themeTint="D9"/>
          <w:lang w:val="sr-Cyrl-CS"/>
        </w:rPr>
        <w:t xml:space="preserve"> </w:t>
      </w:r>
      <w:r>
        <w:rPr>
          <w:color w:val="262626" w:themeColor="text1" w:themeTint="D9"/>
          <w:lang w:val="sr-Cyrl-CS"/>
        </w:rPr>
        <w:t>strategija</w:t>
      </w:r>
      <w:r w:rsidR="00A278FF" w:rsidRPr="00E95BC4">
        <w:rPr>
          <w:color w:val="262626" w:themeColor="text1" w:themeTint="D9"/>
          <w:lang w:val="sr-Cyrl-CS"/>
        </w:rPr>
        <w:t xml:space="preserve"> </w:t>
      </w:r>
      <w:r>
        <w:rPr>
          <w:color w:val="262626" w:themeColor="text1" w:themeTint="D9"/>
          <w:lang w:val="sr-Cyrl-CS"/>
        </w:rPr>
        <w:t>za</w:t>
      </w:r>
      <w:r w:rsidR="00A278FF" w:rsidRPr="00E95BC4">
        <w:rPr>
          <w:color w:val="262626" w:themeColor="text1" w:themeTint="D9"/>
          <w:lang w:val="sr-Cyrl-CS"/>
        </w:rPr>
        <w:t xml:space="preserve"> </w:t>
      </w:r>
      <w:r>
        <w:rPr>
          <w:color w:val="262626" w:themeColor="text1" w:themeTint="D9"/>
          <w:lang w:val="sr-Cyrl-CS"/>
        </w:rPr>
        <w:t>neke</w:t>
      </w:r>
      <w:r w:rsidR="00A278FF" w:rsidRPr="00E95BC4">
        <w:rPr>
          <w:color w:val="262626" w:themeColor="text1" w:themeTint="D9"/>
          <w:lang w:val="sr-Cyrl-CS"/>
        </w:rPr>
        <w:t xml:space="preserve"> </w:t>
      </w:r>
      <w:r>
        <w:rPr>
          <w:color w:val="262626" w:themeColor="text1" w:themeTint="D9"/>
          <w:lang w:val="sr-Cyrl-CS"/>
        </w:rPr>
        <w:t>oblasti</w:t>
      </w:r>
      <w:r w:rsidR="00A278FF" w:rsidRPr="00E95BC4">
        <w:rPr>
          <w:color w:val="262626" w:themeColor="text1" w:themeTint="D9"/>
          <w:lang w:val="sr-Cyrl-CS"/>
        </w:rPr>
        <w:t xml:space="preserve"> </w:t>
      </w:r>
      <w:r>
        <w:rPr>
          <w:color w:val="262626" w:themeColor="text1" w:themeTint="D9"/>
          <w:lang w:val="sr-Cyrl-CS"/>
        </w:rPr>
        <w:t>nije</w:t>
      </w:r>
      <w:r w:rsidR="00A278FF" w:rsidRPr="00E95BC4">
        <w:rPr>
          <w:color w:val="262626" w:themeColor="text1" w:themeTint="D9"/>
          <w:lang w:val="sr-Cyrl-CS"/>
        </w:rPr>
        <w:t xml:space="preserve"> </w:t>
      </w:r>
      <w:r>
        <w:rPr>
          <w:color w:val="262626" w:themeColor="text1" w:themeTint="D9"/>
          <w:lang w:val="sr-Cyrl-CS"/>
        </w:rPr>
        <w:t>predvidela</w:t>
      </w:r>
      <w:r w:rsidR="00A278FF" w:rsidRPr="00E95BC4">
        <w:rPr>
          <w:color w:val="262626" w:themeColor="text1" w:themeTint="D9"/>
          <w:lang w:val="sr-Cyrl-CS"/>
        </w:rPr>
        <w:t xml:space="preserve"> </w:t>
      </w:r>
      <w:r>
        <w:rPr>
          <w:color w:val="262626" w:themeColor="text1" w:themeTint="D9"/>
          <w:lang w:val="sr-Cyrl-CS"/>
        </w:rPr>
        <w:t>nijednu</w:t>
      </w:r>
      <w:r w:rsidR="00A278FF" w:rsidRPr="00E95BC4">
        <w:rPr>
          <w:color w:val="262626" w:themeColor="text1" w:themeTint="D9"/>
          <w:lang w:val="sr-Cyrl-CS"/>
        </w:rPr>
        <w:t xml:space="preserve"> </w:t>
      </w:r>
      <w:r>
        <w:rPr>
          <w:color w:val="262626" w:themeColor="text1" w:themeTint="D9"/>
          <w:lang w:val="sr-Cyrl-CS"/>
        </w:rPr>
        <w:t>aktivnost</w:t>
      </w:r>
      <w:r w:rsidR="00A278FF" w:rsidRPr="00E95BC4">
        <w:rPr>
          <w:color w:val="262626" w:themeColor="text1" w:themeTint="D9"/>
          <w:lang w:val="sr-Cyrl-CS"/>
        </w:rPr>
        <w:t xml:space="preserve">, </w:t>
      </w:r>
      <w:r>
        <w:rPr>
          <w:color w:val="262626" w:themeColor="text1" w:themeTint="D9"/>
          <w:lang w:val="sr-Cyrl-CS"/>
        </w:rPr>
        <w:t>na</w:t>
      </w:r>
      <w:r w:rsidR="00A278FF" w:rsidRPr="00E95BC4">
        <w:rPr>
          <w:color w:val="262626" w:themeColor="text1" w:themeTint="D9"/>
          <w:lang w:val="sr-Cyrl-CS"/>
        </w:rPr>
        <w:t xml:space="preserve"> </w:t>
      </w:r>
      <w:r>
        <w:rPr>
          <w:color w:val="262626" w:themeColor="text1" w:themeTint="D9"/>
          <w:lang w:val="sr-Cyrl-CS"/>
        </w:rPr>
        <w:t>primer</w:t>
      </w:r>
      <w:r w:rsidR="00A278FF" w:rsidRPr="00E95BC4">
        <w:rPr>
          <w:color w:val="262626" w:themeColor="text1" w:themeTint="D9"/>
          <w:lang w:val="sr-Cyrl-CS"/>
        </w:rPr>
        <w:t xml:space="preserve"> </w:t>
      </w:r>
      <w:r>
        <w:rPr>
          <w:color w:val="262626" w:themeColor="text1" w:themeTint="D9"/>
          <w:lang w:val="sr-Cyrl-CS"/>
        </w:rPr>
        <w:t>po</w:t>
      </w:r>
      <w:r w:rsidR="00A278FF" w:rsidRPr="00E95BC4">
        <w:rPr>
          <w:color w:val="262626" w:themeColor="text1" w:themeTint="D9"/>
          <w:lang w:val="sr-Cyrl-CS"/>
        </w:rPr>
        <w:t xml:space="preserve"> </w:t>
      </w:r>
      <w:r>
        <w:rPr>
          <w:color w:val="262626" w:themeColor="text1" w:themeTint="D9"/>
          <w:lang w:val="sr-Cyrl-CS"/>
        </w:rPr>
        <w:t>pitanju</w:t>
      </w:r>
      <w:r w:rsidR="00A278FF" w:rsidRPr="00E95BC4">
        <w:rPr>
          <w:color w:val="262626" w:themeColor="text1" w:themeTint="D9"/>
          <w:lang w:val="sr-Cyrl-CS"/>
        </w:rPr>
        <w:t xml:space="preserve"> </w:t>
      </w:r>
      <w:r>
        <w:rPr>
          <w:color w:val="262626" w:themeColor="text1" w:themeTint="D9"/>
          <w:lang w:val="sr-Cyrl-CS"/>
        </w:rPr>
        <w:t>ciljanih</w:t>
      </w:r>
      <w:r w:rsidR="00A278FF" w:rsidRPr="00E95BC4">
        <w:rPr>
          <w:color w:val="262626" w:themeColor="text1" w:themeTint="D9"/>
          <w:lang w:val="sr-Cyrl-CS"/>
        </w:rPr>
        <w:t xml:space="preserve"> </w:t>
      </w:r>
      <w:r>
        <w:rPr>
          <w:color w:val="262626" w:themeColor="text1" w:themeTint="D9"/>
          <w:lang w:val="sr-Cyrl-CS"/>
        </w:rPr>
        <w:t>finansijskih</w:t>
      </w:r>
      <w:r w:rsidR="00A278FF" w:rsidRPr="00E95BC4">
        <w:rPr>
          <w:color w:val="262626" w:themeColor="text1" w:themeTint="D9"/>
          <w:lang w:val="sr-Cyrl-CS"/>
        </w:rPr>
        <w:t xml:space="preserve"> </w:t>
      </w:r>
      <w:r>
        <w:rPr>
          <w:color w:val="262626" w:themeColor="text1" w:themeTint="D9"/>
          <w:lang w:val="sr-Cyrl-CS"/>
        </w:rPr>
        <w:t>sankcija</w:t>
      </w:r>
      <w:r w:rsidR="00A278FF" w:rsidRPr="00E95BC4">
        <w:rPr>
          <w:color w:val="262626" w:themeColor="text1" w:themeTint="D9"/>
          <w:lang w:val="sr-Cyrl-CS"/>
        </w:rPr>
        <w:t xml:space="preserve"> </w:t>
      </w:r>
      <w:r>
        <w:rPr>
          <w:color w:val="262626" w:themeColor="text1" w:themeTint="D9"/>
          <w:lang w:val="sr-Cyrl-CS"/>
        </w:rPr>
        <w:t>i</w:t>
      </w:r>
      <w:r w:rsidR="00A278FF" w:rsidRPr="00E95BC4">
        <w:rPr>
          <w:color w:val="262626" w:themeColor="text1" w:themeTint="D9"/>
          <w:lang w:val="sr-Cyrl-CS"/>
        </w:rPr>
        <w:t xml:space="preserve"> </w:t>
      </w:r>
      <w:r>
        <w:rPr>
          <w:color w:val="262626" w:themeColor="text1" w:themeTint="D9"/>
          <w:lang w:val="sr-Cyrl-CS"/>
        </w:rPr>
        <w:t>nadzora</w:t>
      </w:r>
      <w:r w:rsidR="00A278FF" w:rsidRPr="00E95BC4">
        <w:rPr>
          <w:color w:val="262626" w:themeColor="text1" w:themeTint="D9"/>
          <w:lang w:val="sr-Cyrl-CS"/>
        </w:rPr>
        <w:t xml:space="preserve"> </w:t>
      </w:r>
      <w:r>
        <w:rPr>
          <w:color w:val="262626" w:themeColor="text1" w:themeTint="D9"/>
          <w:lang w:val="sr-Cyrl-CS"/>
        </w:rPr>
        <w:t>nad</w:t>
      </w:r>
      <w:r w:rsidR="00A278FF" w:rsidRPr="00E95BC4">
        <w:rPr>
          <w:color w:val="262626" w:themeColor="text1" w:themeTint="D9"/>
          <w:lang w:val="sr-Cyrl-CS"/>
        </w:rPr>
        <w:t xml:space="preserve"> </w:t>
      </w:r>
      <w:r>
        <w:rPr>
          <w:color w:val="262626" w:themeColor="text1" w:themeTint="D9"/>
          <w:lang w:val="sr-Cyrl-CS"/>
        </w:rPr>
        <w:t>neprofitnim</w:t>
      </w:r>
      <w:r w:rsidR="00A278FF" w:rsidRPr="00E95BC4">
        <w:rPr>
          <w:color w:val="262626" w:themeColor="text1" w:themeTint="D9"/>
          <w:lang w:val="sr-Cyrl-CS"/>
        </w:rPr>
        <w:t xml:space="preserve"> </w:t>
      </w:r>
      <w:r>
        <w:rPr>
          <w:color w:val="262626" w:themeColor="text1" w:themeTint="D9"/>
          <w:lang w:val="sr-Cyrl-CS"/>
        </w:rPr>
        <w:t>sektorom</w:t>
      </w:r>
      <w:r w:rsidR="00A278FF" w:rsidRPr="00E95BC4">
        <w:rPr>
          <w:color w:val="262626" w:themeColor="text1" w:themeTint="D9"/>
          <w:lang w:val="sr-Cyrl-CS"/>
        </w:rPr>
        <w:t xml:space="preserve"> – </w:t>
      </w:r>
      <w:r>
        <w:rPr>
          <w:color w:val="262626" w:themeColor="text1" w:themeTint="D9"/>
          <w:lang w:val="sr-Cyrl-CS"/>
        </w:rPr>
        <w:t>a</w:t>
      </w:r>
      <w:r w:rsidR="00A278FF" w:rsidRPr="00E95BC4">
        <w:rPr>
          <w:color w:val="262626" w:themeColor="text1" w:themeTint="D9"/>
          <w:lang w:val="sr-Cyrl-CS"/>
        </w:rPr>
        <w:t xml:space="preserve"> </w:t>
      </w:r>
      <w:r>
        <w:rPr>
          <w:color w:val="262626" w:themeColor="text1" w:themeTint="D9"/>
          <w:lang w:val="sr-Cyrl-CS"/>
        </w:rPr>
        <w:t>ta</w:t>
      </w:r>
      <w:r w:rsidR="00A278FF" w:rsidRPr="00E95BC4">
        <w:rPr>
          <w:color w:val="262626" w:themeColor="text1" w:themeTint="D9"/>
          <w:lang w:val="sr-Cyrl-CS"/>
        </w:rPr>
        <w:t xml:space="preserve"> </w:t>
      </w:r>
      <w:r>
        <w:rPr>
          <w:color w:val="262626" w:themeColor="text1" w:themeTint="D9"/>
          <w:lang w:val="sr-Cyrl-CS"/>
        </w:rPr>
        <w:t>pitanja</w:t>
      </w:r>
      <w:r w:rsidR="00F83CCF" w:rsidRPr="00E95BC4">
        <w:rPr>
          <w:color w:val="262626" w:themeColor="text1" w:themeTint="D9"/>
          <w:lang w:val="sr-Cyrl-CS"/>
        </w:rPr>
        <w:t xml:space="preserve"> </w:t>
      </w:r>
      <w:r>
        <w:rPr>
          <w:color w:val="262626" w:themeColor="text1" w:themeTint="D9"/>
          <w:lang w:val="sr-Cyrl-CS"/>
        </w:rPr>
        <w:t>su</w:t>
      </w:r>
      <w:r w:rsidR="00F83CCF" w:rsidRPr="00E95BC4">
        <w:rPr>
          <w:color w:val="262626" w:themeColor="text1" w:themeTint="D9"/>
          <w:lang w:val="sr-Cyrl-CS"/>
        </w:rPr>
        <w:t xml:space="preserve"> </w:t>
      </w:r>
      <w:r>
        <w:rPr>
          <w:color w:val="262626" w:themeColor="text1" w:themeTint="D9"/>
          <w:lang w:val="sr-Cyrl-CS"/>
        </w:rPr>
        <w:t>u</w:t>
      </w:r>
      <w:r w:rsidR="00F83CCF" w:rsidRPr="00E95BC4">
        <w:rPr>
          <w:color w:val="262626" w:themeColor="text1" w:themeTint="D9"/>
          <w:lang w:val="sr-Cyrl-CS"/>
        </w:rPr>
        <w:t xml:space="preserve"> </w:t>
      </w:r>
      <w:r>
        <w:rPr>
          <w:color w:val="262626" w:themeColor="text1" w:themeTint="D9"/>
          <w:lang w:val="sr-Cyrl-CS"/>
        </w:rPr>
        <w:t>velikoj</w:t>
      </w:r>
      <w:r w:rsidR="00F83CCF" w:rsidRPr="00E95BC4">
        <w:rPr>
          <w:color w:val="262626" w:themeColor="text1" w:themeTint="D9"/>
          <w:lang w:val="sr-Cyrl-CS"/>
        </w:rPr>
        <w:t xml:space="preserve"> </w:t>
      </w:r>
      <w:r>
        <w:rPr>
          <w:color w:val="262626" w:themeColor="text1" w:themeTint="D9"/>
          <w:lang w:val="sr-Cyrl-CS"/>
        </w:rPr>
        <w:t>meri</w:t>
      </w:r>
      <w:r w:rsidR="00F83CCF" w:rsidRPr="00E95BC4">
        <w:rPr>
          <w:color w:val="262626" w:themeColor="text1" w:themeTint="D9"/>
          <w:lang w:val="sr-Cyrl-CS"/>
        </w:rPr>
        <w:t xml:space="preserve"> </w:t>
      </w:r>
      <w:r>
        <w:rPr>
          <w:color w:val="262626" w:themeColor="text1" w:themeTint="D9"/>
          <w:lang w:val="sr-Cyrl-CS"/>
        </w:rPr>
        <w:t>zaokupila</w:t>
      </w:r>
      <w:r w:rsidR="00A278FF" w:rsidRPr="00E95BC4">
        <w:rPr>
          <w:color w:val="262626" w:themeColor="text1" w:themeTint="D9"/>
          <w:lang w:val="sr-Cyrl-CS"/>
        </w:rPr>
        <w:t xml:space="preserve"> </w:t>
      </w:r>
      <w:r>
        <w:rPr>
          <w:color w:val="262626" w:themeColor="text1" w:themeTint="D9"/>
          <w:lang w:val="sr-Cyrl-CS"/>
        </w:rPr>
        <w:t>pažnju</w:t>
      </w:r>
      <w:r w:rsidR="00A278FF" w:rsidRPr="00E95BC4">
        <w:rPr>
          <w:color w:val="262626" w:themeColor="text1" w:themeTint="D9"/>
          <w:lang w:val="sr-Cyrl-CS"/>
        </w:rPr>
        <w:t xml:space="preserve"> </w:t>
      </w:r>
      <w:r>
        <w:rPr>
          <w:color w:val="262626" w:themeColor="text1" w:themeTint="D9"/>
          <w:lang w:val="sr-Cyrl-CS"/>
        </w:rPr>
        <w:t>čitavog</w:t>
      </w:r>
      <w:r w:rsidR="00A278FF" w:rsidRPr="00E95BC4">
        <w:rPr>
          <w:color w:val="262626" w:themeColor="text1" w:themeTint="D9"/>
          <w:lang w:val="sr-Cyrl-CS"/>
        </w:rPr>
        <w:t xml:space="preserve"> </w:t>
      </w:r>
      <w:r>
        <w:rPr>
          <w:color w:val="262626" w:themeColor="text1" w:themeTint="D9"/>
          <w:lang w:val="sr-Cyrl-CS"/>
        </w:rPr>
        <w:t>sistema</w:t>
      </w:r>
      <w:r w:rsidR="00A278FF" w:rsidRPr="00E95BC4">
        <w:rPr>
          <w:color w:val="262626" w:themeColor="text1" w:themeTint="D9"/>
          <w:lang w:val="sr-Cyrl-CS"/>
        </w:rPr>
        <w:t xml:space="preserve"> </w:t>
      </w:r>
      <w:r>
        <w:rPr>
          <w:color w:val="262626" w:themeColor="text1" w:themeTint="D9"/>
          <w:lang w:val="sr-Cyrl-CS"/>
        </w:rPr>
        <w:t>za</w:t>
      </w:r>
      <w:r w:rsidR="00A278FF" w:rsidRPr="00E95BC4">
        <w:rPr>
          <w:color w:val="262626" w:themeColor="text1" w:themeTint="D9"/>
          <w:lang w:val="sr-Cyrl-CS"/>
        </w:rPr>
        <w:t xml:space="preserve"> </w:t>
      </w:r>
      <w:r>
        <w:rPr>
          <w:color w:val="262626" w:themeColor="text1" w:themeTint="D9"/>
          <w:lang w:val="sr-Cyrl-CS"/>
        </w:rPr>
        <w:t>borbu</w:t>
      </w:r>
      <w:r w:rsidR="00A278FF" w:rsidRPr="00E95BC4">
        <w:rPr>
          <w:color w:val="262626" w:themeColor="text1" w:themeTint="D9"/>
          <w:lang w:val="sr-Cyrl-CS"/>
        </w:rPr>
        <w:t xml:space="preserve"> </w:t>
      </w:r>
      <w:r>
        <w:rPr>
          <w:color w:val="262626" w:themeColor="text1" w:themeTint="D9"/>
          <w:lang w:val="sr-Cyrl-CS"/>
        </w:rPr>
        <w:t>protiv</w:t>
      </w:r>
      <w:r w:rsidR="00A278FF" w:rsidRPr="00E95BC4">
        <w:rPr>
          <w:color w:val="262626" w:themeColor="text1" w:themeTint="D9"/>
          <w:lang w:val="sr-Cyrl-CS"/>
        </w:rPr>
        <w:t xml:space="preserve"> </w:t>
      </w:r>
      <w:r>
        <w:rPr>
          <w:color w:val="262626" w:themeColor="text1" w:themeTint="D9"/>
          <w:lang w:val="sr-Cyrl-CS"/>
        </w:rPr>
        <w:t>pranja</w:t>
      </w:r>
      <w:r w:rsidR="00A278FF" w:rsidRPr="00E95BC4">
        <w:rPr>
          <w:color w:val="262626" w:themeColor="text1" w:themeTint="D9"/>
          <w:lang w:val="sr-Cyrl-CS"/>
        </w:rPr>
        <w:t xml:space="preserve"> </w:t>
      </w:r>
      <w:r>
        <w:rPr>
          <w:color w:val="262626" w:themeColor="text1" w:themeTint="D9"/>
          <w:lang w:val="sr-Cyrl-CS"/>
        </w:rPr>
        <w:t>novca</w:t>
      </w:r>
      <w:r w:rsidR="00A278FF" w:rsidRPr="00E95BC4">
        <w:rPr>
          <w:color w:val="262626" w:themeColor="text1" w:themeTint="D9"/>
          <w:lang w:val="sr-Cyrl-CS"/>
        </w:rPr>
        <w:t xml:space="preserve"> </w:t>
      </w:r>
      <w:r>
        <w:rPr>
          <w:color w:val="262626" w:themeColor="text1" w:themeTint="D9"/>
          <w:lang w:val="sr-Cyrl-CS"/>
        </w:rPr>
        <w:t>i</w:t>
      </w:r>
      <w:r w:rsidR="00A278FF" w:rsidRPr="00E95BC4">
        <w:rPr>
          <w:color w:val="262626" w:themeColor="text1" w:themeTint="D9"/>
          <w:lang w:val="sr-Cyrl-CS"/>
        </w:rPr>
        <w:t xml:space="preserve"> </w:t>
      </w:r>
      <w:r>
        <w:rPr>
          <w:color w:val="262626" w:themeColor="text1" w:themeTint="D9"/>
          <w:lang w:val="sr-Cyrl-CS"/>
        </w:rPr>
        <w:t>finansiranja</w:t>
      </w:r>
      <w:r w:rsidR="00A278FF" w:rsidRPr="00E95BC4">
        <w:rPr>
          <w:color w:val="262626" w:themeColor="text1" w:themeTint="D9"/>
          <w:lang w:val="sr-Cyrl-CS"/>
        </w:rPr>
        <w:t xml:space="preserve"> </w:t>
      </w:r>
      <w:r>
        <w:rPr>
          <w:color w:val="262626" w:themeColor="text1" w:themeTint="D9"/>
          <w:lang w:val="sr-Cyrl-CS"/>
        </w:rPr>
        <w:t>terorizma</w:t>
      </w:r>
      <w:r w:rsidR="00A278FF" w:rsidRPr="00E95BC4">
        <w:rPr>
          <w:color w:val="262626" w:themeColor="text1" w:themeTint="D9"/>
          <w:lang w:val="sr-Cyrl-CS"/>
        </w:rPr>
        <w:t xml:space="preserve">, </w:t>
      </w:r>
      <w:r>
        <w:rPr>
          <w:color w:val="262626" w:themeColor="text1" w:themeTint="D9"/>
          <w:lang w:val="sr-Cyrl-CS"/>
        </w:rPr>
        <w:t>pre</w:t>
      </w:r>
      <w:r w:rsidR="00A278FF" w:rsidRPr="00E95BC4">
        <w:rPr>
          <w:color w:val="262626" w:themeColor="text1" w:themeTint="D9"/>
          <w:lang w:val="sr-Cyrl-CS"/>
        </w:rPr>
        <w:t xml:space="preserve"> </w:t>
      </w:r>
      <w:r>
        <w:rPr>
          <w:color w:val="262626" w:themeColor="text1" w:themeTint="D9"/>
          <w:lang w:val="sr-Cyrl-CS"/>
        </w:rPr>
        <w:t>svega</w:t>
      </w:r>
      <w:r w:rsidR="00A278FF" w:rsidRPr="00E95BC4">
        <w:rPr>
          <w:color w:val="262626" w:themeColor="text1" w:themeTint="D9"/>
          <w:lang w:val="sr-Cyrl-CS"/>
        </w:rPr>
        <w:t xml:space="preserve"> </w:t>
      </w:r>
      <w:r>
        <w:rPr>
          <w:color w:val="262626" w:themeColor="text1" w:themeTint="D9"/>
          <w:lang w:val="sr-Cyrl-CS"/>
        </w:rPr>
        <w:t>u</w:t>
      </w:r>
      <w:r w:rsidR="00A278FF" w:rsidRPr="00E95BC4">
        <w:rPr>
          <w:color w:val="262626" w:themeColor="text1" w:themeTint="D9"/>
          <w:lang w:val="sr-Cyrl-CS"/>
        </w:rPr>
        <w:t xml:space="preserve"> </w:t>
      </w:r>
      <w:r>
        <w:rPr>
          <w:color w:val="262626" w:themeColor="text1" w:themeTint="D9"/>
          <w:lang w:val="sr-Cyrl-CS"/>
        </w:rPr>
        <w:t>cilju</w:t>
      </w:r>
      <w:r w:rsidR="00A278FF" w:rsidRPr="00E95BC4">
        <w:rPr>
          <w:color w:val="262626" w:themeColor="text1" w:themeTint="D9"/>
          <w:lang w:val="sr-Cyrl-CS"/>
        </w:rPr>
        <w:t xml:space="preserve"> </w:t>
      </w:r>
      <w:r>
        <w:rPr>
          <w:color w:val="262626" w:themeColor="text1" w:themeTint="D9"/>
          <w:lang w:val="sr-Cyrl-CS"/>
        </w:rPr>
        <w:t>ispunjavanja</w:t>
      </w:r>
      <w:r w:rsidR="00A278FF" w:rsidRPr="00E95BC4">
        <w:rPr>
          <w:color w:val="262626" w:themeColor="text1" w:themeTint="D9"/>
          <w:lang w:val="sr-Cyrl-CS"/>
        </w:rPr>
        <w:t xml:space="preserve"> </w:t>
      </w:r>
      <w:r>
        <w:rPr>
          <w:color w:val="262626" w:themeColor="text1" w:themeTint="D9"/>
          <w:lang w:val="sr-Cyrl-CS"/>
        </w:rPr>
        <w:t>međunarodnih</w:t>
      </w:r>
      <w:r w:rsidR="00A278FF" w:rsidRPr="00E95BC4">
        <w:rPr>
          <w:color w:val="262626" w:themeColor="text1" w:themeTint="D9"/>
          <w:lang w:val="sr-Cyrl-CS"/>
        </w:rPr>
        <w:t xml:space="preserve"> </w:t>
      </w:r>
      <w:r>
        <w:rPr>
          <w:color w:val="262626" w:themeColor="text1" w:themeTint="D9"/>
          <w:lang w:val="sr-Cyrl-CS"/>
        </w:rPr>
        <w:t>standarda</w:t>
      </w:r>
      <w:r w:rsidR="00A278FF" w:rsidRPr="00E95BC4">
        <w:rPr>
          <w:color w:val="262626" w:themeColor="text1" w:themeTint="D9"/>
          <w:lang w:val="sr-Cyrl-CS"/>
        </w:rPr>
        <w:t xml:space="preserve">. </w:t>
      </w:r>
      <w:r>
        <w:rPr>
          <w:color w:val="262626" w:themeColor="text1" w:themeTint="D9"/>
          <w:lang w:val="sr-Cyrl-CS"/>
        </w:rPr>
        <w:t>I</w:t>
      </w:r>
      <w:r w:rsidR="00A278FF" w:rsidRPr="00E95BC4">
        <w:rPr>
          <w:color w:val="262626" w:themeColor="text1" w:themeTint="D9"/>
          <w:lang w:val="sr-Cyrl-CS"/>
        </w:rPr>
        <w:t xml:space="preserve"> </w:t>
      </w:r>
      <w:r>
        <w:rPr>
          <w:color w:val="262626" w:themeColor="text1" w:themeTint="D9"/>
          <w:lang w:val="sr-Cyrl-CS"/>
        </w:rPr>
        <w:t>što</w:t>
      </w:r>
      <w:r w:rsidR="00A278FF" w:rsidRPr="00E95BC4">
        <w:rPr>
          <w:color w:val="262626" w:themeColor="text1" w:themeTint="D9"/>
          <w:lang w:val="sr-Cyrl-CS"/>
        </w:rPr>
        <w:t xml:space="preserve"> </w:t>
      </w:r>
      <w:r>
        <w:rPr>
          <w:color w:val="262626" w:themeColor="text1" w:themeTint="D9"/>
          <w:lang w:val="sr-Cyrl-CS"/>
        </w:rPr>
        <w:t>je</w:t>
      </w:r>
      <w:r w:rsidR="00A278FF" w:rsidRPr="00E95BC4">
        <w:rPr>
          <w:color w:val="262626" w:themeColor="text1" w:themeTint="D9"/>
          <w:lang w:val="sr-Cyrl-CS"/>
        </w:rPr>
        <w:t xml:space="preserve"> </w:t>
      </w:r>
      <w:r>
        <w:rPr>
          <w:color w:val="262626" w:themeColor="text1" w:themeTint="D9"/>
          <w:lang w:val="sr-Cyrl-CS"/>
        </w:rPr>
        <w:t>izuzetno</w:t>
      </w:r>
      <w:r w:rsidR="00A278FF" w:rsidRPr="00E95BC4">
        <w:rPr>
          <w:color w:val="262626" w:themeColor="text1" w:themeTint="D9"/>
          <w:lang w:val="sr-Cyrl-CS"/>
        </w:rPr>
        <w:t xml:space="preserve"> </w:t>
      </w:r>
      <w:r>
        <w:rPr>
          <w:color w:val="262626" w:themeColor="text1" w:themeTint="D9"/>
          <w:lang w:val="sr-Cyrl-CS"/>
        </w:rPr>
        <w:t>značajno</w:t>
      </w:r>
      <w:r w:rsidR="00A278FF" w:rsidRPr="00E95BC4">
        <w:rPr>
          <w:color w:val="262626" w:themeColor="text1" w:themeTint="D9"/>
          <w:lang w:val="sr-Cyrl-CS"/>
        </w:rPr>
        <w:t xml:space="preserve">, </w:t>
      </w:r>
      <w:r>
        <w:rPr>
          <w:color w:val="262626" w:themeColor="text1" w:themeTint="D9"/>
          <w:lang w:val="sr-Cyrl-CS"/>
        </w:rPr>
        <w:t>te</w:t>
      </w:r>
      <w:r w:rsidR="00A278FF" w:rsidRPr="00E95BC4">
        <w:rPr>
          <w:color w:val="262626" w:themeColor="text1" w:themeTint="D9"/>
          <w:lang w:val="sr-Cyrl-CS"/>
        </w:rPr>
        <w:t xml:space="preserve"> </w:t>
      </w:r>
      <w:r>
        <w:rPr>
          <w:color w:val="262626" w:themeColor="text1" w:themeTint="D9"/>
          <w:lang w:val="sr-Cyrl-CS"/>
        </w:rPr>
        <w:t>oblasti</w:t>
      </w:r>
      <w:r w:rsidR="00A278FF" w:rsidRPr="00E95BC4">
        <w:rPr>
          <w:color w:val="262626" w:themeColor="text1" w:themeTint="D9"/>
          <w:lang w:val="sr-Cyrl-CS"/>
        </w:rPr>
        <w:t xml:space="preserve"> – </w:t>
      </w:r>
      <w:r>
        <w:rPr>
          <w:color w:val="262626" w:themeColor="text1" w:themeTint="D9"/>
          <w:lang w:val="sr-Cyrl-CS"/>
        </w:rPr>
        <w:t>radi</w:t>
      </w:r>
      <w:r w:rsidR="00A278FF" w:rsidRPr="00E95BC4">
        <w:rPr>
          <w:color w:val="262626" w:themeColor="text1" w:themeTint="D9"/>
          <w:lang w:val="sr-Cyrl-CS"/>
        </w:rPr>
        <w:t xml:space="preserve"> </w:t>
      </w:r>
      <w:r>
        <w:rPr>
          <w:color w:val="262626" w:themeColor="text1" w:themeTint="D9"/>
          <w:lang w:val="sr-Cyrl-CS"/>
        </w:rPr>
        <w:t>se</w:t>
      </w:r>
      <w:r w:rsidR="00A278FF" w:rsidRPr="00E95BC4">
        <w:rPr>
          <w:color w:val="262626" w:themeColor="text1" w:themeTint="D9"/>
          <w:lang w:val="sr-Cyrl-CS"/>
        </w:rPr>
        <w:t xml:space="preserve"> </w:t>
      </w:r>
      <w:r>
        <w:rPr>
          <w:color w:val="262626" w:themeColor="text1" w:themeTint="D9"/>
          <w:lang w:val="sr-Cyrl-CS"/>
        </w:rPr>
        <w:t>o</w:t>
      </w:r>
      <w:r w:rsidR="00A278FF" w:rsidRPr="00E95BC4">
        <w:rPr>
          <w:color w:val="262626" w:themeColor="text1" w:themeTint="D9"/>
          <w:lang w:val="sr-Cyrl-CS"/>
        </w:rPr>
        <w:t xml:space="preserve"> </w:t>
      </w:r>
      <w:r>
        <w:rPr>
          <w:color w:val="262626" w:themeColor="text1" w:themeTint="D9"/>
          <w:lang w:val="sr-Cyrl-CS"/>
        </w:rPr>
        <w:t>tzv</w:t>
      </w:r>
      <w:r w:rsidR="00A278FF" w:rsidRPr="00E95BC4">
        <w:rPr>
          <w:color w:val="262626" w:themeColor="text1" w:themeTint="D9"/>
          <w:lang w:val="sr-Cyrl-CS"/>
        </w:rPr>
        <w:t xml:space="preserve">. </w:t>
      </w:r>
      <w:r>
        <w:rPr>
          <w:color w:val="262626" w:themeColor="text1" w:themeTint="D9"/>
          <w:lang w:val="sr-Cyrl-CS"/>
        </w:rPr>
        <w:t>neposrednim</w:t>
      </w:r>
      <w:r w:rsidR="00A278FF" w:rsidRPr="00E95BC4">
        <w:rPr>
          <w:color w:val="262626" w:themeColor="text1" w:themeTint="D9"/>
          <w:lang w:val="sr-Cyrl-CS"/>
        </w:rPr>
        <w:t xml:space="preserve"> </w:t>
      </w:r>
      <w:r>
        <w:rPr>
          <w:color w:val="262626" w:themeColor="text1" w:themeTint="D9"/>
          <w:lang w:val="sr-Cyrl-CS"/>
        </w:rPr>
        <w:t>ishodima</w:t>
      </w:r>
      <w:r w:rsidR="00A278FF" w:rsidRPr="00E95BC4">
        <w:rPr>
          <w:color w:val="262626" w:themeColor="text1" w:themeTint="D9"/>
          <w:lang w:val="sr-Cyrl-CS"/>
        </w:rPr>
        <w:t xml:space="preserve"> 10 </w:t>
      </w:r>
      <w:r>
        <w:rPr>
          <w:color w:val="262626" w:themeColor="text1" w:themeTint="D9"/>
          <w:lang w:val="sr-Cyrl-CS"/>
        </w:rPr>
        <w:t>i</w:t>
      </w:r>
      <w:r w:rsidR="00A278FF" w:rsidRPr="00E95BC4">
        <w:rPr>
          <w:color w:val="262626" w:themeColor="text1" w:themeTint="D9"/>
          <w:lang w:val="sr-Cyrl-CS"/>
        </w:rPr>
        <w:t xml:space="preserve"> 11 </w:t>
      </w:r>
      <w:r>
        <w:rPr>
          <w:color w:val="262626" w:themeColor="text1" w:themeTint="D9"/>
          <w:lang w:val="sr-Cyrl-CS"/>
        </w:rPr>
        <w:t>iz</w:t>
      </w:r>
      <w:r w:rsidR="00A278FF" w:rsidRPr="00E95BC4">
        <w:rPr>
          <w:color w:val="262626" w:themeColor="text1" w:themeTint="D9"/>
          <w:lang w:val="sr-Cyrl-CS"/>
        </w:rPr>
        <w:t xml:space="preserve"> </w:t>
      </w:r>
      <w:r>
        <w:rPr>
          <w:color w:val="262626" w:themeColor="text1" w:themeTint="D9"/>
          <w:lang w:val="sr-Cyrl-CS"/>
        </w:rPr>
        <w:t>Metodologije</w:t>
      </w:r>
      <w:r w:rsidR="00A278FF" w:rsidRPr="00E95BC4">
        <w:rPr>
          <w:color w:val="262626" w:themeColor="text1" w:themeTint="D9"/>
          <w:lang w:val="sr-Cyrl-CS"/>
        </w:rPr>
        <w:t xml:space="preserve"> </w:t>
      </w:r>
      <w:r>
        <w:rPr>
          <w:color w:val="262626" w:themeColor="text1" w:themeTint="D9"/>
          <w:lang w:val="sr-Cyrl-CS"/>
        </w:rPr>
        <w:t>FATF</w:t>
      </w:r>
      <w:r w:rsidR="00A278FF" w:rsidRPr="00E95BC4">
        <w:rPr>
          <w:rStyle w:val="FootnoteReference"/>
          <w:color w:val="262626" w:themeColor="text1" w:themeTint="D9"/>
          <w:lang w:val="sr-Cyrl-CS"/>
        </w:rPr>
        <w:footnoteReference w:id="23"/>
      </w:r>
      <w:r w:rsidR="00A278FF" w:rsidRPr="00E95BC4">
        <w:rPr>
          <w:color w:val="262626" w:themeColor="text1" w:themeTint="D9"/>
          <w:lang w:val="sr-Cyrl-CS"/>
        </w:rPr>
        <w:t xml:space="preserve"> - </w:t>
      </w:r>
      <w:r>
        <w:rPr>
          <w:color w:val="262626" w:themeColor="text1" w:themeTint="D9"/>
          <w:lang w:val="sr-Cyrl-CS"/>
        </w:rPr>
        <w:t>ocenjene</w:t>
      </w:r>
      <w:r w:rsidR="00A278FF" w:rsidRPr="00E95BC4">
        <w:rPr>
          <w:color w:val="262626" w:themeColor="text1" w:themeTint="D9"/>
          <w:lang w:val="sr-Cyrl-CS"/>
        </w:rPr>
        <w:t xml:space="preserve"> </w:t>
      </w:r>
      <w:r>
        <w:rPr>
          <w:color w:val="262626" w:themeColor="text1" w:themeTint="D9"/>
          <w:lang w:val="sr-Cyrl-CS"/>
        </w:rPr>
        <w:t>su</w:t>
      </w:r>
      <w:r w:rsidR="00A278FF" w:rsidRPr="00E95BC4">
        <w:rPr>
          <w:color w:val="262626" w:themeColor="text1" w:themeTint="D9"/>
          <w:lang w:val="sr-Cyrl-CS"/>
        </w:rPr>
        <w:t xml:space="preserve"> </w:t>
      </w:r>
      <w:r>
        <w:rPr>
          <w:color w:val="262626" w:themeColor="text1" w:themeTint="D9"/>
          <w:lang w:val="sr-Cyrl-CS"/>
        </w:rPr>
        <w:t>u</w:t>
      </w:r>
      <w:r w:rsidR="00A278FF" w:rsidRPr="00E95BC4">
        <w:rPr>
          <w:color w:val="262626" w:themeColor="text1" w:themeTint="D9"/>
          <w:lang w:val="sr-Cyrl-CS"/>
        </w:rPr>
        <w:t xml:space="preserve"> </w:t>
      </w:r>
      <w:r>
        <w:rPr>
          <w:color w:val="262626" w:themeColor="text1" w:themeTint="D9"/>
          <w:lang w:val="sr-Cyrl-CS"/>
        </w:rPr>
        <w:t>međunarodnom</w:t>
      </w:r>
      <w:r w:rsidR="00A278FF" w:rsidRPr="00E95BC4">
        <w:rPr>
          <w:color w:val="262626" w:themeColor="text1" w:themeTint="D9"/>
          <w:lang w:val="sr-Cyrl-CS"/>
        </w:rPr>
        <w:t xml:space="preserve"> </w:t>
      </w:r>
      <w:r>
        <w:rPr>
          <w:color w:val="262626" w:themeColor="text1" w:themeTint="D9"/>
          <w:lang w:val="sr-Cyrl-CS"/>
        </w:rPr>
        <w:t>kontekstu</w:t>
      </w:r>
      <w:r w:rsidR="00A278FF" w:rsidRPr="00E95BC4">
        <w:rPr>
          <w:color w:val="262626" w:themeColor="text1" w:themeTint="D9"/>
          <w:lang w:val="sr-Cyrl-CS"/>
        </w:rPr>
        <w:t xml:space="preserve"> </w:t>
      </w:r>
      <w:r>
        <w:rPr>
          <w:color w:val="262626" w:themeColor="text1" w:themeTint="D9"/>
          <w:lang w:val="sr-Cyrl-CS"/>
        </w:rPr>
        <w:t>kao</w:t>
      </w:r>
      <w:r w:rsidR="00A278FF" w:rsidRPr="00E95BC4">
        <w:rPr>
          <w:color w:val="262626" w:themeColor="text1" w:themeTint="D9"/>
          <w:lang w:val="sr-Cyrl-CS"/>
        </w:rPr>
        <w:t xml:space="preserve"> </w:t>
      </w:r>
      <w:r>
        <w:rPr>
          <w:color w:val="262626" w:themeColor="text1" w:themeTint="D9"/>
          <w:lang w:val="sr-Cyrl-CS"/>
        </w:rPr>
        <w:t>izuzetno</w:t>
      </w:r>
      <w:r w:rsidR="00A278FF" w:rsidRPr="00E95BC4">
        <w:rPr>
          <w:color w:val="262626" w:themeColor="text1" w:themeTint="D9"/>
          <w:lang w:val="sr-Cyrl-CS"/>
        </w:rPr>
        <w:t xml:space="preserve"> </w:t>
      </w:r>
      <w:r>
        <w:rPr>
          <w:color w:val="262626" w:themeColor="text1" w:themeTint="D9"/>
          <w:lang w:val="sr-Cyrl-CS"/>
        </w:rPr>
        <w:t>pozitivno</w:t>
      </w:r>
      <w:r w:rsidR="00A278FF" w:rsidRPr="00E95BC4">
        <w:rPr>
          <w:color w:val="262626" w:themeColor="text1" w:themeTint="D9"/>
          <w:lang w:val="sr-Cyrl-CS"/>
        </w:rPr>
        <w:t xml:space="preserve"> </w:t>
      </w:r>
      <w:r>
        <w:rPr>
          <w:color w:val="262626" w:themeColor="text1" w:themeTint="D9"/>
          <w:lang w:val="sr-Cyrl-CS"/>
        </w:rPr>
        <w:t>rešene</w:t>
      </w:r>
      <w:r w:rsidR="00A278FF" w:rsidRPr="00E95BC4">
        <w:rPr>
          <w:color w:val="262626" w:themeColor="text1" w:themeTint="D9"/>
          <w:lang w:val="sr-Cyrl-CS"/>
        </w:rPr>
        <w:t xml:space="preserve"> </w:t>
      </w:r>
      <w:r>
        <w:rPr>
          <w:color w:val="262626" w:themeColor="text1" w:themeTint="D9"/>
          <w:lang w:val="sr-Cyrl-CS"/>
        </w:rPr>
        <w:t>sa</w:t>
      </w:r>
      <w:r w:rsidR="00A278FF" w:rsidRPr="00E95BC4">
        <w:rPr>
          <w:color w:val="262626" w:themeColor="text1" w:themeTint="D9"/>
          <w:lang w:val="sr-Cyrl-CS"/>
        </w:rPr>
        <w:t xml:space="preserve"> </w:t>
      </w:r>
      <w:r>
        <w:rPr>
          <w:color w:val="262626" w:themeColor="text1" w:themeTint="D9"/>
          <w:lang w:val="sr-Cyrl-CS"/>
        </w:rPr>
        <w:t>stanovišta</w:t>
      </w:r>
      <w:r w:rsidR="00A278FF" w:rsidRPr="00E95BC4">
        <w:rPr>
          <w:color w:val="262626" w:themeColor="text1" w:themeTint="D9"/>
          <w:lang w:val="sr-Cyrl-CS"/>
        </w:rPr>
        <w:t xml:space="preserve"> </w:t>
      </w:r>
      <w:r>
        <w:rPr>
          <w:color w:val="262626" w:themeColor="text1" w:themeTint="D9"/>
          <w:lang w:val="sr-Cyrl-CS"/>
        </w:rPr>
        <w:t>ispunjenosti</w:t>
      </w:r>
      <w:r w:rsidR="00A278FF" w:rsidRPr="00E95BC4">
        <w:rPr>
          <w:color w:val="262626" w:themeColor="text1" w:themeTint="D9"/>
          <w:lang w:val="sr-Cyrl-CS"/>
        </w:rPr>
        <w:t xml:space="preserve"> </w:t>
      </w:r>
      <w:r>
        <w:rPr>
          <w:color w:val="262626" w:themeColor="text1" w:themeTint="D9"/>
          <w:lang w:val="sr-Cyrl-CS"/>
        </w:rPr>
        <w:t>međunarodnih</w:t>
      </w:r>
      <w:r w:rsidR="00A278FF" w:rsidRPr="00E95BC4">
        <w:rPr>
          <w:color w:val="262626" w:themeColor="text1" w:themeTint="D9"/>
          <w:lang w:val="sr-Cyrl-CS"/>
        </w:rPr>
        <w:t xml:space="preserve"> </w:t>
      </w:r>
      <w:r>
        <w:rPr>
          <w:color w:val="262626" w:themeColor="text1" w:themeTint="D9"/>
          <w:lang w:val="sr-Cyrl-CS"/>
        </w:rPr>
        <w:t>standarda</w:t>
      </w:r>
      <w:r w:rsidR="00A278FF" w:rsidRPr="00E95BC4">
        <w:rPr>
          <w:color w:val="262626" w:themeColor="text1" w:themeTint="D9"/>
          <w:lang w:val="sr-Cyrl-CS"/>
        </w:rPr>
        <w:t xml:space="preserve"> </w:t>
      </w:r>
      <w:r>
        <w:rPr>
          <w:color w:val="262626" w:themeColor="text1" w:themeTint="D9"/>
          <w:lang w:val="sr-Cyrl-CS"/>
        </w:rPr>
        <w:t>i</w:t>
      </w:r>
      <w:r w:rsidR="00A278FF" w:rsidRPr="00E95BC4">
        <w:rPr>
          <w:color w:val="262626" w:themeColor="text1" w:themeTint="D9"/>
          <w:lang w:val="sr-Cyrl-CS"/>
        </w:rPr>
        <w:t xml:space="preserve"> </w:t>
      </w:r>
      <w:r>
        <w:rPr>
          <w:color w:val="262626" w:themeColor="text1" w:themeTint="D9"/>
          <w:lang w:val="sr-Cyrl-CS"/>
        </w:rPr>
        <w:t>što</w:t>
      </w:r>
      <w:r w:rsidR="00A278FF" w:rsidRPr="00E95BC4">
        <w:rPr>
          <w:color w:val="262626" w:themeColor="text1" w:themeTint="D9"/>
          <w:lang w:val="sr-Cyrl-CS"/>
        </w:rPr>
        <w:t xml:space="preserve"> </w:t>
      </w:r>
      <w:r>
        <w:rPr>
          <w:color w:val="262626" w:themeColor="text1" w:themeTint="D9"/>
          <w:lang w:val="sr-Cyrl-CS"/>
        </w:rPr>
        <w:t>je</w:t>
      </w:r>
      <w:r w:rsidR="00A278FF" w:rsidRPr="00E95BC4">
        <w:rPr>
          <w:color w:val="262626" w:themeColor="text1" w:themeTint="D9"/>
          <w:lang w:val="sr-Cyrl-CS"/>
        </w:rPr>
        <w:t xml:space="preserve"> </w:t>
      </w:r>
      <w:r>
        <w:rPr>
          <w:color w:val="262626" w:themeColor="text1" w:themeTint="D9"/>
          <w:lang w:val="sr-Cyrl-CS"/>
        </w:rPr>
        <w:t>najvažnije</w:t>
      </w:r>
      <w:r w:rsidR="00A278FF" w:rsidRPr="00E95BC4">
        <w:rPr>
          <w:color w:val="262626" w:themeColor="text1" w:themeTint="D9"/>
          <w:lang w:val="sr-Cyrl-CS"/>
        </w:rPr>
        <w:t xml:space="preserve"> </w:t>
      </w:r>
      <w:r>
        <w:rPr>
          <w:color w:val="262626" w:themeColor="text1" w:themeTint="D9"/>
          <w:lang w:val="sr-Cyrl-CS"/>
        </w:rPr>
        <w:t>sa</w:t>
      </w:r>
      <w:r w:rsidR="00A278FF" w:rsidRPr="00E95BC4">
        <w:rPr>
          <w:color w:val="262626" w:themeColor="text1" w:themeTint="D9"/>
          <w:lang w:val="sr-Cyrl-CS"/>
        </w:rPr>
        <w:t xml:space="preserve"> </w:t>
      </w:r>
      <w:r>
        <w:rPr>
          <w:color w:val="262626" w:themeColor="text1" w:themeTint="D9"/>
          <w:lang w:val="sr-Cyrl-CS"/>
        </w:rPr>
        <w:t>stanovišta</w:t>
      </w:r>
      <w:r w:rsidR="00A278FF" w:rsidRPr="00E95BC4">
        <w:rPr>
          <w:color w:val="262626" w:themeColor="text1" w:themeTint="D9"/>
          <w:lang w:val="sr-Cyrl-CS"/>
        </w:rPr>
        <w:t xml:space="preserve"> </w:t>
      </w:r>
      <w:r>
        <w:rPr>
          <w:color w:val="262626" w:themeColor="text1" w:themeTint="D9"/>
          <w:lang w:val="sr-Cyrl-CS"/>
        </w:rPr>
        <w:t>delotvornosti</w:t>
      </w:r>
      <w:r w:rsidR="00A278FF" w:rsidRPr="00E95BC4">
        <w:rPr>
          <w:color w:val="262626" w:themeColor="text1" w:themeTint="D9"/>
          <w:lang w:val="sr-Cyrl-CS"/>
        </w:rPr>
        <w:t xml:space="preserve"> </w:t>
      </w:r>
      <w:r>
        <w:rPr>
          <w:color w:val="262626" w:themeColor="text1" w:themeTint="D9"/>
          <w:lang w:val="sr-Cyrl-CS"/>
        </w:rPr>
        <w:t>sistema</w:t>
      </w:r>
      <w:r w:rsidR="00A278FF" w:rsidRPr="00E95BC4">
        <w:rPr>
          <w:color w:val="262626" w:themeColor="text1" w:themeTint="D9"/>
          <w:lang w:val="sr-Cyrl-CS"/>
        </w:rPr>
        <w:t xml:space="preserve"> (</w:t>
      </w:r>
      <w:r>
        <w:rPr>
          <w:color w:val="262626" w:themeColor="text1" w:themeTint="D9"/>
          <w:lang w:val="sr-Cyrl-CS"/>
        </w:rPr>
        <w:t>primene</w:t>
      </w:r>
      <w:r w:rsidR="00A278FF" w:rsidRPr="00E95BC4">
        <w:rPr>
          <w:color w:val="262626" w:themeColor="text1" w:themeTint="D9"/>
          <w:lang w:val="sr-Cyrl-CS"/>
        </w:rPr>
        <w:t xml:space="preserve"> </w:t>
      </w:r>
      <w:r>
        <w:rPr>
          <w:color w:val="262626" w:themeColor="text1" w:themeTint="D9"/>
          <w:lang w:val="sr-Cyrl-CS"/>
        </w:rPr>
        <w:t>propisa</w:t>
      </w:r>
      <w:r w:rsidR="00A278FF" w:rsidRPr="00E95BC4">
        <w:rPr>
          <w:color w:val="262626" w:themeColor="text1" w:themeTint="D9"/>
          <w:lang w:val="sr-Cyrl-CS"/>
        </w:rPr>
        <w:t>).</w:t>
      </w:r>
    </w:p>
    <w:p w:rsidR="00A278FF" w:rsidRPr="00E95BC4" w:rsidRDefault="005818C0" w:rsidP="00285FD7">
      <w:pPr>
        <w:ind w:firstLine="720"/>
        <w:jc w:val="both"/>
        <w:rPr>
          <w:color w:val="262626" w:themeColor="text1" w:themeTint="D9"/>
          <w:lang w:val="sr-Cyrl-CS"/>
        </w:rPr>
      </w:pPr>
      <w:r>
        <w:rPr>
          <w:color w:val="262626" w:themeColor="text1" w:themeTint="D9"/>
          <w:lang w:val="sr-Cyrl-CS"/>
        </w:rPr>
        <w:t>Otuda</w:t>
      </w:r>
      <w:r w:rsidR="00A278FF" w:rsidRPr="00E95BC4">
        <w:rPr>
          <w:color w:val="262626" w:themeColor="text1" w:themeTint="D9"/>
          <w:lang w:val="sr-Cyrl-CS"/>
        </w:rPr>
        <w:t xml:space="preserve"> </w:t>
      </w:r>
      <w:r>
        <w:rPr>
          <w:color w:val="262626" w:themeColor="text1" w:themeTint="D9"/>
          <w:lang w:val="sr-Cyrl-CS"/>
        </w:rPr>
        <w:t>i</w:t>
      </w:r>
      <w:r w:rsidR="00A278FF" w:rsidRPr="00E95BC4">
        <w:rPr>
          <w:color w:val="262626" w:themeColor="text1" w:themeTint="D9"/>
          <w:lang w:val="sr-Cyrl-CS"/>
        </w:rPr>
        <w:t xml:space="preserve"> </w:t>
      </w:r>
      <w:r>
        <w:rPr>
          <w:color w:val="262626" w:themeColor="text1" w:themeTint="D9"/>
          <w:lang w:val="sr-Cyrl-CS"/>
        </w:rPr>
        <w:t>napred</w:t>
      </w:r>
      <w:r w:rsidR="00A278FF" w:rsidRPr="00E95BC4">
        <w:rPr>
          <w:color w:val="262626" w:themeColor="text1" w:themeTint="D9"/>
          <w:lang w:val="sr-Cyrl-CS"/>
        </w:rPr>
        <w:t xml:space="preserve"> </w:t>
      </w:r>
      <w:r>
        <w:rPr>
          <w:color w:val="262626" w:themeColor="text1" w:themeTint="D9"/>
          <w:lang w:val="sr-Cyrl-CS"/>
        </w:rPr>
        <w:t>prikazani</w:t>
      </w:r>
      <w:r w:rsidR="00A278FF" w:rsidRPr="00E95BC4">
        <w:rPr>
          <w:color w:val="262626" w:themeColor="text1" w:themeTint="D9"/>
          <w:lang w:val="sr-Cyrl-CS"/>
        </w:rPr>
        <w:t xml:space="preserve"> </w:t>
      </w:r>
      <w:r>
        <w:rPr>
          <w:color w:val="262626" w:themeColor="text1" w:themeTint="D9"/>
          <w:lang w:val="sr-Cyrl-CS"/>
        </w:rPr>
        <w:t>statistički</w:t>
      </w:r>
      <w:r w:rsidR="00A278FF" w:rsidRPr="00E95BC4">
        <w:rPr>
          <w:color w:val="262626" w:themeColor="text1" w:themeTint="D9"/>
          <w:lang w:val="sr-Cyrl-CS"/>
        </w:rPr>
        <w:t xml:space="preserve"> </w:t>
      </w:r>
      <w:r>
        <w:rPr>
          <w:color w:val="262626" w:themeColor="text1" w:themeTint="D9"/>
          <w:lang w:val="sr-Cyrl-CS"/>
        </w:rPr>
        <w:t>pregled</w:t>
      </w:r>
      <w:r w:rsidR="00A278FF" w:rsidRPr="00E95BC4">
        <w:rPr>
          <w:color w:val="262626" w:themeColor="text1" w:themeTint="D9"/>
          <w:lang w:val="sr-Cyrl-CS"/>
        </w:rPr>
        <w:t xml:space="preserve"> </w:t>
      </w:r>
      <w:r>
        <w:rPr>
          <w:color w:val="262626" w:themeColor="text1" w:themeTint="D9"/>
          <w:lang w:val="sr-Cyrl-CS"/>
        </w:rPr>
        <w:t>ispunjenih</w:t>
      </w:r>
      <w:r w:rsidR="00A278FF" w:rsidRPr="00E95BC4">
        <w:rPr>
          <w:color w:val="262626" w:themeColor="text1" w:themeTint="D9"/>
          <w:lang w:val="sr-Cyrl-CS"/>
        </w:rPr>
        <w:t xml:space="preserve">, </w:t>
      </w:r>
      <w:r>
        <w:rPr>
          <w:color w:val="262626" w:themeColor="text1" w:themeTint="D9"/>
          <w:lang w:val="sr-Cyrl-CS"/>
        </w:rPr>
        <w:t>delimično</w:t>
      </w:r>
      <w:r w:rsidR="00A278FF" w:rsidRPr="00E95BC4">
        <w:rPr>
          <w:color w:val="262626" w:themeColor="text1" w:themeTint="D9"/>
          <w:lang w:val="sr-Cyrl-CS"/>
        </w:rPr>
        <w:t xml:space="preserve"> </w:t>
      </w:r>
      <w:r>
        <w:rPr>
          <w:color w:val="262626" w:themeColor="text1" w:themeTint="D9"/>
          <w:lang w:val="sr-Cyrl-CS"/>
        </w:rPr>
        <w:t>ispunjenih</w:t>
      </w:r>
      <w:r w:rsidR="00A278FF" w:rsidRPr="00E95BC4">
        <w:rPr>
          <w:color w:val="262626" w:themeColor="text1" w:themeTint="D9"/>
          <w:lang w:val="sr-Cyrl-CS"/>
        </w:rPr>
        <w:t xml:space="preserve"> </w:t>
      </w:r>
      <w:r>
        <w:rPr>
          <w:color w:val="262626" w:themeColor="text1" w:themeTint="D9"/>
          <w:lang w:val="sr-Cyrl-CS"/>
        </w:rPr>
        <w:t>i</w:t>
      </w:r>
      <w:r w:rsidR="00A278FF" w:rsidRPr="00E95BC4">
        <w:rPr>
          <w:color w:val="262626" w:themeColor="text1" w:themeTint="D9"/>
          <w:lang w:val="sr-Cyrl-CS"/>
        </w:rPr>
        <w:t xml:space="preserve"> </w:t>
      </w:r>
      <w:r>
        <w:rPr>
          <w:color w:val="262626" w:themeColor="text1" w:themeTint="D9"/>
          <w:lang w:val="sr-Cyrl-CS"/>
        </w:rPr>
        <w:t>neispunjenih</w:t>
      </w:r>
      <w:r w:rsidR="00A278FF" w:rsidRPr="00E95BC4">
        <w:rPr>
          <w:color w:val="262626" w:themeColor="text1" w:themeTint="D9"/>
          <w:lang w:val="sr-Cyrl-CS"/>
        </w:rPr>
        <w:t xml:space="preserve"> </w:t>
      </w:r>
      <w:r>
        <w:rPr>
          <w:color w:val="262626" w:themeColor="text1" w:themeTint="D9"/>
          <w:lang w:val="sr-Cyrl-CS"/>
        </w:rPr>
        <w:t>aktivnosti</w:t>
      </w:r>
      <w:r w:rsidR="00A278FF" w:rsidRPr="00E95BC4">
        <w:rPr>
          <w:color w:val="262626" w:themeColor="text1" w:themeTint="D9"/>
          <w:lang w:val="sr-Cyrl-CS"/>
        </w:rPr>
        <w:t xml:space="preserve"> </w:t>
      </w:r>
      <w:r>
        <w:rPr>
          <w:color w:val="262626" w:themeColor="text1" w:themeTint="D9"/>
          <w:lang w:val="sr-Cyrl-CS"/>
        </w:rPr>
        <w:t>treba</w:t>
      </w:r>
      <w:r w:rsidR="00A278FF" w:rsidRPr="00E95BC4">
        <w:rPr>
          <w:color w:val="262626" w:themeColor="text1" w:themeTint="D9"/>
          <w:lang w:val="sr-Cyrl-CS"/>
        </w:rPr>
        <w:t xml:space="preserve"> </w:t>
      </w:r>
      <w:r>
        <w:rPr>
          <w:color w:val="262626" w:themeColor="text1" w:themeTint="D9"/>
          <w:lang w:val="sr-Cyrl-CS"/>
        </w:rPr>
        <w:t>sagledavati</w:t>
      </w:r>
      <w:r w:rsidR="00A278FF" w:rsidRPr="00E95BC4">
        <w:rPr>
          <w:color w:val="262626" w:themeColor="text1" w:themeTint="D9"/>
          <w:lang w:val="sr-Cyrl-CS"/>
        </w:rPr>
        <w:t xml:space="preserve"> </w:t>
      </w:r>
      <w:r>
        <w:rPr>
          <w:color w:val="262626" w:themeColor="text1" w:themeTint="D9"/>
          <w:lang w:val="sr-Cyrl-CS"/>
        </w:rPr>
        <w:t>u</w:t>
      </w:r>
      <w:r w:rsidR="00A278FF" w:rsidRPr="00E95BC4">
        <w:rPr>
          <w:color w:val="262626" w:themeColor="text1" w:themeTint="D9"/>
          <w:lang w:val="sr-Cyrl-CS"/>
        </w:rPr>
        <w:t xml:space="preserve"> </w:t>
      </w:r>
      <w:r>
        <w:rPr>
          <w:color w:val="262626" w:themeColor="text1" w:themeTint="D9"/>
          <w:lang w:val="sr-Cyrl-CS"/>
        </w:rPr>
        <w:t>kontekstu</w:t>
      </w:r>
      <w:r w:rsidR="00A278FF" w:rsidRPr="00E95BC4">
        <w:rPr>
          <w:color w:val="262626" w:themeColor="text1" w:themeTint="D9"/>
          <w:lang w:val="sr-Cyrl-CS"/>
        </w:rPr>
        <w:t xml:space="preserve"> </w:t>
      </w:r>
      <w:r>
        <w:rPr>
          <w:color w:val="262626" w:themeColor="text1" w:themeTint="D9"/>
          <w:lang w:val="sr-Cyrl-CS"/>
        </w:rPr>
        <w:t>ukupnih</w:t>
      </w:r>
      <w:r w:rsidR="00A278FF" w:rsidRPr="00E95BC4">
        <w:rPr>
          <w:color w:val="262626" w:themeColor="text1" w:themeTint="D9"/>
          <w:lang w:val="sr-Cyrl-CS"/>
        </w:rPr>
        <w:t xml:space="preserve"> </w:t>
      </w:r>
      <w:r>
        <w:rPr>
          <w:color w:val="262626" w:themeColor="text1" w:themeTint="D9"/>
          <w:lang w:val="sr-Cyrl-CS"/>
        </w:rPr>
        <w:t>reformi</w:t>
      </w:r>
      <w:r w:rsidR="00A278FF" w:rsidRPr="00E95BC4">
        <w:rPr>
          <w:color w:val="262626" w:themeColor="text1" w:themeTint="D9"/>
          <w:lang w:val="sr-Cyrl-CS"/>
        </w:rPr>
        <w:t xml:space="preserve"> </w:t>
      </w:r>
      <w:r>
        <w:rPr>
          <w:color w:val="262626" w:themeColor="text1" w:themeTint="D9"/>
          <w:lang w:val="sr-Cyrl-CS"/>
        </w:rPr>
        <w:t>i</w:t>
      </w:r>
      <w:r w:rsidR="00A278FF" w:rsidRPr="00E95BC4">
        <w:rPr>
          <w:color w:val="262626" w:themeColor="text1" w:themeTint="D9"/>
          <w:lang w:val="sr-Cyrl-CS"/>
        </w:rPr>
        <w:t xml:space="preserve"> </w:t>
      </w:r>
      <w:r>
        <w:rPr>
          <w:color w:val="262626" w:themeColor="text1" w:themeTint="D9"/>
          <w:lang w:val="sr-Cyrl-CS"/>
        </w:rPr>
        <w:t>preduzetih</w:t>
      </w:r>
      <w:r w:rsidR="00A278FF" w:rsidRPr="00E95BC4">
        <w:rPr>
          <w:color w:val="262626" w:themeColor="text1" w:themeTint="D9"/>
          <w:lang w:val="sr-Cyrl-CS"/>
        </w:rPr>
        <w:t xml:space="preserve"> </w:t>
      </w:r>
      <w:r>
        <w:rPr>
          <w:color w:val="262626" w:themeColor="text1" w:themeTint="D9"/>
          <w:lang w:val="sr-Cyrl-CS"/>
        </w:rPr>
        <w:t>mera</w:t>
      </w:r>
      <w:r w:rsidR="00A278FF" w:rsidRPr="00E95BC4">
        <w:rPr>
          <w:color w:val="262626" w:themeColor="text1" w:themeTint="D9"/>
          <w:lang w:val="sr-Cyrl-CS"/>
        </w:rPr>
        <w:t xml:space="preserve"> </w:t>
      </w:r>
      <w:r>
        <w:rPr>
          <w:color w:val="262626" w:themeColor="text1" w:themeTint="D9"/>
          <w:lang w:val="sr-Cyrl-CS"/>
        </w:rPr>
        <w:t>u</w:t>
      </w:r>
      <w:r w:rsidR="00A278FF" w:rsidRPr="00E95BC4">
        <w:rPr>
          <w:color w:val="262626" w:themeColor="text1" w:themeTint="D9"/>
          <w:lang w:val="sr-Cyrl-CS"/>
        </w:rPr>
        <w:t xml:space="preserve"> </w:t>
      </w:r>
      <w:r>
        <w:rPr>
          <w:color w:val="262626" w:themeColor="text1" w:themeTint="D9"/>
          <w:lang w:val="sr-Cyrl-CS"/>
        </w:rPr>
        <w:t>sistemu</w:t>
      </w:r>
      <w:r w:rsidR="00A278FF" w:rsidRPr="00E95BC4">
        <w:rPr>
          <w:rStyle w:val="FootnoteReference"/>
          <w:color w:val="262626" w:themeColor="text1" w:themeTint="D9"/>
          <w:lang w:val="sr-Cyrl-CS"/>
        </w:rPr>
        <w:footnoteReference w:id="24"/>
      </w:r>
      <w:r w:rsidR="00A278FF" w:rsidRPr="00E95BC4">
        <w:rPr>
          <w:color w:val="262626" w:themeColor="text1" w:themeTint="D9"/>
          <w:lang w:val="sr-Cyrl-CS"/>
        </w:rPr>
        <w:t xml:space="preserve"> </w:t>
      </w:r>
      <w:r>
        <w:rPr>
          <w:color w:val="262626" w:themeColor="text1" w:themeTint="D9"/>
          <w:lang w:val="sr-Cyrl-CS"/>
        </w:rPr>
        <w:t>i</w:t>
      </w:r>
      <w:r w:rsidR="00E517D0" w:rsidRPr="00E95BC4">
        <w:rPr>
          <w:color w:val="262626" w:themeColor="text1" w:themeTint="D9"/>
          <w:lang w:val="sr-Cyrl-CS"/>
        </w:rPr>
        <w:t xml:space="preserve"> </w:t>
      </w:r>
      <w:r>
        <w:rPr>
          <w:color w:val="262626" w:themeColor="text1" w:themeTint="D9"/>
          <w:lang w:val="sr-Cyrl-CS"/>
        </w:rPr>
        <w:t>u</w:t>
      </w:r>
      <w:r w:rsidR="00A278FF" w:rsidRPr="00E95BC4">
        <w:rPr>
          <w:color w:val="262626" w:themeColor="text1" w:themeTint="D9"/>
          <w:lang w:val="sr-Cyrl-CS"/>
        </w:rPr>
        <w:t xml:space="preserve"> </w:t>
      </w:r>
      <w:r>
        <w:rPr>
          <w:color w:val="262626" w:themeColor="text1" w:themeTint="D9"/>
          <w:lang w:val="sr-Cyrl-CS"/>
        </w:rPr>
        <w:t>pogledu</w:t>
      </w:r>
      <w:r w:rsidR="00A278FF" w:rsidRPr="00E95BC4">
        <w:rPr>
          <w:color w:val="262626" w:themeColor="text1" w:themeTint="D9"/>
          <w:lang w:val="sr-Cyrl-CS"/>
        </w:rPr>
        <w:t xml:space="preserve"> </w:t>
      </w:r>
      <w:r>
        <w:rPr>
          <w:color w:val="262626" w:themeColor="text1" w:themeTint="D9"/>
          <w:lang w:val="sr-Cyrl-CS"/>
        </w:rPr>
        <w:t>usklađenosti</w:t>
      </w:r>
      <w:r w:rsidR="00A278FF" w:rsidRPr="00E95BC4">
        <w:rPr>
          <w:color w:val="262626" w:themeColor="text1" w:themeTint="D9"/>
          <w:lang w:val="sr-Cyrl-CS"/>
        </w:rPr>
        <w:t xml:space="preserve"> </w:t>
      </w:r>
      <w:r>
        <w:rPr>
          <w:color w:val="262626" w:themeColor="text1" w:themeTint="D9"/>
          <w:lang w:val="sr-Cyrl-CS"/>
        </w:rPr>
        <w:t>sa</w:t>
      </w:r>
      <w:r w:rsidR="00A278FF" w:rsidRPr="00E95BC4">
        <w:rPr>
          <w:color w:val="262626" w:themeColor="text1" w:themeTint="D9"/>
          <w:lang w:val="sr-Cyrl-CS"/>
        </w:rPr>
        <w:t xml:space="preserve"> </w:t>
      </w:r>
      <w:r>
        <w:rPr>
          <w:color w:val="262626" w:themeColor="text1" w:themeTint="D9"/>
          <w:lang w:val="sr-Cyrl-CS"/>
        </w:rPr>
        <w:t>standardima</w:t>
      </w:r>
      <w:r w:rsidR="00A278FF" w:rsidRPr="00E95BC4">
        <w:rPr>
          <w:color w:val="262626" w:themeColor="text1" w:themeTint="D9"/>
          <w:lang w:val="sr-Cyrl-CS"/>
        </w:rPr>
        <w:t xml:space="preserve"> </w:t>
      </w:r>
      <w:r>
        <w:rPr>
          <w:color w:val="262626" w:themeColor="text1" w:themeTint="D9"/>
          <w:lang w:val="sr-Cyrl-CS"/>
        </w:rPr>
        <w:t>na</w:t>
      </w:r>
      <w:r w:rsidR="00E517D0" w:rsidRPr="00E95BC4">
        <w:rPr>
          <w:color w:val="262626" w:themeColor="text1" w:themeTint="D9"/>
          <w:lang w:val="sr-Cyrl-CS"/>
        </w:rPr>
        <w:t xml:space="preserve"> </w:t>
      </w:r>
      <w:r>
        <w:rPr>
          <w:color w:val="262626" w:themeColor="text1" w:themeTint="D9"/>
          <w:lang w:val="sr-Cyrl-CS"/>
        </w:rPr>
        <w:t>tehničkom</w:t>
      </w:r>
      <w:r w:rsidR="00E517D0" w:rsidRPr="00E95BC4">
        <w:rPr>
          <w:color w:val="262626" w:themeColor="text1" w:themeTint="D9"/>
          <w:lang w:val="sr-Cyrl-CS"/>
        </w:rPr>
        <w:t xml:space="preserve"> </w:t>
      </w:r>
      <w:r>
        <w:rPr>
          <w:color w:val="262626" w:themeColor="text1" w:themeTint="D9"/>
          <w:lang w:val="sr-Cyrl-CS"/>
        </w:rPr>
        <w:t>nivou</w:t>
      </w:r>
      <w:r w:rsidR="00E517D0" w:rsidRPr="00E95BC4">
        <w:rPr>
          <w:color w:val="262626" w:themeColor="text1" w:themeTint="D9"/>
          <w:lang w:val="sr-Cyrl-CS"/>
        </w:rPr>
        <w:t xml:space="preserve"> </w:t>
      </w:r>
      <w:r>
        <w:rPr>
          <w:color w:val="262626" w:themeColor="text1" w:themeTint="D9"/>
          <w:lang w:val="sr-Cyrl-CS"/>
        </w:rPr>
        <w:t>i</w:t>
      </w:r>
      <w:r w:rsidR="00A278FF" w:rsidRPr="00E95BC4">
        <w:rPr>
          <w:color w:val="262626" w:themeColor="text1" w:themeTint="D9"/>
          <w:lang w:val="sr-Cyrl-CS"/>
        </w:rPr>
        <w:t xml:space="preserve"> </w:t>
      </w:r>
      <w:r>
        <w:rPr>
          <w:color w:val="262626" w:themeColor="text1" w:themeTint="D9"/>
          <w:lang w:val="sr-Cyrl-CS"/>
        </w:rPr>
        <w:t>u</w:t>
      </w:r>
      <w:r w:rsidR="00A278FF" w:rsidRPr="00E95BC4">
        <w:rPr>
          <w:color w:val="262626" w:themeColor="text1" w:themeTint="D9"/>
          <w:lang w:val="sr-Cyrl-CS"/>
        </w:rPr>
        <w:t xml:space="preserve"> </w:t>
      </w:r>
      <w:r>
        <w:rPr>
          <w:color w:val="262626" w:themeColor="text1" w:themeTint="D9"/>
          <w:lang w:val="sr-Cyrl-CS"/>
        </w:rPr>
        <w:t>pogledu</w:t>
      </w:r>
      <w:r w:rsidR="00A278FF" w:rsidRPr="00E95BC4">
        <w:rPr>
          <w:color w:val="262626" w:themeColor="text1" w:themeTint="D9"/>
          <w:lang w:val="sr-Cyrl-CS"/>
        </w:rPr>
        <w:t xml:space="preserve"> </w:t>
      </w:r>
      <w:r>
        <w:rPr>
          <w:color w:val="262626" w:themeColor="text1" w:themeTint="D9"/>
          <w:lang w:val="sr-Cyrl-CS"/>
        </w:rPr>
        <w:t>unapređenja</w:t>
      </w:r>
      <w:r w:rsidR="00A278FF" w:rsidRPr="00E95BC4">
        <w:rPr>
          <w:color w:val="262626" w:themeColor="text1" w:themeTint="D9"/>
          <w:lang w:val="sr-Cyrl-CS"/>
        </w:rPr>
        <w:t xml:space="preserve"> </w:t>
      </w:r>
      <w:r>
        <w:rPr>
          <w:color w:val="262626" w:themeColor="text1" w:themeTint="D9"/>
          <w:lang w:val="sr-Cyrl-CS"/>
        </w:rPr>
        <w:t>delotvornosti</w:t>
      </w:r>
      <w:r w:rsidR="00A278FF" w:rsidRPr="00E95BC4">
        <w:rPr>
          <w:color w:val="262626" w:themeColor="text1" w:themeTint="D9"/>
          <w:lang w:val="sr-Cyrl-CS"/>
        </w:rPr>
        <w:t xml:space="preserve"> </w:t>
      </w:r>
      <w:r>
        <w:rPr>
          <w:color w:val="262626" w:themeColor="text1" w:themeTint="D9"/>
          <w:lang w:val="sr-Cyrl-CS"/>
        </w:rPr>
        <w:t>sistema</w:t>
      </w:r>
      <w:r w:rsidR="00A278FF" w:rsidRPr="00E95BC4">
        <w:rPr>
          <w:color w:val="262626" w:themeColor="text1" w:themeTint="D9"/>
          <w:lang w:val="sr-Cyrl-CS"/>
        </w:rPr>
        <w:t xml:space="preserve"> (</w:t>
      </w:r>
      <w:r>
        <w:rPr>
          <w:color w:val="262626" w:themeColor="text1" w:themeTint="D9"/>
          <w:lang w:val="sr-Cyrl-CS"/>
        </w:rPr>
        <w:t>npr</w:t>
      </w:r>
      <w:r w:rsidR="00A278FF" w:rsidRPr="00E95BC4">
        <w:rPr>
          <w:color w:val="262626" w:themeColor="text1" w:themeTint="D9"/>
          <w:lang w:val="sr-Cyrl-CS"/>
        </w:rPr>
        <w:t xml:space="preserve">. </w:t>
      </w:r>
      <w:r>
        <w:rPr>
          <w:color w:val="262626" w:themeColor="text1" w:themeTint="D9"/>
          <w:lang w:val="sr-Cyrl-CS"/>
        </w:rPr>
        <w:t>efekti</w:t>
      </w:r>
      <w:r w:rsidR="00A278FF" w:rsidRPr="00E95BC4">
        <w:rPr>
          <w:color w:val="262626" w:themeColor="text1" w:themeTint="D9"/>
          <w:lang w:val="sr-Cyrl-CS"/>
        </w:rPr>
        <w:t xml:space="preserve"> </w:t>
      </w:r>
      <w:r>
        <w:rPr>
          <w:color w:val="262626" w:themeColor="text1" w:themeTint="D9"/>
          <w:lang w:val="sr-Cyrl-CS"/>
        </w:rPr>
        <w:t>nadzora</w:t>
      </w:r>
      <w:r w:rsidR="00A278FF" w:rsidRPr="00E95BC4">
        <w:rPr>
          <w:color w:val="262626" w:themeColor="text1" w:themeTint="D9"/>
          <w:lang w:val="sr-Cyrl-CS"/>
        </w:rPr>
        <w:t xml:space="preserve"> </w:t>
      </w:r>
      <w:r>
        <w:rPr>
          <w:color w:val="262626" w:themeColor="text1" w:themeTint="D9"/>
          <w:lang w:val="sr-Cyrl-CS"/>
        </w:rPr>
        <w:t>nad</w:t>
      </w:r>
      <w:r w:rsidR="00A278FF" w:rsidRPr="00E95BC4">
        <w:rPr>
          <w:color w:val="262626" w:themeColor="text1" w:themeTint="D9"/>
          <w:lang w:val="sr-Cyrl-CS"/>
        </w:rPr>
        <w:t xml:space="preserve"> </w:t>
      </w:r>
      <w:r>
        <w:rPr>
          <w:color w:val="262626" w:themeColor="text1" w:themeTint="D9"/>
          <w:lang w:val="sr-Cyrl-CS"/>
        </w:rPr>
        <w:t>sprovođenjem</w:t>
      </w:r>
      <w:r w:rsidR="00A278FF" w:rsidRPr="00E95BC4">
        <w:rPr>
          <w:color w:val="262626" w:themeColor="text1" w:themeTint="D9"/>
          <w:lang w:val="sr-Cyrl-CS"/>
        </w:rPr>
        <w:t xml:space="preserve"> </w:t>
      </w:r>
      <w:r>
        <w:rPr>
          <w:color w:val="262626" w:themeColor="text1" w:themeTint="D9"/>
          <w:lang w:val="sr-Cyrl-CS"/>
        </w:rPr>
        <w:t>Zakona</w:t>
      </w:r>
      <w:r w:rsidR="00A278FF" w:rsidRPr="00E95BC4">
        <w:rPr>
          <w:color w:val="262626" w:themeColor="text1" w:themeTint="D9"/>
          <w:lang w:val="sr-Cyrl-CS"/>
        </w:rPr>
        <w:t xml:space="preserve"> </w:t>
      </w:r>
      <w:r>
        <w:rPr>
          <w:color w:val="262626" w:themeColor="text1" w:themeTint="D9"/>
          <w:lang w:val="sr-Cyrl-CS"/>
        </w:rPr>
        <w:t>o</w:t>
      </w:r>
      <w:r w:rsidR="00A278FF" w:rsidRPr="00E95BC4">
        <w:rPr>
          <w:color w:val="262626" w:themeColor="text1" w:themeTint="D9"/>
          <w:lang w:val="sr-Cyrl-CS"/>
        </w:rPr>
        <w:t xml:space="preserve"> </w:t>
      </w:r>
      <w:r>
        <w:rPr>
          <w:color w:val="262626" w:themeColor="text1" w:themeTint="D9"/>
          <w:lang w:val="sr-Cyrl-CS"/>
        </w:rPr>
        <w:t>sprečavanju</w:t>
      </w:r>
      <w:r w:rsidR="00A278FF" w:rsidRPr="00E95BC4">
        <w:rPr>
          <w:color w:val="262626" w:themeColor="text1" w:themeTint="D9"/>
          <w:lang w:val="sr-Cyrl-CS"/>
        </w:rPr>
        <w:t xml:space="preserve"> </w:t>
      </w:r>
      <w:r>
        <w:rPr>
          <w:color w:val="262626" w:themeColor="text1" w:themeTint="D9"/>
          <w:lang w:val="sr-Cyrl-CS"/>
        </w:rPr>
        <w:t>pranja</w:t>
      </w:r>
      <w:r w:rsidR="00A278FF" w:rsidRPr="00E95BC4">
        <w:rPr>
          <w:color w:val="262626" w:themeColor="text1" w:themeTint="D9"/>
          <w:lang w:val="sr-Cyrl-CS"/>
        </w:rPr>
        <w:t xml:space="preserve"> </w:t>
      </w:r>
      <w:r>
        <w:rPr>
          <w:color w:val="262626" w:themeColor="text1" w:themeTint="D9"/>
          <w:lang w:val="sr-Cyrl-CS"/>
        </w:rPr>
        <w:t>novca</w:t>
      </w:r>
      <w:r w:rsidR="00A278FF" w:rsidRPr="00E95BC4">
        <w:rPr>
          <w:color w:val="262626" w:themeColor="text1" w:themeTint="D9"/>
          <w:lang w:val="sr-Cyrl-CS"/>
        </w:rPr>
        <w:t xml:space="preserve"> </w:t>
      </w:r>
      <w:r>
        <w:rPr>
          <w:color w:val="262626" w:themeColor="text1" w:themeTint="D9"/>
          <w:lang w:val="sr-Cyrl-CS"/>
        </w:rPr>
        <w:lastRenderedPageBreak/>
        <w:t>i</w:t>
      </w:r>
      <w:r w:rsidR="00A278FF" w:rsidRPr="00E95BC4">
        <w:rPr>
          <w:color w:val="262626" w:themeColor="text1" w:themeTint="D9"/>
          <w:lang w:val="sr-Cyrl-CS"/>
        </w:rPr>
        <w:t xml:space="preserve"> </w:t>
      </w:r>
      <w:r>
        <w:rPr>
          <w:color w:val="262626" w:themeColor="text1" w:themeTint="D9"/>
          <w:lang w:val="sr-Cyrl-CS"/>
        </w:rPr>
        <w:t>finansiranja</w:t>
      </w:r>
      <w:r w:rsidR="00A278FF" w:rsidRPr="00E95BC4">
        <w:rPr>
          <w:color w:val="262626" w:themeColor="text1" w:themeTint="D9"/>
          <w:lang w:val="sr-Cyrl-CS"/>
        </w:rPr>
        <w:t xml:space="preserve"> </w:t>
      </w:r>
      <w:r>
        <w:rPr>
          <w:color w:val="262626" w:themeColor="text1" w:themeTint="D9"/>
          <w:lang w:val="sr-Cyrl-CS"/>
        </w:rPr>
        <w:t>terorizma</w:t>
      </w:r>
      <w:r w:rsidR="00A278FF" w:rsidRPr="00E95BC4">
        <w:rPr>
          <w:color w:val="262626" w:themeColor="text1" w:themeTint="D9"/>
          <w:lang w:val="sr-Cyrl-CS"/>
        </w:rPr>
        <w:t xml:space="preserve">, </w:t>
      </w:r>
      <w:r>
        <w:rPr>
          <w:color w:val="262626" w:themeColor="text1" w:themeTint="D9"/>
          <w:lang w:val="sr-Cyrl-CS"/>
        </w:rPr>
        <w:t>procesuiranja</w:t>
      </w:r>
      <w:r w:rsidR="00A278FF" w:rsidRPr="00E95BC4">
        <w:rPr>
          <w:color w:val="262626" w:themeColor="text1" w:themeTint="D9"/>
          <w:lang w:val="sr-Cyrl-CS"/>
        </w:rPr>
        <w:t xml:space="preserve"> </w:t>
      </w:r>
      <w:r>
        <w:rPr>
          <w:color w:val="262626" w:themeColor="text1" w:themeTint="D9"/>
          <w:lang w:val="sr-Cyrl-CS"/>
        </w:rPr>
        <w:t>krivičnog</w:t>
      </w:r>
      <w:r w:rsidR="00A278FF" w:rsidRPr="00E95BC4">
        <w:rPr>
          <w:color w:val="262626" w:themeColor="text1" w:themeTint="D9"/>
          <w:lang w:val="sr-Cyrl-CS"/>
        </w:rPr>
        <w:t xml:space="preserve"> </w:t>
      </w:r>
      <w:r>
        <w:rPr>
          <w:color w:val="262626" w:themeColor="text1" w:themeTint="D9"/>
          <w:lang w:val="sr-Cyrl-CS"/>
        </w:rPr>
        <w:t>dela</w:t>
      </w:r>
      <w:r w:rsidR="00A278FF" w:rsidRPr="00E95BC4">
        <w:rPr>
          <w:color w:val="262626" w:themeColor="text1" w:themeTint="D9"/>
          <w:lang w:val="sr-Cyrl-CS"/>
        </w:rPr>
        <w:t xml:space="preserve"> </w:t>
      </w:r>
      <w:r>
        <w:rPr>
          <w:color w:val="262626" w:themeColor="text1" w:themeTint="D9"/>
          <w:lang w:val="sr-Cyrl-CS"/>
        </w:rPr>
        <w:t>pranja</w:t>
      </w:r>
      <w:r w:rsidR="00A278FF" w:rsidRPr="00E95BC4">
        <w:rPr>
          <w:color w:val="262626" w:themeColor="text1" w:themeTint="D9"/>
          <w:lang w:val="sr-Cyrl-CS"/>
        </w:rPr>
        <w:t xml:space="preserve"> </w:t>
      </w:r>
      <w:r>
        <w:rPr>
          <w:color w:val="262626" w:themeColor="text1" w:themeTint="D9"/>
          <w:lang w:val="sr-Cyrl-CS"/>
        </w:rPr>
        <w:t>novca</w:t>
      </w:r>
      <w:r w:rsidR="00A278FF" w:rsidRPr="00E95BC4">
        <w:rPr>
          <w:color w:val="262626" w:themeColor="text1" w:themeTint="D9"/>
          <w:lang w:val="sr-Cyrl-CS"/>
        </w:rPr>
        <w:t xml:space="preserve"> </w:t>
      </w:r>
      <w:r>
        <w:rPr>
          <w:color w:val="262626" w:themeColor="text1" w:themeTint="D9"/>
          <w:lang w:val="sr-Cyrl-CS"/>
        </w:rPr>
        <w:t>i</w:t>
      </w:r>
      <w:r w:rsidR="00A278FF" w:rsidRPr="00E95BC4">
        <w:rPr>
          <w:color w:val="262626" w:themeColor="text1" w:themeTint="D9"/>
          <w:lang w:val="sr-Cyrl-CS"/>
        </w:rPr>
        <w:t xml:space="preserve"> </w:t>
      </w:r>
      <w:r>
        <w:rPr>
          <w:color w:val="262626" w:themeColor="text1" w:themeTint="D9"/>
          <w:lang w:val="sr-Cyrl-CS"/>
        </w:rPr>
        <w:t>finansiranja</w:t>
      </w:r>
      <w:r w:rsidR="00A278FF" w:rsidRPr="00E95BC4">
        <w:rPr>
          <w:color w:val="262626" w:themeColor="text1" w:themeTint="D9"/>
          <w:lang w:val="sr-Cyrl-CS"/>
        </w:rPr>
        <w:t xml:space="preserve"> </w:t>
      </w:r>
      <w:r>
        <w:rPr>
          <w:color w:val="262626" w:themeColor="text1" w:themeTint="D9"/>
          <w:lang w:val="sr-Cyrl-CS"/>
        </w:rPr>
        <w:t>terorizma</w:t>
      </w:r>
      <w:r w:rsidR="00A278FF" w:rsidRPr="00E95BC4">
        <w:rPr>
          <w:color w:val="262626" w:themeColor="text1" w:themeTint="D9"/>
          <w:lang w:val="sr-Cyrl-CS"/>
        </w:rPr>
        <w:t xml:space="preserve"> </w:t>
      </w:r>
      <w:r>
        <w:rPr>
          <w:color w:val="262626" w:themeColor="text1" w:themeTint="D9"/>
          <w:lang w:val="sr-Cyrl-CS"/>
        </w:rPr>
        <w:t>kao</w:t>
      </w:r>
      <w:r w:rsidR="00A278FF" w:rsidRPr="00E95BC4">
        <w:rPr>
          <w:color w:val="262626" w:themeColor="text1" w:themeTint="D9"/>
          <w:lang w:val="sr-Cyrl-CS"/>
        </w:rPr>
        <w:t xml:space="preserve"> </w:t>
      </w:r>
      <w:r>
        <w:rPr>
          <w:color w:val="262626" w:themeColor="text1" w:themeTint="D9"/>
          <w:lang w:val="sr-Cyrl-CS"/>
        </w:rPr>
        <w:t>i</w:t>
      </w:r>
      <w:r w:rsidR="00A278FF" w:rsidRPr="00E95BC4">
        <w:rPr>
          <w:color w:val="262626" w:themeColor="text1" w:themeTint="D9"/>
          <w:lang w:val="sr-Cyrl-CS"/>
        </w:rPr>
        <w:t xml:space="preserve"> </w:t>
      </w:r>
      <w:r>
        <w:rPr>
          <w:color w:val="262626" w:themeColor="text1" w:themeTint="D9"/>
          <w:lang w:val="sr-Cyrl-CS"/>
        </w:rPr>
        <w:t>primene</w:t>
      </w:r>
      <w:r w:rsidR="00A278FF" w:rsidRPr="00E95BC4">
        <w:rPr>
          <w:color w:val="262626" w:themeColor="text1" w:themeTint="D9"/>
          <w:lang w:val="sr-Cyrl-CS"/>
        </w:rPr>
        <w:t xml:space="preserve"> </w:t>
      </w:r>
      <w:r>
        <w:rPr>
          <w:color w:val="262626" w:themeColor="text1" w:themeTint="D9"/>
          <w:lang w:val="sr-Cyrl-CS"/>
        </w:rPr>
        <w:t>ciljanih</w:t>
      </w:r>
      <w:r w:rsidR="00A278FF" w:rsidRPr="00E95BC4">
        <w:rPr>
          <w:color w:val="262626" w:themeColor="text1" w:themeTint="D9"/>
          <w:lang w:val="sr-Cyrl-CS"/>
        </w:rPr>
        <w:t xml:space="preserve"> </w:t>
      </w:r>
      <w:r>
        <w:rPr>
          <w:color w:val="262626" w:themeColor="text1" w:themeTint="D9"/>
          <w:lang w:val="sr-Cyrl-CS"/>
        </w:rPr>
        <w:t>finansijskih</w:t>
      </w:r>
      <w:r w:rsidR="00A278FF" w:rsidRPr="00E95BC4">
        <w:rPr>
          <w:color w:val="262626" w:themeColor="text1" w:themeTint="D9"/>
          <w:lang w:val="sr-Cyrl-CS"/>
        </w:rPr>
        <w:t xml:space="preserve"> </w:t>
      </w:r>
      <w:r>
        <w:rPr>
          <w:color w:val="262626" w:themeColor="text1" w:themeTint="D9"/>
          <w:lang w:val="sr-Cyrl-CS"/>
        </w:rPr>
        <w:t>sankcija</w:t>
      </w:r>
      <w:r w:rsidR="00A278FF" w:rsidRPr="00E95BC4">
        <w:rPr>
          <w:color w:val="262626" w:themeColor="text1" w:themeTint="D9"/>
          <w:lang w:val="sr-Cyrl-CS"/>
        </w:rPr>
        <w:t>).</w:t>
      </w:r>
    </w:p>
    <w:p w:rsidR="00A278FF" w:rsidRPr="00E95BC4" w:rsidRDefault="005818C0" w:rsidP="00285FD7">
      <w:pPr>
        <w:ind w:firstLine="720"/>
        <w:jc w:val="both"/>
        <w:rPr>
          <w:color w:val="262626" w:themeColor="text1" w:themeTint="D9"/>
          <w:lang w:val="sr-Cyrl-CS"/>
        </w:rPr>
      </w:pPr>
      <w:r>
        <w:rPr>
          <w:color w:val="262626" w:themeColor="text1" w:themeTint="D9"/>
          <w:lang w:val="sr-Cyrl-CS"/>
        </w:rPr>
        <w:t>Neke</w:t>
      </w:r>
      <w:r w:rsidR="00A278FF" w:rsidRPr="00E95BC4">
        <w:rPr>
          <w:color w:val="262626" w:themeColor="text1" w:themeTint="D9"/>
          <w:lang w:val="sr-Cyrl-CS"/>
        </w:rPr>
        <w:t xml:space="preserve"> </w:t>
      </w:r>
      <w:r>
        <w:rPr>
          <w:color w:val="262626" w:themeColor="text1" w:themeTint="D9"/>
          <w:lang w:val="sr-Cyrl-CS"/>
        </w:rPr>
        <w:t>nesprovedene</w:t>
      </w:r>
      <w:r w:rsidR="00A278FF" w:rsidRPr="00E95BC4">
        <w:rPr>
          <w:color w:val="262626" w:themeColor="text1" w:themeTint="D9"/>
          <w:lang w:val="sr-Cyrl-CS"/>
        </w:rPr>
        <w:t xml:space="preserve"> </w:t>
      </w:r>
      <w:r>
        <w:rPr>
          <w:color w:val="262626" w:themeColor="text1" w:themeTint="D9"/>
          <w:lang w:val="sr-Cyrl-CS"/>
        </w:rPr>
        <w:t>aktivnosti</w:t>
      </w:r>
      <w:r w:rsidR="00A278FF" w:rsidRPr="00E95BC4">
        <w:rPr>
          <w:color w:val="262626" w:themeColor="text1" w:themeTint="D9"/>
          <w:lang w:val="sr-Cyrl-CS"/>
        </w:rPr>
        <w:t xml:space="preserve">, </w:t>
      </w:r>
      <w:r>
        <w:rPr>
          <w:color w:val="262626" w:themeColor="text1" w:themeTint="D9"/>
          <w:lang w:val="sr-Cyrl-CS"/>
        </w:rPr>
        <w:t>međutim</w:t>
      </w:r>
      <w:r w:rsidR="00A278FF" w:rsidRPr="00E95BC4">
        <w:rPr>
          <w:color w:val="262626" w:themeColor="text1" w:themeTint="D9"/>
          <w:lang w:val="sr-Cyrl-CS"/>
        </w:rPr>
        <w:t xml:space="preserve">, </w:t>
      </w:r>
      <w:r>
        <w:rPr>
          <w:color w:val="262626" w:themeColor="text1" w:themeTint="D9"/>
          <w:lang w:val="sr-Cyrl-CS"/>
        </w:rPr>
        <w:t>mogu</w:t>
      </w:r>
      <w:r w:rsidR="00A278FF" w:rsidRPr="00E95BC4">
        <w:rPr>
          <w:color w:val="262626" w:themeColor="text1" w:themeTint="D9"/>
          <w:lang w:val="sr-Cyrl-CS"/>
        </w:rPr>
        <w:t xml:space="preserve"> </w:t>
      </w:r>
      <w:r>
        <w:rPr>
          <w:color w:val="262626" w:themeColor="text1" w:themeTint="D9"/>
          <w:lang w:val="sr-Cyrl-CS"/>
        </w:rPr>
        <w:t>biti</w:t>
      </w:r>
      <w:r w:rsidR="00A278FF" w:rsidRPr="00E95BC4">
        <w:rPr>
          <w:color w:val="262626" w:themeColor="text1" w:themeTint="D9"/>
          <w:lang w:val="sr-Cyrl-CS"/>
        </w:rPr>
        <w:t xml:space="preserve"> </w:t>
      </w:r>
      <w:r>
        <w:rPr>
          <w:color w:val="262626" w:themeColor="text1" w:themeTint="D9"/>
          <w:lang w:val="sr-Cyrl-CS"/>
        </w:rPr>
        <w:t>aktuelne</w:t>
      </w:r>
      <w:r w:rsidR="00A278FF" w:rsidRPr="00E95BC4">
        <w:rPr>
          <w:color w:val="262626" w:themeColor="text1" w:themeTint="D9"/>
          <w:lang w:val="sr-Cyrl-CS"/>
        </w:rPr>
        <w:t xml:space="preserve"> </w:t>
      </w:r>
      <w:r>
        <w:rPr>
          <w:color w:val="262626" w:themeColor="text1" w:themeTint="D9"/>
          <w:lang w:val="sr-Cyrl-CS"/>
        </w:rPr>
        <w:t>i</w:t>
      </w:r>
      <w:r w:rsidR="00A278FF" w:rsidRPr="00E95BC4">
        <w:rPr>
          <w:color w:val="262626" w:themeColor="text1" w:themeTint="D9"/>
          <w:lang w:val="sr-Cyrl-CS"/>
        </w:rPr>
        <w:t xml:space="preserve"> </w:t>
      </w:r>
      <w:r>
        <w:rPr>
          <w:color w:val="262626" w:themeColor="text1" w:themeTint="D9"/>
          <w:lang w:val="sr-Cyrl-CS"/>
        </w:rPr>
        <w:t>u</w:t>
      </w:r>
      <w:r w:rsidR="00A278FF" w:rsidRPr="00E95BC4">
        <w:rPr>
          <w:color w:val="262626" w:themeColor="text1" w:themeTint="D9"/>
          <w:lang w:val="sr-Cyrl-CS"/>
        </w:rPr>
        <w:t xml:space="preserve"> </w:t>
      </w:r>
      <w:r>
        <w:rPr>
          <w:color w:val="262626" w:themeColor="text1" w:themeTint="D9"/>
          <w:lang w:val="sr-Cyrl-CS"/>
        </w:rPr>
        <w:t>ovom</w:t>
      </w:r>
      <w:r w:rsidR="00A278FF" w:rsidRPr="00E95BC4">
        <w:rPr>
          <w:color w:val="262626" w:themeColor="text1" w:themeTint="D9"/>
          <w:lang w:val="sr-Cyrl-CS"/>
        </w:rPr>
        <w:t xml:space="preserve"> </w:t>
      </w:r>
      <w:r>
        <w:rPr>
          <w:color w:val="262626" w:themeColor="text1" w:themeTint="D9"/>
          <w:lang w:val="sr-Cyrl-CS"/>
        </w:rPr>
        <w:t>trenutku</w:t>
      </w:r>
      <w:r w:rsidR="00A278FF" w:rsidRPr="00E95BC4">
        <w:rPr>
          <w:color w:val="262626" w:themeColor="text1" w:themeTint="D9"/>
          <w:lang w:val="sr-Cyrl-CS"/>
        </w:rPr>
        <w:t xml:space="preserve">, </w:t>
      </w:r>
      <w:r>
        <w:rPr>
          <w:color w:val="262626" w:themeColor="text1" w:themeTint="D9"/>
          <w:lang w:val="sr-Cyrl-CS"/>
        </w:rPr>
        <w:t>naročito</w:t>
      </w:r>
      <w:r w:rsidR="00A278FF" w:rsidRPr="00E95BC4">
        <w:rPr>
          <w:color w:val="262626" w:themeColor="text1" w:themeTint="D9"/>
          <w:lang w:val="sr-Cyrl-CS"/>
        </w:rPr>
        <w:t xml:space="preserve"> </w:t>
      </w:r>
      <w:r>
        <w:rPr>
          <w:color w:val="262626" w:themeColor="text1" w:themeTint="D9"/>
          <w:lang w:val="sr-Cyrl-CS"/>
        </w:rPr>
        <w:t>one</w:t>
      </w:r>
      <w:r w:rsidR="00A278FF" w:rsidRPr="00E95BC4">
        <w:rPr>
          <w:color w:val="262626" w:themeColor="text1" w:themeTint="D9"/>
          <w:lang w:val="sr-Cyrl-CS"/>
        </w:rPr>
        <w:t xml:space="preserve"> </w:t>
      </w:r>
      <w:r>
        <w:rPr>
          <w:color w:val="262626" w:themeColor="text1" w:themeTint="D9"/>
          <w:lang w:val="sr-Cyrl-CS"/>
        </w:rPr>
        <w:t>koje</w:t>
      </w:r>
      <w:r w:rsidR="00A278FF" w:rsidRPr="00E95BC4">
        <w:rPr>
          <w:color w:val="262626" w:themeColor="text1" w:themeTint="D9"/>
          <w:lang w:val="sr-Cyrl-CS"/>
        </w:rPr>
        <w:t xml:space="preserve"> </w:t>
      </w:r>
      <w:r>
        <w:rPr>
          <w:color w:val="262626" w:themeColor="text1" w:themeTint="D9"/>
          <w:lang w:val="sr-Cyrl-CS"/>
        </w:rPr>
        <w:t>se</w:t>
      </w:r>
      <w:r w:rsidR="00A278FF" w:rsidRPr="00E95BC4">
        <w:rPr>
          <w:color w:val="262626" w:themeColor="text1" w:themeTint="D9"/>
          <w:lang w:val="sr-Cyrl-CS"/>
        </w:rPr>
        <w:t xml:space="preserve"> </w:t>
      </w:r>
      <w:r>
        <w:rPr>
          <w:color w:val="262626" w:themeColor="text1" w:themeTint="D9"/>
          <w:lang w:val="sr-Cyrl-CS"/>
        </w:rPr>
        <w:t>tiču</w:t>
      </w:r>
      <w:r w:rsidR="00A278FF" w:rsidRPr="00E95BC4">
        <w:rPr>
          <w:color w:val="262626" w:themeColor="text1" w:themeTint="D9"/>
          <w:lang w:val="sr-Cyrl-CS"/>
        </w:rPr>
        <w:t xml:space="preserve"> </w:t>
      </w:r>
      <w:r>
        <w:rPr>
          <w:color w:val="262626" w:themeColor="text1" w:themeTint="D9"/>
          <w:lang w:val="sr-Cyrl-CS"/>
        </w:rPr>
        <w:t>kadrovskog</w:t>
      </w:r>
      <w:r w:rsidR="00A278FF" w:rsidRPr="00E95BC4">
        <w:rPr>
          <w:color w:val="262626" w:themeColor="text1" w:themeTint="D9"/>
          <w:lang w:val="sr-Cyrl-CS"/>
        </w:rPr>
        <w:t xml:space="preserve"> </w:t>
      </w:r>
      <w:r>
        <w:rPr>
          <w:color w:val="262626" w:themeColor="text1" w:themeTint="D9"/>
          <w:lang w:val="sr-Cyrl-CS"/>
        </w:rPr>
        <w:t>popunjavanja</w:t>
      </w:r>
      <w:r w:rsidR="00A278FF" w:rsidRPr="00E95BC4">
        <w:rPr>
          <w:color w:val="262626" w:themeColor="text1" w:themeTint="D9"/>
          <w:lang w:val="sr-Cyrl-CS"/>
        </w:rPr>
        <w:t xml:space="preserve"> </w:t>
      </w:r>
      <w:r>
        <w:rPr>
          <w:color w:val="262626" w:themeColor="text1" w:themeTint="D9"/>
          <w:lang w:val="sr-Cyrl-CS"/>
        </w:rPr>
        <w:t>nekih</w:t>
      </w:r>
      <w:r w:rsidR="00A278FF" w:rsidRPr="00E95BC4">
        <w:rPr>
          <w:color w:val="262626" w:themeColor="text1" w:themeTint="D9"/>
          <w:lang w:val="sr-Cyrl-CS"/>
        </w:rPr>
        <w:t xml:space="preserve"> </w:t>
      </w:r>
      <w:r>
        <w:rPr>
          <w:color w:val="262626" w:themeColor="text1" w:themeTint="D9"/>
          <w:lang w:val="sr-Cyrl-CS"/>
        </w:rPr>
        <w:t>organa</w:t>
      </w:r>
      <w:r w:rsidR="00A278FF" w:rsidRPr="00E95BC4">
        <w:rPr>
          <w:color w:val="262626" w:themeColor="text1" w:themeTint="D9"/>
          <w:lang w:val="sr-Cyrl-CS"/>
        </w:rPr>
        <w:t xml:space="preserve"> </w:t>
      </w:r>
      <w:r>
        <w:rPr>
          <w:color w:val="262626" w:themeColor="text1" w:themeTint="D9"/>
          <w:lang w:val="sr-Cyrl-CS"/>
        </w:rPr>
        <w:t>kao</w:t>
      </w:r>
      <w:r w:rsidR="00A278FF" w:rsidRPr="00E95BC4">
        <w:rPr>
          <w:color w:val="262626" w:themeColor="text1" w:themeTint="D9"/>
          <w:lang w:val="sr-Cyrl-CS"/>
        </w:rPr>
        <w:t xml:space="preserve"> </w:t>
      </w:r>
      <w:r>
        <w:rPr>
          <w:color w:val="262626" w:themeColor="text1" w:themeTint="D9"/>
          <w:lang w:val="sr-Cyrl-CS"/>
        </w:rPr>
        <w:t>i</w:t>
      </w:r>
      <w:r w:rsidR="00A278FF" w:rsidRPr="00E95BC4">
        <w:rPr>
          <w:color w:val="262626" w:themeColor="text1" w:themeTint="D9"/>
          <w:lang w:val="sr-Cyrl-CS"/>
        </w:rPr>
        <w:t xml:space="preserve"> </w:t>
      </w:r>
      <w:r>
        <w:rPr>
          <w:color w:val="262626" w:themeColor="text1" w:themeTint="D9"/>
          <w:lang w:val="sr-Cyrl-CS"/>
        </w:rPr>
        <w:t>obuke</w:t>
      </w:r>
      <w:r w:rsidR="00A278FF" w:rsidRPr="00E95BC4">
        <w:rPr>
          <w:color w:val="262626" w:themeColor="text1" w:themeTint="D9"/>
          <w:lang w:val="sr-Cyrl-CS"/>
        </w:rPr>
        <w:t xml:space="preserve"> </w:t>
      </w:r>
      <w:r>
        <w:rPr>
          <w:color w:val="262626" w:themeColor="text1" w:themeTint="D9"/>
          <w:lang w:val="sr-Cyrl-CS"/>
        </w:rPr>
        <w:t>i</w:t>
      </w:r>
      <w:r w:rsidR="00A278FF" w:rsidRPr="00E95BC4">
        <w:rPr>
          <w:color w:val="262626" w:themeColor="text1" w:themeTint="D9"/>
          <w:lang w:val="sr-Cyrl-CS"/>
        </w:rPr>
        <w:t xml:space="preserve"> </w:t>
      </w:r>
      <w:r>
        <w:rPr>
          <w:color w:val="262626" w:themeColor="text1" w:themeTint="D9"/>
          <w:lang w:val="sr-Cyrl-CS"/>
        </w:rPr>
        <w:t>izgradnje</w:t>
      </w:r>
      <w:r w:rsidR="00A278FF" w:rsidRPr="00E95BC4">
        <w:rPr>
          <w:color w:val="262626" w:themeColor="text1" w:themeTint="D9"/>
          <w:lang w:val="sr-Cyrl-CS"/>
        </w:rPr>
        <w:t xml:space="preserve"> </w:t>
      </w:r>
      <w:r>
        <w:rPr>
          <w:color w:val="262626" w:themeColor="text1" w:themeTint="D9"/>
          <w:lang w:val="sr-Cyrl-CS"/>
        </w:rPr>
        <w:t>kapaciteta</w:t>
      </w:r>
      <w:r w:rsidR="00A278FF" w:rsidRPr="00E95BC4">
        <w:rPr>
          <w:color w:val="262626" w:themeColor="text1" w:themeTint="D9"/>
          <w:lang w:val="sr-Cyrl-CS"/>
        </w:rPr>
        <w:t>.</w:t>
      </w:r>
    </w:p>
    <w:p w:rsidR="00A278FF" w:rsidRPr="00E95BC4" w:rsidRDefault="005818C0" w:rsidP="00285FD7">
      <w:pPr>
        <w:ind w:firstLine="720"/>
        <w:jc w:val="both"/>
        <w:rPr>
          <w:lang w:val="sr-Cyrl-CS"/>
        </w:rPr>
      </w:pPr>
      <w:r>
        <w:rPr>
          <w:b/>
          <w:lang w:val="sr-Cyrl-CS"/>
        </w:rPr>
        <w:t>Uporedna</w:t>
      </w:r>
      <w:r w:rsidR="00A278FF" w:rsidRPr="00E95BC4">
        <w:rPr>
          <w:b/>
          <w:lang w:val="sr-Cyrl-CS"/>
        </w:rPr>
        <w:t xml:space="preserve"> </w:t>
      </w:r>
      <w:r>
        <w:rPr>
          <w:b/>
          <w:lang w:val="sr-Cyrl-CS"/>
        </w:rPr>
        <w:t>međunarodna</w:t>
      </w:r>
      <w:r w:rsidR="00A278FF" w:rsidRPr="00E95BC4">
        <w:rPr>
          <w:b/>
          <w:lang w:val="sr-Cyrl-CS"/>
        </w:rPr>
        <w:t xml:space="preserve"> </w:t>
      </w:r>
      <w:r>
        <w:rPr>
          <w:b/>
          <w:lang w:val="sr-Cyrl-CS"/>
        </w:rPr>
        <w:t>praksa</w:t>
      </w:r>
      <w:r w:rsidR="003A2212" w:rsidRPr="00E95BC4">
        <w:rPr>
          <w:b/>
          <w:lang w:val="sr-Cyrl-CS"/>
        </w:rPr>
        <w:t>.</w:t>
      </w:r>
      <w:r w:rsidR="00A278FF" w:rsidRPr="00E95BC4">
        <w:rPr>
          <w:rStyle w:val="FootnoteReference"/>
          <w:lang w:val="sr-Cyrl-CS"/>
        </w:rPr>
        <w:footnoteReference w:id="25"/>
      </w:r>
      <w:r w:rsidR="00A278FF" w:rsidRPr="00E95BC4">
        <w:rPr>
          <w:lang w:val="sr-Cyrl-CS"/>
        </w:rPr>
        <w:t xml:space="preserve"> </w:t>
      </w:r>
      <w:r>
        <w:rPr>
          <w:lang w:val="sr-Cyrl-CS"/>
        </w:rPr>
        <w:t>FATF</w:t>
      </w:r>
      <w:r w:rsidR="00A278FF" w:rsidRPr="00E95BC4">
        <w:rPr>
          <w:lang w:val="sr-Cyrl-CS"/>
        </w:rPr>
        <w:t xml:space="preserve"> </w:t>
      </w:r>
      <w:r>
        <w:rPr>
          <w:lang w:val="sr-Cyrl-CS"/>
        </w:rPr>
        <w:t>daje</w:t>
      </w:r>
      <w:r w:rsidR="00A278FF" w:rsidRPr="00E95BC4">
        <w:rPr>
          <w:lang w:val="sr-Cyrl-CS"/>
        </w:rPr>
        <w:t xml:space="preserve"> </w:t>
      </w:r>
      <w:r>
        <w:rPr>
          <w:lang w:val="sr-Cyrl-CS"/>
        </w:rPr>
        <w:t>uporedni</w:t>
      </w:r>
      <w:r w:rsidR="00A278FF" w:rsidRPr="00E95BC4">
        <w:rPr>
          <w:lang w:val="sr-Cyrl-CS"/>
        </w:rPr>
        <w:t xml:space="preserve"> </w:t>
      </w:r>
      <w:r>
        <w:rPr>
          <w:lang w:val="sr-Cyrl-CS"/>
        </w:rPr>
        <w:t>pregled</w:t>
      </w:r>
      <w:r w:rsidR="00A278FF" w:rsidRPr="00E95BC4">
        <w:rPr>
          <w:lang w:val="sr-Cyrl-CS"/>
        </w:rPr>
        <w:t xml:space="preserve"> </w:t>
      </w:r>
      <w:r>
        <w:rPr>
          <w:lang w:val="sr-Cyrl-CS"/>
        </w:rPr>
        <w:t>stepena</w:t>
      </w:r>
      <w:r w:rsidR="00A278FF" w:rsidRPr="00E95BC4">
        <w:rPr>
          <w:lang w:val="sr-Cyrl-CS"/>
        </w:rPr>
        <w:t xml:space="preserve"> </w:t>
      </w:r>
      <w:r>
        <w:rPr>
          <w:lang w:val="sr-Cyrl-CS"/>
        </w:rPr>
        <w:t>usklađenosti</w:t>
      </w:r>
      <w:r w:rsidR="00A278FF" w:rsidRPr="00E95BC4">
        <w:rPr>
          <w:lang w:val="sr-Cyrl-CS"/>
        </w:rPr>
        <w:t xml:space="preserve"> </w:t>
      </w:r>
      <w:r>
        <w:rPr>
          <w:lang w:val="sr-Cyrl-CS"/>
        </w:rPr>
        <w:t>članica</w:t>
      </w:r>
      <w:r w:rsidR="00A278FF" w:rsidRPr="00E95BC4">
        <w:rPr>
          <w:lang w:val="sr-Cyrl-CS"/>
        </w:rPr>
        <w:t xml:space="preserve"> </w:t>
      </w:r>
      <w:r>
        <w:rPr>
          <w:lang w:val="sr-Cyrl-CS"/>
        </w:rPr>
        <w:t>globalnog</w:t>
      </w:r>
      <w:r w:rsidR="00A278FF" w:rsidRPr="00E95BC4">
        <w:rPr>
          <w:lang w:val="sr-Cyrl-CS"/>
        </w:rPr>
        <w:t xml:space="preserve"> </w:t>
      </w:r>
      <w:r>
        <w:rPr>
          <w:lang w:val="sr-Cyrl-CS"/>
        </w:rPr>
        <w:t>sistema</w:t>
      </w:r>
      <w:r w:rsidR="00A278FF" w:rsidRPr="00E95BC4">
        <w:rPr>
          <w:lang w:val="sr-Cyrl-CS"/>
        </w:rPr>
        <w:t xml:space="preserve"> </w:t>
      </w:r>
      <w:r>
        <w:rPr>
          <w:lang w:val="sr-Cyrl-CS"/>
        </w:rPr>
        <w:t>za</w:t>
      </w:r>
      <w:r w:rsidR="00A278FF" w:rsidRPr="00E95BC4">
        <w:rPr>
          <w:lang w:val="sr-Cyrl-CS"/>
        </w:rPr>
        <w:t xml:space="preserve"> </w:t>
      </w:r>
      <w:r>
        <w:rPr>
          <w:lang w:val="sr-Cyrl-CS"/>
        </w:rPr>
        <w:t>borbu</w:t>
      </w:r>
      <w:r w:rsidR="00A278FF" w:rsidRPr="00E95BC4">
        <w:rPr>
          <w:lang w:val="sr-Cyrl-CS"/>
        </w:rPr>
        <w:t xml:space="preserve"> </w:t>
      </w:r>
      <w:r>
        <w:rPr>
          <w:lang w:val="sr-Cyrl-CS"/>
        </w:rPr>
        <w:t>protiv</w:t>
      </w:r>
      <w:r w:rsidR="00A278FF" w:rsidRPr="00E95BC4">
        <w:rPr>
          <w:lang w:val="sr-Cyrl-CS"/>
        </w:rPr>
        <w:t xml:space="preserve"> </w:t>
      </w:r>
      <w:r>
        <w:rPr>
          <w:lang w:val="sr-Cyrl-CS"/>
        </w:rPr>
        <w:t>pranja</w:t>
      </w:r>
      <w:r w:rsidR="00A278FF" w:rsidRPr="00E95BC4">
        <w:rPr>
          <w:lang w:val="sr-Cyrl-CS"/>
        </w:rPr>
        <w:t xml:space="preserve"> </w:t>
      </w:r>
      <w:r>
        <w:rPr>
          <w:lang w:val="sr-Cyrl-CS"/>
        </w:rPr>
        <w:t>novca</w:t>
      </w:r>
      <w:r w:rsidR="00A278FF" w:rsidRPr="00E95BC4">
        <w:rPr>
          <w:lang w:val="sr-Cyrl-CS"/>
        </w:rPr>
        <w:t xml:space="preserve"> </w:t>
      </w:r>
      <w:r>
        <w:rPr>
          <w:lang w:val="sr-Cyrl-CS"/>
        </w:rPr>
        <w:t>i</w:t>
      </w:r>
      <w:r w:rsidR="00A278FF" w:rsidRPr="00E95BC4">
        <w:rPr>
          <w:lang w:val="sr-Cyrl-CS"/>
        </w:rPr>
        <w:t xml:space="preserve"> </w:t>
      </w:r>
      <w:r>
        <w:rPr>
          <w:lang w:val="sr-Cyrl-CS"/>
        </w:rPr>
        <w:t>finansiranja</w:t>
      </w:r>
      <w:r w:rsidR="00A278FF" w:rsidRPr="00E95BC4">
        <w:rPr>
          <w:lang w:val="sr-Cyrl-CS"/>
        </w:rPr>
        <w:t xml:space="preserve"> </w:t>
      </w:r>
      <w:r>
        <w:rPr>
          <w:lang w:val="sr-Cyrl-CS"/>
        </w:rPr>
        <w:t>terorizma</w:t>
      </w:r>
      <w:r w:rsidR="00A278FF" w:rsidRPr="00E95BC4">
        <w:rPr>
          <w:lang w:val="sr-Cyrl-CS"/>
        </w:rPr>
        <w:t xml:space="preserve"> </w:t>
      </w:r>
      <w:r>
        <w:rPr>
          <w:lang w:val="sr-Cyrl-CS"/>
        </w:rPr>
        <w:t>kako</w:t>
      </w:r>
      <w:r w:rsidR="00A278FF" w:rsidRPr="00E95BC4">
        <w:rPr>
          <w:lang w:val="sr-Cyrl-CS"/>
        </w:rPr>
        <w:t xml:space="preserve"> </w:t>
      </w:r>
      <w:r>
        <w:rPr>
          <w:lang w:val="sr-Cyrl-CS"/>
        </w:rPr>
        <w:t>u</w:t>
      </w:r>
      <w:r w:rsidR="00A278FF" w:rsidRPr="00E95BC4">
        <w:rPr>
          <w:lang w:val="sr-Cyrl-CS"/>
        </w:rPr>
        <w:t xml:space="preserve"> </w:t>
      </w:r>
      <w:r>
        <w:rPr>
          <w:lang w:val="sr-Cyrl-CS"/>
        </w:rPr>
        <w:t>pogledu</w:t>
      </w:r>
      <w:r w:rsidR="00A278FF" w:rsidRPr="00E95BC4">
        <w:rPr>
          <w:lang w:val="sr-Cyrl-CS"/>
        </w:rPr>
        <w:t xml:space="preserve"> </w:t>
      </w:r>
      <w:r>
        <w:rPr>
          <w:lang w:val="sr-Cyrl-CS"/>
        </w:rPr>
        <w:t>tehničke</w:t>
      </w:r>
      <w:r w:rsidR="00A278FF" w:rsidRPr="00E95BC4">
        <w:rPr>
          <w:lang w:val="sr-Cyrl-CS"/>
        </w:rPr>
        <w:t xml:space="preserve"> </w:t>
      </w:r>
      <w:r>
        <w:rPr>
          <w:lang w:val="sr-Cyrl-CS"/>
        </w:rPr>
        <w:t>usklađenosti</w:t>
      </w:r>
      <w:r w:rsidR="00A278FF" w:rsidRPr="00E95BC4">
        <w:rPr>
          <w:lang w:val="sr-Cyrl-CS"/>
        </w:rPr>
        <w:t xml:space="preserve"> </w:t>
      </w:r>
      <w:r>
        <w:rPr>
          <w:lang w:val="sr-Cyrl-CS"/>
        </w:rPr>
        <w:t>tako</w:t>
      </w:r>
      <w:r w:rsidR="00A278FF" w:rsidRPr="00E95BC4">
        <w:rPr>
          <w:lang w:val="sr-Cyrl-CS"/>
        </w:rPr>
        <w:t xml:space="preserve"> </w:t>
      </w:r>
      <w:r>
        <w:rPr>
          <w:lang w:val="sr-Cyrl-CS"/>
        </w:rPr>
        <w:t>i</w:t>
      </w:r>
      <w:r w:rsidR="00A278FF" w:rsidRPr="00E95BC4">
        <w:rPr>
          <w:lang w:val="sr-Cyrl-CS"/>
        </w:rPr>
        <w:t xml:space="preserve"> </w:t>
      </w:r>
      <w:r>
        <w:rPr>
          <w:lang w:val="sr-Cyrl-CS"/>
        </w:rPr>
        <w:t>u</w:t>
      </w:r>
      <w:r w:rsidR="00A278FF" w:rsidRPr="00E95BC4">
        <w:rPr>
          <w:lang w:val="sr-Cyrl-CS"/>
        </w:rPr>
        <w:t xml:space="preserve"> </w:t>
      </w:r>
      <w:r>
        <w:rPr>
          <w:lang w:val="sr-Cyrl-CS"/>
        </w:rPr>
        <w:t>pogledu</w:t>
      </w:r>
      <w:r w:rsidR="00A278FF" w:rsidRPr="00E95BC4">
        <w:rPr>
          <w:lang w:val="sr-Cyrl-CS"/>
        </w:rPr>
        <w:t xml:space="preserve"> </w:t>
      </w:r>
      <w:r>
        <w:rPr>
          <w:lang w:val="sr-Cyrl-CS"/>
        </w:rPr>
        <w:t>delotvornosti</w:t>
      </w:r>
      <w:r w:rsidR="00A278FF" w:rsidRPr="00E95BC4">
        <w:rPr>
          <w:lang w:val="sr-Cyrl-CS"/>
        </w:rPr>
        <w:t xml:space="preserve">. </w:t>
      </w:r>
      <w:r>
        <w:rPr>
          <w:lang w:val="sr-Cyrl-CS"/>
        </w:rPr>
        <w:t>Rang</w:t>
      </w:r>
      <w:r w:rsidR="00A278FF" w:rsidRPr="00E95BC4">
        <w:rPr>
          <w:lang w:val="sr-Cyrl-CS"/>
        </w:rPr>
        <w:t xml:space="preserve"> </w:t>
      </w:r>
      <w:r>
        <w:rPr>
          <w:lang w:val="sr-Cyrl-CS"/>
        </w:rPr>
        <w:t>lista</w:t>
      </w:r>
      <w:r w:rsidR="00A278FF" w:rsidRPr="00E95BC4">
        <w:rPr>
          <w:lang w:val="sr-Cyrl-CS"/>
        </w:rPr>
        <w:t xml:space="preserve"> </w:t>
      </w:r>
      <w:r>
        <w:rPr>
          <w:lang w:val="sr-Cyrl-CS"/>
        </w:rPr>
        <w:t>država</w:t>
      </w:r>
      <w:r w:rsidR="00A278FF" w:rsidRPr="00E95BC4">
        <w:rPr>
          <w:lang w:val="sr-Cyrl-CS"/>
        </w:rPr>
        <w:t xml:space="preserve"> </w:t>
      </w:r>
      <w:r>
        <w:rPr>
          <w:lang w:val="sr-Cyrl-CS"/>
        </w:rPr>
        <w:t>u</w:t>
      </w:r>
      <w:r w:rsidR="00A278FF" w:rsidRPr="00E95BC4">
        <w:rPr>
          <w:lang w:val="sr-Cyrl-CS"/>
        </w:rPr>
        <w:t xml:space="preserve"> </w:t>
      </w:r>
      <w:r>
        <w:rPr>
          <w:lang w:val="sr-Cyrl-CS"/>
        </w:rPr>
        <w:t>smislu</w:t>
      </w:r>
      <w:r w:rsidR="00A278FF" w:rsidRPr="00E95BC4">
        <w:rPr>
          <w:lang w:val="sr-Cyrl-CS"/>
        </w:rPr>
        <w:t xml:space="preserve"> </w:t>
      </w:r>
      <w:r>
        <w:rPr>
          <w:lang w:val="sr-Cyrl-CS"/>
        </w:rPr>
        <w:t>konkurentnosti</w:t>
      </w:r>
      <w:r w:rsidR="00A278FF" w:rsidRPr="00E95BC4">
        <w:rPr>
          <w:lang w:val="sr-Cyrl-CS"/>
        </w:rPr>
        <w:t xml:space="preserve"> </w:t>
      </w:r>
      <w:r>
        <w:rPr>
          <w:lang w:val="sr-Cyrl-CS"/>
        </w:rPr>
        <w:t>zvanično</w:t>
      </w:r>
      <w:r w:rsidR="00A278FF" w:rsidRPr="00E95BC4">
        <w:rPr>
          <w:lang w:val="sr-Cyrl-CS"/>
        </w:rPr>
        <w:t xml:space="preserve"> </w:t>
      </w:r>
      <w:r>
        <w:rPr>
          <w:lang w:val="sr-Cyrl-CS"/>
        </w:rPr>
        <w:t>ne</w:t>
      </w:r>
      <w:r w:rsidR="00A278FF" w:rsidRPr="00E95BC4">
        <w:rPr>
          <w:lang w:val="sr-Cyrl-CS"/>
        </w:rPr>
        <w:t xml:space="preserve"> </w:t>
      </w:r>
      <w:r>
        <w:rPr>
          <w:lang w:val="sr-Cyrl-CS"/>
        </w:rPr>
        <w:t>postoji</w:t>
      </w:r>
      <w:r w:rsidR="00A278FF" w:rsidRPr="00E95BC4">
        <w:rPr>
          <w:lang w:val="sr-Cyrl-CS"/>
        </w:rPr>
        <w:t xml:space="preserve"> </w:t>
      </w:r>
      <w:r>
        <w:rPr>
          <w:lang w:val="sr-Cyrl-CS"/>
        </w:rPr>
        <w:t>budući</w:t>
      </w:r>
      <w:r w:rsidR="00E517D0" w:rsidRPr="00E95BC4">
        <w:rPr>
          <w:lang w:val="sr-Cyrl-CS"/>
        </w:rPr>
        <w:t xml:space="preserve"> </w:t>
      </w:r>
      <w:r>
        <w:rPr>
          <w:lang w:val="sr-Cyrl-CS"/>
        </w:rPr>
        <w:t>da</w:t>
      </w:r>
      <w:r w:rsidR="00E517D0" w:rsidRPr="00E95BC4">
        <w:rPr>
          <w:lang w:val="sr-Cyrl-CS"/>
        </w:rPr>
        <w:t xml:space="preserve"> </w:t>
      </w:r>
      <w:r>
        <w:rPr>
          <w:lang w:val="sr-Cyrl-CS"/>
        </w:rPr>
        <w:t>se</w:t>
      </w:r>
      <w:r w:rsidR="00E517D0" w:rsidRPr="00E95BC4">
        <w:rPr>
          <w:lang w:val="sr-Cyrl-CS"/>
        </w:rPr>
        <w:t xml:space="preserve"> </w:t>
      </w:r>
      <w:r>
        <w:rPr>
          <w:lang w:val="sr-Cyrl-CS"/>
        </w:rPr>
        <w:t>stanje</w:t>
      </w:r>
      <w:r w:rsidR="00E517D0" w:rsidRPr="00E95BC4">
        <w:rPr>
          <w:lang w:val="sr-Cyrl-CS"/>
        </w:rPr>
        <w:t xml:space="preserve"> </w:t>
      </w:r>
      <w:r>
        <w:rPr>
          <w:lang w:val="sr-Cyrl-CS"/>
        </w:rPr>
        <w:t>učestalo</w:t>
      </w:r>
      <w:r w:rsidR="00E517D0" w:rsidRPr="00E95BC4">
        <w:rPr>
          <w:lang w:val="sr-Cyrl-CS"/>
        </w:rPr>
        <w:t xml:space="preserve"> </w:t>
      </w:r>
      <w:r>
        <w:rPr>
          <w:lang w:val="sr-Cyrl-CS"/>
        </w:rPr>
        <w:t>menja</w:t>
      </w:r>
      <w:r w:rsidR="00E517D0" w:rsidRPr="00E95BC4">
        <w:rPr>
          <w:lang w:val="sr-Cyrl-CS"/>
        </w:rPr>
        <w:t xml:space="preserve">, </w:t>
      </w:r>
      <w:r>
        <w:rPr>
          <w:lang w:val="sr-Cyrl-CS"/>
        </w:rPr>
        <w:t>između</w:t>
      </w:r>
      <w:r w:rsidR="00E517D0" w:rsidRPr="00E95BC4">
        <w:rPr>
          <w:lang w:val="sr-Cyrl-CS"/>
        </w:rPr>
        <w:t xml:space="preserve"> </w:t>
      </w:r>
      <w:r>
        <w:rPr>
          <w:lang w:val="sr-Cyrl-CS"/>
        </w:rPr>
        <w:t>ostalog</w:t>
      </w:r>
      <w:r w:rsidR="00E517D0" w:rsidRPr="00E95BC4">
        <w:rPr>
          <w:lang w:val="sr-Cyrl-CS"/>
        </w:rPr>
        <w:t xml:space="preserve"> </w:t>
      </w:r>
      <w:r>
        <w:rPr>
          <w:lang w:val="sr-Cyrl-CS"/>
        </w:rPr>
        <w:t>i</w:t>
      </w:r>
      <w:r w:rsidR="00E517D0" w:rsidRPr="00E95BC4">
        <w:rPr>
          <w:lang w:val="sr-Cyrl-CS"/>
        </w:rPr>
        <w:t xml:space="preserve"> </w:t>
      </w:r>
      <w:r>
        <w:rPr>
          <w:lang w:val="sr-Cyrl-CS"/>
        </w:rPr>
        <w:t>zbog</w:t>
      </w:r>
      <w:r w:rsidR="00E517D0" w:rsidRPr="00E95BC4">
        <w:rPr>
          <w:lang w:val="sr-Cyrl-CS"/>
        </w:rPr>
        <w:t xml:space="preserve"> </w:t>
      </w:r>
      <w:r>
        <w:rPr>
          <w:lang w:val="sr-Cyrl-CS"/>
        </w:rPr>
        <w:t>promene</w:t>
      </w:r>
      <w:r w:rsidR="00E517D0" w:rsidRPr="00E95BC4">
        <w:rPr>
          <w:lang w:val="sr-Cyrl-CS"/>
        </w:rPr>
        <w:t xml:space="preserve"> </w:t>
      </w:r>
      <w:r>
        <w:rPr>
          <w:lang w:val="sr-Cyrl-CS"/>
        </w:rPr>
        <w:t>međunarodnih</w:t>
      </w:r>
      <w:r w:rsidR="00E517D0" w:rsidRPr="00E95BC4">
        <w:rPr>
          <w:lang w:val="sr-Cyrl-CS"/>
        </w:rPr>
        <w:t xml:space="preserve"> </w:t>
      </w:r>
      <w:r>
        <w:rPr>
          <w:lang w:val="sr-Cyrl-CS"/>
        </w:rPr>
        <w:t>standarda</w:t>
      </w:r>
      <w:r w:rsidR="00A278FF" w:rsidRPr="00E95BC4">
        <w:rPr>
          <w:lang w:val="sr-Cyrl-CS"/>
        </w:rPr>
        <w:t xml:space="preserve"> </w:t>
      </w:r>
      <w:r>
        <w:rPr>
          <w:lang w:val="sr-Cyrl-CS"/>
        </w:rPr>
        <w:t>koje</w:t>
      </w:r>
      <w:r w:rsidR="00A278FF" w:rsidRPr="00E95BC4">
        <w:rPr>
          <w:lang w:val="sr-Cyrl-CS"/>
        </w:rPr>
        <w:t xml:space="preserve"> </w:t>
      </w:r>
      <w:r>
        <w:rPr>
          <w:lang w:val="sr-Cyrl-CS"/>
        </w:rPr>
        <w:t>treba</w:t>
      </w:r>
      <w:r w:rsidR="00A278FF" w:rsidRPr="00E95BC4">
        <w:rPr>
          <w:lang w:val="sr-Cyrl-CS"/>
        </w:rPr>
        <w:t xml:space="preserve"> </w:t>
      </w:r>
      <w:r>
        <w:rPr>
          <w:lang w:val="sr-Cyrl-CS"/>
        </w:rPr>
        <w:t>ispuniti</w:t>
      </w:r>
      <w:r w:rsidR="00A278FF" w:rsidRPr="00E95BC4">
        <w:rPr>
          <w:lang w:val="sr-Cyrl-CS"/>
        </w:rPr>
        <w:t xml:space="preserve">. </w:t>
      </w:r>
      <w:r>
        <w:rPr>
          <w:lang w:val="sr-Cyrl-CS"/>
        </w:rPr>
        <w:t>Primenom</w:t>
      </w:r>
      <w:r w:rsidR="00A278FF" w:rsidRPr="00E95BC4">
        <w:rPr>
          <w:lang w:val="sr-Cyrl-CS"/>
        </w:rPr>
        <w:t xml:space="preserve"> </w:t>
      </w:r>
      <w:r>
        <w:rPr>
          <w:lang w:val="sr-Cyrl-CS"/>
        </w:rPr>
        <w:t>mera</w:t>
      </w:r>
      <w:r w:rsidR="00A278FF" w:rsidRPr="00E95BC4">
        <w:rPr>
          <w:lang w:val="sr-Cyrl-CS"/>
        </w:rPr>
        <w:t xml:space="preserve"> </w:t>
      </w:r>
      <w:r>
        <w:rPr>
          <w:lang w:val="sr-Cyrl-CS"/>
        </w:rPr>
        <w:t>iz</w:t>
      </w:r>
      <w:r w:rsidR="00A278FF" w:rsidRPr="00E95BC4">
        <w:rPr>
          <w:lang w:val="sr-Cyrl-CS"/>
        </w:rPr>
        <w:t xml:space="preserve"> </w:t>
      </w:r>
      <w:r>
        <w:rPr>
          <w:lang w:val="sr-Cyrl-CS"/>
        </w:rPr>
        <w:t>ovog</w:t>
      </w:r>
      <w:r w:rsidR="00A278FF" w:rsidRPr="00E95BC4">
        <w:rPr>
          <w:lang w:val="sr-Cyrl-CS"/>
        </w:rPr>
        <w:t xml:space="preserve"> </w:t>
      </w:r>
      <w:r>
        <w:rPr>
          <w:lang w:val="sr-Cyrl-CS"/>
        </w:rPr>
        <w:t>dokumenta</w:t>
      </w:r>
      <w:r w:rsidR="00A278FF" w:rsidRPr="00E95BC4">
        <w:rPr>
          <w:lang w:val="sr-Cyrl-CS"/>
        </w:rPr>
        <w:t xml:space="preserve"> </w:t>
      </w:r>
      <w:r>
        <w:rPr>
          <w:lang w:val="sr-Cyrl-CS"/>
        </w:rPr>
        <w:t>javne</w:t>
      </w:r>
      <w:r w:rsidR="00A278FF" w:rsidRPr="00E95BC4">
        <w:rPr>
          <w:lang w:val="sr-Cyrl-CS"/>
        </w:rPr>
        <w:t xml:space="preserve"> </w:t>
      </w:r>
      <w:r>
        <w:rPr>
          <w:lang w:val="sr-Cyrl-CS"/>
        </w:rPr>
        <w:t>politike</w:t>
      </w:r>
      <w:r w:rsidR="00A278FF" w:rsidRPr="00E95BC4">
        <w:rPr>
          <w:lang w:val="sr-Cyrl-CS"/>
        </w:rPr>
        <w:t xml:space="preserve"> </w:t>
      </w:r>
      <w:r>
        <w:rPr>
          <w:lang w:val="sr-Cyrl-CS"/>
        </w:rPr>
        <w:t>doprineće</w:t>
      </w:r>
      <w:r w:rsidR="00E517D0" w:rsidRPr="00E95BC4">
        <w:rPr>
          <w:lang w:val="sr-Cyrl-CS"/>
        </w:rPr>
        <w:t xml:space="preserve"> </w:t>
      </w:r>
      <w:r>
        <w:rPr>
          <w:lang w:val="sr-Cyrl-CS"/>
        </w:rPr>
        <w:t>se</w:t>
      </w:r>
      <w:r w:rsidR="00A278FF" w:rsidRPr="00E95BC4">
        <w:rPr>
          <w:lang w:val="sr-Cyrl-CS"/>
        </w:rPr>
        <w:t xml:space="preserve">, </w:t>
      </w:r>
      <w:r>
        <w:rPr>
          <w:lang w:val="sr-Cyrl-CS"/>
        </w:rPr>
        <w:t>uslovno</w:t>
      </w:r>
      <w:r w:rsidR="00A278FF" w:rsidRPr="00E95BC4">
        <w:rPr>
          <w:lang w:val="sr-Cyrl-CS"/>
        </w:rPr>
        <w:t xml:space="preserve"> </w:t>
      </w:r>
      <w:r>
        <w:rPr>
          <w:lang w:val="sr-Cyrl-CS"/>
        </w:rPr>
        <w:t>rečeno</w:t>
      </w:r>
      <w:r w:rsidR="00A278FF" w:rsidRPr="00E95BC4">
        <w:rPr>
          <w:lang w:val="sr-Cyrl-CS"/>
        </w:rPr>
        <w:t xml:space="preserve">, </w:t>
      </w:r>
      <w:r>
        <w:rPr>
          <w:i/>
          <w:lang w:val="sr-Cyrl-CS"/>
        </w:rPr>
        <w:t>rangiranju</w:t>
      </w:r>
      <w:r w:rsidR="00A278FF" w:rsidRPr="00E95BC4">
        <w:rPr>
          <w:i/>
          <w:lang w:val="sr-Cyrl-CS"/>
        </w:rPr>
        <w:t xml:space="preserve"> </w:t>
      </w:r>
      <w:r>
        <w:rPr>
          <w:lang w:val="sr-Cyrl-CS"/>
        </w:rPr>
        <w:t>Republike</w:t>
      </w:r>
      <w:r w:rsidR="00A278FF" w:rsidRPr="00E95BC4">
        <w:rPr>
          <w:lang w:val="sr-Cyrl-CS"/>
        </w:rPr>
        <w:t xml:space="preserve"> </w:t>
      </w:r>
      <w:r>
        <w:rPr>
          <w:lang w:val="sr-Cyrl-CS"/>
        </w:rPr>
        <w:t>Srbije</w:t>
      </w:r>
      <w:r w:rsidR="00A278FF" w:rsidRPr="00E95BC4">
        <w:rPr>
          <w:lang w:val="sr-Cyrl-CS"/>
        </w:rPr>
        <w:t xml:space="preserve"> </w:t>
      </w:r>
      <w:r>
        <w:rPr>
          <w:lang w:val="sr-Cyrl-CS"/>
        </w:rPr>
        <w:t>u</w:t>
      </w:r>
      <w:r w:rsidR="00A278FF" w:rsidRPr="00E95BC4">
        <w:rPr>
          <w:lang w:val="sr-Cyrl-CS"/>
        </w:rPr>
        <w:t xml:space="preserve"> </w:t>
      </w:r>
      <w:r>
        <w:rPr>
          <w:lang w:val="sr-Cyrl-CS"/>
        </w:rPr>
        <w:t>ovoj</w:t>
      </w:r>
      <w:r w:rsidR="00A278FF" w:rsidRPr="00E95BC4">
        <w:rPr>
          <w:lang w:val="sr-Cyrl-CS"/>
        </w:rPr>
        <w:t xml:space="preserve"> </w:t>
      </w:r>
      <w:r>
        <w:rPr>
          <w:lang w:val="sr-Cyrl-CS"/>
        </w:rPr>
        <w:t>oblasti</w:t>
      </w:r>
      <w:r w:rsidR="00CC3736" w:rsidRPr="00E95BC4">
        <w:rPr>
          <w:lang w:val="sr-Cyrl-CS"/>
        </w:rPr>
        <w:t xml:space="preserve"> </w:t>
      </w:r>
      <w:r>
        <w:rPr>
          <w:lang w:val="sr-Cyrl-CS"/>
        </w:rPr>
        <w:t>i</w:t>
      </w:r>
      <w:r w:rsidR="00CC3736" w:rsidRPr="00E95BC4">
        <w:rPr>
          <w:lang w:val="sr-Cyrl-CS"/>
        </w:rPr>
        <w:t xml:space="preserve"> </w:t>
      </w:r>
      <w:r>
        <w:rPr>
          <w:lang w:val="sr-Cyrl-CS"/>
        </w:rPr>
        <w:t>sprečiti</w:t>
      </w:r>
      <w:r w:rsidR="00CC3736" w:rsidRPr="00E95BC4">
        <w:rPr>
          <w:lang w:val="sr-Cyrl-CS"/>
        </w:rPr>
        <w:t xml:space="preserve"> </w:t>
      </w:r>
      <w:r>
        <w:rPr>
          <w:lang w:val="sr-Cyrl-CS"/>
        </w:rPr>
        <w:t>ponovno</w:t>
      </w:r>
      <w:r w:rsidR="00CC3736" w:rsidRPr="00E95BC4">
        <w:rPr>
          <w:lang w:val="sr-Cyrl-CS"/>
        </w:rPr>
        <w:t xml:space="preserve"> </w:t>
      </w:r>
      <w:r>
        <w:rPr>
          <w:lang w:val="sr-Cyrl-CS"/>
        </w:rPr>
        <w:t>stavljanje</w:t>
      </w:r>
      <w:r w:rsidR="00CC3736" w:rsidRPr="00E95BC4">
        <w:rPr>
          <w:lang w:val="sr-Cyrl-CS"/>
        </w:rPr>
        <w:t xml:space="preserve"> </w:t>
      </w:r>
      <w:r>
        <w:rPr>
          <w:lang w:val="sr-Cyrl-CS"/>
        </w:rPr>
        <w:t>Srbije</w:t>
      </w:r>
      <w:r w:rsidR="00CC3736" w:rsidRPr="00E95BC4">
        <w:rPr>
          <w:lang w:val="sr-Cyrl-CS"/>
        </w:rPr>
        <w:t xml:space="preserve"> </w:t>
      </w:r>
      <w:r>
        <w:rPr>
          <w:lang w:val="sr-Cyrl-CS"/>
        </w:rPr>
        <w:t>pod</w:t>
      </w:r>
      <w:r w:rsidR="00CC3736" w:rsidRPr="00E95BC4">
        <w:rPr>
          <w:lang w:val="sr-Cyrl-CS"/>
        </w:rPr>
        <w:t xml:space="preserve"> </w:t>
      </w:r>
      <w:r>
        <w:rPr>
          <w:lang w:val="sr-Cyrl-CS"/>
        </w:rPr>
        <w:t>pojačano</w:t>
      </w:r>
      <w:r w:rsidR="00CC3736" w:rsidRPr="00E95BC4">
        <w:rPr>
          <w:lang w:val="sr-Cyrl-CS"/>
        </w:rPr>
        <w:t xml:space="preserve"> </w:t>
      </w:r>
      <w:r>
        <w:rPr>
          <w:lang w:val="sr-Cyrl-CS"/>
        </w:rPr>
        <w:t>praćenje</w:t>
      </w:r>
      <w:r w:rsidR="00CC3736" w:rsidRPr="00E95BC4">
        <w:rPr>
          <w:lang w:val="sr-Cyrl-CS"/>
        </w:rPr>
        <w:t xml:space="preserve"> </w:t>
      </w:r>
      <w:r>
        <w:rPr>
          <w:lang w:val="sr-Cyrl-CS"/>
        </w:rPr>
        <w:t>od</w:t>
      </w:r>
      <w:r w:rsidR="00CC3736" w:rsidRPr="00E95BC4">
        <w:rPr>
          <w:lang w:val="sr-Cyrl-CS"/>
        </w:rPr>
        <w:t xml:space="preserve"> </w:t>
      </w:r>
      <w:r>
        <w:rPr>
          <w:lang w:val="sr-Cyrl-CS"/>
        </w:rPr>
        <w:t>strane</w:t>
      </w:r>
      <w:r w:rsidR="00CC3736" w:rsidRPr="00E95BC4">
        <w:rPr>
          <w:lang w:val="sr-Cyrl-CS"/>
        </w:rPr>
        <w:t xml:space="preserve"> </w:t>
      </w:r>
      <w:r>
        <w:rPr>
          <w:lang w:val="sr-Cyrl-CS"/>
        </w:rPr>
        <w:t>međunarodnih</w:t>
      </w:r>
      <w:r w:rsidR="00CC3736" w:rsidRPr="00E95BC4">
        <w:rPr>
          <w:lang w:val="sr-Cyrl-CS"/>
        </w:rPr>
        <w:t xml:space="preserve"> </w:t>
      </w:r>
      <w:r>
        <w:rPr>
          <w:lang w:val="sr-Cyrl-CS"/>
        </w:rPr>
        <w:t>organizacija</w:t>
      </w:r>
      <w:r w:rsidR="00CC3736" w:rsidRPr="00E95BC4">
        <w:rPr>
          <w:lang w:val="sr-Cyrl-CS"/>
        </w:rPr>
        <w:t xml:space="preserve"> (</w:t>
      </w:r>
      <w:r>
        <w:rPr>
          <w:lang w:val="sr-Cyrl-CS"/>
        </w:rPr>
        <w:t>npr</w:t>
      </w:r>
      <w:r w:rsidR="00CC3736" w:rsidRPr="00E95BC4">
        <w:rPr>
          <w:lang w:val="sr-Cyrl-CS"/>
        </w:rPr>
        <w:t>. FATF ICRG)</w:t>
      </w:r>
      <w:r w:rsidR="00A278FF" w:rsidRPr="00E95BC4">
        <w:rPr>
          <w:lang w:val="sr-Cyrl-CS"/>
        </w:rPr>
        <w:t xml:space="preserve"> </w:t>
      </w:r>
      <w:r>
        <w:rPr>
          <w:lang w:val="sr-Cyrl-CS"/>
        </w:rPr>
        <w:t>što</w:t>
      </w:r>
      <w:r w:rsidR="00A278FF" w:rsidRPr="00E95BC4">
        <w:rPr>
          <w:lang w:val="sr-Cyrl-CS"/>
        </w:rPr>
        <w:t xml:space="preserve"> </w:t>
      </w:r>
      <w:r>
        <w:rPr>
          <w:lang w:val="sr-Cyrl-CS"/>
        </w:rPr>
        <w:t>će</w:t>
      </w:r>
      <w:r w:rsidR="00A278FF" w:rsidRPr="00E95BC4">
        <w:rPr>
          <w:lang w:val="sr-Cyrl-CS"/>
        </w:rPr>
        <w:t xml:space="preserve"> </w:t>
      </w:r>
      <w:r>
        <w:rPr>
          <w:lang w:val="sr-Cyrl-CS"/>
        </w:rPr>
        <w:t>imati</w:t>
      </w:r>
      <w:r w:rsidR="00A278FF" w:rsidRPr="00E95BC4">
        <w:rPr>
          <w:lang w:val="sr-Cyrl-CS"/>
        </w:rPr>
        <w:t xml:space="preserve"> </w:t>
      </w:r>
      <w:r>
        <w:rPr>
          <w:lang w:val="sr-Cyrl-CS"/>
        </w:rPr>
        <w:t>pozitivan</w:t>
      </w:r>
      <w:r w:rsidR="00A278FF" w:rsidRPr="00E95BC4">
        <w:rPr>
          <w:lang w:val="sr-Cyrl-CS"/>
        </w:rPr>
        <w:t xml:space="preserve"> </w:t>
      </w:r>
      <w:r>
        <w:rPr>
          <w:lang w:val="sr-Cyrl-CS"/>
        </w:rPr>
        <w:t>efekat</w:t>
      </w:r>
      <w:r w:rsidR="00A278FF" w:rsidRPr="00E95BC4">
        <w:rPr>
          <w:lang w:val="sr-Cyrl-CS"/>
        </w:rPr>
        <w:t xml:space="preserve"> </w:t>
      </w:r>
      <w:r>
        <w:rPr>
          <w:lang w:val="sr-Cyrl-CS"/>
        </w:rPr>
        <w:t>i</w:t>
      </w:r>
      <w:r w:rsidR="00A278FF" w:rsidRPr="00E95BC4">
        <w:rPr>
          <w:lang w:val="sr-Cyrl-CS"/>
        </w:rPr>
        <w:t xml:space="preserve"> </w:t>
      </w:r>
      <w:r>
        <w:rPr>
          <w:lang w:val="sr-Cyrl-CS"/>
        </w:rPr>
        <w:t>na</w:t>
      </w:r>
      <w:r w:rsidR="00A278FF" w:rsidRPr="00E95BC4">
        <w:rPr>
          <w:lang w:val="sr-Cyrl-CS"/>
        </w:rPr>
        <w:t xml:space="preserve"> </w:t>
      </w:r>
      <w:r>
        <w:rPr>
          <w:lang w:val="sr-Cyrl-CS"/>
        </w:rPr>
        <w:t>druge</w:t>
      </w:r>
      <w:r w:rsidR="00A278FF" w:rsidRPr="00E95BC4">
        <w:rPr>
          <w:lang w:val="sr-Cyrl-CS"/>
        </w:rPr>
        <w:t xml:space="preserve"> </w:t>
      </w:r>
      <w:r>
        <w:rPr>
          <w:lang w:val="sr-Cyrl-CS"/>
        </w:rPr>
        <w:t>procese</w:t>
      </w:r>
      <w:r w:rsidR="00A278FF" w:rsidRPr="00E95BC4">
        <w:rPr>
          <w:lang w:val="sr-Cyrl-CS"/>
        </w:rPr>
        <w:t xml:space="preserve"> (</w:t>
      </w:r>
      <w:r>
        <w:rPr>
          <w:lang w:val="sr-Cyrl-CS"/>
        </w:rPr>
        <w:t>npr</w:t>
      </w:r>
      <w:r w:rsidR="008A65BD" w:rsidRPr="00E95BC4">
        <w:rPr>
          <w:lang w:val="sr-Cyrl-CS"/>
        </w:rPr>
        <w:t>.</w:t>
      </w:r>
      <w:r w:rsidR="00A278FF" w:rsidRPr="00E95BC4">
        <w:rPr>
          <w:lang w:val="sr-Cyrl-CS"/>
        </w:rPr>
        <w:t xml:space="preserve"> </w:t>
      </w:r>
      <w:r>
        <w:rPr>
          <w:lang w:val="sr-Cyrl-CS"/>
        </w:rPr>
        <w:t>u</w:t>
      </w:r>
      <w:r w:rsidR="00CC3736" w:rsidRPr="00E95BC4">
        <w:rPr>
          <w:lang w:val="sr-Cyrl-CS"/>
        </w:rPr>
        <w:t xml:space="preserve"> </w:t>
      </w:r>
      <w:r>
        <w:rPr>
          <w:lang w:val="sr-Cyrl-CS"/>
        </w:rPr>
        <w:t>vezi</w:t>
      </w:r>
      <w:r w:rsidR="00CC3736" w:rsidRPr="00E95BC4">
        <w:rPr>
          <w:lang w:val="sr-Cyrl-CS"/>
        </w:rPr>
        <w:t xml:space="preserve"> </w:t>
      </w:r>
      <w:r>
        <w:rPr>
          <w:lang w:val="sr-Cyrl-CS"/>
        </w:rPr>
        <w:t>sa</w:t>
      </w:r>
      <w:r w:rsidR="00CC3736" w:rsidRPr="00E95BC4">
        <w:rPr>
          <w:lang w:val="sr-Cyrl-CS"/>
        </w:rPr>
        <w:t xml:space="preserve"> </w:t>
      </w:r>
      <w:r>
        <w:rPr>
          <w:lang w:val="sr-Cyrl-CS"/>
        </w:rPr>
        <w:t>bitnim</w:t>
      </w:r>
      <w:r w:rsidR="00A278FF" w:rsidRPr="00E95BC4">
        <w:rPr>
          <w:lang w:val="sr-Cyrl-CS"/>
        </w:rPr>
        <w:t xml:space="preserve"> </w:t>
      </w:r>
      <w:r>
        <w:rPr>
          <w:lang w:val="sr-Cyrl-CS"/>
        </w:rPr>
        <w:t>aranžmanima</w:t>
      </w:r>
      <w:r w:rsidR="00A278FF" w:rsidRPr="00E95BC4">
        <w:rPr>
          <w:lang w:val="sr-Cyrl-CS"/>
        </w:rPr>
        <w:t xml:space="preserve"> </w:t>
      </w:r>
      <w:r>
        <w:rPr>
          <w:lang w:val="sr-Cyrl-CS"/>
        </w:rPr>
        <w:t>koje</w:t>
      </w:r>
      <w:r w:rsidR="00A278FF" w:rsidRPr="00E95BC4">
        <w:rPr>
          <w:lang w:val="sr-Cyrl-CS"/>
        </w:rPr>
        <w:t xml:space="preserve"> </w:t>
      </w:r>
      <w:r>
        <w:rPr>
          <w:lang w:val="sr-Cyrl-CS"/>
        </w:rPr>
        <w:t>Republika</w:t>
      </w:r>
      <w:r w:rsidR="004A6FEC" w:rsidRPr="00E95BC4">
        <w:rPr>
          <w:lang w:val="sr-Cyrl-CS"/>
        </w:rPr>
        <w:t xml:space="preserve"> </w:t>
      </w:r>
      <w:r>
        <w:rPr>
          <w:lang w:val="sr-Cyrl-CS"/>
        </w:rPr>
        <w:t>Srbija</w:t>
      </w:r>
      <w:r w:rsidR="00A278FF" w:rsidRPr="00E95BC4">
        <w:rPr>
          <w:lang w:val="sr-Cyrl-CS"/>
        </w:rPr>
        <w:t xml:space="preserve"> </w:t>
      </w:r>
      <w:r>
        <w:rPr>
          <w:lang w:val="sr-Cyrl-CS"/>
        </w:rPr>
        <w:t>ostvaruje</w:t>
      </w:r>
      <w:r w:rsidR="00A278FF" w:rsidRPr="00E95BC4">
        <w:rPr>
          <w:lang w:val="sr-Cyrl-CS"/>
        </w:rPr>
        <w:t xml:space="preserve"> </w:t>
      </w:r>
      <w:r>
        <w:rPr>
          <w:lang w:val="sr-Cyrl-CS"/>
        </w:rPr>
        <w:t>sa</w:t>
      </w:r>
      <w:r w:rsidR="00A278FF" w:rsidRPr="00E95BC4">
        <w:rPr>
          <w:lang w:val="sr-Cyrl-CS"/>
        </w:rPr>
        <w:t xml:space="preserve"> </w:t>
      </w:r>
      <w:r>
        <w:rPr>
          <w:lang w:val="sr-Cyrl-CS"/>
        </w:rPr>
        <w:t>međunarodnim</w:t>
      </w:r>
      <w:r w:rsidR="00A278FF" w:rsidRPr="00E95BC4">
        <w:rPr>
          <w:lang w:val="sr-Cyrl-CS"/>
        </w:rPr>
        <w:t xml:space="preserve"> </w:t>
      </w:r>
      <w:r>
        <w:rPr>
          <w:lang w:val="sr-Cyrl-CS"/>
        </w:rPr>
        <w:t>finansijskim</w:t>
      </w:r>
      <w:r w:rsidR="00A278FF" w:rsidRPr="00E95BC4">
        <w:rPr>
          <w:lang w:val="sr-Cyrl-CS"/>
        </w:rPr>
        <w:t xml:space="preserve"> </w:t>
      </w:r>
      <w:r>
        <w:rPr>
          <w:lang w:val="sr-Cyrl-CS"/>
        </w:rPr>
        <w:t>institucijama</w:t>
      </w:r>
      <w:r w:rsidR="00A278FF" w:rsidRPr="00E95BC4">
        <w:rPr>
          <w:lang w:val="sr-Cyrl-CS"/>
        </w:rPr>
        <w:t xml:space="preserve"> </w:t>
      </w:r>
      <w:r>
        <w:rPr>
          <w:lang w:val="sr-Cyrl-CS"/>
        </w:rPr>
        <w:t>kao</w:t>
      </w:r>
      <w:r w:rsidR="00A278FF" w:rsidRPr="00E95BC4">
        <w:rPr>
          <w:lang w:val="sr-Cyrl-CS"/>
        </w:rPr>
        <w:t xml:space="preserve"> </w:t>
      </w:r>
      <w:r>
        <w:rPr>
          <w:lang w:val="sr-Cyrl-CS"/>
        </w:rPr>
        <w:t>što</w:t>
      </w:r>
      <w:r w:rsidR="00A278FF" w:rsidRPr="00E95BC4">
        <w:rPr>
          <w:lang w:val="sr-Cyrl-CS"/>
        </w:rPr>
        <w:t xml:space="preserve"> </w:t>
      </w:r>
      <w:r>
        <w:rPr>
          <w:lang w:val="sr-Cyrl-CS"/>
        </w:rPr>
        <w:t>je</w:t>
      </w:r>
      <w:r w:rsidR="00A278FF" w:rsidRPr="00E95BC4">
        <w:rPr>
          <w:lang w:val="sr-Cyrl-CS"/>
        </w:rPr>
        <w:t xml:space="preserve"> </w:t>
      </w:r>
      <w:r>
        <w:rPr>
          <w:lang w:val="sr-Cyrl-CS"/>
        </w:rPr>
        <w:t>MMF</w:t>
      </w:r>
      <w:r w:rsidR="00A278FF" w:rsidRPr="00E95BC4">
        <w:rPr>
          <w:lang w:val="sr-Cyrl-CS"/>
        </w:rPr>
        <w:t>).</w:t>
      </w:r>
    </w:p>
    <w:p w:rsidR="00B150CA" w:rsidRPr="00E95BC4" w:rsidRDefault="005818C0" w:rsidP="000E7324">
      <w:pPr>
        <w:ind w:firstLine="720"/>
        <w:jc w:val="both"/>
        <w:rPr>
          <w:lang w:val="sr-Cyrl-CS"/>
        </w:rPr>
      </w:pPr>
      <w:r>
        <w:rPr>
          <w:b/>
          <w:lang w:val="sr-Cyrl-CS"/>
        </w:rPr>
        <w:t>Analiza</w:t>
      </w:r>
      <w:r w:rsidR="000E7324" w:rsidRPr="00E95BC4">
        <w:rPr>
          <w:b/>
          <w:lang w:val="sr-Cyrl-CS"/>
        </w:rPr>
        <w:t xml:space="preserve"> </w:t>
      </w:r>
      <w:r>
        <w:rPr>
          <w:b/>
          <w:lang w:val="sr-Cyrl-CS"/>
        </w:rPr>
        <w:t>problema</w:t>
      </w:r>
      <w:r w:rsidR="000E7324" w:rsidRPr="00E95BC4">
        <w:rPr>
          <w:b/>
          <w:lang w:val="sr-Cyrl-CS"/>
        </w:rPr>
        <w:t xml:space="preserve">. </w:t>
      </w:r>
      <w:r>
        <w:rPr>
          <w:lang w:val="sr-Cyrl-CS"/>
        </w:rPr>
        <w:t>Na</w:t>
      </w:r>
      <w:r w:rsidR="004E07FF" w:rsidRPr="00E95BC4">
        <w:rPr>
          <w:lang w:val="sr-Cyrl-CS"/>
        </w:rPr>
        <w:t xml:space="preserve"> </w:t>
      </w:r>
      <w:r>
        <w:rPr>
          <w:lang w:val="sr-Cyrl-CS"/>
        </w:rPr>
        <w:t>osnovu</w:t>
      </w:r>
      <w:r w:rsidR="004E07FF" w:rsidRPr="00E95BC4">
        <w:rPr>
          <w:lang w:val="sr-Cyrl-CS"/>
        </w:rPr>
        <w:t xml:space="preserve"> </w:t>
      </w:r>
      <w:r>
        <w:rPr>
          <w:lang w:val="sr-Cyrl-CS"/>
        </w:rPr>
        <w:t>svih</w:t>
      </w:r>
      <w:r w:rsidR="004E07FF" w:rsidRPr="00E95BC4">
        <w:rPr>
          <w:lang w:val="sr-Cyrl-CS"/>
        </w:rPr>
        <w:t xml:space="preserve"> </w:t>
      </w:r>
      <w:r>
        <w:rPr>
          <w:lang w:val="sr-Cyrl-CS"/>
        </w:rPr>
        <w:t>napred</w:t>
      </w:r>
      <w:r w:rsidR="004E07FF" w:rsidRPr="00E95BC4">
        <w:rPr>
          <w:lang w:val="sr-Cyrl-CS"/>
        </w:rPr>
        <w:t xml:space="preserve"> </w:t>
      </w:r>
      <w:r>
        <w:rPr>
          <w:lang w:val="sr-Cyrl-CS"/>
        </w:rPr>
        <w:t>navedenih</w:t>
      </w:r>
      <w:r w:rsidR="004E07FF" w:rsidRPr="00E95BC4">
        <w:rPr>
          <w:lang w:val="sr-Cyrl-CS"/>
        </w:rPr>
        <w:t xml:space="preserve"> </w:t>
      </w:r>
      <w:r>
        <w:rPr>
          <w:lang w:val="sr-Cyrl-CS"/>
        </w:rPr>
        <w:t>analiza</w:t>
      </w:r>
      <w:r w:rsidR="004E07FF" w:rsidRPr="00E95BC4">
        <w:rPr>
          <w:lang w:val="sr-Cyrl-CS"/>
        </w:rPr>
        <w:t xml:space="preserve">, </w:t>
      </w:r>
      <w:r>
        <w:rPr>
          <w:lang w:val="sr-Cyrl-CS"/>
        </w:rPr>
        <w:t>pre</w:t>
      </w:r>
      <w:r w:rsidR="004E07FF" w:rsidRPr="00E95BC4">
        <w:rPr>
          <w:lang w:val="sr-Cyrl-CS"/>
        </w:rPr>
        <w:t xml:space="preserve"> </w:t>
      </w:r>
      <w:r>
        <w:rPr>
          <w:lang w:val="sr-Cyrl-CS"/>
        </w:rPr>
        <w:t>svega</w:t>
      </w:r>
      <w:r w:rsidR="004E07FF" w:rsidRPr="00E95BC4">
        <w:rPr>
          <w:lang w:val="sr-Cyrl-CS"/>
        </w:rPr>
        <w:t xml:space="preserve"> </w:t>
      </w:r>
      <w:r>
        <w:rPr>
          <w:lang w:val="sr-Cyrl-CS"/>
        </w:rPr>
        <w:t>analize</w:t>
      </w:r>
      <w:r w:rsidR="004E07FF" w:rsidRPr="00E95BC4">
        <w:rPr>
          <w:lang w:val="sr-Cyrl-CS"/>
        </w:rPr>
        <w:t xml:space="preserve"> </w:t>
      </w:r>
      <w:r>
        <w:rPr>
          <w:lang w:val="sr-Cyrl-CS"/>
        </w:rPr>
        <w:t>Manivala</w:t>
      </w:r>
      <w:r w:rsidR="004E07FF" w:rsidRPr="00E95BC4">
        <w:rPr>
          <w:lang w:val="sr-Cyrl-CS"/>
        </w:rPr>
        <w:t xml:space="preserve"> </w:t>
      </w:r>
      <w:r>
        <w:rPr>
          <w:lang w:val="sr-Cyrl-CS"/>
        </w:rPr>
        <w:t>i</w:t>
      </w:r>
      <w:r w:rsidR="004E07FF" w:rsidRPr="00E95BC4">
        <w:rPr>
          <w:lang w:val="sr-Cyrl-CS"/>
        </w:rPr>
        <w:t xml:space="preserve"> </w:t>
      </w:r>
      <w:r>
        <w:rPr>
          <w:lang w:val="sr-Cyrl-CS"/>
        </w:rPr>
        <w:t>analize</w:t>
      </w:r>
      <w:r w:rsidR="004E07FF" w:rsidRPr="00E95BC4">
        <w:rPr>
          <w:lang w:val="sr-Cyrl-CS"/>
        </w:rPr>
        <w:t xml:space="preserve"> </w:t>
      </w:r>
      <w:r>
        <w:rPr>
          <w:lang w:val="sr-Cyrl-CS"/>
        </w:rPr>
        <w:t>izvršene</w:t>
      </w:r>
      <w:r w:rsidR="004E07FF" w:rsidRPr="00E95BC4">
        <w:rPr>
          <w:lang w:val="sr-Cyrl-CS"/>
        </w:rPr>
        <w:t xml:space="preserve"> </w:t>
      </w:r>
      <w:r>
        <w:rPr>
          <w:lang w:val="sr-Cyrl-CS"/>
        </w:rPr>
        <w:t>u</w:t>
      </w:r>
      <w:r w:rsidR="004E07FF" w:rsidRPr="00E95BC4">
        <w:rPr>
          <w:lang w:val="sr-Cyrl-CS"/>
        </w:rPr>
        <w:t xml:space="preserve"> </w:t>
      </w:r>
      <w:r>
        <w:rPr>
          <w:lang w:val="sr-Cyrl-CS"/>
        </w:rPr>
        <w:t>okviru</w:t>
      </w:r>
      <w:r w:rsidR="004E07FF" w:rsidRPr="00E95BC4">
        <w:rPr>
          <w:lang w:val="sr-Cyrl-CS"/>
        </w:rPr>
        <w:t xml:space="preserve"> </w:t>
      </w:r>
      <w:r>
        <w:rPr>
          <w:lang w:val="sr-Cyrl-CS"/>
        </w:rPr>
        <w:t>nacionalne</w:t>
      </w:r>
      <w:r w:rsidR="004E07FF" w:rsidRPr="00E95BC4">
        <w:rPr>
          <w:lang w:val="sr-Cyrl-CS"/>
        </w:rPr>
        <w:t xml:space="preserve"> </w:t>
      </w:r>
      <w:r>
        <w:rPr>
          <w:lang w:val="sr-Cyrl-CS"/>
        </w:rPr>
        <w:t>procene</w:t>
      </w:r>
      <w:r w:rsidR="004E07FF" w:rsidRPr="00E95BC4">
        <w:rPr>
          <w:lang w:val="sr-Cyrl-CS"/>
        </w:rPr>
        <w:t xml:space="preserve"> </w:t>
      </w:r>
      <w:r>
        <w:rPr>
          <w:lang w:val="sr-Cyrl-CS"/>
        </w:rPr>
        <w:t>rizika</w:t>
      </w:r>
      <w:r w:rsidR="004E07FF" w:rsidRPr="00E95BC4">
        <w:rPr>
          <w:lang w:val="sr-Cyrl-CS"/>
        </w:rPr>
        <w:t xml:space="preserve"> </w:t>
      </w:r>
      <w:r>
        <w:rPr>
          <w:lang w:val="sr-Cyrl-CS"/>
        </w:rPr>
        <w:t>ali</w:t>
      </w:r>
      <w:r w:rsidR="004E07FF" w:rsidRPr="00E95BC4">
        <w:rPr>
          <w:lang w:val="sr-Cyrl-CS"/>
        </w:rPr>
        <w:t xml:space="preserve"> </w:t>
      </w:r>
      <w:r>
        <w:rPr>
          <w:lang w:val="sr-Cyrl-CS"/>
        </w:rPr>
        <w:t>i</w:t>
      </w:r>
      <w:r w:rsidR="004E07FF" w:rsidRPr="00E95BC4">
        <w:rPr>
          <w:lang w:val="sr-Cyrl-CS"/>
        </w:rPr>
        <w:t xml:space="preserve"> </w:t>
      </w:r>
      <w:r>
        <w:rPr>
          <w:lang w:val="sr-Cyrl-CS"/>
        </w:rPr>
        <w:t>kontinuiranog</w:t>
      </w:r>
      <w:r w:rsidR="000E7324" w:rsidRPr="00E95BC4">
        <w:rPr>
          <w:lang w:val="sr-Cyrl-CS"/>
        </w:rPr>
        <w:t xml:space="preserve"> </w:t>
      </w:r>
      <w:r>
        <w:rPr>
          <w:lang w:val="sr-Cyrl-CS"/>
        </w:rPr>
        <w:t>praćenja</w:t>
      </w:r>
      <w:r w:rsidR="000E7324" w:rsidRPr="00E95BC4">
        <w:rPr>
          <w:lang w:val="sr-Cyrl-CS"/>
        </w:rPr>
        <w:t xml:space="preserve"> </w:t>
      </w:r>
      <w:r>
        <w:rPr>
          <w:lang w:val="sr-Cyrl-CS"/>
        </w:rPr>
        <w:t>i</w:t>
      </w:r>
      <w:r w:rsidR="000E7324" w:rsidRPr="00E95BC4">
        <w:rPr>
          <w:lang w:val="sr-Cyrl-CS"/>
        </w:rPr>
        <w:t xml:space="preserve"> </w:t>
      </w:r>
      <w:r>
        <w:rPr>
          <w:lang w:val="sr-Cyrl-CS"/>
        </w:rPr>
        <w:t>ocene</w:t>
      </w:r>
      <w:r w:rsidR="000E7324" w:rsidRPr="00E95BC4">
        <w:rPr>
          <w:lang w:val="sr-Cyrl-CS"/>
        </w:rPr>
        <w:t xml:space="preserve"> </w:t>
      </w:r>
      <w:r>
        <w:rPr>
          <w:lang w:val="sr-Cyrl-CS"/>
        </w:rPr>
        <w:t>efektivnosti</w:t>
      </w:r>
      <w:r w:rsidR="000E7324" w:rsidRPr="00E95BC4">
        <w:rPr>
          <w:lang w:val="sr-Cyrl-CS"/>
        </w:rPr>
        <w:t xml:space="preserve"> </w:t>
      </w:r>
      <w:r>
        <w:rPr>
          <w:lang w:val="sr-Cyrl-CS"/>
        </w:rPr>
        <w:t>sistema</w:t>
      </w:r>
      <w:r w:rsidR="000E7324" w:rsidRPr="00E95BC4">
        <w:rPr>
          <w:lang w:val="sr-Cyrl-CS"/>
        </w:rPr>
        <w:t xml:space="preserve"> </w:t>
      </w:r>
      <w:r>
        <w:rPr>
          <w:lang w:val="sr-Cyrl-CS"/>
        </w:rPr>
        <w:t>za</w:t>
      </w:r>
      <w:r w:rsidR="000E7324" w:rsidRPr="00E95BC4">
        <w:rPr>
          <w:lang w:val="sr-Cyrl-CS"/>
        </w:rPr>
        <w:t xml:space="preserve"> </w:t>
      </w:r>
      <w:r>
        <w:rPr>
          <w:lang w:val="sr-Cyrl-CS"/>
        </w:rPr>
        <w:t>borbu</w:t>
      </w:r>
      <w:r w:rsidR="000E7324" w:rsidRPr="00E95BC4">
        <w:rPr>
          <w:lang w:val="sr-Cyrl-CS"/>
        </w:rPr>
        <w:t xml:space="preserve"> </w:t>
      </w:r>
      <w:r>
        <w:rPr>
          <w:lang w:val="sr-Cyrl-CS"/>
        </w:rPr>
        <w:t>protiv</w:t>
      </w:r>
      <w:r w:rsidR="000E7324" w:rsidRPr="00E95BC4">
        <w:rPr>
          <w:lang w:val="sr-Cyrl-CS"/>
        </w:rPr>
        <w:t xml:space="preserve"> </w:t>
      </w:r>
      <w:r>
        <w:rPr>
          <w:lang w:val="sr-Cyrl-CS"/>
        </w:rPr>
        <w:t>pranja</w:t>
      </w:r>
      <w:r w:rsidR="000E7324" w:rsidRPr="00E95BC4">
        <w:rPr>
          <w:lang w:val="sr-Cyrl-CS"/>
        </w:rPr>
        <w:t xml:space="preserve"> </w:t>
      </w:r>
      <w:r>
        <w:rPr>
          <w:lang w:val="sr-Cyrl-CS"/>
        </w:rPr>
        <w:t>novca</w:t>
      </w:r>
      <w:r w:rsidR="000E7324" w:rsidRPr="00E95BC4">
        <w:rPr>
          <w:lang w:val="sr-Cyrl-CS"/>
        </w:rPr>
        <w:t xml:space="preserve"> </w:t>
      </w:r>
      <w:r>
        <w:rPr>
          <w:lang w:val="sr-Cyrl-CS"/>
        </w:rPr>
        <w:t>i</w:t>
      </w:r>
      <w:r w:rsidR="000E7324" w:rsidRPr="00E95BC4">
        <w:rPr>
          <w:lang w:val="sr-Cyrl-CS"/>
        </w:rPr>
        <w:t xml:space="preserve"> </w:t>
      </w:r>
      <w:r>
        <w:rPr>
          <w:lang w:val="sr-Cyrl-CS"/>
        </w:rPr>
        <w:t>finansiranja</w:t>
      </w:r>
      <w:r w:rsidR="000E7324" w:rsidRPr="00E95BC4">
        <w:rPr>
          <w:lang w:val="sr-Cyrl-CS"/>
        </w:rPr>
        <w:t xml:space="preserve"> </w:t>
      </w:r>
      <w:r>
        <w:rPr>
          <w:lang w:val="sr-Cyrl-CS"/>
        </w:rPr>
        <w:t>terorizma</w:t>
      </w:r>
      <w:r w:rsidR="000E7324" w:rsidRPr="00E95BC4">
        <w:rPr>
          <w:lang w:val="sr-Cyrl-CS"/>
        </w:rPr>
        <w:t xml:space="preserve"> </w:t>
      </w:r>
      <w:r>
        <w:rPr>
          <w:lang w:val="sr-Cyrl-CS"/>
        </w:rPr>
        <w:t>u</w:t>
      </w:r>
      <w:r w:rsidR="000E7324" w:rsidRPr="00E95BC4">
        <w:rPr>
          <w:lang w:val="sr-Cyrl-CS"/>
        </w:rPr>
        <w:t xml:space="preserve"> </w:t>
      </w:r>
      <w:r>
        <w:rPr>
          <w:lang w:val="sr-Cyrl-CS"/>
        </w:rPr>
        <w:t>skladu</w:t>
      </w:r>
      <w:r w:rsidR="000E7324" w:rsidRPr="00E95BC4">
        <w:rPr>
          <w:lang w:val="sr-Cyrl-CS"/>
        </w:rPr>
        <w:t xml:space="preserve"> </w:t>
      </w:r>
      <w:r>
        <w:rPr>
          <w:lang w:val="sr-Cyrl-CS"/>
        </w:rPr>
        <w:t>sa</w:t>
      </w:r>
      <w:r w:rsidR="000E7324" w:rsidRPr="00E95BC4">
        <w:rPr>
          <w:lang w:val="sr-Cyrl-CS"/>
        </w:rPr>
        <w:t xml:space="preserve"> </w:t>
      </w:r>
      <w:r>
        <w:rPr>
          <w:lang w:val="sr-Cyrl-CS"/>
        </w:rPr>
        <w:t>Zakonom</w:t>
      </w:r>
      <w:r w:rsidR="000E7324" w:rsidRPr="00E95BC4">
        <w:rPr>
          <w:lang w:val="sr-Cyrl-CS"/>
        </w:rPr>
        <w:t xml:space="preserve"> </w:t>
      </w:r>
      <w:r>
        <w:rPr>
          <w:lang w:val="sr-Cyrl-CS"/>
        </w:rPr>
        <w:t>o</w:t>
      </w:r>
      <w:r w:rsidR="000E7324" w:rsidRPr="00E95BC4">
        <w:rPr>
          <w:lang w:val="sr-Cyrl-CS"/>
        </w:rPr>
        <w:t xml:space="preserve"> </w:t>
      </w:r>
      <w:r>
        <w:rPr>
          <w:lang w:val="sr-Cyrl-CS"/>
        </w:rPr>
        <w:t>sprečavanju</w:t>
      </w:r>
      <w:r w:rsidR="000E7324" w:rsidRPr="00E95BC4">
        <w:rPr>
          <w:lang w:val="sr-Cyrl-CS"/>
        </w:rPr>
        <w:t xml:space="preserve"> </w:t>
      </w:r>
      <w:r>
        <w:rPr>
          <w:lang w:val="sr-Cyrl-CS"/>
        </w:rPr>
        <w:t>pranja</w:t>
      </w:r>
      <w:r w:rsidR="000E7324" w:rsidRPr="00E95BC4">
        <w:rPr>
          <w:lang w:val="sr-Cyrl-CS"/>
        </w:rPr>
        <w:t xml:space="preserve"> </w:t>
      </w:r>
      <w:r>
        <w:rPr>
          <w:lang w:val="sr-Cyrl-CS"/>
        </w:rPr>
        <w:t>novca</w:t>
      </w:r>
      <w:r w:rsidR="000E7324" w:rsidRPr="00E95BC4">
        <w:rPr>
          <w:lang w:val="sr-Cyrl-CS"/>
        </w:rPr>
        <w:t xml:space="preserve">, </w:t>
      </w:r>
      <w:r>
        <w:rPr>
          <w:lang w:val="sr-Cyrl-CS"/>
        </w:rPr>
        <w:t>identifikovani</w:t>
      </w:r>
      <w:r w:rsidR="000E7324" w:rsidRPr="00E95BC4">
        <w:rPr>
          <w:lang w:val="sr-Cyrl-CS"/>
        </w:rPr>
        <w:t xml:space="preserve"> </w:t>
      </w:r>
      <w:r>
        <w:rPr>
          <w:lang w:val="sr-Cyrl-CS"/>
        </w:rPr>
        <w:t>su</w:t>
      </w:r>
      <w:r w:rsidR="000E7324" w:rsidRPr="00E95BC4">
        <w:rPr>
          <w:lang w:val="sr-Cyrl-CS"/>
        </w:rPr>
        <w:t xml:space="preserve"> </w:t>
      </w:r>
      <w:r>
        <w:rPr>
          <w:lang w:val="sr-Cyrl-CS"/>
        </w:rPr>
        <w:t>sledeći</w:t>
      </w:r>
      <w:r w:rsidR="000E7324" w:rsidRPr="00E95BC4">
        <w:rPr>
          <w:lang w:val="sr-Cyrl-CS"/>
        </w:rPr>
        <w:t xml:space="preserve"> </w:t>
      </w:r>
      <w:r>
        <w:rPr>
          <w:lang w:val="sr-Cyrl-CS"/>
        </w:rPr>
        <w:t>ključni</w:t>
      </w:r>
      <w:r w:rsidR="000E7324" w:rsidRPr="00E95BC4">
        <w:rPr>
          <w:lang w:val="sr-Cyrl-CS"/>
        </w:rPr>
        <w:t xml:space="preserve"> </w:t>
      </w:r>
      <w:r>
        <w:rPr>
          <w:lang w:val="sr-Cyrl-CS"/>
        </w:rPr>
        <w:t>problemi</w:t>
      </w:r>
      <w:r w:rsidR="004769B3" w:rsidRPr="00E95BC4">
        <w:rPr>
          <w:lang w:val="sr-Cyrl-CS"/>
        </w:rPr>
        <w:t xml:space="preserve"> (</w:t>
      </w:r>
      <w:r>
        <w:rPr>
          <w:lang w:val="sr-Cyrl-CS"/>
        </w:rPr>
        <w:t>obim</w:t>
      </w:r>
      <w:r w:rsidR="004769B3" w:rsidRPr="00E95BC4">
        <w:rPr>
          <w:lang w:val="sr-Cyrl-CS"/>
        </w:rPr>
        <w:t xml:space="preserve">, </w:t>
      </w:r>
      <w:r>
        <w:rPr>
          <w:lang w:val="sr-Cyrl-CS"/>
        </w:rPr>
        <w:t>priroda</w:t>
      </w:r>
      <w:r w:rsidR="004769B3" w:rsidRPr="00E95BC4">
        <w:rPr>
          <w:lang w:val="sr-Cyrl-CS"/>
        </w:rPr>
        <w:t xml:space="preserve">, </w:t>
      </w:r>
      <w:r>
        <w:rPr>
          <w:lang w:val="sr-Cyrl-CS"/>
        </w:rPr>
        <w:t>uzroci</w:t>
      </w:r>
      <w:r w:rsidR="004769B3" w:rsidRPr="00E95BC4">
        <w:rPr>
          <w:lang w:val="sr-Cyrl-CS"/>
        </w:rPr>
        <w:t xml:space="preserve">, </w:t>
      </w:r>
      <w:r>
        <w:rPr>
          <w:lang w:val="sr-Cyrl-CS"/>
        </w:rPr>
        <w:t>posledice</w:t>
      </w:r>
      <w:r w:rsidR="004769B3" w:rsidRPr="00E95BC4">
        <w:rPr>
          <w:lang w:val="sr-Cyrl-CS"/>
        </w:rPr>
        <w:t>)</w:t>
      </w:r>
      <w:r w:rsidR="000E7324" w:rsidRPr="00E95BC4">
        <w:rPr>
          <w:lang w:val="sr-Cyrl-CS"/>
        </w:rPr>
        <w:t>:</w:t>
      </w:r>
    </w:p>
    <w:p w:rsidR="001A655F" w:rsidRPr="00E95BC4" w:rsidRDefault="005818C0" w:rsidP="00F83CCF">
      <w:pPr>
        <w:pStyle w:val="FATF-TEXTE1115"/>
        <w:tabs>
          <w:tab w:val="clear" w:pos="624"/>
          <w:tab w:val="clear" w:pos="1247"/>
          <w:tab w:val="clear" w:pos="1871"/>
          <w:tab w:val="clear" w:pos="2495"/>
          <w:tab w:val="clear" w:pos="3119"/>
        </w:tabs>
        <w:spacing w:after="0" w:line="240" w:lineRule="auto"/>
        <w:ind w:firstLine="720"/>
        <w:rPr>
          <w:rFonts w:ascii="Times New Roman" w:hAnsi="Times New Roman"/>
          <w:sz w:val="24"/>
          <w:szCs w:val="24"/>
          <w:lang w:val="sr-Cyrl-CS"/>
        </w:rPr>
      </w:pPr>
      <w:r>
        <w:rPr>
          <w:rFonts w:ascii="Times New Roman" w:hAnsi="Times New Roman"/>
          <w:b/>
          <w:sz w:val="24"/>
          <w:szCs w:val="24"/>
          <w:lang w:val="sr-Cyrl-CS"/>
        </w:rPr>
        <w:t>Problem</w:t>
      </w:r>
      <w:r w:rsidR="00F65C28" w:rsidRPr="00E95BC4">
        <w:rPr>
          <w:rFonts w:ascii="Times New Roman" w:hAnsi="Times New Roman"/>
          <w:b/>
          <w:sz w:val="24"/>
          <w:szCs w:val="24"/>
          <w:lang w:val="sr-Cyrl-CS"/>
        </w:rPr>
        <w:t xml:space="preserve"> 1</w:t>
      </w:r>
      <w:r w:rsidR="00C55991" w:rsidRPr="00E95BC4">
        <w:rPr>
          <w:rFonts w:ascii="Times New Roman" w:hAnsi="Times New Roman"/>
          <w:b/>
          <w:sz w:val="24"/>
          <w:szCs w:val="24"/>
          <w:lang w:val="sr-Cyrl-CS"/>
        </w:rPr>
        <w:t xml:space="preserve"> – </w:t>
      </w:r>
      <w:r>
        <w:rPr>
          <w:rFonts w:ascii="Times New Roman" w:hAnsi="Times New Roman"/>
          <w:b/>
          <w:sz w:val="24"/>
          <w:szCs w:val="24"/>
          <w:lang w:val="sr-Cyrl-CS"/>
        </w:rPr>
        <w:t>Rizik</w:t>
      </w:r>
      <w:r w:rsidR="00C55991" w:rsidRPr="00E95BC4">
        <w:rPr>
          <w:rFonts w:ascii="Times New Roman" w:hAnsi="Times New Roman"/>
          <w:b/>
          <w:sz w:val="24"/>
          <w:szCs w:val="24"/>
          <w:lang w:val="sr-Cyrl-CS"/>
        </w:rPr>
        <w:t xml:space="preserve">, </w:t>
      </w:r>
      <w:r>
        <w:rPr>
          <w:rFonts w:ascii="Times New Roman" w:hAnsi="Times New Roman"/>
          <w:b/>
          <w:sz w:val="24"/>
          <w:szCs w:val="24"/>
          <w:lang w:val="sr-Cyrl-CS"/>
        </w:rPr>
        <w:t>koordinacija</w:t>
      </w:r>
      <w:r w:rsidR="00C55991" w:rsidRPr="00E95BC4">
        <w:rPr>
          <w:rFonts w:ascii="Times New Roman" w:hAnsi="Times New Roman"/>
          <w:b/>
          <w:sz w:val="24"/>
          <w:szCs w:val="24"/>
          <w:lang w:val="sr-Cyrl-CS"/>
        </w:rPr>
        <w:t xml:space="preserve">, </w:t>
      </w:r>
      <w:r>
        <w:rPr>
          <w:rFonts w:ascii="Times New Roman" w:hAnsi="Times New Roman"/>
          <w:b/>
          <w:sz w:val="24"/>
          <w:szCs w:val="24"/>
          <w:lang w:val="sr-Cyrl-CS"/>
        </w:rPr>
        <w:t>interresorna</w:t>
      </w:r>
      <w:r w:rsidR="00C55991" w:rsidRPr="00E95BC4">
        <w:rPr>
          <w:rFonts w:ascii="Times New Roman" w:hAnsi="Times New Roman"/>
          <w:b/>
          <w:sz w:val="24"/>
          <w:szCs w:val="24"/>
          <w:lang w:val="sr-Cyrl-CS"/>
        </w:rPr>
        <w:t xml:space="preserve"> </w:t>
      </w:r>
      <w:r>
        <w:rPr>
          <w:rFonts w:ascii="Times New Roman" w:hAnsi="Times New Roman"/>
          <w:b/>
          <w:sz w:val="24"/>
          <w:szCs w:val="24"/>
          <w:lang w:val="sr-Cyrl-CS"/>
        </w:rPr>
        <w:t>i</w:t>
      </w:r>
      <w:r w:rsidR="00C55991" w:rsidRPr="00E95BC4">
        <w:rPr>
          <w:rFonts w:ascii="Times New Roman" w:hAnsi="Times New Roman"/>
          <w:b/>
          <w:sz w:val="24"/>
          <w:szCs w:val="24"/>
          <w:lang w:val="sr-Cyrl-CS"/>
        </w:rPr>
        <w:t xml:space="preserve"> </w:t>
      </w:r>
      <w:r>
        <w:rPr>
          <w:rFonts w:ascii="Times New Roman" w:hAnsi="Times New Roman"/>
          <w:b/>
          <w:sz w:val="24"/>
          <w:szCs w:val="24"/>
          <w:lang w:val="sr-Cyrl-CS"/>
        </w:rPr>
        <w:t>međunarodna</w:t>
      </w:r>
      <w:r w:rsidR="00C55991" w:rsidRPr="00E95BC4">
        <w:rPr>
          <w:rFonts w:ascii="Times New Roman" w:hAnsi="Times New Roman"/>
          <w:b/>
          <w:sz w:val="24"/>
          <w:szCs w:val="24"/>
          <w:lang w:val="sr-Cyrl-CS"/>
        </w:rPr>
        <w:t xml:space="preserve"> </w:t>
      </w:r>
      <w:r>
        <w:rPr>
          <w:rFonts w:ascii="Times New Roman" w:hAnsi="Times New Roman"/>
          <w:b/>
          <w:sz w:val="24"/>
          <w:szCs w:val="24"/>
          <w:lang w:val="sr-Cyrl-CS"/>
        </w:rPr>
        <w:t>saradnja</w:t>
      </w:r>
      <w:r w:rsidR="00BE282A" w:rsidRPr="00E95BC4">
        <w:rPr>
          <w:rFonts w:ascii="Times New Roman" w:hAnsi="Times New Roman"/>
          <w:b/>
          <w:sz w:val="24"/>
          <w:szCs w:val="24"/>
          <w:lang w:val="sr-Cyrl-CS"/>
        </w:rPr>
        <w:t xml:space="preserve">. </w:t>
      </w:r>
      <w:r>
        <w:rPr>
          <w:rFonts w:ascii="Times New Roman" w:hAnsi="Times New Roman"/>
          <w:sz w:val="24"/>
          <w:szCs w:val="24"/>
          <w:lang w:val="sr-Cyrl-CS"/>
        </w:rPr>
        <w:t>Kada</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su</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u</w:t>
      </w:r>
      <w:r w:rsidR="00FE659C" w:rsidRPr="00E95BC4">
        <w:rPr>
          <w:rFonts w:ascii="Times New Roman" w:hAnsi="Times New Roman"/>
          <w:sz w:val="24"/>
          <w:szCs w:val="24"/>
          <w:lang w:val="sr-Cyrl-CS"/>
        </w:rPr>
        <w:t xml:space="preserve"> </w:t>
      </w:r>
      <w:r>
        <w:rPr>
          <w:rFonts w:ascii="Times New Roman" w:hAnsi="Times New Roman"/>
          <w:sz w:val="24"/>
          <w:szCs w:val="24"/>
          <w:lang w:val="sr-Cyrl-CS"/>
        </w:rPr>
        <w:t>pitanju</w:t>
      </w:r>
      <w:r w:rsidR="00FE659C" w:rsidRPr="00E95BC4">
        <w:rPr>
          <w:rFonts w:ascii="Times New Roman" w:hAnsi="Times New Roman"/>
          <w:sz w:val="24"/>
          <w:szCs w:val="24"/>
          <w:lang w:val="sr-Cyrl-CS"/>
        </w:rPr>
        <w:t xml:space="preserve"> </w:t>
      </w:r>
      <w:r>
        <w:rPr>
          <w:rFonts w:ascii="Times New Roman" w:hAnsi="Times New Roman"/>
          <w:sz w:val="24"/>
          <w:szCs w:val="24"/>
          <w:lang w:val="sr-Cyrl-CS"/>
        </w:rPr>
        <w:t>smanjenje</w:t>
      </w:r>
      <w:r w:rsidR="00FE659C" w:rsidRPr="00E95BC4">
        <w:rPr>
          <w:rFonts w:ascii="Times New Roman" w:hAnsi="Times New Roman"/>
          <w:sz w:val="24"/>
          <w:szCs w:val="24"/>
          <w:lang w:val="sr-Cyrl-CS"/>
        </w:rPr>
        <w:t xml:space="preserve"> </w:t>
      </w:r>
      <w:r>
        <w:rPr>
          <w:rFonts w:ascii="Times New Roman" w:hAnsi="Times New Roman"/>
          <w:sz w:val="24"/>
          <w:szCs w:val="24"/>
          <w:lang w:val="sr-Cyrl-CS"/>
        </w:rPr>
        <w:t>rizika</w:t>
      </w:r>
      <w:r w:rsidR="00FE659C" w:rsidRPr="00E95BC4">
        <w:rPr>
          <w:rFonts w:ascii="Times New Roman" w:hAnsi="Times New Roman"/>
          <w:sz w:val="24"/>
          <w:szCs w:val="24"/>
          <w:lang w:val="sr-Cyrl-CS"/>
        </w:rPr>
        <w:t xml:space="preserve">, </w:t>
      </w:r>
      <w:r>
        <w:rPr>
          <w:rFonts w:ascii="Times New Roman" w:hAnsi="Times New Roman"/>
          <w:sz w:val="24"/>
          <w:szCs w:val="24"/>
          <w:lang w:val="sr-Cyrl-CS"/>
        </w:rPr>
        <w:t>koordinacija</w:t>
      </w:r>
      <w:r w:rsidR="00FE659C" w:rsidRPr="00E95BC4">
        <w:rPr>
          <w:rFonts w:ascii="Times New Roman" w:hAnsi="Times New Roman"/>
          <w:sz w:val="24"/>
          <w:szCs w:val="24"/>
          <w:lang w:val="sr-Cyrl-CS"/>
        </w:rPr>
        <w:t xml:space="preserve">, </w:t>
      </w:r>
      <w:r>
        <w:rPr>
          <w:rFonts w:ascii="Times New Roman" w:hAnsi="Times New Roman"/>
          <w:sz w:val="24"/>
          <w:szCs w:val="24"/>
          <w:lang w:val="sr-Cyrl-CS"/>
        </w:rPr>
        <w:t>interresorna</w:t>
      </w:r>
      <w:r w:rsidR="00FE659C" w:rsidRPr="00E95BC4">
        <w:rPr>
          <w:rFonts w:ascii="Times New Roman" w:hAnsi="Times New Roman"/>
          <w:sz w:val="24"/>
          <w:szCs w:val="24"/>
          <w:lang w:val="sr-Cyrl-CS"/>
        </w:rPr>
        <w:t xml:space="preserve"> </w:t>
      </w:r>
      <w:r>
        <w:rPr>
          <w:rFonts w:ascii="Times New Roman" w:hAnsi="Times New Roman"/>
          <w:sz w:val="24"/>
          <w:szCs w:val="24"/>
          <w:lang w:val="sr-Cyrl-CS"/>
        </w:rPr>
        <w:t>i</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međunarodna</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saradnja</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problem</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u</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ovom</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trenutku</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nije</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izražen</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s</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obzirom</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na</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to</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da</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je</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država</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sprovela</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nacionalnu</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procenu</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rizika</w:t>
      </w:r>
      <w:r w:rsidR="00C55991" w:rsidRPr="00E95BC4">
        <w:rPr>
          <w:rFonts w:ascii="Times New Roman" w:hAnsi="Times New Roman"/>
          <w:sz w:val="24"/>
          <w:szCs w:val="24"/>
          <w:lang w:val="sr-Cyrl-CS"/>
        </w:rPr>
        <w:t xml:space="preserve"> 2018. </w:t>
      </w:r>
      <w:r>
        <w:rPr>
          <w:rFonts w:ascii="Times New Roman" w:hAnsi="Times New Roman"/>
          <w:sz w:val="24"/>
          <w:szCs w:val="24"/>
          <w:lang w:val="sr-Cyrl-CS"/>
        </w:rPr>
        <w:t>godine</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i</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da</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je</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oformila</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novo</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Koordinaciono</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telo</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koje</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se</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redovno</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sastaje</w:t>
      </w:r>
      <w:r w:rsidR="004769B3" w:rsidRPr="00E95BC4">
        <w:rPr>
          <w:rFonts w:ascii="Times New Roman" w:hAnsi="Times New Roman"/>
          <w:sz w:val="24"/>
          <w:szCs w:val="24"/>
          <w:lang w:val="sr-Cyrl-CS"/>
        </w:rPr>
        <w:t xml:space="preserve"> </w:t>
      </w:r>
      <w:r>
        <w:rPr>
          <w:rFonts w:ascii="Times New Roman" w:hAnsi="Times New Roman"/>
          <w:sz w:val="24"/>
          <w:szCs w:val="24"/>
          <w:lang w:val="sr-Cyrl-CS"/>
        </w:rPr>
        <w:t>i</w:t>
      </w:r>
      <w:r w:rsidR="004769B3" w:rsidRPr="00E95BC4">
        <w:rPr>
          <w:rFonts w:ascii="Times New Roman" w:hAnsi="Times New Roman"/>
          <w:sz w:val="24"/>
          <w:szCs w:val="24"/>
          <w:lang w:val="sr-Cyrl-CS"/>
        </w:rPr>
        <w:t xml:space="preserve"> </w:t>
      </w:r>
      <w:r>
        <w:rPr>
          <w:rFonts w:ascii="Times New Roman" w:hAnsi="Times New Roman"/>
          <w:sz w:val="24"/>
          <w:szCs w:val="24"/>
          <w:lang w:val="sr-Cyrl-CS"/>
        </w:rPr>
        <w:t>dovoljno</w:t>
      </w:r>
      <w:r w:rsidR="004769B3" w:rsidRPr="00E95BC4">
        <w:rPr>
          <w:rFonts w:ascii="Times New Roman" w:hAnsi="Times New Roman"/>
          <w:sz w:val="24"/>
          <w:szCs w:val="24"/>
          <w:lang w:val="sr-Cyrl-CS"/>
        </w:rPr>
        <w:t xml:space="preserve"> </w:t>
      </w:r>
      <w:r>
        <w:rPr>
          <w:rFonts w:ascii="Times New Roman" w:hAnsi="Times New Roman"/>
          <w:sz w:val="24"/>
          <w:szCs w:val="24"/>
          <w:lang w:val="sr-Cyrl-CS"/>
        </w:rPr>
        <w:t>je</w:t>
      </w:r>
      <w:r w:rsidR="004769B3" w:rsidRPr="00E95BC4">
        <w:rPr>
          <w:rFonts w:ascii="Times New Roman" w:hAnsi="Times New Roman"/>
          <w:sz w:val="24"/>
          <w:szCs w:val="24"/>
          <w:lang w:val="sr-Cyrl-CS"/>
        </w:rPr>
        <w:t xml:space="preserve"> </w:t>
      </w:r>
      <w:r>
        <w:rPr>
          <w:rFonts w:ascii="Times New Roman" w:hAnsi="Times New Roman"/>
          <w:sz w:val="24"/>
          <w:szCs w:val="24"/>
          <w:lang w:val="sr-Cyrl-CS"/>
        </w:rPr>
        <w:t>snažno</w:t>
      </w:r>
      <w:r w:rsidR="004769B3" w:rsidRPr="00E95BC4">
        <w:rPr>
          <w:rFonts w:ascii="Times New Roman" w:hAnsi="Times New Roman"/>
          <w:sz w:val="24"/>
          <w:szCs w:val="24"/>
          <w:lang w:val="sr-Cyrl-CS"/>
        </w:rPr>
        <w:t xml:space="preserve"> </w:t>
      </w:r>
      <w:r>
        <w:rPr>
          <w:rFonts w:ascii="Times New Roman" w:hAnsi="Times New Roman"/>
          <w:sz w:val="24"/>
          <w:szCs w:val="24"/>
          <w:lang w:val="sr-Cyrl-CS"/>
        </w:rPr>
        <w:t>da</w:t>
      </w:r>
      <w:r w:rsidR="004769B3" w:rsidRPr="00E95BC4">
        <w:rPr>
          <w:rFonts w:ascii="Times New Roman" w:hAnsi="Times New Roman"/>
          <w:sz w:val="24"/>
          <w:szCs w:val="24"/>
          <w:lang w:val="sr-Cyrl-CS"/>
        </w:rPr>
        <w:t xml:space="preserve"> </w:t>
      </w:r>
      <w:r>
        <w:rPr>
          <w:rFonts w:ascii="Times New Roman" w:hAnsi="Times New Roman"/>
          <w:sz w:val="24"/>
          <w:szCs w:val="24"/>
          <w:lang w:val="sr-Cyrl-CS"/>
        </w:rPr>
        <w:t>utiče</w:t>
      </w:r>
      <w:r w:rsidR="004769B3" w:rsidRPr="00E95BC4">
        <w:rPr>
          <w:rFonts w:ascii="Times New Roman" w:hAnsi="Times New Roman"/>
          <w:sz w:val="24"/>
          <w:szCs w:val="24"/>
          <w:lang w:val="sr-Cyrl-CS"/>
        </w:rPr>
        <w:t xml:space="preserve"> </w:t>
      </w:r>
      <w:r>
        <w:rPr>
          <w:rFonts w:ascii="Times New Roman" w:hAnsi="Times New Roman"/>
          <w:sz w:val="24"/>
          <w:szCs w:val="24"/>
          <w:lang w:val="sr-Cyrl-CS"/>
        </w:rPr>
        <w:t>na</w:t>
      </w:r>
      <w:r w:rsidR="004769B3" w:rsidRPr="00E95BC4">
        <w:rPr>
          <w:rFonts w:ascii="Times New Roman" w:hAnsi="Times New Roman"/>
          <w:sz w:val="24"/>
          <w:szCs w:val="24"/>
          <w:lang w:val="sr-Cyrl-CS"/>
        </w:rPr>
        <w:t xml:space="preserve"> </w:t>
      </w:r>
      <w:r>
        <w:rPr>
          <w:rFonts w:ascii="Times New Roman" w:hAnsi="Times New Roman"/>
          <w:sz w:val="24"/>
          <w:szCs w:val="24"/>
          <w:lang w:val="sr-Cyrl-CS"/>
        </w:rPr>
        <w:t>promene</w:t>
      </w:r>
      <w:r w:rsidR="004769B3" w:rsidRPr="00E95BC4">
        <w:rPr>
          <w:rFonts w:ascii="Times New Roman" w:hAnsi="Times New Roman"/>
          <w:sz w:val="24"/>
          <w:szCs w:val="24"/>
          <w:lang w:val="sr-Cyrl-CS"/>
        </w:rPr>
        <w:t xml:space="preserve"> </w:t>
      </w:r>
      <w:r>
        <w:rPr>
          <w:rFonts w:ascii="Times New Roman" w:hAnsi="Times New Roman"/>
          <w:sz w:val="24"/>
          <w:szCs w:val="24"/>
          <w:lang w:val="sr-Cyrl-CS"/>
        </w:rPr>
        <w:t>u</w:t>
      </w:r>
      <w:r w:rsidR="004769B3" w:rsidRPr="00E95BC4">
        <w:rPr>
          <w:rFonts w:ascii="Times New Roman" w:hAnsi="Times New Roman"/>
          <w:sz w:val="24"/>
          <w:szCs w:val="24"/>
          <w:lang w:val="sr-Cyrl-CS"/>
        </w:rPr>
        <w:t xml:space="preserve"> </w:t>
      </w:r>
      <w:r>
        <w:rPr>
          <w:rFonts w:ascii="Times New Roman" w:hAnsi="Times New Roman"/>
          <w:sz w:val="24"/>
          <w:szCs w:val="24"/>
          <w:lang w:val="sr-Cyrl-CS"/>
        </w:rPr>
        <w:t>sistemu</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Takođe</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postoje</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i</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adekvatna</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rešenja</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za</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interresornu</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saradnju</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koju</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pružaju</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različiti</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zakoni</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poput</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Zakona</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o</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organizaciji</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i</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nadležnosti</w:t>
      </w:r>
      <w:r w:rsidR="00F83CCF" w:rsidRPr="00E95BC4">
        <w:rPr>
          <w:rFonts w:ascii="Times New Roman" w:hAnsi="Times New Roman"/>
          <w:sz w:val="24"/>
          <w:szCs w:val="24"/>
          <w:lang w:val="sr-Cyrl-CS"/>
        </w:rPr>
        <w:t xml:space="preserve"> </w:t>
      </w:r>
      <w:r>
        <w:rPr>
          <w:rFonts w:ascii="Times New Roman" w:hAnsi="Times New Roman"/>
          <w:sz w:val="24"/>
          <w:szCs w:val="24"/>
          <w:lang w:val="sr-Cyrl-CS"/>
        </w:rPr>
        <w:t>državnih</w:t>
      </w:r>
      <w:r w:rsidR="00F83CCF" w:rsidRPr="00E95BC4">
        <w:rPr>
          <w:rFonts w:ascii="Times New Roman" w:hAnsi="Times New Roman"/>
          <w:sz w:val="24"/>
          <w:szCs w:val="24"/>
          <w:lang w:val="sr-Cyrl-CS"/>
        </w:rPr>
        <w:t xml:space="preserve"> </w:t>
      </w:r>
      <w:r>
        <w:rPr>
          <w:rFonts w:ascii="Times New Roman" w:hAnsi="Times New Roman"/>
          <w:sz w:val="24"/>
          <w:szCs w:val="24"/>
          <w:lang w:val="sr-Cyrl-CS"/>
        </w:rPr>
        <w:t>organa</w:t>
      </w:r>
      <w:r w:rsidR="00F83CCF" w:rsidRPr="00E95BC4">
        <w:rPr>
          <w:rFonts w:ascii="Times New Roman" w:hAnsi="Times New Roman"/>
          <w:sz w:val="24"/>
          <w:szCs w:val="24"/>
          <w:lang w:val="sr-Cyrl-CS"/>
        </w:rPr>
        <w:t xml:space="preserve"> </w:t>
      </w:r>
      <w:r>
        <w:rPr>
          <w:rFonts w:ascii="Times New Roman" w:hAnsi="Times New Roman"/>
          <w:sz w:val="24"/>
          <w:szCs w:val="24"/>
          <w:lang w:val="sr-Cyrl-CS"/>
        </w:rPr>
        <w:t>u</w:t>
      </w:r>
      <w:r w:rsidR="00F83CCF" w:rsidRPr="00E95BC4">
        <w:rPr>
          <w:rFonts w:ascii="Times New Roman" w:hAnsi="Times New Roman"/>
          <w:sz w:val="24"/>
          <w:szCs w:val="24"/>
          <w:lang w:val="sr-Cyrl-CS"/>
        </w:rPr>
        <w:t xml:space="preserve"> </w:t>
      </w:r>
      <w:r>
        <w:rPr>
          <w:rFonts w:ascii="Times New Roman" w:hAnsi="Times New Roman"/>
          <w:sz w:val="24"/>
          <w:szCs w:val="24"/>
          <w:lang w:val="sr-Cyrl-CS"/>
        </w:rPr>
        <w:t>suzbijanju</w:t>
      </w:r>
      <w:r w:rsidR="00F83CCF" w:rsidRPr="00E95BC4">
        <w:rPr>
          <w:rFonts w:ascii="Times New Roman" w:hAnsi="Times New Roman"/>
          <w:sz w:val="24"/>
          <w:szCs w:val="24"/>
          <w:lang w:val="sr-Cyrl-CS"/>
        </w:rPr>
        <w:t xml:space="preserve"> </w:t>
      </w:r>
      <w:r>
        <w:rPr>
          <w:rFonts w:ascii="Times New Roman" w:hAnsi="Times New Roman"/>
          <w:sz w:val="24"/>
          <w:szCs w:val="24"/>
          <w:lang w:val="sr-Cyrl-CS"/>
        </w:rPr>
        <w:t>organizovanog</w:t>
      </w:r>
      <w:r w:rsidR="00F83CCF" w:rsidRPr="00E95BC4">
        <w:rPr>
          <w:rFonts w:ascii="Times New Roman" w:hAnsi="Times New Roman"/>
          <w:sz w:val="24"/>
          <w:szCs w:val="24"/>
          <w:lang w:val="sr-Cyrl-CS"/>
        </w:rPr>
        <w:t xml:space="preserve"> </w:t>
      </w:r>
      <w:r>
        <w:rPr>
          <w:rFonts w:ascii="Times New Roman" w:hAnsi="Times New Roman"/>
          <w:sz w:val="24"/>
          <w:szCs w:val="24"/>
          <w:lang w:val="sr-Cyrl-CS"/>
        </w:rPr>
        <w:t>kriminala</w:t>
      </w:r>
      <w:r w:rsidR="00F83CCF" w:rsidRPr="00E95BC4">
        <w:rPr>
          <w:rFonts w:ascii="Times New Roman" w:hAnsi="Times New Roman"/>
          <w:sz w:val="24"/>
          <w:szCs w:val="24"/>
          <w:lang w:val="sr-Cyrl-CS"/>
        </w:rPr>
        <w:t xml:space="preserve">, </w:t>
      </w:r>
      <w:r>
        <w:rPr>
          <w:rFonts w:ascii="Times New Roman" w:hAnsi="Times New Roman"/>
          <w:sz w:val="24"/>
          <w:szCs w:val="24"/>
          <w:lang w:val="sr-Cyrl-CS"/>
        </w:rPr>
        <w:t>terorizma</w:t>
      </w:r>
      <w:r w:rsidR="00F83CCF" w:rsidRPr="00E95BC4">
        <w:rPr>
          <w:rFonts w:ascii="Times New Roman" w:hAnsi="Times New Roman"/>
          <w:sz w:val="24"/>
          <w:szCs w:val="24"/>
          <w:lang w:val="sr-Cyrl-CS"/>
        </w:rPr>
        <w:t xml:space="preserve"> </w:t>
      </w:r>
      <w:r>
        <w:rPr>
          <w:rFonts w:ascii="Times New Roman" w:hAnsi="Times New Roman"/>
          <w:sz w:val="24"/>
          <w:szCs w:val="24"/>
          <w:lang w:val="sr-Cyrl-CS"/>
        </w:rPr>
        <w:t>i</w:t>
      </w:r>
      <w:r w:rsidR="00F83CCF" w:rsidRPr="00E95BC4">
        <w:rPr>
          <w:rFonts w:ascii="Times New Roman" w:hAnsi="Times New Roman"/>
          <w:sz w:val="24"/>
          <w:szCs w:val="24"/>
          <w:lang w:val="sr-Cyrl-CS"/>
        </w:rPr>
        <w:t xml:space="preserve"> </w:t>
      </w:r>
      <w:r>
        <w:rPr>
          <w:rFonts w:ascii="Times New Roman" w:hAnsi="Times New Roman"/>
          <w:sz w:val="24"/>
          <w:szCs w:val="24"/>
          <w:lang w:val="sr-Cyrl-CS"/>
        </w:rPr>
        <w:t>korupcije</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Zakon</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o</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sprečavanju</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pranja</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novca</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i</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finansiranja</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terorizma</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Zakon</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o</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krivičnom</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postupku</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Zakon</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o</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ograničavanju</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raspolaganja</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imovinom</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u</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cilju</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sprečavanja</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terorizma</w:t>
      </w:r>
      <w:r w:rsidR="00F83CCF" w:rsidRPr="00E95BC4">
        <w:rPr>
          <w:rFonts w:ascii="Times New Roman" w:hAnsi="Times New Roman"/>
          <w:sz w:val="24"/>
          <w:szCs w:val="24"/>
          <w:lang w:val="sr-Cyrl-CS"/>
        </w:rPr>
        <w:t xml:space="preserve"> </w:t>
      </w:r>
      <w:r>
        <w:rPr>
          <w:rFonts w:ascii="Times New Roman" w:hAnsi="Times New Roman"/>
          <w:sz w:val="24"/>
          <w:szCs w:val="24"/>
          <w:lang w:val="sr-Cyrl-CS"/>
        </w:rPr>
        <w:t>i</w:t>
      </w:r>
      <w:r w:rsidR="00F83CCF" w:rsidRPr="00E95BC4">
        <w:rPr>
          <w:rFonts w:ascii="Times New Roman" w:hAnsi="Times New Roman"/>
          <w:sz w:val="24"/>
          <w:szCs w:val="24"/>
          <w:lang w:val="sr-Cyrl-CS"/>
        </w:rPr>
        <w:t xml:space="preserve"> </w:t>
      </w:r>
      <w:r>
        <w:rPr>
          <w:rFonts w:ascii="Times New Roman" w:hAnsi="Times New Roman"/>
          <w:sz w:val="24"/>
          <w:szCs w:val="24"/>
          <w:lang w:val="sr-Cyrl-CS"/>
        </w:rPr>
        <w:t>širenja</w:t>
      </w:r>
      <w:r w:rsidR="00F83CCF" w:rsidRPr="00E95BC4">
        <w:rPr>
          <w:rFonts w:ascii="Times New Roman" w:hAnsi="Times New Roman"/>
          <w:sz w:val="24"/>
          <w:szCs w:val="24"/>
          <w:lang w:val="sr-Cyrl-CS"/>
        </w:rPr>
        <w:t xml:space="preserve"> </w:t>
      </w:r>
      <w:r>
        <w:rPr>
          <w:rFonts w:ascii="Times New Roman" w:hAnsi="Times New Roman"/>
          <w:sz w:val="24"/>
          <w:szCs w:val="24"/>
          <w:lang w:val="sr-Cyrl-CS"/>
        </w:rPr>
        <w:t>oružja</w:t>
      </w:r>
      <w:r w:rsidR="00F83CCF" w:rsidRPr="00E95BC4">
        <w:rPr>
          <w:rFonts w:ascii="Times New Roman" w:hAnsi="Times New Roman"/>
          <w:sz w:val="24"/>
          <w:szCs w:val="24"/>
          <w:lang w:val="sr-Cyrl-CS"/>
        </w:rPr>
        <w:t xml:space="preserve"> </w:t>
      </w:r>
      <w:r>
        <w:rPr>
          <w:rFonts w:ascii="Times New Roman" w:hAnsi="Times New Roman"/>
          <w:sz w:val="24"/>
          <w:szCs w:val="24"/>
          <w:lang w:val="sr-Cyrl-CS"/>
        </w:rPr>
        <w:t>za</w:t>
      </w:r>
      <w:r w:rsidR="00F83CCF" w:rsidRPr="00E95BC4">
        <w:rPr>
          <w:rFonts w:ascii="Times New Roman" w:hAnsi="Times New Roman"/>
          <w:sz w:val="24"/>
          <w:szCs w:val="24"/>
          <w:lang w:val="sr-Cyrl-CS"/>
        </w:rPr>
        <w:t xml:space="preserve"> </w:t>
      </w:r>
      <w:r>
        <w:rPr>
          <w:rFonts w:ascii="Times New Roman" w:hAnsi="Times New Roman"/>
          <w:sz w:val="24"/>
          <w:szCs w:val="24"/>
          <w:lang w:val="sr-Cyrl-CS"/>
        </w:rPr>
        <w:t>masovno</w:t>
      </w:r>
      <w:r w:rsidR="00F83CCF" w:rsidRPr="00E95BC4">
        <w:rPr>
          <w:rFonts w:ascii="Times New Roman" w:hAnsi="Times New Roman"/>
          <w:sz w:val="24"/>
          <w:szCs w:val="24"/>
          <w:lang w:val="sr-Cyrl-CS"/>
        </w:rPr>
        <w:t xml:space="preserve"> </w:t>
      </w:r>
      <w:r>
        <w:rPr>
          <w:rFonts w:ascii="Times New Roman" w:hAnsi="Times New Roman"/>
          <w:sz w:val="24"/>
          <w:szCs w:val="24"/>
          <w:lang w:val="sr-Cyrl-CS"/>
        </w:rPr>
        <w:t>uništenje</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Zakon</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o</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inspekcijskom</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nadzoru</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itd</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Pitanje</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nacionalne</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procene</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rizika</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počiva</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u</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velikoj</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meri</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na</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dobrom</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planiranju</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i</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predanosti</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nadležnih</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organa</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kao</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i</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postojanju</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odgovarajućih</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kvalitativnih</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i</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kvantitativnih</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izvora</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informacija</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kako</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bi</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se</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pretnje</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ranjivosti</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i</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rizici</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adekvatno</w:t>
      </w:r>
      <w:r w:rsidR="00F83CCF" w:rsidRPr="00E95BC4">
        <w:rPr>
          <w:rFonts w:ascii="Times New Roman" w:hAnsi="Times New Roman"/>
          <w:sz w:val="24"/>
          <w:szCs w:val="24"/>
          <w:lang w:val="sr-Cyrl-CS"/>
        </w:rPr>
        <w:t xml:space="preserve"> </w:t>
      </w:r>
      <w:r>
        <w:rPr>
          <w:rFonts w:ascii="Times New Roman" w:hAnsi="Times New Roman"/>
          <w:sz w:val="24"/>
          <w:szCs w:val="24"/>
          <w:lang w:val="sr-Cyrl-CS"/>
        </w:rPr>
        <w:t>prepoznali</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U</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tom</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smislu</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bitan</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problem</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jeste</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i</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izbor</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metodologije</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za</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izradu</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nacionalne</w:t>
      </w:r>
      <w:r w:rsidR="00F53066" w:rsidRPr="00E95BC4">
        <w:rPr>
          <w:rFonts w:ascii="Times New Roman" w:hAnsi="Times New Roman"/>
          <w:sz w:val="24"/>
          <w:szCs w:val="24"/>
          <w:lang w:val="sr-Cyrl-CS"/>
        </w:rPr>
        <w:t xml:space="preserve"> </w:t>
      </w:r>
      <w:r>
        <w:rPr>
          <w:rFonts w:ascii="Times New Roman" w:hAnsi="Times New Roman"/>
          <w:sz w:val="24"/>
          <w:szCs w:val="24"/>
          <w:lang w:val="sr-Cyrl-CS"/>
        </w:rPr>
        <w:t>procene</w:t>
      </w:r>
      <w:r w:rsidR="00F53066" w:rsidRPr="00E95BC4">
        <w:rPr>
          <w:rFonts w:ascii="Times New Roman" w:hAnsi="Times New Roman"/>
          <w:sz w:val="24"/>
          <w:szCs w:val="24"/>
          <w:lang w:val="sr-Cyrl-CS"/>
        </w:rPr>
        <w:t xml:space="preserve"> </w:t>
      </w:r>
      <w:r>
        <w:rPr>
          <w:rFonts w:ascii="Times New Roman" w:hAnsi="Times New Roman"/>
          <w:sz w:val="24"/>
          <w:szCs w:val="24"/>
          <w:lang w:val="sr-Cyrl-CS"/>
        </w:rPr>
        <w:t>rizika</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Otuda</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će</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i</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zadatak</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nadležnih</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organa</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biti</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i</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da</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se</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opredele</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u</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pogledu</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metodologije</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na</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način</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da</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sagledavanje</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rizika</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bude</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konzistentno</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i</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efikasno</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U</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oba</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navrata</w:t>
      </w:r>
      <w:r w:rsidR="00F65C28" w:rsidRPr="00E95BC4">
        <w:rPr>
          <w:rFonts w:ascii="Times New Roman" w:hAnsi="Times New Roman"/>
          <w:sz w:val="24"/>
          <w:szCs w:val="24"/>
          <w:lang w:val="sr-Cyrl-CS"/>
        </w:rPr>
        <w:t xml:space="preserve"> (2013</w:t>
      </w:r>
      <w:r w:rsidR="00077845">
        <w:rPr>
          <w:rFonts w:ascii="Times New Roman" w:hAnsi="Times New Roman"/>
          <w:sz w:val="24"/>
          <w:szCs w:val="24"/>
          <w:lang w:val="sr-Cyrl-CS"/>
        </w:rPr>
        <w:t>.</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i</w:t>
      </w:r>
      <w:r w:rsidR="00F65C28" w:rsidRPr="00E95BC4">
        <w:rPr>
          <w:rFonts w:ascii="Times New Roman" w:hAnsi="Times New Roman"/>
          <w:sz w:val="24"/>
          <w:szCs w:val="24"/>
          <w:lang w:val="sr-Cyrl-CS"/>
        </w:rPr>
        <w:t xml:space="preserve"> 2018</w:t>
      </w:r>
      <w:r w:rsidR="00077845">
        <w:rPr>
          <w:rFonts w:ascii="Times New Roman" w:hAnsi="Times New Roman"/>
          <w:sz w:val="24"/>
          <w:szCs w:val="24"/>
          <w:lang w:val="sr-Cyrl-CS"/>
        </w:rPr>
        <w:t>.</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Republika</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Srbija</w:t>
      </w:r>
      <w:r w:rsidR="001A655F" w:rsidRPr="00E95BC4">
        <w:rPr>
          <w:rFonts w:ascii="Times New Roman" w:hAnsi="Times New Roman"/>
          <w:sz w:val="24"/>
          <w:szCs w:val="24"/>
          <w:lang w:val="sr-Cyrl-CS"/>
        </w:rPr>
        <w:t xml:space="preserve"> </w:t>
      </w:r>
      <w:r>
        <w:rPr>
          <w:rFonts w:ascii="Times New Roman" w:hAnsi="Times New Roman"/>
          <w:sz w:val="24"/>
          <w:szCs w:val="24"/>
          <w:lang w:val="sr-Cyrl-CS"/>
        </w:rPr>
        <w:t>je</w:t>
      </w:r>
      <w:r w:rsidR="001A655F" w:rsidRPr="00E95BC4">
        <w:rPr>
          <w:rFonts w:ascii="Times New Roman" w:hAnsi="Times New Roman"/>
          <w:sz w:val="24"/>
          <w:szCs w:val="24"/>
          <w:lang w:val="sr-Cyrl-CS"/>
        </w:rPr>
        <w:t xml:space="preserve"> </w:t>
      </w:r>
      <w:r>
        <w:rPr>
          <w:rFonts w:ascii="Times New Roman" w:hAnsi="Times New Roman"/>
          <w:sz w:val="24"/>
          <w:szCs w:val="24"/>
          <w:lang w:val="sr-Cyrl-CS"/>
        </w:rPr>
        <w:t>koristila</w:t>
      </w:r>
      <w:r w:rsidR="001A655F" w:rsidRPr="00E95BC4">
        <w:rPr>
          <w:rFonts w:ascii="Times New Roman" w:hAnsi="Times New Roman"/>
          <w:sz w:val="24"/>
          <w:szCs w:val="24"/>
          <w:lang w:val="sr-Cyrl-CS"/>
        </w:rPr>
        <w:t xml:space="preserve"> </w:t>
      </w:r>
      <w:r>
        <w:rPr>
          <w:rFonts w:ascii="Times New Roman" w:hAnsi="Times New Roman"/>
          <w:sz w:val="24"/>
          <w:szCs w:val="24"/>
          <w:lang w:val="sr-Cyrl-CS"/>
        </w:rPr>
        <w:t>metodologiju</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Svetske</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banke</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a</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na</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državnim</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organima</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je</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da</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ocene</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da</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li</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tu</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metodologiju</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koristiti</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i</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dalje</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ili</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je</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treba</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menjati</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Opšta</w:t>
      </w:r>
      <w:r w:rsidR="001A655F" w:rsidRPr="00E95BC4">
        <w:rPr>
          <w:rFonts w:ascii="Times New Roman" w:hAnsi="Times New Roman"/>
          <w:sz w:val="24"/>
          <w:szCs w:val="24"/>
          <w:lang w:val="sr-Cyrl-CS"/>
        </w:rPr>
        <w:t xml:space="preserve"> </w:t>
      </w:r>
      <w:r>
        <w:rPr>
          <w:rFonts w:ascii="Times New Roman" w:hAnsi="Times New Roman"/>
          <w:sz w:val="24"/>
          <w:szCs w:val="24"/>
          <w:lang w:val="sr-Cyrl-CS"/>
        </w:rPr>
        <w:t>ocena</w:t>
      </w:r>
      <w:r w:rsidR="001A655F" w:rsidRPr="00E95BC4">
        <w:rPr>
          <w:rFonts w:ascii="Times New Roman" w:hAnsi="Times New Roman"/>
          <w:sz w:val="24"/>
          <w:szCs w:val="24"/>
          <w:lang w:val="sr-Cyrl-CS"/>
        </w:rPr>
        <w:t xml:space="preserve"> </w:t>
      </w:r>
      <w:r>
        <w:rPr>
          <w:rFonts w:ascii="Times New Roman" w:hAnsi="Times New Roman"/>
          <w:sz w:val="24"/>
          <w:szCs w:val="24"/>
          <w:lang w:val="sr-Cyrl-CS"/>
        </w:rPr>
        <w:t>je</w:t>
      </w:r>
      <w:r w:rsidR="001A655F" w:rsidRPr="00E95BC4">
        <w:rPr>
          <w:rFonts w:ascii="Times New Roman" w:hAnsi="Times New Roman"/>
          <w:sz w:val="24"/>
          <w:szCs w:val="24"/>
          <w:lang w:val="sr-Cyrl-CS"/>
        </w:rPr>
        <w:t xml:space="preserve"> </w:t>
      </w:r>
      <w:r>
        <w:rPr>
          <w:rFonts w:ascii="Times New Roman" w:hAnsi="Times New Roman"/>
          <w:sz w:val="24"/>
          <w:szCs w:val="24"/>
          <w:lang w:val="sr-Cyrl-CS"/>
        </w:rPr>
        <w:t>da</w:t>
      </w:r>
      <w:r w:rsidR="001A655F" w:rsidRPr="00E95BC4">
        <w:rPr>
          <w:rFonts w:ascii="Times New Roman" w:hAnsi="Times New Roman"/>
          <w:sz w:val="24"/>
          <w:szCs w:val="24"/>
          <w:lang w:val="sr-Cyrl-CS"/>
        </w:rPr>
        <w:t xml:space="preserve"> </w:t>
      </w:r>
      <w:r>
        <w:rPr>
          <w:rFonts w:ascii="Times New Roman" w:hAnsi="Times New Roman"/>
          <w:sz w:val="24"/>
          <w:szCs w:val="24"/>
          <w:lang w:val="sr-Cyrl-CS"/>
        </w:rPr>
        <w:t>je</w:t>
      </w:r>
      <w:r w:rsidR="001A655F" w:rsidRPr="00E95BC4">
        <w:rPr>
          <w:rFonts w:ascii="Times New Roman" w:hAnsi="Times New Roman"/>
          <w:sz w:val="24"/>
          <w:szCs w:val="24"/>
          <w:lang w:val="sr-Cyrl-CS"/>
        </w:rPr>
        <w:t xml:space="preserve"> </w:t>
      </w:r>
      <w:r>
        <w:rPr>
          <w:rFonts w:ascii="Times New Roman" w:hAnsi="Times New Roman"/>
          <w:sz w:val="24"/>
          <w:szCs w:val="24"/>
          <w:lang w:val="sr-Cyrl-CS"/>
        </w:rPr>
        <w:t>metodologija</w:t>
      </w:r>
      <w:r w:rsidR="001A655F" w:rsidRPr="00E95BC4">
        <w:rPr>
          <w:rFonts w:ascii="Times New Roman" w:hAnsi="Times New Roman"/>
          <w:sz w:val="24"/>
          <w:szCs w:val="24"/>
          <w:lang w:val="sr-Cyrl-CS"/>
        </w:rPr>
        <w:t xml:space="preserve"> </w:t>
      </w:r>
      <w:r>
        <w:rPr>
          <w:rFonts w:ascii="Times New Roman" w:hAnsi="Times New Roman"/>
          <w:sz w:val="24"/>
          <w:szCs w:val="24"/>
          <w:lang w:val="sr-Cyrl-CS"/>
        </w:rPr>
        <w:t>za</w:t>
      </w:r>
      <w:r w:rsidR="001A655F" w:rsidRPr="00E95BC4">
        <w:rPr>
          <w:rFonts w:ascii="Times New Roman" w:hAnsi="Times New Roman"/>
          <w:sz w:val="24"/>
          <w:szCs w:val="24"/>
          <w:lang w:val="sr-Cyrl-CS"/>
        </w:rPr>
        <w:t xml:space="preserve"> </w:t>
      </w:r>
      <w:r>
        <w:rPr>
          <w:rFonts w:ascii="Times New Roman" w:hAnsi="Times New Roman"/>
          <w:sz w:val="24"/>
          <w:szCs w:val="24"/>
          <w:lang w:val="sr-Cyrl-CS"/>
        </w:rPr>
        <w:t>izradu</w:t>
      </w:r>
      <w:r w:rsidR="001A655F" w:rsidRPr="00E95BC4">
        <w:rPr>
          <w:rFonts w:ascii="Times New Roman" w:hAnsi="Times New Roman"/>
          <w:sz w:val="24"/>
          <w:szCs w:val="24"/>
          <w:lang w:val="sr-Cyrl-CS"/>
        </w:rPr>
        <w:t xml:space="preserve"> </w:t>
      </w:r>
      <w:r>
        <w:rPr>
          <w:rFonts w:ascii="Times New Roman" w:hAnsi="Times New Roman"/>
          <w:sz w:val="24"/>
          <w:szCs w:val="24"/>
          <w:lang w:val="sr-Cyrl-CS"/>
        </w:rPr>
        <w:t>nacionalne</w:t>
      </w:r>
      <w:r w:rsidR="008663F2" w:rsidRPr="00E95BC4">
        <w:rPr>
          <w:rFonts w:ascii="Times New Roman" w:hAnsi="Times New Roman"/>
          <w:sz w:val="24"/>
          <w:szCs w:val="24"/>
          <w:lang w:val="sr-Cyrl-CS"/>
        </w:rPr>
        <w:t xml:space="preserve"> </w:t>
      </w:r>
      <w:r>
        <w:rPr>
          <w:rFonts w:ascii="Times New Roman" w:hAnsi="Times New Roman"/>
          <w:sz w:val="24"/>
          <w:szCs w:val="24"/>
          <w:lang w:val="sr-Cyrl-CS"/>
        </w:rPr>
        <w:t>procene</w:t>
      </w:r>
      <w:r w:rsidR="008663F2" w:rsidRPr="00E95BC4">
        <w:rPr>
          <w:rFonts w:ascii="Times New Roman" w:hAnsi="Times New Roman"/>
          <w:sz w:val="24"/>
          <w:szCs w:val="24"/>
          <w:lang w:val="sr-Cyrl-CS"/>
        </w:rPr>
        <w:t xml:space="preserve"> </w:t>
      </w:r>
      <w:r>
        <w:rPr>
          <w:rFonts w:ascii="Times New Roman" w:hAnsi="Times New Roman"/>
          <w:sz w:val="24"/>
          <w:szCs w:val="24"/>
          <w:lang w:val="sr-Cyrl-CS"/>
        </w:rPr>
        <w:t>rizika</w:t>
      </w:r>
      <w:r w:rsidR="008663F2" w:rsidRPr="00E95BC4">
        <w:rPr>
          <w:rFonts w:ascii="Times New Roman" w:hAnsi="Times New Roman"/>
          <w:sz w:val="24"/>
          <w:szCs w:val="24"/>
          <w:lang w:val="sr-Cyrl-CS"/>
        </w:rPr>
        <w:t xml:space="preserve"> </w:t>
      </w:r>
      <w:r>
        <w:rPr>
          <w:rFonts w:ascii="Times New Roman" w:hAnsi="Times New Roman"/>
          <w:sz w:val="24"/>
          <w:szCs w:val="24"/>
          <w:lang w:val="sr-Cyrl-CS"/>
        </w:rPr>
        <w:t>sveobuhvatna</w:t>
      </w:r>
      <w:r w:rsidR="008663F2" w:rsidRPr="00E95BC4">
        <w:rPr>
          <w:rFonts w:ascii="Times New Roman" w:hAnsi="Times New Roman"/>
          <w:sz w:val="24"/>
          <w:szCs w:val="24"/>
          <w:lang w:val="sr-Cyrl-CS"/>
        </w:rPr>
        <w:t xml:space="preserve"> </w:t>
      </w:r>
      <w:r>
        <w:rPr>
          <w:rFonts w:ascii="Times New Roman" w:hAnsi="Times New Roman"/>
          <w:sz w:val="24"/>
          <w:szCs w:val="24"/>
          <w:lang w:val="sr-Cyrl-CS"/>
        </w:rPr>
        <w:t>i</w:t>
      </w:r>
      <w:r w:rsidR="008663F2" w:rsidRPr="00E95BC4">
        <w:rPr>
          <w:rFonts w:ascii="Times New Roman" w:hAnsi="Times New Roman"/>
          <w:sz w:val="24"/>
          <w:szCs w:val="24"/>
          <w:lang w:val="sr-Cyrl-CS"/>
        </w:rPr>
        <w:t xml:space="preserve"> </w:t>
      </w:r>
      <w:r>
        <w:rPr>
          <w:rFonts w:ascii="Times New Roman" w:hAnsi="Times New Roman"/>
          <w:sz w:val="24"/>
          <w:szCs w:val="24"/>
          <w:lang w:val="sr-Cyrl-CS"/>
        </w:rPr>
        <w:t>kvalitetna</w:t>
      </w:r>
      <w:r w:rsidR="008663F2" w:rsidRPr="00E95BC4">
        <w:rPr>
          <w:rFonts w:ascii="Times New Roman" w:hAnsi="Times New Roman"/>
          <w:sz w:val="24"/>
          <w:szCs w:val="24"/>
          <w:lang w:val="sr-Cyrl-CS"/>
        </w:rPr>
        <w:t xml:space="preserve">, </w:t>
      </w:r>
      <w:r>
        <w:rPr>
          <w:rFonts w:ascii="Times New Roman" w:hAnsi="Times New Roman"/>
          <w:sz w:val="24"/>
          <w:szCs w:val="24"/>
          <w:lang w:val="sr-Cyrl-CS"/>
        </w:rPr>
        <w:t>a</w:t>
      </w:r>
      <w:r w:rsidR="008663F2" w:rsidRPr="00E95BC4">
        <w:rPr>
          <w:rFonts w:ascii="Times New Roman" w:hAnsi="Times New Roman"/>
          <w:sz w:val="24"/>
          <w:szCs w:val="24"/>
          <w:lang w:val="sr-Cyrl-CS"/>
        </w:rPr>
        <w:t xml:space="preserve"> </w:t>
      </w:r>
      <w:r>
        <w:rPr>
          <w:rFonts w:ascii="Times New Roman" w:hAnsi="Times New Roman"/>
          <w:sz w:val="24"/>
          <w:szCs w:val="24"/>
          <w:lang w:val="sr-Cyrl-CS"/>
        </w:rPr>
        <w:t>akcioni</w:t>
      </w:r>
      <w:r w:rsidR="008663F2" w:rsidRPr="00E95BC4">
        <w:rPr>
          <w:rFonts w:ascii="Times New Roman" w:hAnsi="Times New Roman"/>
          <w:sz w:val="24"/>
          <w:szCs w:val="24"/>
          <w:lang w:val="sr-Cyrl-CS"/>
        </w:rPr>
        <w:t xml:space="preserve"> </w:t>
      </w:r>
      <w:r>
        <w:rPr>
          <w:rFonts w:ascii="Times New Roman" w:hAnsi="Times New Roman"/>
          <w:sz w:val="24"/>
          <w:szCs w:val="24"/>
          <w:lang w:val="sr-Cyrl-CS"/>
        </w:rPr>
        <w:t>plan</w:t>
      </w:r>
      <w:r w:rsidR="008663F2" w:rsidRPr="00E95BC4">
        <w:rPr>
          <w:rFonts w:ascii="Times New Roman" w:hAnsi="Times New Roman"/>
          <w:sz w:val="24"/>
          <w:szCs w:val="24"/>
          <w:lang w:val="sr-Cyrl-CS"/>
        </w:rPr>
        <w:t xml:space="preserve"> </w:t>
      </w:r>
      <w:r>
        <w:rPr>
          <w:rFonts w:ascii="Times New Roman" w:hAnsi="Times New Roman"/>
          <w:sz w:val="24"/>
          <w:szCs w:val="24"/>
          <w:lang w:val="sr-Cyrl-CS"/>
        </w:rPr>
        <w:t>koji</w:t>
      </w:r>
      <w:r w:rsidR="008663F2" w:rsidRPr="00E95BC4">
        <w:rPr>
          <w:rFonts w:ascii="Times New Roman" w:hAnsi="Times New Roman"/>
          <w:sz w:val="24"/>
          <w:szCs w:val="24"/>
          <w:lang w:val="sr-Cyrl-CS"/>
        </w:rPr>
        <w:t xml:space="preserve"> </w:t>
      </w:r>
      <w:r>
        <w:rPr>
          <w:rFonts w:ascii="Times New Roman" w:hAnsi="Times New Roman"/>
          <w:sz w:val="24"/>
          <w:szCs w:val="24"/>
          <w:lang w:val="sr-Cyrl-CS"/>
        </w:rPr>
        <w:t>je</w:t>
      </w:r>
      <w:r w:rsidR="008663F2" w:rsidRPr="00E95BC4">
        <w:rPr>
          <w:rFonts w:ascii="Times New Roman" w:hAnsi="Times New Roman"/>
          <w:sz w:val="24"/>
          <w:szCs w:val="24"/>
          <w:lang w:val="sr-Cyrl-CS"/>
        </w:rPr>
        <w:t xml:space="preserve"> </w:t>
      </w:r>
      <w:r>
        <w:rPr>
          <w:rFonts w:ascii="Times New Roman" w:hAnsi="Times New Roman"/>
          <w:sz w:val="24"/>
          <w:szCs w:val="24"/>
          <w:lang w:val="sr-Cyrl-CS"/>
        </w:rPr>
        <w:t>proistekao</w:t>
      </w:r>
      <w:r w:rsidR="008663F2" w:rsidRPr="00E95BC4">
        <w:rPr>
          <w:rFonts w:ascii="Times New Roman" w:hAnsi="Times New Roman"/>
          <w:sz w:val="24"/>
          <w:szCs w:val="24"/>
          <w:lang w:val="sr-Cyrl-CS"/>
        </w:rPr>
        <w:t xml:space="preserve"> </w:t>
      </w:r>
      <w:r>
        <w:rPr>
          <w:rFonts w:ascii="Times New Roman" w:hAnsi="Times New Roman"/>
          <w:sz w:val="24"/>
          <w:szCs w:val="24"/>
          <w:lang w:val="sr-Cyrl-CS"/>
        </w:rPr>
        <w:t>na</w:t>
      </w:r>
      <w:r w:rsidR="008663F2" w:rsidRPr="00E95BC4">
        <w:rPr>
          <w:rFonts w:ascii="Times New Roman" w:hAnsi="Times New Roman"/>
          <w:sz w:val="24"/>
          <w:szCs w:val="24"/>
          <w:lang w:val="sr-Cyrl-CS"/>
        </w:rPr>
        <w:t xml:space="preserve"> </w:t>
      </w:r>
      <w:r>
        <w:rPr>
          <w:rFonts w:ascii="Times New Roman" w:hAnsi="Times New Roman"/>
          <w:sz w:val="24"/>
          <w:szCs w:val="24"/>
          <w:lang w:val="sr-Cyrl-CS"/>
        </w:rPr>
        <w:t>bazi</w:t>
      </w:r>
      <w:r w:rsidR="008663F2" w:rsidRPr="00E95BC4">
        <w:rPr>
          <w:rFonts w:ascii="Times New Roman" w:hAnsi="Times New Roman"/>
          <w:sz w:val="24"/>
          <w:szCs w:val="24"/>
          <w:lang w:val="sr-Cyrl-CS"/>
        </w:rPr>
        <w:t xml:space="preserve"> </w:t>
      </w:r>
      <w:r>
        <w:rPr>
          <w:rFonts w:ascii="Times New Roman" w:hAnsi="Times New Roman"/>
          <w:sz w:val="24"/>
          <w:szCs w:val="24"/>
          <w:lang w:val="sr-Cyrl-CS"/>
        </w:rPr>
        <w:t>prepoznatih</w:t>
      </w:r>
      <w:r w:rsidR="008663F2" w:rsidRPr="00E95BC4">
        <w:rPr>
          <w:rFonts w:ascii="Times New Roman" w:hAnsi="Times New Roman"/>
          <w:sz w:val="24"/>
          <w:szCs w:val="24"/>
          <w:lang w:val="sr-Cyrl-CS"/>
        </w:rPr>
        <w:t xml:space="preserve"> </w:t>
      </w:r>
      <w:r>
        <w:rPr>
          <w:rFonts w:ascii="Times New Roman" w:hAnsi="Times New Roman"/>
          <w:sz w:val="24"/>
          <w:szCs w:val="24"/>
          <w:lang w:val="sr-Cyrl-CS"/>
        </w:rPr>
        <w:t>ranjivosti</w:t>
      </w:r>
      <w:r w:rsidR="008663F2" w:rsidRPr="00E95BC4">
        <w:rPr>
          <w:rFonts w:ascii="Times New Roman" w:hAnsi="Times New Roman"/>
          <w:sz w:val="24"/>
          <w:szCs w:val="24"/>
          <w:lang w:val="sr-Cyrl-CS"/>
        </w:rPr>
        <w:t xml:space="preserve">, </w:t>
      </w:r>
      <w:r>
        <w:rPr>
          <w:rFonts w:ascii="Times New Roman" w:hAnsi="Times New Roman"/>
          <w:sz w:val="24"/>
          <w:szCs w:val="24"/>
          <w:lang w:val="sr-Cyrl-CS"/>
        </w:rPr>
        <w:t>pretnji</w:t>
      </w:r>
      <w:r w:rsidR="000F7156">
        <w:rPr>
          <w:rFonts w:ascii="Times New Roman" w:hAnsi="Times New Roman"/>
          <w:sz w:val="24"/>
          <w:szCs w:val="24"/>
          <w:lang w:val="sr-Cyrl-CS"/>
        </w:rPr>
        <w:t>,</w:t>
      </w:r>
      <w:r w:rsidR="008663F2" w:rsidRPr="00E95BC4">
        <w:rPr>
          <w:rFonts w:ascii="Times New Roman" w:hAnsi="Times New Roman"/>
          <w:sz w:val="24"/>
          <w:szCs w:val="24"/>
          <w:lang w:val="sr-Cyrl-CS"/>
        </w:rPr>
        <w:t xml:space="preserve"> </w:t>
      </w:r>
      <w:r>
        <w:rPr>
          <w:rFonts w:ascii="Times New Roman" w:hAnsi="Times New Roman"/>
          <w:sz w:val="24"/>
          <w:szCs w:val="24"/>
          <w:lang w:val="sr-Cyrl-CS"/>
        </w:rPr>
        <w:t>odnosno</w:t>
      </w:r>
      <w:r w:rsidR="008663F2" w:rsidRPr="00E95BC4">
        <w:rPr>
          <w:rFonts w:ascii="Times New Roman" w:hAnsi="Times New Roman"/>
          <w:sz w:val="24"/>
          <w:szCs w:val="24"/>
          <w:lang w:val="sr-Cyrl-CS"/>
        </w:rPr>
        <w:t xml:space="preserve"> </w:t>
      </w:r>
      <w:r>
        <w:rPr>
          <w:rFonts w:ascii="Times New Roman" w:hAnsi="Times New Roman"/>
          <w:sz w:val="24"/>
          <w:szCs w:val="24"/>
          <w:lang w:val="sr-Cyrl-CS"/>
        </w:rPr>
        <w:t>rizika</w:t>
      </w:r>
      <w:r w:rsidR="008663F2" w:rsidRPr="00E95BC4">
        <w:rPr>
          <w:rFonts w:ascii="Times New Roman" w:hAnsi="Times New Roman"/>
          <w:sz w:val="24"/>
          <w:szCs w:val="24"/>
          <w:lang w:val="sr-Cyrl-CS"/>
        </w:rPr>
        <w:t xml:space="preserve">, </w:t>
      </w:r>
      <w:r>
        <w:rPr>
          <w:rFonts w:ascii="Times New Roman" w:hAnsi="Times New Roman"/>
          <w:sz w:val="24"/>
          <w:szCs w:val="24"/>
          <w:lang w:val="sr-Cyrl-CS"/>
        </w:rPr>
        <w:t>implementiran</w:t>
      </w:r>
      <w:r w:rsidR="008663F2" w:rsidRPr="00E95BC4">
        <w:rPr>
          <w:rFonts w:ascii="Times New Roman" w:hAnsi="Times New Roman"/>
          <w:sz w:val="24"/>
          <w:szCs w:val="24"/>
          <w:lang w:val="sr-Cyrl-CS"/>
        </w:rPr>
        <w:t xml:space="preserve"> </w:t>
      </w:r>
      <w:r>
        <w:rPr>
          <w:rFonts w:ascii="Times New Roman" w:hAnsi="Times New Roman"/>
          <w:sz w:val="24"/>
          <w:szCs w:val="24"/>
          <w:lang w:val="sr-Cyrl-CS"/>
        </w:rPr>
        <w:t>je</w:t>
      </w:r>
      <w:r w:rsidR="008663F2" w:rsidRPr="00E95BC4">
        <w:rPr>
          <w:rFonts w:ascii="Times New Roman" w:hAnsi="Times New Roman"/>
          <w:sz w:val="24"/>
          <w:szCs w:val="24"/>
          <w:lang w:val="sr-Cyrl-CS"/>
        </w:rPr>
        <w:t xml:space="preserve"> </w:t>
      </w:r>
      <w:r>
        <w:rPr>
          <w:rFonts w:ascii="Times New Roman" w:hAnsi="Times New Roman"/>
          <w:sz w:val="24"/>
          <w:szCs w:val="24"/>
          <w:lang w:val="sr-Cyrl-CS"/>
        </w:rPr>
        <w:t>sa</w:t>
      </w:r>
      <w:r w:rsidR="008663F2" w:rsidRPr="00E95BC4">
        <w:rPr>
          <w:rFonts w:ascii="Times New Roman" w:hAnsi="Times New Roman"/>
          <w:sz w:val="24"/>
          <w:szCs w:val="24"/>
          <w:lang w:val="sr-Cyrl-CS"/>
        </w:rPr>
        <w:t xml:space="preserve"> </w:t>
      </w:r>
      <w:r>
        <w:rPr>
          <w:rFonts w:ascii="Times New Roman" w:hAnsi="Times New Roman"/>
          <w:sz w:val="24"/>
          <w:szCs w:val="24"/>
          <w:lang w:val="sr-Cyrl-CS"/>
        </w:rPr>
        <w:t>velikim</w:t>
      </w:r>
      <w:r w:rsidR="008663F2" w:rsidRPr="00E95BC4">
        <w:rPr>
          <w:rFonts w:ascii="Times New Roman" w:hAnsi="Times New Roman"/>
          <w:sz w:val="24"/>
          <w:szCs w:val="24"/>
          <w:lang w:val="sr-Cyrl-CS"/>
        </w:rPr>
        <w:t xml:space="preserve"> </w:t>
      </w:r>
      <w:r>
        <w:rPr>
          <w:rFonts w:ascii="Times New Roman" w:hAnsi="Times New Roman"/>
          <w:sz w:val="24"/>
          <w:szCs w:val="24"/>
          <w:lang w:val="sr-Cyrl-CS"/>
        </w:rPr>
        <w:t>stepenom</w:t>
      </w:r>
      <w:r w:rsidR="008663F2" w:rsidRPr="00E95BC4">
        <w:rPr>
          <w:rFonts w:ascii="Times New Roman" w:hAnsi="Times New Roman"/>
          <w:sz w:val="24"/>
          <w:szCs w:val="24"/>
          <w:lang w:val="sr-Cyrl-CS"/>
        </w:rPr>
        <w:t xml:space="preserve"> </w:t>
      </w:r>
      <w:r>
        <w:rPr>
          <w:rFonts w:ascii="Times New Roman" w:hAnsi="Times New Roman"/>
          <w:sz w:val="24"/>
          <w:szCs w:val="24"/>
          <w:lang w:val="sr-Cyrl-CS"/>
        </w:rPr>
        <w:t>uspeha</w:t>
      </w:r>
      <w:r w:rsidR="008663F2" w:rsidRPr="00E95BC4">
        <w:rPr>
          <w:rFonts w:ascii="Times New Roman" w:hAnsi="Times New Roman"/>
          <w:sz w:val="24"/>
          <w:szCs w:val="24"/>
          <w:lang w:val="sr-Cyrl-CS"/>
        </w:rPr>
        <w:t xml:space="preserve"> (</w:t>
      </w:r>
      <w:r>
        <w:rPr>
          <w:rFonts w:ascii="Times New Roman" w:hAnsi="Times New Roman"/>
          <w:sz w:val="24"/>
          <w:szCs w:val="24"/>
          <w:lang w:val="sr-Cyrl-CS"/>
        </w:rPr>
        <w:t>preko</w:t>
      </w:r>
      <w:r w:rsidR="008663F2" w:rsidRPr="00E95BC4">
        <w:rPr>
          <w:rFonts w:ascii="Times New Roman" w:hAnsi="Times New Roman"/>
          <w:sz w:val="24"/>
          <w:szCs w:val="24"/>
          <w:lang w:val="sr-Cyrl-CS"/>
        </w:rPr>
        <w:t xml:space="preserve"> 90%, </w:t>
      </w:r>
      <w:r>
        <w:rPr>
          <w:rFonts w:ascii="Times New Roman" w:hAnsi="Times New Roman"/>
          <w:sz w:val="24"/>
          <w:szCs w:val="24"/>
          <w:lang w:val="sr-Cyrl-CS"/>
        </w:rPr>
        <w:t>u</w:t>
      </w:r>
      <w:r w:rsidR="008663F2" w:rsidRPr="00E95BC4">
        <w:rPr>
          <w:rFonts w:ascii="Times New Roman" w:hAnsi="Times New Roman"/>
          <w:sz w:val="24"/>
          <w:szCs w:val="24"/>
          <w:lang w:val="sr-Cyrl-CS"/>
        </w:rPr>
        <w:t xml:space="preserve"> </w:t>
      </w:r>
      <w:r>
        <w:rPr>
          <w:rFonts w:ascii="Times New Roman" w:hAnsi="Times New Roman"/>
          <w:sz w:val="24"/>
          <w:szCs w:val="24"/>
          <w:lang w:val="sr-Cyrl-CS"/>
        </w:rPr>
        <w:t>zadatim</w:t>
      </w:r>
      <w:r w:rsidR="008663F2" w:rsidRPr="00E95BC4">
        <w:rPr>
          <w:rFonts w:ascii="Times New Roman" w:hAnsi="Times New Roman"/>
          <w:sz w:val="24"/>
          <w:szCs w:val="24"/>
          <w:lang w:val="sr-Cyrl-CS"/>
        </w:rPr>
        <w:t xml:space="preserve"> </w:t>
      </w:r>
      <w:r>
        <w:rPr>
          <w:rFonts w:ascii="Times New Roman" w:hAnsi="Times New Roman"/>
          <w:sz w:val="24"/>
          <w:szCs w:val="24"/>
          <w:lang w:val="sr-Cyrl-CS"/>
        </w:rPr>
        <w:t>rokovima</w:t>
      </w:r>
      <w:r w:rsidR="008663F2" w:rsidRPr="00E95BC4">
        <w:rPr>
          <w:rFonts w:ascii="Times New Roman" w:hAnsi="Times New Roman"/>
          <w:sz w:val="24"/>
          <w:szCs w:val="24"/>
          <w:lang w:val="sr-Cyrl-CS"/>
        </w:rPr>
        <w:t>).</w:t>
      </w:r>
    </w:p>
    <w:p w:rsidR="004769B3" w:rsidRPr="00E95BC4" w:rsidRDefault="005818C0" w:rsidP="00F83CCF">
      <w:pPr>
        <w:pStyle w:val="FATF-TEXTE1115"/>
        <w:tabs>
          <w:tab w:val="clear" w:pos="624"/>
          <w:tab w:val="clear" w:pos="1247"/>
          <w:tab w:val="clear" w:pos="1871"/>
          <w:tab w:val="clear" w:pos="2495"/>
          <w:tab w:val="clear" w:pos="3119"/>
        </w:tabs>
        <w:spacing w:after="0" w:line="240" w:lineRule="auto"/>
        <w:ind w:firstLine="720"/>
        <w:rPr>
          <w:rFonts w:ascii="Times New Roman" w:hAnsi="Times New Roman"/>
          <w:sz w:val="24"/>
          <w:szCs w:val="24"/>
          <w:lang w:val="sr-Cyrl-CS"/>
        </w:rPr>
      </w:pPr>
      <w:r>
        <w:rPr>
          <w:rFonts w:ascii="Times New Roman" w:hAnsi="Times New Roman"/>
          <w:sz w:val="24"/>
          <w:szCs w:val="24"/>
          <w:lang w:val="sr-Cyrl-CS"/>
        </w:rPr>
        <w:t>Što</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se</w:t>
      </w:r>
      <w:r w:rsidR="00F83CCF" w:rsidRPr="00E95BC4">
        <w:rPr>
          <w:rFonts w:ascii="Times New Roman" w:hAnsi="Times New Roman"/>
          <w:sz w:val="24"/>
          <w:szCs w:val="24"/>
          <w:lang w:val="sr-Cyrl-CS"/>
        </w:rPr>
        <w:t xml:space="preserve"> </w:t>
      </w:r>
      <w:r>
        <w:rPr>
          <w:rFonts w:ascii="Times New Roman" w:hAnsi="Times New Roman"/>
          <w:sz w:val="24"/>
          <w:szCs w:val="24"/>
          <w:lang w:val="sr-Cyrl-CS"/>
        </w:rPr>
        <w:t>tiče</w:t>
      </w:r>
      <w:r w:rsidR="00F83CCF" w:rsidRPr="00E95BC4">
        <w:rPr>
          <w:rFonts w:ascii="Times New Roman" w:hAnsi="Times New Roman"/>
          <w:sz w:val="24"/>
          <w:szCs w:val="24"/>
          <w:lang w:val="sr-Cyrl-CS"/>
        </w:rPr>
        <w:t xml:space="preserve"> </w:t>
      </w:r>
      <w:r>
        <w:rPr>
          <w:rFonts w:ascii="Times New Roman" w:hAnsi="Times New Roman"/>
          <w:sz w:val="24"/>
          <w:szCs w:val="24"/>
          <w:lang w:val="sr-Cyrl-CS"/>
        </w:rPr>
        <w:t>koordinacije</w:t>
      </w:r>
      <w:r w:rsidR="00F83CCF" w:rsidRPr="00E95BC4">
        <w:rPr>
          <w:rFonts w:ascii="Times New Roman" w:hAnsi="Times New Roman"/>
          <w:sz w:val="24"/>
          <w:szCs w:val="24"/>
          <w:lang w:val="sr-Cyrl-CS"/>
        </w:rPr>
        <w:t xml:space="preserve">, </w:t>
      </w:r>
      <w:r>
        <w:rPr>
          <w:rFonts w:ascii="Times New Roman" w:hAnsi="Times New Roman"/>
          <w:sz w:val="24"/>
          <w:szCs w:val="24"/>
          <w:lang w:val="sr-Cyrl-CS"/>
        </w:rPr>
        <w:t>najbitnija</w:t>
      </w:r>
      <w:r w:rsidR="00F83CCF" w:rsidRPr="00E95BC4">
        <w:rPr>
          <w:rFonts w:ascii="Times New Roman" w:hAnsi="Times New Roman"/>
          <w:sz w:val="24"/>
          <w:szCs w:val="24"/>
          <w:lang w:val="sr-Cyrl-CS"/>
        </w:rPr>
        <w:t xml:space="preserve"> </w:t>
      </w:r>
      <w:r>
        <w:rPr>
          <w:rFonts w:ascii="Times New Roman" w:hAnsi="Times New Roman"/>
          <w:sz w:val="24"/>
          <w:szCs w:val="24"/>
          <w:lang w:val="sr-Cyrl-CS"/>
        </w:rPr>
        <w:t>pitanja</w:t>
      </w:r>
      <w:r w:rsidR="00F83CCF" w:rsidRPr="00E95BC4">
        <w:rPr>
          <w:rFonts w:ascii="Times New Roman" w:hAnsi="Times New Roman"/>
          <w:sz w:val="24"/>
          <w:szCs w:val="24"/>
          <w:lang w:val="sr-Cyrl-CS"/>
        </w:rPr>
        <w:t xml:space="preserve"> </w:t>
      </w:r>
      <w:r>
        <w:rPr>
          <w:rFonts w:ascii="Times New Roman" w:hAnsi="Times New Roman"/>
          <w:sz w:val="24"/>
          <w:szCs w:val="24"/>
          <w:lang w:val="sr-Cyrl-CS"/>
        </w:rPr>
        <w:t>su</w:t>
      </w:r>
      <w:r w:rsidR="00F83CCF" w:rsidRPr="00E95BC4">
        <w:rPr>
          <w:rFonts w:ascii="Times New Roman" w:hAnsi="Times New Roman"/>
          <w:sz w:val="24"/>
          <w:szCs w:val="24"/>
          <w:lang w:val="sr-Cyrl-CS"/>
        </w:rPr>
        <w:t xml:space="preserve"> </w:t>
      </w:r>
      <w:r>
        <w:rPr>
          <w:rFonts w:ascii="Times New Roman" w:hAnsi="Times New Roman"/>
          <w:sz w:val="24"/>
          <w:szCs w:val="24"/>
          <w:lang w:val="sr-Cyrl-CS"/>
        </w:rPr>
        <w:t>stalnost</w:t>
      </w:r>
      <w:r w:rsidR="00F83CCF" w:rsidRPr="00E95BC4">
        <w:rPr>
          <w:rFonts w:ascii="Times New Roman" w:hAnsi="Times New Roman"/>
          <w:sz w:val="24"/>
          <w:szCs w:val="24"/>
          <w:lang w:val="sr-Cyrl-CS"/>
        </w:rPr>
        <w:t xml:space="preserve">, </w:t>
      </w:r>
      <w:r>
        <w:rPr>
          <w:rFonts w:ascii="Times New Roman" w:hAnsi="Times New Roman"/>
          <w:sz w:val="24"/>
          <w:szCs w:val="24"/>
          <w:lang w:val="sr-Cyrl-CS"/>
        </w:rPr>
        <w:t>redovno</w:t>
      </w:r>
      <w:r w:rsidR="00F83CCF" w:rsidRPr="00E95BC4">
        <w:rPr>
          <w:rFonts w:ascii="Times New Roman" w:hAnsi="Times New Roman"/>
          <w:sz w:val="24"/>
          <w:szCs w:val="24"/>
          <w:lang w:val="sr-Cyrl-CS"/>
        </w:rPr>
        <w:t xml:space="preserve"> </w:t>
      </w:r>
      <w:r>
        <w:rPr>
          <w:rFonts w:ascii="Times New Roman" w:hAnsi="Times New Roman"/>
          <w:sz w:val="24"/>
          <w:szCs w:val="24"/>
          <w:lang w:val="sr-Cyrl-CS"/>
        </w:rPr>
        <w:t>sastajanje</w:t>
      </w:r>
      <w:r w:rsidR="00F83CCF" w:rsidRPr="00E95BC4">
        <w:rPr>
          <w:rFonts w:ascii="Times New Roman" w:hAnsi="Times New Roman"/>
          <w:sz w:val="24"/>
          <w:szCs w:val="24"/>
          <w:lang w:val="sr-Cyrl-CS"/>
        </w:rPr>
        <w:t xml:space="preserve">, </w:t>
      </w:r>
      <w:r>
        <w:rPr>
          <w:rFonts w:ascii="Times New Roman" w:hAnsi="Times New Roman"/>
          <w:sz w:val="24"/>
          <w:szCs w:val="24"/>
          <w:lang w:val="sr-Cyrl-CS"/>
        </w:rPr>
        <w:t>stabilnost</w:t>
      </w:r>
      <w:r w:rsidR="00F83CCF" w:rsidRPr="00E95BC4">
        <w:rPr>
          <w:rFonts w:ascii="Times New Roman" w:hAnsi="Times New Roman"/>
          <w:sz w:val="24"/>
          <w:szCs w:val="24"/>
          <w:lang w:val="sr-Cyrl-CS"/>
        </w:rPr>
        <w:t xml:space="preserve"> </w:t>
      </w:r>
      <w:r>
        <w:rPr>
          <w:rFonts w:ascii="Times New Roman" w:hAnsi="Times New Roman"/>
          <w:sz w:val="24"/>
          <w:szCs w:val="24"/>
          <w:lang w:val="sr-Cyrl-CS"/>
        </w:rPr>
        <w:t>članstva</w:t>
      </w:r>
      <w:r w:rsidR="00F83CCF" w:rsidRPr="00E95BC4">
        <w:rPr>
          <w:rFonts w:ascii="Times New Roman" w:hAnsi="Times New Roman"/>
          <w:sz w:val="24"/>
          <w:szCs w:val="24"/>
          <w:lang w:val="sr-Cyrl-CS"/>
        </w:rPr>
        <w:t xml:space="preserve"> </w:t>
      </w:r>
      <w:r>
        <w:rPr>
          <w:rFonts w:ascii="Times New Roman" w:hAnsi="Times New Roman"/>
          <w:sz w:val="24"/>
          <w:szCs w:val="24"/>
          <w:lang w:val="sr-Cyrl-CS"/>
        </w:rPr>
        <w:t>i</w:t>
      </w:r>
      <w:r w:rsidR="00F83CCF" w:rsidRPr="00E95BC4">
        <w:rPr>
          <w:rFonts w:ascii="Times New Roman" w:hAnsi="Times New Roman"/>
          <w:sz w:val="24"/>
          <w:szCs w:val="24"/>
          <w:lang w:val="sr-Cyrl-CS"/>
        </w:rPr>
        <w:t xml:space="preserve"> </w:t>
      </w:r>
      <w:r>
        <w:rPr>
          <w:rFonts w:ascii="Times New Roman" w:hAnsi="Times New Roman"/>
          <w:sz w:val="24"/>
          <w:szCs w:val="24"/>
          <w:lang w:val="sr-Cyrl-CS"/>
        </w:rPr>
        <w:t>postojanje</w:t>
      </w:r>
      <w:r w:rsidR="00F83CCF" w:rsidRPr="00E95BC4">
        <w:rPr>
          <w:rFonts w:ascii="Times New Roman" w:hAnsi="Times New Roman"/>
          <w:sz w:val="24"/>
          <w:szCs w:val="24"/>
          <w:lang w:val="sr-Cyrl-CS"/>
        </w:rPr>
        <w:t xml:space="preserve"> </w:t>
      </w:r>
      <w:r>
        <w:rPr>
          <w:rFonts w:ascii="Times New Roman" w:hAnsi="Times New Roman"/>
          <w:sz w:val="24"/>
          <w:szCs w:val="24"/>
          <w:lang w:val="sr-Cyrl-CS"/>
        </w:rPr>
        <w:t>jakog</w:t>
      </w:r>
      <w:r w:rsidR="00F83CCF" w:rsidRPr="00E95BC4">
        <w:rPr>
          <w:rFonts w:ascii="Times New Roman" w:hAnsi="Times New Roman"/>
          <w:sz w:val="24"/>
          <w:szCs w:val="24"/>
          <w:lang w:val="sr-Cyrl-CS"/>
        </w:rPr>
        <w:t xml:space="preserve"> </w:t>
      </w:r>
      <w:r>
        <w:rPr>
          <w:rFonts w:ascii="Times New Roman" w:hAnsi="Times New Roman"/>
          <w:sz w:val="24"/>
          <w:szCs w:val="24"/>
          <w:lang w:val="sr-Cyrl-CS"/>
        </w:rPr>
        <w:t>stručnog</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sekretarijata</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Koordinacionog</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tela</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uz</w:t>
      </w:r>
      <w:r w:rsidR="00F83CCF" w:rsidRPr="00E95BC4">
        <w:rPr>
          <w:rFonts w:ascii="Times New Roman" w:hAnsi="Times New Roman"/>
          <w:sz w:val="24"/>
          <w:szCs w:val="24"/>
          <w:lang w:val="sr-Cyrl-CS"/>
        </w:rPr>
        <w:t xml:space="preserve"> </w:t>
      </w:r>
      <w:r>
        <w:rPr>
          <w:rFonts w:ascii="Times New Roman" w:hAnsi="Times New Roman"/>
          <w:sz w:val="24"/>
          <w:szCs w:val="24"/>
          <w:lang w:val="sr-Cyrl-CS"/>
        </w:rPr>
        <w:t>pomoć</w:t>
      </w:r>
      <w:r w:rsidR="00F83CCF" w:rsidRPr="00E95BC4">
        <w:rPr>
          <w:rFonts w:ascii="Times New Roman" w:hAnsi="Times New Roman"/>
          <w:sz w:val="24"/>
          <w:szCs w:val="24"/>
          <w:lang w:val="sr-Cyrl-CS"/>
        </w:rPr>
        <w:t xml:space="preserve"> </w:t>
      </w:r>
      <w:r>
        <w:rPr>
          <w:rFonts w:ascii="Times New Roman" w:hAnsi="Times New Roman"/>
          <w:sz w:val="24"/>
          <w:szCs w:val="24"/>
          <w:lang w:val="sr-Cyrl-CS"/>
        </w:rPr>
        <w:t>koga</w:t>
      </w:r>
      <w:r w:rsidR="00F83CCF" w:rsidRPr="00E95BC4">
        <w:rPr>
          <w:rFonts w:ascii="Times New Roman" w:hAnsi="Times New Roman"/>
          <w:sz w:val="24"/>
          <w:szCs w:val="24"/>
          <w:lang w:val="sr-Cyrl-CS"/>
        </w:rPr>
        <w:t xml:space="preserve"> </w:t>
      </w:r>
      <w:r>
        <w:rPr>
          <w:rFonts w:ascii="Times New Roman" w:hAnsi="Times New Roman"/>
          <w:sz w:val="24"/>
          <w:szCs w:val="24"/>
          <w:lang w:val="sr-Cyrl-CS"/>
        </w:rPr>
        <w:t>će</w:t>
      </w:r>
      <w:r w:rsidR="00F83CCF" w:rsidRPr="00E95BC4">
        <w:rPr>
          <w:rFonts w:ascii="Times New Roman" w:hAnsi="Times New Roman"/>
          <w:sz w:val="24"/>
          <w:szCs w:val="24"/>
          <w:lang w:val="sr-Cyrl-CS"/>
        </w:rPr>
        <w:t xml:space="preserve"> </w:t>
      </w:r>
      <w:r>
        <w:rPr>
          <w:rFonts w:ascii="Times New Roman" w:hAnsi="Times New Roman"/>
          <w:sz w:val="24"/>
          <w:szCs w:val="24"/>
          <w:lang w:val="sr-Cyrl-CS"/>
        </w:rPr>
        <w:t>Koordinaciono</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telo</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moći</w:t>
      </w:r>
      <w:r w:rsidR="00F83CCF" w:rsidRPr="00E95BC4">
        <w:rPr>
          <w:rFonts w:ascii="Times New Roman" w:hAnsi="Times New Roman"/>
          <w:sz w:val="24"/>
          <w:szCs w:val="24"/>
          <w:lang w:val="sr-Cyrl-CS"/>
        </w:rPr>
        <w:t xml:space="preserve"> </w:t>
      </w:r>
      <w:r>
        <w:rPr>
          <w:rFonts w:ascii="Times New Roman" w:hAnsi="Times New Roman"/>
          <w:sz w:val="24"/>
          <w:szCs w:val="24"/>
          <w:lang w:val="sr-Cyrl-CS"/>
        </w:rPr>
        <w:t>da</w:t>
      </w:r>
      <w:r w:rsidR="00F83CCF" w:rsidRPr="00E95BC4">
        <w:rPr>
          <w:rFonts w:ascii="Times New Roman" w:hAnsi="Times New Roman"/>
          <w:sz w:val="24"/>
          <w:szCs w:val="24"/>
          <w:lang w:val="sr-Cyrl-CS"/>
        </w:rPr>
        <w:t xml:space="preserve"> </w:t>
      </w:r>
      <w:r>
        <w:rPr>
          <w:rFonts w:ascii="Times New Roman" w:hAnsi="Times New Roman"/>
          <w:sz w:val="24"/>
          <w:szCs w:val="24"/>
          <w:lang w:val="sr-Cyrl-CS"/>
        </w:rPr>
        <w:t>donosi</w:t>
      </w:r>
      <w:r w:rsidR="00F83CCF" w:rsidRPr="00E95BC4">
        <w:rPr>
          <w:rFonts w:ascii="Times New Roman" w:hAnsi="Times New Roman"/>
          <w:sz w:val="24"/>
          <w:szCs w:val="24"/>
          <w:lang w:val="sr-Cyrl-CS"/>
        </w:rPr>
        <w:t xml:space="preserve"> </w:t>
      </w:r>
      <w:r>
        <w:rPr>
          <w:rFonts w:ascii="Times New Roman" w:hAnsi="Times New Roman"/>
          <w:sz w:val="24"/>
          <w:szCs w:val="24"/>
          <w:lang w:val="sr-Cyrl-CS"/>
        </w:rPr>
        <w:t>utemeljene</w:t>
      </w:r>
      <w:r w:rsidR="00F83CCF" w:rsidRPr="00E95BC4">
        <w:rPr>
          <w:rFonts w:ascii="Times New Roman" w:hAnsi="Times New Roman"/>
          <w:sz w:val="24"/>
          <w:szCs w:val="24"/>
          <w:lang w:val="sr-Cyrl-CS"/>
        </w:rPr>
        <w:t xml:space="preserve"> </w:t>
      </w:r>
      <w:r>
        <w:rPr>
          <w:rFonts w:ascii="Times New Roman" w:hAnsi="Times New Roman"/>
          <w:sz w:val="24"/>
          <w:szCs w:val="24"/>
          <w:lang w:val="sr-Cyrl-CS"/>
        </w:rPr>
        <w:t>odluke</w:t>
      </w:r>
      <w:r w:rsidR="00F83CCF" w:rsidRPr="00E95BC4">
        <w:rPr>
          <w:rFonts w:ascii="Times New Roman" w:hAnsi="Times New Roman"/>
          <w:sz w:val="24"/>
          <w:szCs w:val="24"/>
          <w:lang w:val="sr-Cyrl-CS"/>
        </w:rPr>
        <w:t xml:space="preserve"> </w:t>
      </w:r>
      <w:r>
        <w:rPr>
          <w:rFonts w:ascii="Times New Roman" w:hAnsi="Times New Roman"/>
          <w:sz w:val="24"/>
          <w:szCs w:val="24"/>
          <w:lang w:val="sr-Cyrl-CS"/>
        </w:rPr>
        <w:t>i</w:t>
      </w:r>
      <w:r w:rsidR="00F83CCF" w:rsidRPr="00E95BC4">
        <w:rPr>
          <w:rFonts w:ascii="Times New Roman" w:hAnsi="Times New Roman"/>
          <w:sz w:val="24"/>
          <w:szCs w:val="24"/>
          <w:lang w:val="sr-Cyrl-CS"/>
        </w:rPr>
        <w:t xml:space="preserve"> </w:t>
      </w:r>
      <w:r>
        <w:rPr>
          <w:rFonts w:ascii="Times New Roman" w:hAnsi="Times New Roman"/>
          <w:sz w:val="24"/>
          <w:szCs w:val="24"/>
          <w:lang w:val="sr-Cyrl-CS"/>
        </w:rPr>
        <w:t>biti</w:t>
      </w:r>
      <w:r w:rsidR="008A65BD" w:rsidRPr="00E95BC4">
        <w:rPr>
          <w:rFonts w:ascii="Times New Roman" w:hAnsi="Times New Roman"/>
          <w:sz w:val="24"/>
          <w:szCs w:val="24"/>
          <w:lang w:val="sr-Cyrl-CS"/>
        </w:rPr>
        <w:t xml:space="preserve"> </w:t>
      </w:r>
      <w:r>
        <w:rPr>
          <w:rFonts w:ascii="Times New Roman" w:hAnsi="Times New Roman"/>
          <w:sz w:val="24"/>
          <w:szCs w:val="24"/>
          <w:lang w:val="sr-Cyrl-CS"/>
        </w:rPr>
        <w:t>u</w:t>
      </w:r>
      <w:r w:rsidR="008A65BD" w:rsidRPr="00E95BC4">
        <w:rPr>
          <w:rFonts w:ascii="Times New Roman" w:hAnsi="Times New Roman"/>
          <w:sz w:val="24"/>
          <w:szCs w:val="24"/>
          <w:lang w:val="sr-Cyrl-CS"/>
        </w:rPr>
        <w:t xml:space="preserve"> </w:t>
      </w:r>
      <w:r>
        <w:rPr>
          <w:rFonts w:ascii="Times New Roman" w:hAnsi="Times New Roman"/>
          <w:sz w:val="24"/>
          <w:szCs w:val="24"/>
          <w:lang w:val="sr-Cyrl-CS"/>
        </w:rPr>
        <w:t>stanju</w:t>
      </w:r>
      <w:r w:rsidR="008A65BD" w:rsidRPr="00E95BC4">
        <w:rPr>
          <w:rFonts w:ascii="Times New Roman" w:hAnsi="Times New Roman"/>
          <w:sz w:val="24"/>
          <w:szCs w:val="24"/>
          <w:lang w:val="sr-Cyrl-CS"/>
        </w:rPr>
        <w:t xml:space="preserve"> </w:t>
      </w:r>
      <w:r>
        <w:rPr>
          <w:rFonts w:ascii="Times New Roman" w:hAnsi="Times New Roman"/>
          <w:sz w:val="24"/>
          <w:szCs w:val="24"/>
          <w:lang w:val="sr-Cyrl-CS"/>
        </w:rPr>
        <w:t>da</w:t>
      </w:r>
      <w:r w:rsidR="00F83CCF" w:rsidRPr="00E95BC4">
        <w:rPr>
          <w:rFonts w:ascii="Times New Roman" w:hAnsi="Times New Roman"/>
          <w:sz w:val="24"/>
          <w:szCs w:val="24"/>
          <w:lang w:val="sr-Cyrl-CS"/>
        </w:rPr>
        <w:t xml:space="preserve"> </w:t>
      </w:r>
      <w:r>
        <w:rPr>
          <w:rFonts w:ascii="Times New Roman" w:hAnsi="Times New Roman"/>
          <w:sz w:val="24"/>
          <w:szCs w:val="24"/>
          <w:lang w:val="sr-Cyrl-CS"/>
        </w:rPr>
        <w:t>ih</w:t>
      </w:r>
      <w:r w:rsidR="00F83CCF" w:rsidRPr="00E95BC4">
        <w:rPr>
          <w:rFonts w:ascii="Times New Roman" w:hAnsi="Times New Roman"/>
          <w:sz w:val="24"/>
          <w:szCs w:val="24"/>
          <w:lang w:val="sr-Cyrl-CS"/>
        </w:rPr>
        <w:t xml:space="preserve"> </w:t>
      </w:r>
      <w:r>
        <w:rPr>
          <w:rFonts w:ascii="Times New Roman" w:hAnsi="Times New Roman"/>
          <w:sz w:val="24"/>
          <w:szCs w:val="24"/>
          <w:lang w:val="sr-Cyrl-CS"/>
        </w:rPr>
        <w:t>sprovodi</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u</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praksi</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na</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primer</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kroz</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inicijative</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za</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izmene</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propisa</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uvođenje</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novih</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mehanizama</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domaće</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i</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međunarodne</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saradnje</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i</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slično</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U</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tom</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smislu</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bitna</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je</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podrška</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svih</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ministarstava</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i</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službi</w:t>
      </w:r>
      <w:r w:rsidR="00F65C28" w:rsidRPr="00E95BC4">
        <w:rPr>
          <w:rFonts w:ascii="Times New Roman" w:hAnsi="Times New Roman"/>
          <w:sz w:val="24"/>
          <w:szCs w:val="24"/>
          <w:lang w:val="sr-Cyrl-CS"/>
        </w:rPr>
        <w:t xml:space="preserve"> </w:t>
      </w:r>
      <w:r>
        <w:rPr>
          <w:rFonts w:ascii="Times New Roman" w:hAnsi="Times New Roman"/>
          <w:sz w:val="24"/>
          <w:szCs w:val="24"/>
          <w:lang w:val="sr-Cyrl-CS"/>
        </w:rPr>
        <w:t>Vlade</w:t>
      </w:r>
      <w:r w:rsidR="00F65C28" w:rsidRPr="00E95BC4">
        <w:rPr>
          <w:rFonts w:ascii="Times New Roman" w:hAnsi="Times New Roman"/>
          <w:sz w:val="24"/>
          <w:szCs w:val="24"/>
          <w:lang w:val="sr-Cyrl-CS"/>
        </w:rPr>
        <w:t>.</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Pitanja</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nacionalne</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procene</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rizika</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i</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koordinacije</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u</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sistemu</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u</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ranijem</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periodu</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bila</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su</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izraženija</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kao</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problem</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i</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bitno</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je</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održavati</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postignuti</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stepen</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opredeljenosti</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i</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ozbiljnosti</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državnih</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organa</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u</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pristupu</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tom</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problemu</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kako</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ne</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bi</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došlo</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do</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urušavanja</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nego</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do</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unapređenja</w:t>
      </w:r>
      <w:r w:rsidR="00C55991" w:rsidRPr="00E95BC4">
        <w:rPr>
          <w:rFonts w:ascii="Times New Roman" w:hAnsi="Times New Roman"/>
          <w:sz w:val="24"/>
          <w:szCs w:val="24"/>
          <w:lang w:val="sr-Cyrl-CS"/>
        </w:rPr>
        <w:t xml:space="preserve"> </w:t>
      </w:r>
      <w:r>
        <w:rPr>
          <w:rFonts w:ascii="Times New Roman" w:hAnsi="Times New Roman"/>
          <w:sz w:val="24"/>
          <w:szCs w:val="24"/>
          <w:lang w:val="sr-Cyrl-CS"/>
        </w:rPr>
        <w:t>efektivnosti</w:t>
      </w:r>
      <w:r w:rsidR="00C55991" w:rsidRPr="00E95BC4">
        <w:rPr>
          <w:rFonts w:ascii="Times New Roman" w:hAnsi="Times New Roman"/>
          <w:sz w:val="24"/>
          <w:szCs w:val="24"/>
          <w:lang w:val="sr-Cyrl-CS"/>
        </w:rPr>
        <w:t>.</w:t>
      </w:r>
      <w:r w:rsidR="004769B3" w:rsidRPr="00E95BC4">
        <w:rPr>
          <w:rFonts w:ascii="Times New Roman" w:hAnsi="Times New Roman"/>
          <w:sz w:val="24"/>
          <w:szCs w:val="24"/>
          <w:lang w:val="sr-Cyrl-CS"/>
        </w:rPr>
        <w:t xml:space="preserve"> </w:t>
      </w:r>
    </w:p>
    <w:p w:rsidR="00C55991" w:rsidRPr="00E95BC4" w:rsidRDefault="005818C0" w:rsidP="004769B3">
      <w:pPr>
        <w:pStyle w:val="FATF-TEXTE1115"/>
        <w:tabs>
          <w:tab w:val="clear" w:pos="624"/>
          <w:tab w:val="clear" w:pos="1247"/>
          <w:tab w:val="clear" w:pos="1871"/>
          <w:tab w:val="clear" w:pos="2495"/>
          <w:tab w:val="clear" w:pos="3119"/>
        </w:tabs>
        <w:spacing w:after="0" w:line="240" w:lineRule="auto"/>
        <w:ind w:firstLine="720"/>
        <w:rPr>
          <w:rFonts w:ascii="Times New Roman" w:hAnsi="Times New Roman"/>
          <w:sz w:val="24"/>
          <w:szCs w:val="24"/>
          <w:lang w:val="sr-Cyrl-CS"/>
        </w:rPr>
      </w:pPr>
      <w:r>
        <w:rPr>
          <w:rFonts w:ascii="Times New Roman" w:hAnsi="Times New Roman"/>
          <w:sz w:val="24"/>
          <w:szCs w:val="24"/>
          <w:lang w:val="sr-Cyrl-CS"/>
        </w:rPr>
        <w:lastRenderedPageBreak/>
        <w:t>Što</w:t>
      </w:r>
      <w:r w:rsidR="004769B3" w:rsidRPr="00E95BC4">
        <w:rPr>
          <w:rFonts w:ascii="Times New Roman" w:hAnsi="Times New Roman"/>
          <w:sz w:val="24"/>
          <w:szCs w:val="24"/>
          <w:lang w:val="sr-Cyrl-CS"/>
        </w:rPr>
        <w:t xml:space="preserve"> </w:t>
      </w:r>
      <w:r>
        <w:rPr>
          <w:rFonts w:ascii="Times New Roman" w:hAnsi="Times New Roman"/>
          <w:sz w:val="24"/>
          <w:szCs w:val="24"/>
          <w:lang w:val="sr-Cyrl-CS"/>
        </w:rPr>
        <w:t>se</w:t>
      </w:r>
      <w:r w:rsidR="004769B3" w:rsidRPr="00E95BC4">
        <w:rPr>
          <w:rFonts w:ascii="Times New Roman" w:hAnsi="Times New Roman"/>
          <w:sz w:val="24"/>
          <w:szCs w:val="24"/>
          <w:lang w:val="sr-Cyrl-CS"/>
        </w:rPr>
        <w:t xml:space="preserve"> </w:t>
      </w:r>
      <w:r>
        <w:rPr>
          <w:rFonts w:ascii="Times New Roman" w:hAnsi="Times New Roman"/>
          <w:sz w:val="24"/>
          <w:szCs w:val="24"/>
          <w:lang w:val="sr-Cyrl-CS"/>
        </w:rPr>
        <w:t>tiče</w:t>
      </w:r>
      <w:r w:rsidR="004769B3" w:rsidRPr="00E95BC4">
        <w:rPr>
          <w:rFonts w:ascii="Times New Roman" w:hAnsi="Times New Roman"/>
          <w:sz w:val="24"/>
          <w:szCs w:val="24"/>
          <w:lang w:val="sr-Cyrl-CS"/>
        </w:rPr>
        <w:t xml:space="preserve"> </w:t>
      </w:r>
      <w:r>
        <w:rPr>
          <w:rFonts w:ascii="Times New Roman" w:hAnsi="Times New Roman"/>
          <w:sz w:val="24"/>
          <w:szCs w:val="24"/>
          <w:lang w:val="sr-Cyrl-CS"/>
        </w:rPr>
        <w:t>međunarodne</w:t>
      </w:r>
      <w:r w:rsidR="004769B3" w:rsidRPr="00E95BC4">
        <w:rPr>
          <w:rFonts w:ascii="Times New Roman" w:hAnsi="Times New Roman"/>
          <w:sz w:val="24"/>
          <w:szCs w:val="24"/>
          <w:lang w:val="sr-Cyrl-CS"/>
        </w:rPr>
        <w:t xml:space="preserve"> </w:t>
      </w:r>
      <w:r>
        <w:rPr>
          <w:rFonts w:ascii="Times New Roman" w:hAnsi="Times New Roman"/>
          <w:sz w:val="24"/>
          <w:szCs w:val="24"/>
          <w:lang w:val="sr-Cyrl-CS"/>
        </w:rPr>
        <w:t>saradnje</w:t>
      </w:r>
      <w:r w:rsidR="004769B3" w:rsidRPr="00E95BC4">
        <w:rPr>
          <w:rFonts w:ascii="Times New Roman" w:hAnsi="Times New Roman"/>
          <w:sz w:val="24"/>
          <w:szCs w:val="24"/>
          <w:lang w:val="sr-Cyrl-CS"/>
        </w:rPr>
        <w:t xml:space="preserve">, </w:t>
      </w:r>
      <w:r>
        <w:rPr>
          <w:rFonts w:ascii="Times New Roman" w:hAnsi="Times New Roman"/>
          <w:sz w:val="24"/>
          <w:szCs w:val="24"/>
          <w:lang w:val="sr-Cyrl-CS"/>
        </w:rPr>
        <w:t>neophodno</w:t>
      </w:r>
      <w:r w:rsidR="004769B3" w:rsidRPr="00E95BC4">
        <w:rPr>
          <w:rFonts w:ascii="Times New Roman" w:hAnsi="Times New Roman"/>
          <w:sz w:val="24"/>
          <w:szCs w:val="24"/>
          <w:lang w:val="sr-Cyrl-CS"/>
        </w:rPr>
        <w:t xml:space="preserve"> </w:t>
      </w:r>
      <w:r>
        <w:rPr>
          <w:rFonts w:ascii="Times New Roman" w:hAnsi="Times New Roman"/>
          <w:sz w:val="24"/>
          <w:szCs w:val="24"/>
          <w:lang w:val="sr-Cyrl-CS"/>
        </w:rPr>
        <w:t>je</w:t>
      </w:r>
      <w:r w:rsidR="004769B3" w:rsidRPr="00E95BC4">
        <w:rPr>
          <w:rFonts w:ascii="Times New Roman" w:hAnsi="Times New Roman"/>
          <w:sz w:val="24"/>
          <w:szCs w:val="24"/>
          <w:lang w:val="sr-Cyrl-CS"/>
        </w:rPr>
        <w:t xml:space="preserve"> </w:t>
      </w:r>
      <w:r>
        <w:rPr>
          <w:rFonts w:ascii="Times New Roman" w:hAnsi="Times New Roman"/>
          <w:sz w:val="24"/>
          <w:szCs w:val="24"/>
          <w:lang w:val="sr-Cyrl-CS"/>
        </w:rPr>
        <w:t>dodatno</w:t>
      </w:r>
      <w:r w:rsidR="004769B3" w:rsidRPr="00E95BC4">
        <w:rPr>
          <w:rFonts w:ascii="Times New Roman" w:hAnsi="Times New Roman"/>
          <w:sz w:val="24"/>
          <w:szCs w:val="24"/>
          <w:lang w:val="sr-Cyrl-CS"/>
        </w:rPr>
        <w:t xml:space="preserve"> </w:t>
      </w:r>
      <w:r>
        <w:rPr>
          <w:rFonts w:ascii="Times New Roman" w:hAnsi="Times New Roman"/>
          <w:sz w:val="24"/>
          <w:szCs w:val="24"/>
          <w:lang w:val="sr-Cyrl-CS"/>
        </w:rPr>
        <w:t>pojasniti</w:t>
      </w:r>
      <w:r w:rsidR="004769B3" w:rsidRPr="00E95BC4">
        <w:rPr>
          <w:rFonts w:ascii="Times New Roman" w:hAnsi="Times New Roman"/>
          <w:sz w:val="24"/>
          <w:szCs w:val="24"/>
          <w:lang w:val="sr-Cyrl-CS"/>
        </w:rPr>
        <w:t xml:space="preserve"> </w:t>
      </w:r>
      <w:r>
        <w:rPr>
          <w:rFonts w:ascii="Times New Roman" w:hAnsi="Times New Roman"/>
          <w:sz w:val="24"/>
          <w:szCs w:val="24"/>
          <w:lang w:val="sr-Cyrl-CS"/>
        </w:rPr>
        <w:t>ovlašćenja</w:t>
      </w:r>
      <w:r w:rsidR="004769B3" w:rsidRPr="00E95BC4">
        <w:rPr>
          <w:rFonts w:ascii="Times New Roman" w:hAnsi="Times New Roman"/>
          <w:sz w:val="24"/>
          <w:szCs w:val="24"/>
          <w:lang w:val="sr-Cyrl-CS"/>
        </w:rPr>
        <w:t xml:space="preserve"> </w:t>
      </w:r>
      <w:r>
        <w:rPr>
          <w:rFonts w:ascii="Times New Roman" w:hAnsi="Times New Roman"/>
          <w:sz w:val="24"/>
          <w:szCs w:val="24"/>
          <w:lang w:val="sr-Cyrl-CS"/>
        </w:rPr>
        <w:t>nadzornih</w:t>
      </w:r>
      <w:r w:rsidR="004769B3" w:rsidRPr="00E95BC4">
        <w:rPr>
          <w:rFonts w:ascii="Times New Roman" w:hAnsi="Times New Roman"/>
          <w:sz w:val="24"/>
          <w:szCs w:val="24"/>
          <w:lang w:val="sr-Cyrl-CS"/>
        </w:rPr>
        <w:t xml:space="preserve"> </w:t>
      </w:r>
      <w:r>
        <w:rPr>
          <w:rFonts w:ascii="Times New Roman" w:hAnsi="Times New Roman"/>
          <w:sz w:val="24"/>
          <w:szCs w:val="24"/>
          <w:lang w:val="sr-Cyrl-CS"/>
        </w:rPr>
        <w:t>organa</w:t>
      </w:r>
      <w:r w:rsidR="001A655F" w:rsidRPr="00E95BC4">
        <w:rPr>
          <w:rFonts w:ascii="Times New Roman" w:hAnsi="Times New Roman"/>
          <w:sz w:val="24"/>
          <w:szCs w:val="24"/>
          <w:lang w:val="sr-Cyrl-CS"/>
        </w:rPr>
        <w:t xml:space="preserve"> </w:t>
      </w:r>
      <w:r>
        <w:rPr>
          <w:rFonts w:ascii="Times New Roman" w:hAnsi="Times New Roman"/>
          <w:sz w:val="24"/>
          <w:szCs w:val="24"/>
          <w:lang w:val="sr-Cyrl-CS"/>
        </w:rPr>
        <w:t>u</w:t>
      </w:r>
      <w:r w:rsidR="001A655F" w:rsidRPr="00E95BC4">
        <w:rPr>
          <w:rFonts w:ascii="Times New Roman" w:hAnsi="Times New Roman"/>
          <w:sz w:val="24"/>
          <w:szCs w:val="24"/>
          <w:lang w:val="sr-Cyrl-CS"/>
        </w:rPr>
        <w:t xml:space="preserve"> </w:t>
      </w:r>
      <w:r>
        <w:rPr>
          <w:rFonts w:ascii="Times New Roman" w:hAnsi="Times New Roman"/>
          <w:sz w:val="24"/>
          <w:szCs w:val="24"/>
          <w:lang w:val="sr-Cyrl-CS"/>
        </w:rPr>
        <w:t>međunarodnoj</w:t>
      </w:r>
      <w:r w:rsidR="001A655F" w:rsidRPr="00E95BC4">
        <w:rPr>
          <w:rFonts w:ascii="Times New Roman" w:hAnsi="Times New Roman"/>
          <w:sz w:val="24"/>
          <w:szCs w:val="24"/>
          <w:lang w:val="sr-Cyrl-CS"/>
        </w:rPr>
        <w:t xml:space="preserve"> </w:t>
      </w:r>
      <w:r>
        <w:rPr>
          <w:rFonts w:ascii="Times New Roman" w:hAnsi="Times New Roman"/>
          <w:sz w:val="24"/>
          <w:szCs w:val="24"/>
          <w:lang w:val="sr-Cyrl-CS"/>
        </w:rPr>
        <w:t>saradnji</w:t>
      </w:r>
      <w:r w:rsidR="001A655F" w:rsidRPr="00E95BC4">
        <w:rPr>
          <w:rFonts w:ascii="Times New Roman" w:hAnsi="Times New Roman"/>
          <w:sz w:val="24"/>
          <w:szCs w:val="24"/>
          <w:lang w:val="sr-Cyrl-CS"/>
        </w:rPr>
        <w:t xml:space="preserve"> (</w:t>
      </w:r>
      <w:r>
        <w:rPr>
          <w:rFonts w:ascii="Times New Roman" w:hAnsi="Times New Roman"/>
          <w:sz w:val="24"/>
          <w:szCs w:val="24"/>
          <w:lang w:val="sr-Cyrl-CS"/>
        </w:rPr>
        <w:t>osnov</w:t>
      </w:r>
      <w:r w:rsidR="001A655F" w:rsidRPr="00E95BC4">
        <w:rPr>
          <w:rFonts w:ascii="Times New Roman" w:hAnsi="Times New Roman"/>
          <w:sz w:val="24"/>
          <w:szCs w:val="24"/>
          <w:lang w:val="sr-Cyrl-CS"/>
        </w:rPr>
        <w:t xml:space="preserve"> </w:t>
      </w:r>
      <w:r>
        <w:rPr>
          <w:rFonts w:ascii="Times New Roman" w:hAnsi="Times New Roman"/>
          <w:sz w:val="24"/>
          <w:szCs w:val="24"/>
          <w:lang w:val="sr-Cyrl-CS"/>
        </w:rPr>
        <w:t>dat</w:t>
      </w:r>
      <w:r w:rsidR="001A655F" w:rsidRPr="00E95BC4">
        <w:rPr>
          <w:rFonts w:ascii="Times New Roman" w:hAnsi="Times New Roman"/>
          <w:sz w:val="24"/>
          <w:szCs w:val="24"/>
          <w:lang w:val="sr-Cyrl-CS"/>
        </w:rPr>
        <w:t xml:space="preserve"> </w:t>
      </w:r>
      <w:r>
        <w:rPr>
          <w:rFonts w:ascii="Times New Roman" w:hAnsi="Times New Roman"/>
          <w:sz w:val="24"/>
          <w:szCs w:val="24"/>
          <w:lang w:val="sr-Cyrl-CS"/>
        </w:rPr>
        <w:t>u</w:t>
      </w:r>
      <w:r w:rsidR="001A655F" w:rsidRPr="00E95BC4">
        <w:rPr>
          <w:rFonts w:ascii="Times New Roman" w:hAnsi="Times New Roman"/>
          <w:sz w:val="24"/>
          <w:szCs w:val="24"/>
          <w:lang w:val="sr-Cyrl-CS"/>
        </w:rPr>
        <w:t xml:space="preserve"> </w:t>
      </w:r>
      <w:r>
        <w:rPr>
          <w:rFonts w:ascii="Times New Roman" w:hAnsi="Times New Roman"/>
          <w:sz w:val="24"/>
          <w:szCs w:val="24"/>
          <w:lang w:val="sr-Cyrl-CS"/>
        </w:rPr>
        <w:t>izmenama</w:t>
      </w:r>
      <w:r w:rsidR="004769B3" w:rsidRPr="00E95BC4">
        <w:rPr>
          <w:rFonts w:ascii="Times New Roman" w:hAnsi="Times New Roman"/>
          <w:sz w:val="24"/>
          <w:szCs w:val="24"/>
          <w:lang w:val="sr-Cyrl-CS"/>
        </w:rPr>
        <w:t xml:space="preserve"> </w:t>
      </w:r>
      <w:r>
        <w:rPr>
          <w:rFonts w:ascii="Times New Roman" w:hAnsi="Times New Roman"/>
          <w:sz w:val="24"/>
          <w:szCs w:val="24"/>
          <w:lang w:val="sr-Cyrl-CS"/>
        </w:rPr>
        <w:t>i</w:t>
      </w:r>
      <w:r w:rsidR="004769B3" w:rsidRPr="00E95BC4">
        <w:rPr>
          <w:rFonts w:ascii="Times New Roman" w:hAnsi="Times New Roman"/>
          <w:sz w:val="24"/>
          <w:szCs w:val="24"/>
          <w:lang w:val="sr-Cyrl-CS"/>
        </w:rPr>
        <w:t xml:space="preserve"> </w:t>
      </w:r>
      <w:r>
        <w:rPr>
          <w:rFonts w:ascii="Times New Roman" w:hAnsi="Times New Roman"/>
          <w:sz w:val="24"/>
          <w:szCs w:val="24"/>
          <w:lang w:val="sr-Cyrl-CS"/>
        </w:rPr>
        <w:t>dopunama</w:t>
      </w:r>
      <w:r w:rsidR="004769B3" w:rsidRPr="00E95BC4">
        <w:rPr>
          <w:rFonts w:ascii="Times New Roman" w:hAnsi="Times New Roman"/>
          <w:sz w:val="24"/>
          <w:szCs w:val="24"/>
          <w:lang w:val="sr-Cyrl-CS"/>
        </w:rPr>
        <w:t xml:space="preserve"> </w:t>
      </w:r>
      <w:r>
        <w:rPr>
          <w:rFonts w:ascii="Times New Roman" w:hAnsi="Times New Roman"/>
          <w:sz w:val="24"/>
          <w:szCs w:val="24"/>
          <w:lang w:val="sr-Cyrl-CS"/>
        </w:rPr>
        <w:t>Zakona</w:t>
      </w:r>
      <w:r w:rsidR="004769B3" w:rsidRPr="00E95BC4">
        <w:rPr>
          <w:rFonts w:ascii="Times New Roman" w:hAnsi="Times New Roman"/>
          <w:sz w:val="24"/>
          <w:szCs w:val="24"/>
          <w:lang w:val="sr-Cyrl-CS"/>
        </w:rPr>
        <w:t xml:space="preserve"> </w:t>
      </w:r>
      <w:r>
        <w:rPr>
          <w:rFonts w:ascii="Times New Roman" w:hAnsi="Times New Roman"/>
          <w:sz w:val="24"/>
          <w:szCs w:val="24"/>
          <w:lang w:val="sr-Cyrl-CS"/>
        </w:rPr>
        <w:t>o</w:t>
      </w:r>
      <w:r w:rsidR="004769B3" w:rsidRPr="00E95BC4">
        <w:rPr>
          <w:rFonts w:ascii="Times New Roman" w:hAnsi="Times New Roman"/>
          <w:sz w:val="24"/>
          <w:szCs w:val="24"/>
          <w:lang w:val="sr-Cyrl-CS"/>
        </w:rPr>
        <w:t xml:space="preserve"> </w:t>
      </w:r>
      <w:r>
        <w:rPr>
          <w:rFonts w:ascii="Times New Roman" w:hAnsi="Times New Roman"/>
          <w:sz w:val="24"/>
          <w:szCs w:val="24"/>
          <w:lang w:val="sr-Cyrl-CS"/>
        </w:rPr>
        <w:t>sprečavanju</w:t>
      </w:r>
      <w:r w:rsidR="004769B3" w:rsidRPr="00E95BC4">
        <w:rPr>
          <w:rFonts w:ascii="Times New Roman" w:hAnsi="Times New Roman"/>
          <w:sz w:val="24"/>
          <w:szCs w:val="24"/>
          <w:lang w:val="sr-Cyrl-CS"/>
        </w:rPr>
        <w:t xml:space="preserve"> </w:t>
      </w:r>
      <w:r>
        <w:rPr>
          <w:rFonts w:ascii="Times New Roman" w:hAnsi="Times New Roman"/>
          <w:sz w:val="24"/>
          <w:szCs w:val="24"/>
          <w:lang w:val="sr-Cyrl-CS"/>
        </w:rPr>
        <w:t>pranja</w:t>
      </w:r>
      <w:r w:rsidR="004769B3" w:rsidRPr="00E95BC4">
        <w:rPr>
          <w:rFonts w:ascii="Times New Roman" w:hAnsi="Times New Roman"/>
          <w:sz w:val="24"/>
          <w:szCs w:val="24"/>
          <w:lang w:val="sr-Cyrl-CS"/>
        </w:rPr>
        <w:t xml:space="preserve"> </w:t>
      </w:r>
      <w:r>
        <w:rPr>
          <w:rFonts w:ascii="Times New Roman" w:hAnsi="Times New Roman"/>
          <w:sz w:val="24"/>
          <w:szCs w:val="24"/>
          <w:lang w:val="sr-Cyrl-CS"/>
        </w:rPr>
        <w:t>novca</w:t>
      </w:r>
      <w:r w:rsidR="004769B3" w:rsidRPr="00E95BC4">
        <w:rPr>
          <w:rFonts w:ascii="Times New Roman" w:hAnsi="Times New Roman"/>
          <w:sz w:val="24"/>
          <w:szCs w:val="24"/>
          <w:lang w:val="sr-Cyrl-CS"/>
        </w:rPr>
        <w:t xml:space="preserve"> </w:t>
      </w:r>
      <w:r>
        <w:rPr>
          <w:rFonts w:ascii="Times New Roman" w:hAnsi="Times New Roman"/>
          <w:sz w:val="24"/>
          <w:szCs w:val="24"/>
          <w:lang w:val="sr-Cyrl-CS"/>
        </w:rPr>
        <w:t>i</w:t>
      </w:r>
      <w:r w:rsidR="004769B3" w:rsidRPr="00E95BC4">
        <w:rPr>
          <w:rFonts w:ascii="Times New Roman" w:hAnsi="Times New Roman"/>
          <w:sz w:val="24"/>
          <w:szCs w:val="24"/>
          <w:lang w:val="sr-Cyrl-CS"/>
        </w:rPr>
        <w:t xml:space="preserve"> </w:t>
      </w:r>
      <w:r>
        <w:rPr>
          <w:rFonts w:ascii="Times New Roman" w:hAnsi="Times New Roman"/>
          <w:sz w:val="24"/>
          <w:szCs w:val="24"/>
          <w:lang w:val="sr-Cyrl-CS"/>
        </w:rPr>
        <w:t>finansiranja</w:t>
      </w:r>
      <w:r w:rsidR="004769B3" w:rsidRPr="00E95BC4">
        <w:rPr>
          <w:rFonts w:ascii="Times New Roman" w:hAnsi="Times New Roman"/>
          <w:sz w:val="24"/>
          <w:szCs w:val="24"/>
          <w:lang w:val="sr-Cyrl-CS"/>
        </w:rPr>
        <w:t xml:space="preserve"> </w:t>
      </w:r>
      <w:r>
        <w:rPr>
          <w:rFonts w:ascii="Times New Roman" w:hAnsi="Times New Roman"/>
          <w:sz w:val="24"/>
          <w:szCs w:val="24"/>
          <w:lang w:val="sr-Cyrl-CS"/>
        </w:rPr>
        <w:t>terorizma</w:t>
      </w:r>
      <w:r w:rsidR="004769B3" w:rsidRPr="00E95BC4">
        <w:rPr>
          <w:rFonts w:ascii="Times New Roman" w:hAnsi="Times New Roman"/>
          <w:sz w:val="24"/>
          <w:szCs w:val="24"/>
          <w:lang w:val="sr-Cyrl-CS"/>
        </w:rPr>
        <w:t xml:space="preserve">), </w:t>
      </w:r>
      <w:r>
        <w:rPr>
          <w:rFonts w:ascii="Times New Roman" w:hAnsi="Times New Roman"/>
          <w:sz w:val="24"/>
          <w:szCs w:val="24"/>
          <w:lang w:val="sr-Cyrl-CS"/>
        </w:rPr>
        <w:t>unaprediti</w:t>
      </w:r>
      <w:r w:rsidR="004769B3" w:rsidRPr="00E95BC4">
        <w:rPr>
          <w:rFonts w:ascii="Times New Roman" w:hAnsi="Times New Roman"/>
          <w:sz w:val="24"/>
          <w:szCs w:val="24"/>
          <w:lang w:val="sr-Cyrl-CS"/>
        </w:rPr>
        <w:t xml:space="preserve"> </w:t>
      </w:r>
      <w:r>
        <w:rPr>
          <w:rFonts w:ascii="Times New Roman" w:hAnsi="Times New Roman"/>
          <w:sz w:val="24"/>
          <w:szCs w:val="24"/>
          <w:lang w:val="sr-Cyrl-CS"/>
        </w:rPr>
        <w:t>korišćenje</w:t>
      </w:r>
      <w:r w:rsidR="004769B3" w:rsidRPr="00E95BC4">
        <w:rPr>
          <w:rFonts w:ascii="Times New Roman" w:hAnsi="Times New Roman"/>
          <w:sz w:val="24"/>
          <w:szCs w:val="24"/>
          <w:lang w:val="sr-Cyrl-CS"/>
        </w:rPr>
        <w:t xml:space="preserve"> </w:t>
      </w:r>
      <w:r>
        <w:rPr>
          <w:rFonts w:ascii="Times New Roman" w:hAnsi="Times New Roman"/>
          <w:sz w:val="24"/>
          <w:szCs w:val="24"/>
          <w:lang w:val="sr-Cyrl-CS"/>
        </w:rPr>
        <w:t>mehanizama</w:t>
      </w:r>
      <w:r w:rsidR="004769B3" w:rsidRPr="00E95BC4">
        <w:rPr>
          <w:rFonts w:ascii="Times New Roman" w:hAnsi="Times New Roman"/>
          <w:sz w:val="24"/>
          <w:szCs w:val="24"/>
          <w:lang w:val="sr-Cyrl-CS"/>
        </w:rPr>
        <w:t xml:space="preserve"> </w:t>
      </w:r>
      <w:r>
        <w:rPr>
          <w:rFonts w:ascii="Times New Roman" w:hAnsi="Times New Roman"/>
          <w:sz w:val="24"/>
          <w:szCs w:val="24"/>
          <w:lang w:val="sr-Cyrl-CS"/>
        </w:rPr>
        <w:t>međunarodne</w:t>
      </w:r>
      <w:r w:rsidR="004769B3" w:rsidRPr="00E95BC4">
        <w:rPr>
          <w:rFonts w:ascii="Times New Roman" w:hAnsi="Times New Roman"/>
          <w:sz w:val="24"/>
          <w:szCs w:val="24"/>
          <w:lang w:val="sr-Cyrl-CS"/>
        </w:rPr>
        <w:t xml:space="preserve"> </w:t>
      </w:r>
      <w:r>
        <w:rPr>
          <w:rFonts w:ascii="Times New Roman" w:hAnsi="Times New Roman"/>
          <w:sz w:val="24"/>
          <w:szCs w:val="24"/>
          <w:lang w:val="sr-Cyrl-CS"/>
        </w:rPr>
        <w:t>saradnje</w:t>
      </w:r>
      <w:r w:rsidR="004769B3" w:rsidRPr="00E95BC4">
        <w:rPr>
          <w:rFonts w:ascii="Times New Roman" w:hAnsi="Times New Roman"/>
          <w:sz w:val="24"/>
          <w:szCs w:val="24"/>
          <w:lang w:val="sr-Cyrl-CS"/>
        </w:rPr>
        <w:t xml:space="preserve"> </w:t>
      </w:r>
      <w:r>
        <w:rPr>
          <w:rFonts w:ascii="Times New Roman" w:hAnsi="Times New Roman"/>
          <w:sz w:val="24"/>
          <w:szCs w:val="24"/>
          <w:lang w:val="sr-Cyrl-CS"/>
        </w:rPr>
        <w:t>u</w:t>
      </w:r>
      <w:r w:rsidR="004769B3" w:rsidRPr="00E95BC4">
        <w:rPr>
          <w:rFonts w:ascii="Times New Roman" w:hAnsi="Times New Roman"/>
          <w:sz w:val="24"/>
          <w:szCs w:val="24"/>
          <w:lang w:val="sr-Cyrl-CS"/>
        </w:rPr>
        <w:t xml:space="preserve"> </w:t>
      </w:r>
      <w:r>
        <w:rPr>
          <w:rFonts w:ascii="Times New Roman" w:hAnsi="Times New Roman"/>
          <w:sz w:val="24"/>
          <w:szCs w:val="24"/>
          <w:lang w:val="sr-Cyrl-CS"/>
        </w:rPr>
        <w:t>razmeni</w:t>
      </w:r>
      <w:r w:rsidR="004769B3" w:rsidRPr="00E95BC4">
        <w:rPr>
          <w:rFonts w:ascii="Times New Roman" w:hAnsi="Times New Roman"/>
          <w:sz w:val="24"/>
          <w:szCs w:val="24"/>
          <w:lang w:val="sr-Cyrl-CS"/>
        </w:rPr>
        <w:t xml:space="preserve"> </w:t>
      </w:r>
      <w:r>
        <w:rPr>
          <w:rFonts w:ascii="Times New Roman" w:hAnsi="Times New Roman"/>
          <w:sz w:val="24"/>
          <w:szCs w:val="24"/>
          <w:lang w:val="sr-Cyrl-CS"/>
        </w:rPr>
        <w:t>informacija</w:t>
      </w:r>
      <w:r w:rsidR="004769B3" w:rsidRPr="00E95BC4">
        <w:rPr>
          <w:rFonts w:ascii="Times New Roman" w:hAnsi="Times New Roman"/>
          <w:sz w:val="24"/>
          <w:szCs w:val="24"/>
          <w:lang w:val="sr-Cyrl-CS"/>
        </w:rPr>
        <w:t xml:space="preserve"> </w:t>
      </w:r>
      <w:r>
        <w:rPr>
          <w:rFonts w:ascii="Times New Roman" w:hAnsi="Times New Roman"/>
          <w:sz w:val="24"/>
          <w:szCs w:val="24"/>
          <w:lang w:val="sr-Cyrl-CS"/>
        </w:rPr>
        <w:t>u</w:t>
      </w:r>
      <w:r w:rsidR="004769B3" w:rsidRPr="00E95BC4">
        <w:rPr>
          <w:rFonts w:ascii="Times New Roman" w:hAnsi="Times New Roman"/>
          <w:sz w:val="24"/>
          <w:szCs w:val="24"/>
          <w:lang w:val="sr-Cyrl-CS"/>
        </w:rPr>
        <w:t xml:space="preserve"> </w:t>
      </w:r>
      <w:r>
        <w:rPr>
          <w:rFonts w:ascii="Times New Roman" w:hAnsi="Times New Roman"/>
          <w:sz w:val="24"/>
          <w:szCs w:val="24"/>
          <w:lang w:val="sr-Cyrl-CS"/>
        </w:rPr>
        <w:t>vezi</w:t>
      </w:r>
      <w:r w:rsidR="004769B3" w:rsidRPr="00E95BC4">
        <w:rPr>
          <w:rFonts w:ascii="Times New Roman" w:hAnsi="Times New Roman"/>
          <w:sz w:val="24"/>
          <w:szCs w:val="24"/>
          <w:lang w:val="sr-Cyrl-CS"/>
        </w:rPr>
        <w:t xml:space="preserve"> </w:t>
      </w:r>
      <w:r>
        <w:rPr>
          <w:rFonts w:ascii="Times New Roman" w:hAnsi="Times New Roman"/>
          <w:sz w:val="24"/>
          <w:szCs w:val="24"/>
          <w:lang w:val="sr-Cyrl-CS"/>
        </w:rPr>
        <w:t>sa</w:t>
      </w:r>
      <w:r w:rsidR="004769B3" w:rsidRPr="00E95BC4">
        <w:rPr>
          <w:rFonts w:ascii="Times New Roman" w:hAnsi="Times New Roman"/>
          <w:sz w:val="24"/>
          <w:szCs w:val="24"/>
          <w:lang w:val="sr-Cyrl-CS"/>
        </w:rPr>
        <w:t xml:space="preserve"> </w:t>
      </w:r>
      <w:r>
        <w:rPr>
          <w:rFonts w:ascii="Times New Roman" w:hAnsi="Times New Roman"/>
          <w:sz w:val="24"/>
          <w:szCs w:val="24"/>
          <w:lang w:val="sr-Cyrl-CS"/>
        </w:rPr>
        <w:t>oduzimanjem</w:t>
      </w:r>
      <w:r w:rsidR="004769B3" w:rsidRPr="00E95BC4">
        <w:rPr>
          <w:rFonts w:ascii="Times New Roman" w:hAnsi="Times New Roman"/>
          <w:sz w:val="24"/>
          <w:szCs w:val="24"/>
          <w:lang w:val="sr-Cyrl-CS"/>
        </w:rPr>
        <w:t xml:space="preserve"> </w:t>
      </w:r>
      <w:r>
        <w:rPr>
          <w:rFonts w:ascii="Times New Roman" w:hAnsi="Times New Roman"/>
          <w:sz w:val="24"/>
          <w:szCs w:val="24"/>
          <w:lang w:val="sr-Cyrl-CS"/>
        </w:rPr>
        <w:t>imovine</w:t>
      </w:r>
      <w:r w:rsidR="004769B3" w:rsidRPr="00E95BC4">
        <w:rPr>
          <w:rFonts w:ascii="Times New Roman" w:hAnsi="Times New Roman"/>
          <w:sz w:val="24"/>
          <w:szCs w:val="24"/>
          <w:lang w:val="sr-Cyrl-CS"/>
        </w:rPr>
        <w:t xml:space="preserve">, </w:t>
      </w:r>
      <w:r>
        <w:rPr>
          <w:rFonts w:ascii="Times New Roman" w:hAnsi="Times New Roman"/>
          <w:sz w:val="24"/>
          <w:szCs w:val="24"/>
          <w:lang w:val="sr-Cyrl-CS"/>
        </w:rPr>
        <w:t>razmene</w:t>
      </w:r>
      <w:r w:rsidR="004769B3" w:rsidRPr="00E95BC4">
        <w:rPr>
          <w:rFonts w:ascii="Times New Roman" w:hAnsi="Times New Roman"/>
          <w:sz w:val="24"/>
          <w:szCs w:val="24"/>
          <w:lang w:val="sr-Cyrl-CS"/>
        </w:rPr>
        <w:t xml:space="preserve"> </w:t>
      </w:r>
      <w:r>
        <w:rPr>
          <w:rFonts w:ascii="Times New Roman" w:hAnsi="Times New Roman"/>
          <w:sz w:val="24"/>
          <w:szCs w:val="24"/>
          <w:lang w:val="sr-Cyrl-CS"/>
        </w:rPr>
        <w:t>informacija</w:t>
      </w:r>
      <w:r w:rsidR="004769B3" w:rsidRPr="00E95BC4">
        <w:rPr>
          <w:rFonts w:ascii="Times New Roman" w:hAnsi="Times New Roman"/>
          <w:sz w:val="24"/>
          <w:szCs w:val="24"/>
          <w:lang w:val="sr-Cyrl-CS"/>
        </w:rPr>
        <w:t xml:space="preserve"> </w:t>
      </w:r>
      <w:r>
        <w:rPr>
          <w:rFonts w:ascii="Times New Roman" w:hAnsi="Times New Roman"/>
          <w:sz w:val="24"/>
          <w:szCs w:val="24"/>
          <w:lang w:val="sr-Cyrl-CS"/>
        </w:rPr>
        <w:t>u</w:t>
      </w:r>
      <w:r w:rsidR="004769B3" w:rsidRPr="00E95BC4">
        <w:rPr>
          <w:rFonts w:ascii="Times New Roman" w:hAnsi="Times New Roman"/>
          <w:sz w:val="24"/>
          <w:szCs w:val="24"/>
          <w:lang w:val="sr-Cyrl-CS"/>
        </w:rPr>
        <w:t xml:space="preserve"> </w:t>
      </w:r>
      <w:r>
        <w:rPr>
          <w:rFonts w:ascii="Times New Roman" w:hAnsi="Times New Roman"/>
          <w:sz w:val="24"/>
          <w:szCs w:val="24"/>
          <w:lang w:val="sr-Cyrl-CS"/>
        </w:rPr>
        <w:t>vezi</w:t>
      </w:r>
      <w:r w:rsidR="004769B3" w:rsidRPr="00E95BC4">
        <w:rPr>
          <w:rFonts w:ascii="Times New Roman" w:hAnsi="Times New Roman"/>
          <w:sz w:val="24"/>
          <w:szCs w:val="24"/>
          <w:lang w:val="sr-Cyrl-CS"/>
        </w:rPr>
        <w:t xml:space="preserve"> </w:t>
      </w:r>
      <w:r>
        <w:rPr>
          <w:rFonts w:ascii="Times New Roman" w:hAnsi="Times New Roman"/>
          <w:sz w:val="24"/>
          <w:szCs w:val="24"/>
          <w:lang w:val="sr-Cyrl-CS"/>
        </w:rPr>
        <w:t>sa</w:t>
      </w:r>
      <w:r w:rsidR="004769B3" w:rsidRPr="00E95BC4">
        <w:rPr>
          <w:rFonts w:ascii="Times New Roman" w:hAnsi="Times New Roman"/>
          <w:sz w:val="24"/>
          <w:szCs w:val="24"/>
          <w:lang w:val="sr-Cyrl-CS"/>
        </w:rPr>
        <w:t xml:space="preserve"> </w:t>
      </w:r>
      <w:r>
        <w:rPr>
          <w:rFonts w:ascii="Times New Roman" w:hAnsi="Times New Roman"/>
          <w:sz w:val="24"/>
          <w:szCs w:val="24"/>
          <w:lang w:val="sr-Cyrl-CS"/>
        </w:rPr>
        <w:t>finansiranjem</w:t>
      </w:r>
      <w:r w:rsidR="004769B3" w:rsidRPr="00E95BC4">
        <w:rPr>
          <w:rFonts w:ascii="Times New Roman" w:hAnsi="Times New Roman"/>
          <w:sz w:val="24"/>
          <w:szCs w:val="24"/>
          <w:lang w:val="sr-Cyrl-CS"/>
        </w:rPr>
        <w:t xml:space="preserve"> </w:t>
      </w:r>
      <w:r>
        <w:rPr>
          <w:rFonts w:ascii="Times New Roman" w:hAnsi="Times New Roman"/>
          <w:sz w:val="24"/>
          <w:szCs w:val="24"/>
          <w:lang w:val="sr-Cyrl-CS"/>
        </w:rPr>
        <w:t>terorizma</w:t>
      </w:r>
      <w:r w:rsidR="004769B3" w:rsidRPr="00E95BC4">
        <w:rPr>
          <w:rFonts w:ascii="Times New Roman" w:hAnsi="Times New Roman"/>
          <w:sz w:val="24"/>
          <w:szCs w:val="24"/>
          <w:lang w:val="sr-Cyrl-CS"/>
        </w:rPr>
        <w:t xml:space="preserve">. </w:t>
      </w:r>
      <w:r>
        <w:rPr>
          <w:rFonts w:ascii="Times New Roman" w:hAnsi="Times New Roman"/>
          <w:sz w:val="24"/>
          <w:szCs w:val="24"/>
          <w:lang w:val="sr-Cyrl-CS"/>
        </w:rPr>
        <w:t>Takođe</w:t>
      </w:r>
      <w:r w:rsidR="004769B3" w:rsidRPr="00E95BC4">
        <w:rPr>
          <w:rFonts w:ascii="Times New Roman" w:hAnsi="Times New Roman"/>
          <w:sz w:val="24"/>
          <w:szCs w:val="24"/>
          <w:lang w:val="sr-Cyrl-CS"/>
        </w:rPr>
        <w:t xml:space="preserve">, </w:t>
      </w:r>
      <w:r>
        <w:rPr>
          <w:rFonts w:ascii="Times New Roman" w:hAnsi="Times New Roman"/>
          <w:sz w:val="24"/>
          <w:szCs w:val="24"/>
          <w:lang w:val="sr-Cyrl-CS"/>
        </w:rPr>
        <w:t>u</w:t>
      </w:r>
      <w:r w:rsidR="004769B3" w:rsidRPr="00E95BC4">
        <w:rPr>
          <w:rFonts w:ascii="Times New Roman" w:hAnsi="Times New Roman"/>
          <w:sz w:val="24"/>
          <w:szCs w:val="24"/>
          <w:lang w:val="sr-Cyrl-CS"/>
        </w:rPr>
        <w:t xml:space="preserve"> </w:t>
      </w:r>
      <w:r>
        <w:rPr>
          <w:rFonts w:ascii="Times New Roman" w:hAnsi="Times New Roman"/>
          <w:sz w:val="24"/>
          <w:szCs w:val="24"/>
          <w:lang w:val="sr-Cyrl-CS"/>
        </w:rPr>
        <w:t>pogledu</w:t>
      </w:r>
      <w:r w:rsidR="004769B3" w:rsidRPr="00E95BC4">
        <w:rPr>
          <w:rFonts w:ascii="Times New Roman" w:hAnsi="Times New Roman"/>
          <w:sz w:val="24"/>
          <w:szCs w:val="24"/>
          <w:lang w:val="sr-Cyrl-CS"/>
        </w:rPr>
        <w:t xml:space="preserve"> </w:t>
      </w:r>
      <w:r>
        <w:rPr>
          <w:rFonts w:ascii="Times New Roman" w:hAnsi="Times New Roman"/>
          <w:sz w:val="24"/>
          <w:szCs w:val="24"/>
          <w:lang w:val="sr-Cyrl-CS"/>
        </w:rPr>
        <w:t>pružanja</w:t>
      </w:r>
      <w:r w:rsidR="004769B3" w:rsidRPr="00E95BC4">
        <w:rPr>
          <w:rFonts w:ascii="Times New Roman" w:hAnsi="Times New Roman"/>
          <w:sz w:val="24"/>
          <w:szCs w:val="24"/>
          <w:lang w:val="sr-Cyrl-CS"/>
        </w:rPr>
        <w:t xml:space="preserve"> </w:t>
      </w:r>
      <w:r>
        <w:rPr>
          <w:rFonts w:ascii="Times New Roman" w:hAnsi="Times New Roman"/>
          <w:sz w:val="24"/>
          <w:szCs w:val="24"/>
          <w:lang w:val="sr-Cyrl-CS"/>
        </w:rPr>
        <w:t>međunarodne</w:t>
      </w:r>
      <w:r w:rsidR="004769B3" w:rsidRPr="00E95BC4">
        <w:rPr>
          <w:rFonts w:ascii="Times New Roman" w:hAnsi="Times New Roman"/>
          <w:sz w:val="24"/>
          <w:szCs w:val="24"/>
          <w:lang w:val="sr-Cyrl-CS"/>
        </w:rPr>
        <w:t xml:space="preserve"> </w:t>
      </w:r>
      <w:r>
        <w:rPr>
          <w:rFonts w:ascii="Times New Roman" w:hAnsi="Times New Roman"/>
          <w:sz w:val="24"/>
          <w:szCs w:val="24"/>
          <w:lang w:val="sr-Cyrl-CS"/>
        </w:rPr>
        <w:t>pravne</w:t>
      </w:r>
      <w:r w:rsidR="004769B3" w:rsidRPr="00E95BC4">
        <w:rPr>
          <w:rFonts w:ascii="Times New Roman" w:hAnsi="Times New Roman"/>
          <w:sz w:val="24"/>
          <w:szCs w:val="24"/>
          <w:lang w:val="sr-Cyrl-CS"/>
        </w:rPr>
        <w:t xml:space="preserve"> </w:t>
      </w:r>
      <w:r>
        <w:rPr>
          <w:rFonts w:ascii="Times New Roman" w:hAnsi="Times New Roman"/>
          <w:sz w:val="24"/>
          <w:szCs w:val="24"/>
          <w:lang w:val="sr-Cyrl-CS"/>
        </w:rPr>
        <w:t>pomoći</w:t>
      </w:r>
      <w:r w:rsidR="004769B3" w:rsidRPr="00E95BC4">
        <w:rPr>
          <w:rFonts w:ascii="Times New Roman" w:hAnsi="Times New Roman"/>
          <w:sz w:val="24"/>
          <w:szCs w:val="24"/>
          <w:lang w:val="sr-Cyrl-CS"/>
        </w:rPr>
        <w:t xml:space="preserve">, </w:t>
      </w:r>
      <w:r>
        <w:rPr>
          <w:rFonts w:ascii="Times New Roman" w:hAnsi="Times New Roman"/>
          <w:sz w:val="24"/>
          <w:szCs w:val="24"/>
          <w:lang w:val="sr-Cyrl-CS"/>
        </w:rPr>
        <w:t>neophodno</w:t>
      </w:r>
      <w:r w:rsidR="004769B3" w:rsidRPr="00E95BC4">
        <w:rPr>
          <w:rFonts w:ascii="Times New Roman" w:hAnsi="Times New Roman"/>
          <w:sz w:val="24"/>
          <w:szCs w:val="24"/>
          <w:lang w:val="sr-Cyrl-CS"/>
        </w:rPr>
        <w:t xml:space="preserve"> </w:t>
      </w:r>
      <w:r>
        <w:rPr>
          <w:rFonts w:ascii="Times New Roman" w:hAnsi="Times New Roman"/>
          <w:sz w:val="24"/>
          <w:szCs w:val="24"/>
          <w:lang w:val="sr-Cyrl-CS"/>
        </w:rPr>
        <w:t>je</w:t>
      </w:r>
      <w:r w:rsidR="004769B3" w:rsidRPr="00E95BC4">
        <w:rPr>
          <w:rFonts w:ascii="Times New Roman" w:hAnsi="Times New Roman"/>
          <w:sz w:val="24"/>
          <w:szCs w:val="24"/>
          <w:lang w:val="sr-Cyrl-CS"/>
        </w:rPr>
        <w:t xml:space="preserve"> </w:t>
      </w:r>
      <w:r>
        <w:rPr>
          <w:rFonts w:ascii="Times New Roman" w:hAnsi="Times New Roman"/>
          <w:sz w:val="24"/>
          <w:szCs w:val="24"/>
          <w:lang w:val="sr-Cyrl-CS"/>
        </w:rPr>
        <w:t>otkloniti</w:t>
      </w:r>
      <w:r w:rsidR="004769B3" w:rsidRPr="00E95BC4">
        <w:rPr>
          <w:rFonts w:ascii="Times New Roman" w:hAnsi="Times New Roman"/>
          <w:sz w:val="24"/>
          <w:szCs w:val="24"/>
          <w:lang w:val="sr-Cyrl-CS"/>
        </w:rPr>
        <w:t xml:space="preserve"> </w:t>
      </w:r>
      <w:r>
        <w:rPr>
          <w:rFonts w:ascii="Times New Roman" w:hAnsi="Times New Roman"/>
          <w:sz w:val="24"/>
          <w:szCs w:val="24"/>
          <w:lang w:val="sr-Cyrl-CS"/>
        </w:rPr>
        <w:t>zamerke</w:t>
      </w:r>
      <w:r w:rsidR="004769B3" w:rsidRPr="00E95BC4">
        <w:rPr>
          <w:rFonts w:ascii="Times New Roman" w:hAnsi="Times New Roman"/>
          <w:sz w:val="24"/>
          <w:szCs w:val="24"/>
          <w:lang w:val="sr-Cyrl-CS"/>
        </w:rPr>
        <w:t xml:space="preserve"> </w:t>
      </w:r>
      <w:r>
        <w:rPr>
          <w:rFonts w:ascii="Times New Roman" w:hAnsi="Times New Roman"/>
          <w:sz w:val="24"/>
          <w:szCs w:val="24"/>
          <w:lang w:val="sr-Cyrl-CS"/>
        </w:rPr>
        <w:t>koje</w:t>
      </w:r>
      <w:r w:rsidR="004769B3" w:rsidRPr="00E95BC4">
        <w:rPr>
          <w:rFonts w:ascii="Times New Roman" w:hAnsi="Times New Roman"/>
          <w:sz w:val="24"/>
          <w:szCs w:val="24"/>
          <w:lang w:val="sr-Cyrl-CS"/>
        </w:rPr>
        <w:t xml:space="preserve"> </w:t>
      </w:r>
      <w:r>
        <w:rPr>
          <w:rFonts w:ascii="Times New Roman" w:hAnsi="Times New Roman"/>
          <w:sz w:val="24"/>
          <w:szCs w:val="24"/>
          <w:lang w:val="sr-Cyrl-CS"/>
        </w:rPr>
        <w:t>je</w:t>
      </w:r>
      <w:r w:rsidR="004769B3" w:rsidRPr="00E95BC4">
        <w:rPr>
          <w:rFonts w:ascii="Times New Roman" w:hAnsi="Times New Roman"/>
          <w:sz w:val="24"/>
          <w:szCs w:val="24"/>
          <w:lang w:val="sr-Cyrl-CS"/>
        </w:rPr>
        <w:t xml:space="preserve"> </w:t>
      </w:r>
      <w:r>
        <w:rPr>
          <w:rFonts w:ascii="Times New Roman" w:hAnsi="Times New Roman"/>
          <w:sz w:val="24"/>
          <w:szCs w:val="24"/>
          <w:lang w:val="sr-Cyrl-CS"/>
        </w:rPr>
        <w:t>konstatovao</w:t>
      </w:r>
      <w:r w:rsidR="004769B3" w:rsidRPr="00E95BC4">
        <w:rPr>
          <w:rFonts w:ascii="Times New Roman" w:hAnsi="Times New Roman"/>
          <w:sz w:val="24"/>
          <w:szCs w:val="24"/>
          <w:lang w:val="sr-Cyrl-CS"/>
        </w:rPr>
        <w:t xml:space="preserve"> </w:t>
      </w:r>
      <w:r>
        <w:rPr>
          <w:rFonts w:ascii="Times New Roman" w:hAnsi="Times New Roman"/>
          <w:sz w:val="24"/>
          <w:szCs w:val="24"/>
          <w:lang w:val="sr-Cyrl-CS"/>
        </w:rPr>
        <w:t>Manival</w:t>
      </w:r>
      <w:r w:rsidR="004769B3" w:rsidRPr="00E95BC4">
        <w:rPr>
          <w:rFonts w:ascii="Times New Roman" w:hAnsi="Times New Roman"/>
          <w:sz w:val="24"/>
          <w:szCs w:val="24"/>
          <w:lang w:val="sr-Cyrl-CS"/>
        </w:rPr>
        <w:t>.</w:t>
      </w:r>
    </w:p>
    <w:p w:rsidR="004769B3" w:rsidRPr="00E95BC4" w:rsidRDefault="005818C0" w:rsidP="00C55991">
      <w:pPr>
        <w:ind w:firstLine="720"/>
        <w:jc w:val="both"/>
        <w:rPr>
          <w:lang w:val="sr-Cyrl-CS"/>
        </w:rPr>
      </w:pPr>
      <w:r>
        <w:rPr>
          <w:lang w:val="sr-Cyrl-CS"/>
        </w:rPr>
        <w:t>U</w:t>
      </w:r>
      <w:r w:rsidR="00C55991" w:rsidRPr="00E95BC4">
        <w:rPr>
          <w:lang w:val="sr-Cyrl-CS"/>
        </w:rPr>
        <w:t xml:space="preserve"> </w:t>
      </w:r>
      <w:r>
        <w:rPr>
          <w:lang w:val="sr-Cyrl-CS"/>
        </w:rPr>
        <w:t>postizanju</w:t>
      </w:r>
      <w:r w:rsidR="00C55991" w:rsidRPr="00E95BC4">
        <w:rPr>
          <w:lang w:val="sr-Cyrl-CS"/>
        </w:rPr>
        <w:t xml:space="preserve"> </w:t>
      </w:r>
      <w:r>
        <w:rPr>
          <w:lang w:val="sr-Cyrl-CS"/>
        </w:rPr>
        <w:t>svojih</w:t>
      </w:r>
      <w:r w:rsidR="00C55991" w:rsidRPr="00E95BC4">
        <w:rPr>
          <w:lang w:val="sr-Cyrl-CS"/>
        </w:rPr>
        <w:t xml:space="preserve"> </w:t>
      </w:r>
      <w:r>
        <w:rPr>
          <w:lang w:val="sr-Cyrl-CS"/>
        </w:rPr>
        <w:t>izvornih</w:t>
      </w:r>
      <w:r w:rsidR="00C55991" w:rsidRPr="00E95BC4">
        <w:rPr>
          <w:lang w:val="sr-Cyrl-CS"/>
        </w:rPr>
        <w:t xml:space="preserve"> </w:t>
      </w:r>
      <w:r>
        <w:rPr>
          <w:lang w:val="sr-Cyrl-CS"/>
        </w:rPr>
        <w:t>nadležnosti</w:t>
      </w:r>
      <w:r w:rsidR="00C55991" w:rsidRPr="00E95BC4">
        <w:rPr>
          <w:lang w:val="sr-Cyrl-CS"/>
        </w:rPr>
        <w:t xml:space="preserve">, </w:t>
      </w:r>
      <w:r>
        <w:rPr>
          <w:lang w:val="sr-Cyrl-CS"/>
        </w:rPr>
        <w:t>postoji</w:t>
      </w:r>
      <w:r w:rsidR="00C55991" w:rsidRPr="00E95BC4">
        <w:rPr>
          <w:lang w:val="sr-Cyrl-CS"/>
        </w:rPr>
        <w:t xml:space="preserve"> </w:t>
      </w:r>
      <w:r>
        <w:rPr>
          <w:lang w:val="sr-Cyrl-CS"/>
        </w:rPr>
        <w:t>rizik</w:t>
      </w:r>
      <w:r w:rsidR="00C55991" w:rsidRPr="00E95BC4">
        <w:rPr>
          <w:lang w:val="sr-Cyrl-CS"/>
        </w:rPr>
        <w:t xml:space="preserve"> </w:t>
      </w:r>
      <w:r>
        <w:rPr>
          <w:lang w:val="sr-Cyrl-CS"/>
        </w:rPr>
        <w:t>da</w:t>
      </w:r>
      <w:r w:rsidR="00C55991" w:rsidRPr="00E95BC4">
        <w:rPr>
          <w:lang w:val="sr-Cyrl-CS"/>
        </w:rPr>
        <w:t xml:space="preserve"> </w:t>
      </w:r>
      <w:r>
        <w:rPr>
          <w:lang w:val="sr-Cyrl-CS"/>
        </w:rPr>
        <w:t>državni</w:t>
      </w:r>
      <w:r w:rsidR="00C55991" w:rsidRPr="00E95BC4">
        <w:rPr>
          <w:lang w:val="sr-Cyrl-CS"/>
        </w:rPr>
        <w:t xml:space="preserve"> </w:t>
      </w:r>
      <w:r>
        <w:rPr>
          <w:lang w:val="sr-Cyrl-CS"/>
        </w:rPr>
        <w:t>organi</w:t>
      </w:r>
      <w:r w:rsidR="004769B3" w:rsidRPr="00E95BC4">
        <w:rPr>
          <w:lang w:val="sr-Cyrl-CS"/>
        </w:rPr>
        <w:t>,</w:t>
      </w:r>
      <w:r w:rsidR="00C55991" w:rsidRPr="00E95BC4">
        <w:rPr>
          <w:lang w:val="sr-Cyrl-CS"/>
        </w:rPr>
        <w:t xml:space="preserve"> </w:t>
      </w:r>
      <w:r>
        <w:rPr>
          <w:lang w:val="sr-Cyrl-CS"/>
        </w:rPr>
        <w:t>zbog</w:t>
      </w:r>
      <w:r w:rsidR="00C55991" w:rsidRPr="00E95BC4">
        <w:rPr>
          <w:lang w:val="sr-Cyrl-CS"/>
        </w:rPr>
        <w:t xml:space="preserve"> </w:t>
      </w:r>
      <w:r>
        <w:rPr>
          <w:lang w:val="sr-Cyrl-CS"/>
        </w:rPr>
        <w:t>ograničenih</w:t>
      </w:r>
      <w:r w:rsidR="00C55991" w:rsidRPr="00E95BC4">
        <w:rPr>
          <w:lang w:val="sr-Cyrl-CS"/>
        </w:rPr>
        <w:t xml:space="preserve"> </w:t>
      </w:r>
      <w:r>
        <w:rPr>
          <w:lang w:val="sr-Cyrl-CS"/>
        </w:rPr>
        <w:t>resursa</w:t>
      </w:r>
      <w:r w:rsidR="004769B3" w:rsidRPr="00E95BC4">
        <w:rPr>
          <w:lang w:val="sr-Cyrl-CS"/>
        </w:rPr>
        <w:t>,</w:t>
      </w:r>
      <w:r w:rsidR="00C55991" w:rsidRPr="00E95BC4">
        <w:rPr>
          <w:lang w:val="sr-Cyrl-CS"/>
        </w:rPr>
        <w:t xml:space="preserve"> </w:t>
      </w:r>
      <w:r>
        <w:rPr>
          <w:lang w:val="sr-Cyrl-CS"/>
        </w:rPr>
        <w:t>zanemare</w:t>
      </w:r>
      <w:r w:rsidR="00C55991" w:rsidRPr="00E95BC4">
        <w:rPr>
          <w:lang w:val="sr-Cyrl-CS"/>
        </w:rPr>
        <w:t xml:space="preserve"> </w:t>
      </w:r>
      <w:r>
        <w:rPr>
          <w:lang w:val="sr-Cyrl-CS"/>
        </w:rPr>
        <w:t>značaj</w:t>
      </w:r>
      <w:r w:rsidR="00C55991" w:rsidRPr="00E95BC4">
        <w:rPr>
          <w:lang w:val="sr-Cyrl-CS"/>
        </w:rPr>
        <w:t xml:space="preserve"> </w:t>
      </w:r>
      <w:r>
        <w:rPr>
          <w:lang w:val="sr-Cyrl-CS"/>
        </w:rPr>
        <w:t>napred</w:t>
      </w:r>
      <w:r w:rsidR="004769B3" w:rsidRPr="00E95BC4">
        <w:rPr>
          <w:lang w:val="sr-Cyrl-CS"/>
        </w:rPr>
        <w:t xml:space="preserve"> </w:t>
      </w:r>
      <w:r>
        <w:rPr>
          <w:lang w:val="sr-Cyrl-CS"/>
        </w:rPr>
        <w:t>navedenih</w:t>
      </w:r>
      <w:r w:rsidR="004769B3" w:rsidRPr="00E95BC4">
        <w:rPr>
          <w:lang w:val="sr-Cyrl-CS"/>
        </w:rPr>
        <w:t xml:space="preserve"> </w:t>
      </w:r>
      <w:r>
        <w:rPr>
          <w:lang w:val="sr-Cyrl-CS"/>
        </w:rPr>
        <w:t>pitanja</w:t>
      </w:r>
      <w:r w:rsidR="00C55991" w:rsidRPr="00E95BC4">
        <w:rPr>
          <w:lang w:val="sr-Cyrl-CS"/>
        </w:rPr>
        <w:t xml:space="preserve"> </w:t>
      </w:r>
      <w:r>
        <w:rPr>
          <w:lang w:val="sr-Cyrl-CS"/>
        </w:rPr>
        <w:t>i</w:t>
      </w:r>
      <w:r w:rsidR="00C55991" w:rsidRPr="00E95BC4">
        <w:rPr>
          <w:lang w:val="sr-Cyrl-CS"/>
        </w:rPr>
        <w:t xml:space="preserve"> </w:t>
      </w:r>
      <w:r>
        <w:rPr>
          <w:lang w:val="sr-Cyrl-CS"/>
        </w:rPr>
        <w:t>svoje</w:t>
      </w:r>
      <w:r w:rsidR="00C55991" w:rsidRPr="00E95BC4">
        <w:rPr>
          <w:lang w:val="sr-Cyrl-CS"/>
        </w:rPr>
        <w:t xml:space="preserve"> </w:t>
      </w:r>
      <w:r>
        <w:rPr>
          <w:lang w:val="sr-Cyrl-CS"/>
        </w:rPr>
        <w:t>resurse</w:t>
      </w:r>
      <w:r w:rsidR="00C55991" w:rsidRPr="00E95BC4">
        <w:rPr>
          <w:lang w:val="sr-Cyrl-CS"/>
        </w:rPr>
        <w:t xml:space="preserve"> </w:t>
      </w:r>
      <w:r>
        <w:rPr>
          <w:lang w:val="sr-Cyrl-CS"/>
        </w:rPr>
        <w:t>opredele</w:t>
      </w:r>
      <w:r w:rsidR="00C55991" w:rsidRPr="00E95BC4">
        <w:rPr>
          <w:lang w:val="sr-Cyrl-CS"/>
        </w:rPr>
        <w:t xml:space="preserve"> </w:t>
      </w:r>
      <w:r>
        <w:rPr>
          <w:lang w:val="sr-Cyrl-CS"/>
        </w:rPr>
        <w:t>ka</w:t>
      </w:r>
      <w:r w:rsidR="00C55991" w:rsidRPr="00E95BC4">
        <w:rPr>
          <w:lang w:val="sr-Cyrl-CS"/>
        </w:rPr>
        <w:t xml:space="preserve"> </w:t>
      </w:r>
      <w:r>
        <w:rPr>
          <w:lang w:val="sr-Cyrl-CS"/>
        </w:rPr>
        <w:t>ispunjenju</w:t>
      </w:r>
      <w:r w:rsidR="00C55991" w:rsidRPr="00E95BC4">
        <w:rPr>
          <w:lang w:val="sr-Cyrl-CS"/>
        </w:rPr>
        <w:t xml:space="preserve"> </w:t>
      </w:r>
      <w:r>
        <w:rPr>
          <w:lang w:val="sr-Cyrl-CS"/>
        </w:rPr>
        <w:t>osnovnih</w:t>
      </w:r>
      <w:r w:rsidR="004769B3" w:rsidRPr="00E95BC4">
        <w:rPr>
          <w:lang w:val="sr-Cyrl-CS"/>
        </w:rPr>
        <w:t xml:space="preserve"> </w:t>
      </w:r>
      <w:r>
        <w:rPr>
          <w:lang w:val="sr-Cyrl-CS"/>
        </w:rPr>
        <w:t>nadležnosti</w:t>
      </w:r>
      <w:r w:rsidR="004769B3" w:rsidRPr="00E95BC4">
        <w:rPr>
          <w:lang w:val="sr-Cyrl-CS"/>
        </w:rPr>
        <w:t xml:space="preserve">, </w:t>
      </w:r>
      <w:r>
        <w:rPr>
          <w:lang w:val="sr-Cyrl-CS"/>
        </w:rPr>
        <w:t>ne</w:t>
      </w:r>
      <w:r w:rsidR="004769B3" w:rsidRPr="00E95BC4">
        <w:rPr>
          <w:lang w:val="sr-Cyrl-CS"/>
        </w:rPr>
        <w:t xml:space="preserve"> </w:t>
      </w:r>
      <w:r>
        <w:rPr>
          <w:lang w:val="sr-Cyrl-CS"/>
        </w:rPr>
        <w:t>uvažavajući</w:t>
      </w:r>
      <w:r w:rsidR="004769B3" w:rsidRPr="00E95BC4">
        <w:rPr>
          <w:lang w:val="sr-Cyrl-CS"/>
        </w:rPr>
        <w:t xml:space="preserve"> </w:t>
      </w:r>
      <w:r>
        <w:rPr>
          <w:lang w:val="sr-Cyrl-CS"/>
        </w:rPr>
        <w:t>to</w:t>
      </w:r>
      <w:r w:rsidR="004769B3" w:rsidRPr="00E95BC4">
        <w:rPr>
          <w:lang w:val="sr-Cyrl-CS"/>
        </w:rPr>
        <w:t xml:space="preserve"> </w:t>
      </w:r>
      <w:r>
        <w:rPr>
          <w:lang w:val="sr-Cyrl-CS"/>
        </w:rPr>
        <w:t>da</w:t>
      </w:r>
      <w:r w:rsidR="00C55991" w:rsidRPr="00E95BC4">
        <w:rPr>
          <w:lang w:val="sr-Cyrl-CS"/>
        </w:rPr>
        <w:t xml:space="preserve"> </w:t>
      </w:r>
      <w:r>
        <w:rPr>
          <w:lang w:val="sr-Cyrl-CS"/>
        </w:rPr>
        <w:t>je</w:t>
      </w:r>
      <w:r w:rsidR="00C55991" w:rsidRPr="00E95BC4">
        <w:rPr>
          <w:lang w:val="sr-Cyrl-CS"/>
        </w:rPr>
        <w:t xml:space="preserve"> </w:t>
      </w:r>
      <w:r>
        <w:rPr>
          <w:lang w:val="sr-Cyrl-CS"/>
        </w:rPr>
        <w:t>organizacija</w:t>
      </w:r>
      <w:r w:rsidR="00C55991" w:rsidRPr="00E95BC4">
        <w:rPr>
          <w:lang w:val="sr-Cyrl-CS"/>
        </w:rPr>
        <w:t xml:space="preserve"> </w:t>
      </w:r>
      <w:r>
        <w:rPr>
          <w:lang w:val="sr-Cyrl-CS"/>
        </w:rPr>
        <w:t>rada</w:t>
      </w:r>
      <w:r w:rsidR="00C55991" w:rsidRPr="00E95BC4">
        <w:rPr>
          <w:lang w:val="sr-Cyrl-CS"/>
        </w:rPr>
        <w:t xml:space="preserve"> </w:t>
      </w:r>
      <w:r>
        <w:rPr>
          <w:lang w:val="sr-Cyrl-CS"/>
        </w:rPr>
        <w:t>u</w:t>
      </w:r>
      <w:r w:rsidR="00C55991" w:rsidRPr="00E95BC4">
        <w:rPr>
          <w:lang w:val="sr-Cyrl-CS"/>
        </w:rPr>
        <w:t xml:space="preserve"> </w:t>
      </w:r>
      <w:r>
        <w:rPr>
          <w:lang w:val="sr-Cyrl-CS"/>
        </w:rPr>
        <w:t>skladu</w:t>
      </w:r>
      <w:r w:rsidR="00C55991" w:rsidRPr="00E95BC4">
        <w:rPr>
          <w:lang w:val="sr-Cyrl-CS"/>
        </w:rPr>
        <w:t xml:space="preserve"> </w:t>
      </w:r>
      <w:r>
        <w:rPr>
          <w:lang w:val="sr-Cyrl-CS"/>
        </w:rPr>
        <w:t>sa</w:t>
      </w:r>
      <w:r w:rsidR="00C55991" w:rsidRPr="00E95BC4">
        <w:rPr>
          <w:lang w:val="sr-Cyrl-CS"/>
        </w:rPr>
        <w:t xml:space="preserve"> </w:t>
      </w:r>
      <w:r>
        <w:rPr>
          <w:lang w:val="sr-Cyrl-CS"/>
        </w:rPr>
        <w:t>procenjenim</w:t>
      </w:r>
      <w:r w:rsidR="00C55991" w:rsidRPr="00E95BC4">
        <w:rPr>
          <w:lang w:val="sr-Cyrl-CS"/>
        </w:rPr>
        <w:t xml:space="preserve"> </w:t>
      </w:r>
      <w:r>
        <w:rPr>
          <w:lang w:val="sr-Cyrl-CS"/>
        </w:rPr>
        <w:t>rizicima</w:t>
      </w:r>
      <w:r w:rsidR="00C55991" w:rsidRPr="00E95BC4">
        <w:rPr>
          <w:lang w:val="sr-Cyrl-CS"/>
        </w:rPr>
        <w:t xml:space="preserve"> </w:t>
      </w:r>
      <w:r>
        <w:rPr>
          <w:lang w:val="sr-Cyrl-CS"/>
        </w:rPr>
        <w:t>efektnija</w:t>
      </w:r>
      <w:r w:rsidR="00C55991" w:rsidRPr="00E95BC4">
        <w:rPr>
          <w:lang w:val="sr-Cyrl-CS"/>
        </w:rPr>
        <w:t xml:space="preserve"> </w:t>
      </w:r>
      <w:r>
        <w:rPr>
          <w:lang w:val="sr-Cyrl-CS"/>
        </w:rPr>
        <w:t>i</w:t>
      </w:r>
      <w:r w:rsidR="00C55991" w:rsidRPr="00E95BC4">
        <w:rPr>
          <w:lang w:val="sr-Cyrl-CS"/>
        </w:rPr>
        <w:t xml:space="preserve"> </w:t>
      </w:r>
      <w:r>
        <w:rPr>
          <w:lang w:val="sr-Cyrl-CS"/>
        </w:rPr>
        <w:t>efikasnija</w:t>
      </w:r>
      <w:r w:rsidR="00C55991" w:rsidRPr="00E95BC4">
        <w:rPr>
          <w:lang w:val="sr-Cyrl-CS"/>
        </w:rPr>
        <w:t>.</w:t>
      </w:r>
      <w:r w:rsidR="004769B3" w:rsidRPr="00E95BC4">
        <w:rPr>
          <w:lang w:val="sr-Cyrl-CS"/>
        </w:rPr>
        <w:t xml:space="preserve"> </w:t>
      </w:r>
      <w:r>
        <w:rPr>
          <w:lang w:val="sr-Cyrl-CS"/>
        </w:rPr>
        <w:t>Otuda</w:t>
      </w:r>
      <w:r w:rsidR="004769B3" w:rsidRPr="00E95BC4">
        <w:rPr>
          <w:lang w:val="sr-Cyrl-CS"/>
        </w:rPr>
        <w:t xml:space="preserve"> </w:t>
      </w:r>
      <w:r>
        <w:rPr>
          <w:lang w:val="sr-Cyrl-CS"/>
        </w:rPr>
        <w:t>je</w:t>
      </w:r>
      <w:r w:rsidR="004769B3" w:rsidRPr="00E95BC4">
        <w:rPr>
          <w:lang w:val="sr-Cyrl-CS"/>
        </w:rPr>
        <w:t xml:space="preserve"> </w:t>
      </w:r>
      <w:r>
        <w:rPr>
          <w:lang w:val="sr-Cyrl-CS"/>
        </w:rPr>
        <w:t>rad</w:t>
      </w:r>
      <w:r w:rsidR="004769B3" w:rsidRPr="00E95BC4">
        <w:rPr>
          <w:lang w:val="sr-Cyrl-CS"/>
        </w:rPr>
        <w:t xml:space="preserve"> </w:t>
      </w:r>
      <w:r>
        <w:rPr>
          <w:lang w:val="sr-Cyrl-CS"/>
        </w:rPr>
        <w:t>sa</w:t>
      </w:r>
      <w:r w:rsidR="004769B3" w:rsidRPr="00E95BC4">
        <w:rPr>
          <w:lang w:val="sr-Cyrl-CS"/>
        </w:rPr>
        <w:t xml:space="preserve"> </w:t>
      </w:r>
      <w:r>
        <w:rPr>
          <w:lang w:val="sr-Cyrl-CS"/>
        </w:rPr>
        <w:t>svim</w:t>
      </w:r>
      <w:r w:rsidR="004769B3" w:rsidRPr="00E95BC4">
        <w:rPr>
          <w:lang w:val="sr-Cyrl-CS"/>
        </w:rPr>
        <w:t xml:space="preserve"> </w:t>
      </w:r>
      <w:r>
        <w:rPr>
          <w:lang w:val="sr-Cyrl-CS"/>
        </w:rPr>
        <w:t>organima</w:t>
      </w:r>
      <w:r w:rsidR="004769B3" w:rsidRPr="00E95BC4">
        <w:rPr>
          <w:lang w:val="sr-Cyrl-CS"/>
        </w:rPr>
        <w:t xml:space="preserve"> </w:t>
      </w:r>
      <w:r>
        <w:rPr>
          <w:lang w:val="sr-Cyrl-CS"/>
        </w:rPr>
        <w:t>i</w:t>
      </w:r>
      <w:r w:rsidR="004769B3" w:rsidRPr="00E95BC4">
        <w:rPr>
          <w:lang w:val="sr-Cyrl-CS"/>
        </w:rPr>
        <w:t xml:space="preserve"> </w:t>
      </w:r>
      <w:r>
        <w:rPr>
          <w:lang w:val="sr-Cyrl-CS"/>
        </w:rPr>
        <w:t>širenje</w:t>
      </w:r>
      <w:r w:rsidR="004769B3" w:rsidRPr="00E95BC4">
        <w:rPr>
          <w:lang w:val="sr-Cyrl-CS"/>
        </w:rPr>
        <w:t xml:space="preserve"> </w:t>
      </w:r>
      <w:r>
        <w:rPr>
          <w:lang w:val="sr-Cyrl-CS"/>
        </w:rPr>
        <w:t>svesti</w:t>
      </w:r>
      <w:r w:rsidR="004769B3" w:rsidRPr="00E95BC4">
        <w:rPr>
          <w:lang w:val="sr-Cyrl-CS"/>
        </w:rPr>
        <w:t xml:space="preserve"> </w:t>
      </w:r>
      <w:r>
        <w:rPr>
          <w:lang w:val="sr-Cyrl-CS"/>
        </w:rPr>
        <w:t>o</w:t>
      </w:r>
      <w:r w:rsidR="004769B3" w:rsidRPr="00E95BC4">
        <w:rPr>
          <w:lang w:val="sr-Cyrl-CS"/>
        </w:rPr>
        <w:t xml:space="preserve"> </w:t>
      </w:r>
      <w:r>
        <w:rPr>
          <w:lang w:val="sr-Cyrl-CS"/>
        </w:rPr>
        <w:t>neophodnosti</w:t>
      </w:r>
      <w:r w:rsidR="004769B3" w:rsidRPr="00E95BC4">
        <w:rPr>
          <w:lang w:val="sr-Cyrl-CS"/>
        </w:rPr>
        <w:t xml:space="preserve"> </w:t>
      </w:r>
      <w:r>
        <w:rPr>
          <w:lang w:val="sr-Cyrl-CS"/>
        </w:rPr>
        <w:t>primene</w:t>
      </w:r>
      <w:r w:rsidR="004769B3" w:rsidRPr="00E95BC4">
        <w:rPr>
          <w:lang w:val="sr-Cyrl-CS"/>
        </w:rPr>
        <w:t xml:space="preserve"> </w:t>
      </w:r>
      <w:r>
        <w:rPr>
          <w:lang w:val="sr-Cyrl-CS"/>
        </w:rPr>
        <w:t>pristupa</w:t>
      </w:r>
      <w:r w:rsidR="004769B3" w:rsidRPr="00E95BC4">
        <w:rPr>
          <w:lang w:val="sr-Cyrl-CS"/>
        </w:rPr>
        <w:t xml:space="preserve"> </w:t>
      </w:r>
      <w:r>
        <w:rPr>
          <w:lang w:val="sr-Cyrl-CS"/>
        </w:rPr>
        <w:t>zasnovanog</w:t>
      </w:r>
      <w:r w:rsidR="004769B3" w:rsidRPr="00E95BC4">
        <w:rPr>
          <w:lang w:val="sr-Cyrl-CS"/>
        </w:rPr>
        <w:t xml:space="preserve"> </w:t>
      </w:r>
      <w:r>
        <w:rPr>
          <w:lang w:val="sr-Cyrl-CS"/>
        </w:rPr>
        <w:t>na</w:t>
      </w:r>
      <w:r w:rsidR="004769B3" w:rsidRPr="00E95BC4">
        <w:rPr>
          <w:lang w:val="sr-Cyrl-CS"/>
        </w:rPr>
        <w:t xml:space="preserve"> </w:t>
      </w:r>
      <w:r>
        <w:rPr>
          <w:lang w:val="sr-Cyrl-CS"/>
        </w:rPr>
        <w:t>analizi</w:t>
      </w:r>
      <w:r w:rsidR="004769B3" w:rsidRPr="00E95BC4">
        <w:rPr>
          <w:lang w:val="sr-Cyrl-CS"/>
        </w:rPr>
        <w:t xml:space="preserve"> </w:t>
      </w:r>
      <w:r>
        <w:rPr>
          <w:lang w:val="sr-Cyrl-CS"/>
        </w:rPr>
        <w:t>i</w:t>
      </w:r>
      <w:r w:rsidR="004769B3" w:rsidRPr="00E95BC4">
        <w:rPr>
          <w:lang w:val="sr-Cyrl-CS"/>
        </w:rPr>
        <w:t xml:space="preserve"> </w:t>
      </w:r>
      <w:r>
        <w:rPr>
          <w:lang w:val="sr-Cyrl-CS"/>
        </w:rPr>
        <w:t>proceni</w:t>
      </w:r>
      <w:r w:rsidR="004769B3" w:rsidRPr="00E95BC4">
        <w:rPr>
          <w:lang w:val="sr-Cyrl-CS"/>
        </w:rPr>
        <w:t xml:space="preserve"> </w:t>
      </w:r>
      <w:r>
        <w:rPr>
          <w:lang w:val="sr-Cyrl-CS"/>
        </w:rPr>
        <w:t>rizika</w:t>
      </w:r>
      <w:r w:rsidR="004769B3" w:rsidRPr="00E95BC4">
        <w:rPr>
          <w:lang w:val="sr-Cyrl-CS"/>
        </w:rPr>
        <w:t xml:space="preserve"> </w:t>
      </w:r>
      <w:r>
        <w:rPr>
          <w:lang w:val="sr-Cyrl-CS"/>
        </w:rPr>
        <w:t>od</w:t>
      </w:r>
      <w:r w:rsidR="004769B3" w:rsidRPr="00E95BC4">
        <w:rPr>
          <w:lang w:val="sr-Cyrl-CS"/>
        </w:rPr>
        <w:t xml:space="preserve"> </w:t>
      </w:r>
      <w:r>
        <w:rPr>
          <w:lang w:val="sr-Cyrl-CS"/>
        </w:rPr>
        <w:t>izuzetne</w:t>
      </w:r>
      <w:r w:rsidR="004769B3" w:rsidRPr="00E95BC4">
        <w:rPr>
          <w:lang w:val="sr-Cyrl-CS"/>
        </w:rPr>
        <w:t xml:space="preserve"> </w:t>
      </w:r>
      <w:r>
        <w:rPr>
          <w:lang w:val="sr-Cyrl-CS"/>
        </w:rPr>
        <w:t>važnosti</w:t>
      </w:r>
      <w:r w:rsidR="004769B3" w:rsidRPr="00E95BC4">
        <w:rPr>
          <w:lang w:val="sr-Cyrl-CS"/>
        </w:rPr>
        <w:t>.</w:t>
      </w:r>
    </w:p>
    <w:p w:rsidR="00D1117C" w:rsidRPr="00E95BC4" w:rsidRDefault="005818C0" w:rsidP="00C55991">
      <w:pPr>
        <w:ind w:firstLine="720"/>
        <w:jc w:val="both"/>
        <w:rPr>
          <w:lang w:val="sr-Cyrl-CS"/>
        </w:rPr>
      </w:pPr>
      <w:r>
        <w:rPr>
          <w:lang w:val="sr-Cyrl-CS"/>
        </w:rPr>
        <w:t>Ako</w:t>
      </w:r>
      <w:r w:rsidR="00CC3736" w:rsidRPr="00E95BC4">
        <w:rPr>
          <w:lang w:val="sr-Cyrl-CS"/>
        </w:rPr>
        <w:t xml:space="preserve"> </w:t>
      </w:r>
      <w:r>
        <w:rPr>
          <w:lang w:val="sr-Cyrl-CS"/>
        </w:rPr>
        <w:t>se</w:t>
      </w:r>
      <w:r w:rsidR="00CC3736" w:rsidRPr="00E95BC4">
        <w:rPr>
          <w:b/>
          <w:lang w:val="sr-Cyrl-CS"/>
        </w:rPr>
        <w:t xml:space="preserve"> </w:t>
      </w:r>
      <w:r>
        <w:rPr>
          <w:b/>
          <w:lang w:val="sr-Cyrl-CS"/>
        </w:rPr>
        <w:t>rizici</w:t>
      </w:r>
      <w:r w:rsidR="00CC3736" w:rsidRPr="00E95BC4">
        <w:rPr>
          <w:lang w:val="sr-Cyrl-CS"/>
        </w:rPr>
        <w:t xml:space="preserve"> </w:t>
      </w:r>
      <w:r>
        <w:rPr>
          <w:lang w:val="sr-Cyrl-CS"/>
        </w:rPr>
        <w:t>od</w:t>
      </w:r>
      <w:r w:rsidR="00CC3736" w:rsidRPr="00E95BC4">
        <w:rPr>
          <w:lang w:val="sr-Cyrl-CS"/>
        </w:rPr>
        <w:t xml:space="preserve"> </w:t>
      </w:r>
      <w:r>
        <w:rPr>
          <w:lang w:val="sr-Cyrl-CS"/>
        </w:rPr>
        <w:t>pranja</w:t>
      </w:r>
      <w:r w:rsidR="00CC3736" w:rsidRPr="00E95BC4">
        <w:rPr>
          <w:lang w:val="sr-Cyrl-CS"/>
        </w:rPr>
        <w:t xml:space="preserve"> </w:t>
      </w:r>
      <w:r>
        <w:rPr>
          <w:lang w:val="sr-Cyrl-CS"/>
        </w:rPr>
        <w:t>novca</w:t>
      </w:r>
      <w:r w:rsidR="00CC3736" w:rsidRPr="00E95BC4">
        <w:rPr>
          <w:lang w:val="sr-Cyrl-CS"/>
        </w:rPr>
        <w:t xml:space="preserve"> </w:t>
      </w:r>
      <w:r>
        <w:rPr>
          <w:lang w:val="sr-Cyrl-CS"/>
        </w:rPr>
        <w:t>i</w:t>
      </w:r>
      <w:r w:rsidR="00CC3736" w:rsidRPr="00E95BC4">
        <w:rPr>
          <w:lang w:val="sr-Cyrl-CS"/>
        </w:rPr>
        <w:t xml:space="preserve"> </w:t>
      </w:r>
      <w:r>
        <w:rPr>
          <w:lang w:val="sr-Cyrl-CS"/>
        </w:rPr>
        <w:t>finansiranja</w:t>
      </w:r>
      <w:r w:rsidR="00CC3736" w:rsidRPr="00E95BC4">
        <w:rPr>
          <w:lang w:val="sr-Cyrl-CS"/>
        </w:rPr>
        <w:t xml:space="preserve"> </w:t>
      </w:r>
      <w:r>
        <w:rPr>
          <w:lang w:val="sr-Cyrl-CS"/>
        </w:rPr>
        <w:t>terorizma</w:t>
      </w:r>
      <w:r w:rsidR="00CC3736" w:rsidRPr="00E95BC4">
        <w:rPr>
          <w:lang w:val="sr-Cyrl-CS"/>
        </w:rPr>
        <w:t xml:space="preserve"> </w:t>
      </w:r>
      <w:r>
        <w:rPr>
          <w:lang w:val="sr-Cyrl-CS"/>
        </w:rPr>
        <w:t>ne</w:t>
      </w:r>
      <w:r w:rsidR="00CC3736" w:rsidRPr="00E95BC4">
        <w:rPr>
          <w:lang w:val="sr-Cyrl-CS"/>
        </w:rPr>
        <w:t xml:space="preserve"> </w:t>
      </w:r>
      <w:r>
        <w:rPr>
          <w:lang w:val="sr-Cyrl-CS"/>
        </w:rPr>
        <w:t>uzimaju</w:t>
      </w:r>
      <w:r w:rsidR="00CC3736" w:rsidRPr="00E95BC4">
        <w:rPr>
          <w:lang w:val="sr-Cyrl-CS"/>
        </w:rPr>
        <w:t xml:space="preserve"> </w:t>
      </w:r>
      <w:r>
        <w:rPr>
          <w:lang w:val="sr-Cyrl-CS"/>
        </w:rPr>
        <w:t>u</w:t>
      </w:r>
      <w:r w:rsidR="00CC3736" w:rsidRPr="00E95BC4">
        <w:rPr>
          <w:lang w:val="sr-Cyrl-CS"/>
        </w:rPr>
        <w:t xml:space="preserve"> </w:t>
      </w:r>
      <w:r>
        <w:rPr>
          <w:lang w:val="sr-Cyrl-CS"/>
        </w:rPr>
        <w:t>obzir</w:t>
      </w:r>
      <w:r w:rsidR="008F6CF9" w:rsidRPr="00E95BC4">
        <w:rPr>
          <w:lang w:val="sr-Cyrl-CS"/>
        </w:rPr>
        <w:t xml:space="preserve"> </w:t>
      </w:r>
      <w:r>
        <w:rPr>
          <w:lang w:val="sr-Cyrl-CS"/>
        </w:rPr>
        <w:t>u</w:t>
      </w:r>
      <w:r w:rsidR="008F6CF9" w:rsidRPr="00E95BC4">
        <w:rPr>
          <w:lang w:val="sr-Cyrl-CS"/>
        </w:rPr>
        <w:t xml:space="preserve"> </w:t>
      </w:r>
      <w:r>
        <w:rPr>
          <w:lang w:val="sr-Cyrl-CS"/>
        </w:rPr>
        <w:t>dovoljnoj</w:t>
      </w:r>
      <w:r w:rsidR="008F6CF9" w:rsidRPr="00E95BC4">
        <w:rPr>
          <w:lang w:val="sr-Cyrl-CS"/>
        </w:rPr>
        <w:t xml:space="preserve"> </w:t>
      </w:r>
      <w:r>
        <w:rPr>
          <w:lang w:val="sr-Cyrl-CS"/>
        </w:rPr>
        <w:t>meri</w:t>
      </w:r>
      <w:r w:rsidR="00CC3736" w:rsidRPr="00E95BC4">
        <w:rPr>
          <w:lang w:val="sr-Cyrl-CS"/>
        </w:rPr>
        <w:t xml:space="preserve">, </w:t>
      </w:r>
      <w:r>
        <w:rPr>
          <w:lang w:val="sr-Cyrl-CS"/>
        </w:rPr>
        <w:t>država</w:t>
      </w:r>
      <w:r w:rsidR="008F6CF9" w:rsidRPr="00E95BC4">
        <w:rPr>
          <w:lang w:val="sr-Cyrl-CS"/>
        </w:rPr>
        <w:t xml:space="preserve"> </w:t>
      </w:r>
      <w:r>
        <w:rPr>
          <w:lang w:val="sr-Cyrl-CS"/>
        </w:rPr>
        <w:t>će</w:t>
      </w:r>
      <w:r w:rsidR="008F6CF9" w:rsidRPr="00E95BC4">
        <w:rPr>
          <w:lang w:val="sr-Cyrl-CS"/>
        </w:rPr>
        <w:t xml:space="preserve"> </w:t>
      </w:r>
      <w:r>
        <w:rPr>
          <w:lang w:val="sr-Cyrl-CS"/>
        </w:rPr>
        <w:t>teže</w:t>
      </w:r>
      <w:r w:rsidR="008F6CF9" w:rsidRPr="00E95BC4">
        <w:rPr>
          <w:lang w:val="sr-Cyrl-CS"/>
        </w:rPr>
        <w:t xml:space="preserve"> </w:t>
      </w:r>
      <w:r>
        <w:rPr>
          <w:lang w:val="sr-Cyrl-CS"/>
        </w:rPr>
        <w:t>naći</w:t>
      </w:r>
      <w:r w:rsidR="008F6CF9" w:rsidRPr="00E95BC4">
        <w:rPr>
          <w:lang w:val="sr-Cyrl-CS"/>
        </w:rPr>
        <w:t xml:space="preserve"> </w:t>
      </w:r>
      <w:r>
        <w:rPr>
          <w:lang w:val="sr-Cyrl-CS"/>
        </w:rPr>
        <w:t>odgovor</w:t>
      </w:r>
      <w:r w:rsidR="00F65C28" w:rsidRPr="00E95BC4">
        <w:rPr>
          <w:lang w:val="sr-Cyrl-CS"/>
        </w:rPr>
        <w:t xml:space="preserve"> </w:t>
      </w:r>
      <w:r>
        <w:rPr>
          <w:lang w:val="sr-Cyrl-CS"/>
        </w:rPr>
        <w:t>na</w:t>
      </w:r>
      <w:r w:rsidR="00F65C28" w:rsidRPr="00E95BC4">
        <w:rPr>
          <w:lang w:val="sr-Cyrl-CS"/>
        </w:rPr>
        <w:t xml:space="preserve"> </w:t>
      </w:r>
      <w:r>
        <w:rPr>
          <w:b/>
          <w:lang w:val="sr-Cyrl-CS"/>
        </w:rPr>
        <w:t>pretnje</w:t>
      </w:r>
      <w:r w:rsidR="00F65C28" w:rsidRPr="00E95BC4">
        <w:rPr>
          <w:lang w:val="sr-Cyrl-CS"/>
        </w:rPr>
        <w:t xml:space="preserve"> </w:t>
      </w:r>
      <w:r>
        <w:rPr>
          <w:lang w:val="sr-Cyrl-CS"/>
        </w:rPr>
        <w:t>i</w:t>
      </w:r>
      <w:r w:rsidR="00F65C28" w:rsidRPr="00E95BC4">
        <w:rPr>
          <w:lang w:val="sr-Cyrl-CS"/>
        </w:rPr>
        <w:t xml:space="preserve"> </w:t>
      </w:r>
      <w:r>
        <w:rPr>
          <w:b/>
          <w:lang w:val="sr-Cyrl-CS"/>
        </w:rPr>
        <w:t>ranjivosti</w:t>
      </w:r>
      <w:r w:rsidR="00F65C28" w:rsidRPr="00E95BC4">
        <w:rPr>
          <w:lang w:val="sr-Cyrl-CS"/>
        </w:rPr>
        <w:t xml:space="preserve"> </w:t>
      </w:r>
      <w:r>
        <w:rPr>
          <w:lang w:val="sr-Cyrl-CS"/>
        </w:rPr>
        <w:t>sa</w:t>
      </w:r>
      <w:r w:rsidR="00F65C28" w:rsidRPr="00E95BC4">
        <w:rPr>
          <w:lang w:val="sr-Cyrl-CS"/>
        </w:rPr>
        <w:t xml:space="preserve"> </w:t>
      </w:r>
      <w:r>
        <w:rPr>
          <w:lang w:val="sr-Cyrl-CS"/>
        </w:rPr>
        <w:t>kojima</w:t>
      </w:r>
      <w:r w:rsidR="00F65C28" w:rsidRPr="00E95BC4">
        <w:rPr>
          <w:lang w:val="sr-Cyrl-CS"/>
        </w:rPr>
        <w:t xml:space="preserve"> </w:t>
      </w:r>
      <w:r>
        <w:rPr>
          <w:lang w:val="sr-Cyrl-CS"/>
        </w:rPr>
        <w:t>se</w:t>
      </w:r>
      <w:r w:rsidR="00F65C28" w:rsidRPr="00E95BC4">
        <w:rPr>
          <w:lang w:val="sr-Cyrl-CS"/>
        </w:rPr>
        <w:t xml:space="preserve"> </w:t>
      </w:r>
      <w:r>
        <w:rPr>
          <w:lang w:val="sr-Cyrl-CS"/>
        </w:rPr>
        <w:t>suočava</w:t>
      </w:r>
      <w:r w:rsidR="00F65C28" w:rsidRPr="00E95BC4">
        <w:rPr>
          <w:lang w:val="sr-Cyrl-CS"/>
        </w:rPr>
        <w:t xml:space="preserve">. </w:t>
      </w:r>
      <w:r>
        <w:rPr>
          <w:lang w:val="sr-Cyrl-CS"/>
        </w:rPr>
        <w:t>Ukoliko</w:t>
      </w:r>
      <w:r w:rsidR="00F65C28" w:rsidRPr="00E95BC4">
        <w:rPr>
          <w:lang w:val="sr-Cyrl-CS"/>
        </w:rPr>
        <w:t xml:space="preserve"> </w:t>
      </w:r>
      <w:r>
        <w:rPr>
          <w:lang w:val="sr-Cyrl-CS"/>
        </w:rPr>
        <w:t>se</w:t>
      </w:r>
      <w:r w:rsidR="00F65C28" w:rsidRPr="00E95BC4">
        <w:rPr>
          <w:lang w:val="sr-Cyrl-CS"/>
        </w:rPr>
        <w:t xml:space="preserve"> </w:t>
      </w:r>
      <w:r>
        <w:rPr>
          <w:lang w:val="sr-Cyrl-CS"/>
        </w:rPr>
        <w:t>resursi</w:t>
      </w:r>
      <w:r w:rsidR="00F65C28" w:rsidRPr="00E95BC4">
        <w:rPr>
          <w:lang w:val="sr-Cyrl-CS"/>
        </w:rPr>
        <w:t xml:space="preserve"> </w:t>
      </w:r>
      <w:r>
        <w:rPr>
          <w:lang w:val="sr-Cyrl-CS"/>
        </w:rPr>
        <w:t>i</w:t>
      </w:r>
      <w:r w:rsidR="00F65C28" w:rsidRPr="00E95BC4">
        <w:rPr>
          <w:lang w:val="sr-Cyrl-CS"/>
        </w:rPr>
        <w:t xml:space="preserve"> </w:t>
      </w:r>
      <w:r>
        <w:rPr>
          <w:lang w:val="sr-Cyrl-CS"/>
        </w:rPr>
        <w:t>aktivnosti</w:t>
      </w:r>
      <w:r w:rsidR="00F65C28" w:rsidRPr="00E95BC4">
        <w:rPr>
          <w:lang w:val="sr-Cyrl-CS"/>
        </w:rPr>
        <w:t xml:space="preserve"> </w:t>
      </w:r>
      <w:r>
        <w:rPr>
          <w:lang w:val="sr-Cyrl-CS"/>
        </w:rPr>
        <w:t>nadležnih</w:t>
      </w:r>
      <w:r w:rsidR="00F65C28" w:rsidRPr="00E95BC4">
        <w:rPr>
          <w:lang w:val="sr-Cyrl-CS"/>
        </w:rPr>
        <w:t xml:space="preserve"> </w:t>
      </w:r>
      <w:r>
        <w:rPr>
          <w:lang w:val="sr-Cyrl-CS"/>
        </w:rPr>
        <w:t>državnih</w:t>
      </w:r>
      <w:r w:rsidR="00F65C28" w:rsidRPr="00E95BC4">
        <w:rPr>
          <w:lang w:val="sr-Cyrl-CS"/>
        </w:rPr>
        <w:t xml:space="preserve"> </w:t>
      </w:r>
      <w:r>
        <w:rPr>
          <w:lang w:val="sr-Cyrl-CS"/>
        </w:rPr>
        <w:t>organa</w:t>
      </w:r>
      <w:r w:rsidR="004769B3" w:rsidRPr="00E95BC4">
        <w:rPr>
          <w:lang w:val="sr-Cyrl-CS"/>
        </w:rPr>
        <w:t xml:space="preserve"> </w:t>
      </w:r>
      <w:r>
        <w:rPr>
          <w:lang w:val="sr-Cyrl-CS"/>
        </w:rPr>
        <w:t>i</w:t>
      </w:r>
      <w:r w:rsidR="004769B3" w:rsidRPr="00E95BC4">
        <w:rPr>
          <w:lang w:val="sr-Cyrl-CS"/>
        </w:rPr>
        <w:t xml:space="preserve"> </w:t>
      </w:r>
      <w:r>
        <w:rPr>
          <w:lang w:val="sr-Cyrl-CS"/>
        </w:rPr>
        <w:t>drugih</w:t>
      </w:r>
      <w:r w:rsidR="004769B3" w:rsidRPr="00E95BC4">
        <w:rPr>
          <w:lang w:val="sr-Cyrl-CS"/>
        </w:rPr>
        <w:t xml:space="preserve"> </w:t>
      </w:r>
      <w:r>
        <w:rPr>
          <w:lang w:val="sr-Cyrl-CS"/>
        </w:rPr>
        <w:t>učesnika</w:t>
      </w:r>
      <w:r w:rsidR="004769B3" w:rsidRPr="00E95BC4">
        <w:rPr>
          <w:lang w:val="sr-Cyrl-CS"/>
        </w:rPr>
        <w:t xml:space="preserve"> </w:t>
      </w:r>
      <w:r>
        <w:rPr>
          <w:lang w:val="sr-Cyrl-CS"/>
        </w:rPr>
        <w:t>u</w:t>
      </w:r>
      <w:r w:rsidR="004769B3" w:rsidRPr="00E95BC4">
        <w:rPr>
          <w:lang w:val="sr-Cyrl-CS"/>
        </w:rPr>
        <w:t xml:space="preserve"> </w:t>
      </w:r>
      <w:r>
        <w:rPr>
          <w:lang w:val="sr-Cyrl-CS"/>
        </w:rPr>
        <w:t>sistemu</w:t>
      </w:r>
      <w:r w:rsidR="00F65C28" w:rsidRPr="00E95BC4">
        <w:rPr>
          <w:lang w:val="sr-Cyrl-CS"/>
        </w:rPr>
        <w:t xml:space="preserve"> </w:t>
      </w:r>
      <w:r>
        <w:rPr>
          <w:lang w:val="sr-Cyrl-CS"/>
        </w:rPr>
        <w:t>ne</w:t>
      </w:r>
      <w:r w:rsidR="00F65C28" w:rsidRPr="00E95BC4">
        <w:rPr>
          <w:lang w:val="sr-Cyrl-CS"/>
        </w:rPr>
        <w:t xml:space="preserve"> </w:t>
      </w:r>
      <w:r>
        <w:rPr>
          <w:lang w:val="sr-Cyrl-CS"/>
        </w:rPr>
        <w:t>preraspodeljuju</w:t>
      </w:r>
      <w:r w:rsidR="00F65C28" w:rsidRPr="00E95BC4">
        <w:rPr>
          <w:lang w:val="sr-Cyrl-CS"/>
        </w:rPr>
        <w:t xml:space="preserve"> </w:t>
      </w:r>
      <w:r>
        <w:rPr>
          <w:lang w:val="sr-Cyrl-CS"/>
        </w:rPr>
        <w:t>u</w:t>
      </w:r>
      <w:r w:rsidR="00F65C28" w:rsidRPr="00E95BC4">
        <w:rPr>
          <w:lang w:val="sr-Cyrl-CS"/>
        </w:rPr>
        <w:t xml:space="preserve"> </w:t>
      </w:r>
      <w:r>
        <w:rPr>
          <w:lang w:val="sr-Cyrl-CS"/>
        </w:rPr>
        <w:t>skladu</w:t>
      </w:r>
      <w:r w:rsidR="00F65C28" w:rsidRPr="00E95BC4">
        <w:rPr>
          <w:lang w:val="sr-Cyrl-CS"/>
        </w:rPr>
        <w:t xml:space="preserve"> </w:t>
      </w:r>
      <w:r>
        <w:rPr>
          <w:lang w:val="sr-Cyrl-CS"/>
        </w:rPr>
        <w:t>sa</w:t>
      </w:r>
      <w:r w:rsidR="00F65C28" w:rsidRPr="00E95BC4">
        <w:rPr>
          <w:lang w:val="sr-Cyrl-CS"/>
        </w:rPr>
        <w:t xml:space="preserve"> </w:t>
      </w:r>
      <w:r>
        <w:rPr>
          <w:lang w:val="sr-Cyrl-CS"/>
        </w:rPr>
        <w:t>uočenim</w:t>
      </w:r>
      <w:r w:rsidR="00F65C28" w:rsidRPr="00E95BC4">
        <w:rPr>
          <w:lang w:val="sr-Cyrl-CS"/>
        </w:rPr>
        <w:t xml:space="preserve"> </w:t>
      </w:r>
      <w:r>
        <w:rPr>
          <w:lang w:val="sr-Cyrl-CS"/>
        </w:rPr>
        <w:t>rizicima</w:t>
      </w:r>
      <w:r w:rsidR="00F65C28" w:rsidRPr="00E95BC4">
        <w:rPr>
          <w:lang w:val="sr-Cyrl-CS"/>
        </w:rPr>
        <w:t xml:space="preserve">, </w:t>
      </w:r>
      <w:r>
        <w:rPr>
          <w:lang w:val="sr-Cyrl-CS"/>
        </w:rPr>
        <w:t>efekti</w:t>
      </w:r>
      <w:r w:rsidR="00F65C28" w:rsidRPr="00E95BC4">
        <w:rPr>
          <w:lang w:val="sr-Cyrl-CS"/>
        </w:rPr>
        <w:t xml:space="preserve"> </w:t>
      </w:r>
      <w:r>
        <w:rPr>
          <w:lang w:val="sr-Cyrl-CS"/>
        </w:rPr>
        <w:t>rada</w:t>
      </w:r>
      <w:r w:rsidR="00F65C28" w:rsidRPr="00E95BC4">
        <w:rPr>
          <w:lang w:val="sr-Cyrl-CS"/>
        </w:rPr>
        <w:t xml:space="preserve"> </w:t>
      </w:r>
      <w:r>
        <w:rPr>
          <w:lang w:val="sr-Cyrl-CS"/>
        </w:rPr>
        <w:t>tih</w:t>
      </w:r>
      <w:r w:rsidR="004769B3" w:rsidRPr="00E95BC4">
        <w:rPr>
          <w:lang w:val="sr-Cyrl-CS"/>
        </w:rPr>
        <w:t xml:space="preserve"> </w:t>
      </w:r>
      <w:r>
        <w:rPr>
          <w:lang w:val="sr-Cyrl-CS"/>
        </w:rPr>
        <w:t>različitih</w:t>
      </w:r>
      <w:r w:rsidR="004769B3" w:rsidRPr="00E95BC4">
        <w:rPr>
          <w:lang w:val="sr-Cyrl-CS"/>
        </w:rPr>
        <w:t xml:space="preserve"> </w:t>
      </w:r>
      <w:r>
        <w:rPr>
          <w:lang w:val="sr-Cyrl-CS"/>
        </w:rPr>
        <w:t>delova</w:t>
      </w:r>
      <w:r w:rsidR="004769B3" w:rsidRPr="00E95BC4">
        <w:rPr>
          <w:lang w:val="sr-Cyrl-CS"/>
        </w:rPr>
        <w:t xml:space="preserve"> </w:t>
      </w:r>
      <w:r>
        <w:rPr>
          <w:lang w:val="sr-Cyrl-CS"/>
        </w:rPr>
        <w:t>sistema</w:t>
      </w:r>
      <w:r w:rsidR="004769B3" w:rsidRPr="00E95BC4">
        <w:rPr>
          <w:lang w:val="sr-Cyrl-CS"/>
        </w:rPr>
        <w:t xml:space="preserve"> </w:t>
      </w:r>
      <w:r>
        <w:rPr>
          <w:lang w:val="sr-Cyrl-CS"/>
        </w:rPr>
        <w:t>biće</w:t>
      </w:r>
      <w:r w:rsidR="00F65C28" w:rsidRPr="00E95BC4">
        <w:rPr>
          <w:lang w:val="sr-Cyrl-CS"/>
        </w:rPr>
        <w:t xml:space="preserve"> </w:t>
      </w:r>
      <w:r>
        <w:rPr>
          <w:lang w:val="sr-Cyrl-CS"/>
        </w:rPr>
        <w:t>bitno</w:t>
      </w:r>
      <w:r w:rsidR="00F65C28" w:rsidRPr="00E95BC4">
        <w:rPr>
          <w:lang w:val="sr-Cyrl-CS"/>
        </w:rPr>
        <w:t xml:space="preserve"> </w:t>
      </w:r>
      <w:r>
        <w:rPr>
          <w:lang w:val="sr-Cyrl-CS"/>
        </w:rPr>
        <w:t>manji</w:t>
      </w:r>
      <w:r w:rsidR="00F65C28" w:rsidRPr="00E95BC4">
        <w:rPr>
          <w:lang w:val="sr-Cyrl-CS"/>
        </w:rPr>
        <w:t xml:space="preserve"> </w:t>
      </w:r>
      <w:r>
        <w:rPr>
          <w:lang w:val="sr-Cyrl-CS"/>
        </w:rPr>
        <w:t>uz</w:t>
      </w:r>
      <w:r w:rsidR="00F65C28" w:rsidRPr="00E95BC4">
        <w:rPr>
          <w:lang w:val="sr-Cyrl-CS"/>
        </w:rPr>
        <w:t xml:space="preserve"> </w:t>
      </w:r>
      <w:r>
        <w:rPr>
          <w:lang w:val="sr-Cyrl-CS"/>
        </w:rPr>
        <w:t>isti</w:t>
      </w:r>
      <w:r w:rsidR="00F65C28" w:rsidRPr="00E95BC4">
        <w:rPr>
          <w:lang w:val="sr-Cyrl-CS"/>
        </w:rPr>
        <w:t xml:space="preserve"> </w:t>
      </w:r>
      <w:r>
        <w:rPr>
          <w:lang w:val="sr-Cyrl-CS"/>
        </w:rPr>
        <w:t>trošak</w:t>
      </w:r>
      <w:r w:rsidR="00F65C28" w:rsidRPr="00E95BC4">
        <w:rPr>
          <w:lang w:val="sr-Cyrl-CS"/>
        </w:rPr>
        <w:t xml:space="preserve">, </w:t>
      </w:r>
      <w:r>
        <w:rPr>
          <w:lang w:val="sr-Cyrl-CS"/>
        </w:rPr>
        <w:t>pri</w:t>
      </w:r>
      <w:r w:rsidR="004769B3" w:rsidRPr="00E95BC4">
        <w:rPr>
          <w:lang w:val="sr-Cyrl-CS"/>
        </w:rPr>
        <w:t xml:space="preserve"> </w:t>
      </w:r>
      <w:r>
        <w:rPr>
          <w:lang w:val="sr-Cyrl-CS"/>
        </w:rPr>
        <w:t>čemu</w:t>
      </w:r>
      <w:r w:rsidR="004769B3" w:rsidRPr="00E95BC4">
        <w:rPr>
          <w:lang w:val="sr-Cyrl-CS"/>
        </w:rPr>
        <w:t xml:space="preserve"> </w:t>
      </w:r>
      <w:r>
        <w:rPr>
          <w:lang w:val="sr-Cyrl-CS"/>
        </w:rPr>
        <w:t>je</w:t>
      </w:r>
      <w:r w:rsidR="004769B3" w:rsidRPr="00E95BC4">
        <w:rPr>
          <w:lang w:val="sr-Cyrl-CS"/>
        </w:rPr>
        <w:t xml:space="preserve"> </w:t>
      </w:r>
      <w:r>
        <w:rPr>
          <w:lang w:val="sr-Cyrl-CS"/>
        </w:rPr>
        <w:t>moguće</w:t>
      </w:r>
      <w:r w:rsidR="004769B3" w:rsidRPr="00E95BC4">
        <w:rPr>
          <w:lang w:val="sr-Cyrl-CS"/>
        </w:rPr>
        <w:t xml:space="preserve"> </w:t>
      </w:r>
      <w:r>
        <w:rPr>
          <w:lang w:val="sr-Cyrl-CS"/>
        </w:rPr>
        <w:t>da</w:t>
      </w:r>
      <w:r w:rsidR="004769B3" w:rsidRPr="00E95BC4">
        <w:rPr>
          <w:lang w:val="sr-Cyrl-CS"/>
        </w:rPr>
        <w:t xml:space="preserve"> </w:t>
      </w:r>
      <w:r>
        <w:rPr>
          <w:lang w:val="sr-Cyrl-CS"/>
        </w:rPr>
        <w:t>troškovi</w:t>
      </w:r>
      <w:r w:rsidR="004769B3" w:rsidRPr="00E95BC4">
        <w:rPr>
          <w:lang w:val="sr-Cyrl-CS"/>
        </w:rPr>
        <w:t xml:space="preserve"> </w:t>
      </w:r>
      <w:r>
        <w:rPr>
          <w:lang w:val="sr-Cyrl-CS"/>
        </w:rPr>
        <w:t>po</w:t>
      </w:r>
      <w:r w:rsidR="004769B3" w:rsidRPr="00E95BC4">
        <w:rPr>
          <w:lang w:val="sr-Cyrl-CS"/>
        </w:rPr>
        <w:t xml:space="preserve"> </w:t>
      </w:r>
      <w:r>
        <w:rPr>
          <w:lang w:val="sr-Cyrl-CS"/>
        </w:rPr>
        <w:t>građane</w:t>
      </w:r>
      <w:r w:rsidR="004769B3" w:rsidRPr="00E95BC4">
        <w:rPr>
          <w:lang w:val="sr-Cyrl-CS"/>
        </w:rPr>
        <w:t xml:space="preserve"> </w:t>
      </w:r>
      <w:r>
        <w:rPr>
          <w:lang w:val="sr-Cyrl-CS"/>
        </w:rPr>
        <w:t>budu</w:t>
      </w:r>
      <w:r w:rsidR="004769B3" w:rsidRPr="00E95BC4">
        <w:rPr>
          <w:lang w:val="sr-Cyrl-CS"/>
        </w:rPr>
        <w:t xml:space="preserve"> </w:t>
      </w:r>
      <w:r>
        <w:rPr>
          <w:lang w:val="sr-Cyrl-CS"/>
        </w:rPr>
        <w:t>još</w:t>
      </w:r>
      <w:r w:rsidR="004769B3" w:rsidRPr="00E95BC4">
        <w:rPr>
          <w:lang w:val="sr-Cyrl-CS"/>
        </w:rPr>
        <w:t xml:space="preserve"> </w:t>
      </w:r>
      <w:r>
        <w:rPr>
          <w:lang w:val="sr-Cyrl-CS"/>
        </w:rPr>
        <w:t>viši</w:t>
      </w:r>
      <w:r w:rsidR="00F65C28" w:rsidRPr="00E95BC4">
        <w:rPr>
          <w:lang w:val="sr-Cyrl-CS"/>
        </w:rPr>
        <w:t xml:space="preserve">. </w:t>
      </w:r>
      <w:r>
        <w:rPr>
          <w:lang w:val="sr-Cyrl-CS"/>
        </w:rPr>
        <w:t>Ukoliko</w:t>
      </w:r>
      <w:r w:rsidR="00F65C28" w:rsidRPr="00E95BC4">
        <w:rPr>
          <w:lang w:val="sr-Cyrl-CS"/>
        </w:rPr>
        <w:t xml:space="preserve"> </w:t>
      </w:r>
      <w:r>
        <w:rPr>
          <w:lang w:val="sr-Cyrl-CS"/>
        </w:rPr>
        <w:t>se</w:t>
      </w:r>
      <w:r w:rsidR="00F65C28" w:rsidRPr="00E95BC4">
        <w:rPr>
          <w:lang w:val="sr-Cyrl-CS"/>
        </w:rPr>
        <w:t xml:space="preserve"> </w:t>
      </w:r>
      <w:r>
        <w:rPr>
          <w:lang w:val="sr-Cyrl-CS"/>
        </w:rPr>
        <w:t>ranjivosti</w:t>
      </w:r>
      <w:r w:rsidR="00F65C28" w:rsidRPr="00E95BC4">
        <w:rPr>
          <w:lang w:val="sr-Cyrl-CS"/>
        </w:rPr>
        <w:t xml:space="preserve"> (</w:t>
      </w:r>
      <w:r>
        <w:rPr>
          <w:lang w:val="sr-Cyrl-CS"/>
        </w:rPr>
        <w:t>slabosti</w:t>
      </w:r>
      <w:r w:rsidR="00F65C28" w:rsidRPr="00E95BC4">
        <w:rPr>
          <w:lang w:val="sr-Cyrl-CS"/>
        </w:rPr>
        <w:t xml:space="preserve">) </w:t>
      </w:r>
      <w:r>
        <w:rPr>
          <w:lang w:val="sr-Cyrl-CS"/>
        </w:rPr>
        <w:t>ne</w:t>
      </w:r>
      <w:r w:rsidR="00F65C28" w:rsidRPr="00E95BC4">
        <w:rPr>
          <w:lang w:val="sr-Cyrl-CS"/>
        </w:rPr>
        <w:t xml:space="preserve"> </w:t>
      </w:r>
      <w:r>
        <w:rPr>
          <w:lang w:val="sr-Cyrl-CS"/>
        </w:rPr>
        <w:t>identifikuju</w:t>
      </w:r>
      <w:r w:rsidR="00F65C28" w:rsidRPr="00E95BC4">
        <w:rPr>
          <w:lang w:val="sr-Cyrl-CS"/>
        </w:rPr>
        <w:t xml:space="preserve"> </w:t>
      </w:r>
      <w:r>
        <w:rPr>
          <w:lang w:val="sr-Cyrl-CS"/>
        </w:rPr>
        <w:t>na</w:t>
      </w:r>
      <w:r w:rsidR="00F65C28" w:rsidRPr="00E95BC4">
        <w:rPr>
          <w:lang w:val="sr-Cyrl-CS"/>
        </w:rPr>
        <w:t xml:space="preserve"> </w:t>
      </w:r>
      <w:r>
        <w:rPr>
          <w:lang w:val="sr-Cyrl-CS"/>
        </w:rPr>
        <w:t>vreme</w:t>
      </w:r>
      <w:r w:rsidR="00F65C28" w:rsidRPr="00E95BC4">
        <w:rPr>
          <w:lang w:val="sr-Cyrl-CS"/>
        </w:rPr>
        <w:t xml:space="preserve"> </w:t>
      </w:r>
      <w:r>
        <w:rPr>
          <w:lang w:val="sr-Cyrl-CS"/>
        </w:rPr>
        <w:t>i</w:t>
      </w:r>
      <w:r w:rsidR="00F65C28" w:rsidRPr="00E95BC4">
        <w:rPr>
          <w:lang w:val="sr-Cyrl-CS"/>
        </w:rPr>
        <w:t xml:space="preserve"> </w:t>
      </w:r>
      <w:r>
        <w:rPr>
          <w:lang w:val="sr-Cyrl-CS"/>
        </w:rPr>
        <w:t>na</w:t>
      </w:r>
      <w:r w:rsidR="00F65C28" w:rsidRPr="00E95BC4">
        <w:rPr>
          <w:lang w:val="sr-Cyrl-CS"/>
        </w:rPr>
        <w:t xml:space="preserve"> </w:t>
      </w:r>
      <w:r>
        <w:rPr>
          <w:lang w:val="sr-Cyrl-CS"/>
        </w:rPr>
        <w:t>vreme</w:t>
      </w:r>
      <w:r w:rsidR="00F65C28" w:rsidRPr="00E95BC4">
        <w:rPr>
          <w:lang w:val="sr-Cyrl-CS"/>
        </w:rPr>
        <w:t xml:space="preserve"> </w:t>
      </w:r>
      <w:r>
        <w:rPr>
          <w:lang w:val="sr-Cyrl-CS"/>
        </w:rPr>
        <w:t>ne</w:t>
      </w:r>
      <w:r w:rsidR="00F65C28" w:rsidRPr="00E95BC4">
        <w:rPr>
          <w:lang w:val="sr-Cyrl-CS"/>
        </w:rPr>
        <w:t xml:space="preserve"> </w:t>
      </w:r>
      <w:r>
        <w:rPr>
          <w:lang w:val="sr-Cyrl-CS"/>
        </w:rPr>
        <w:t>otklone</w:t>
      </w:r>
      <w:r w:rsidR="00F65C28" w:rsidRPr="00E95BC4">
        <w:rPr>
          <w:lang w:val="sr-Cyrl-CS"/>
        </w:rPr>
        <w:t xml:space="preserve">, </w:t>
      </w:r>
      <w:r>
        <w:rPr>
          <w:lang w:val="sr-Cyrl-CS"/>
        </w:rPr>
        <w:t>opasnost</w:t>
      </w:r>
      <w:r w:rsidR="00F65C28" w:rsidRPr="00E95BC4">
        <w:rPr>
          <w:lang w:val="sr-Cyrl-CS"/>
        </w:rPr>
        <w:t xml:space="preserve"> </w:t>
      </w:r>
      <w:r>
        <w:rPr>
          <w:lang w:val="sr-Cyrl-CS"/>
        </w:rPr>
        <w:t>od</w:t>
      </w:r>
      <w:r w:rsidR="00F65C28" w:rsidRPr="00E95BC4">
        <w:rPr>
          <w:lang w:val="sr-Cyrl-CS"/>
        </w:rPr>
        <w:t xml:space="preserve"> </w:t>
      </w:r>
      <w:r>
        <w:rPr>
          <w:lang w:val="sr-Cyrl-CS"/>
        </w:rPr>
        <w:t>realizacije</w:t>
      </w:r>
      <w:r w:rsidR="00F65C28" w:rsidRPr="00E95BC4">
        <w:rPr>
          <w:lang w:val="sr-Cyrl-CS"/>
        </w:rPr>
        <w:t xml:space="preserve"> </w:t>
      </w:r>
      <w:r>
        <w:rPr>
          <w:lang w:val="sr-Cyrl-CS"/>
        </w:rPr>
        <w:t>pretnje</w:t>
      </w:r>
      <w:r w:rsidR="00F65C28" w:rsidRPr="00E95BC4">
        <w:rPr>
          <w:lang w:val="sr-Cyrl-CS"/>
        </w:rPr>
        <w:t xml:space="preserve"> </w:t>
      </w:r>
      <w:r>
        <w:rPr>
          <w:lang w:val="sr-Cyrl-CS"/>
        </w:rPr>
        <w:t>postaje</w:t>
      </w:r>
      <w:r w:rsidR="00F65C28" w:rsidRPr="00E95BC4">
        <w:rPr>
          <w:lang w:val="sr-Cyrl-CS"/>
        </w:rPr>
        <w:t xml:space="preserve"> </w:t>
      </w:r>
      <w:r>
        <w:rPr>
          <w:lang w:val="sr-Cyrl-CS"/>
        </w:rPr>
        <w:t>viša</w:t>
      </w:r>
      <w:r w:rsidR="00F65C28" w:rsidRPr="00E95BC4">
        <w:rPr>
          <w:lang w:val="sr-Cyrl-CS"/>
        </w:rPr>
        <w:t xml:space="preserve"> </w:t>
      </w:r>
      <w:r>
        <w:rPr>
          <w:lang w:val="sr-Cyrl-CS"/>
        </w:rPr>
        <w:t>i</w:t>
      </w:r>
      <w:r w:rsidR="00F65C28" w:rsidRPr="00E95BC4">
        <w:rPr>
          <w:lang w:val="sr-Cyrl-CS"/>
        </w:rPr>
        <w:t xml:space="preserve"> </w:t>
      </w:r>
      <w:r>
        <w:rPr>
          <w:lang w:val="sr-Cyrl-CS"/>
        </w:rPr>
        <w:t>država</w:t>
      </w:r>
      <w:r w:rsidR="00E338C9">
        <w:rPr>
          <w:lang w:val="sr-Cyrl-CS"/>
        </w:rPr>
        <w:t>,</w:t>
      </w:r>
      <w:r w:rsidR="00F65C28" w:rsidRPr="00E95BC4">
        <w:rPr>
          <w:lang w:val="sr-Cyrl-CS"/>
        </w:rPr>
        <w:t xml:space="preserve"> </w:t>
      </w:r>
      <w:r>
        <w:rPr>
          <w:lang w:val="sr-Cyrl-CS"/>
        </w:rPr>
        <w:t>kao</w:t>
      </w:r>
      <w:r w:rsidR="00F65C28" w:rsidRPr="00E95BC4">
        <w:rPr>
          <w:lang w:val="sr-Cyrl-CS"/>
        </w:rPr>
        <w:t xml:space="preserve"> </w:t>
      </w:r>
      <w:r>
        <w:rPr>
          <w:lang w:val="sr-Cyrl-CS"/>
        </w:rPr>
        <w:t>i</w:t>
      </w:r>
      <w:r w:rsidR="00F65C28" w:rsidRPr="00E95BC4">
        <w:rPr>
          <w:lang w:val="sr-Cyrl-CS"/>
        </w:rPr>
        <w:t xml:space="preserve"> </w:t>
      </w:r>
      <w:r>
        <w:rPr>
          <w:lang w:val="sr-Cyrl-CS"/>
        </w:rPr>
        <w:t>pojedini</w:t>
      </w:r>
      <w:r w:rsidR="00F65C28" w:rsidRPr="00E95BC4">
        <w:rPr>
          <w:lang w:val="sr-Cyrl-CS"/>
        </w:rPr>
        <w:t xml:space="preserve"> </w:t>
      </w:r>
      <w:r>
        <w:rPr>
          <w:lang w:val="sr-Cyrl-CS"/>
        </w:rPr>
        <w:t>sektori</w:t>
      </w:r>
      <w:r w:rsidR="00F65C28" w:rsidRPr="00E95BC4">
        <w:rPr>
          <w:lang w:val="sr-Cyrl-CS"/>
        </w:rPr>
        <w:t xml:space="preserve"> </w:t>
      </w:r>
      <w:r>
        <w:rPr>
          <w:lang w:val="sr-Cyrl-CS"/>
        </w:rPr>
        <w:t>izlažu</w:t>
      </w:r>
      <w:r w:rsidR="00F65C28" w:rsidRPr="00E95BC4">
        <w:rPr>
          <w:lang w:val="sr-Cyrl-CS"/>
        </w:rPr>
        <w:t xml:space="preserve"> </w:t>
      </w:r>
      <w:r>
        <w:rPr>
          <w:lang w:val="sr-Cyrl-CS"/>
        </w:rPr>
        <w:t>se</w:t>
      </w:r>
      <w:r w:rsidR="00F65C28" w:rsidRPr="00E95BC4">
        <w:rPr>
          <w:lang w:val="sr-Cyrl-CS"/>
        </w:rPr>
        <w:t xml:space="preserve"> </w:t>
      </w:r>
      <w:r>
        <w:rPr>
          <w:lang w:val="sr-Cyrl-CS"/>
        </w:rPr>
        <w:t>većem</w:t>
      </w:r>
      <w:r w:rsidR="00F65C28" w:rsidRPr="00E95BC4">
        <w:rPr>
          <w:lang w:val="sr-Cyrl-CS"/>
        </w:rPr>
        <w:t xml:space="preserve"> </w:t>
      </w:r>
      <w:r>
        <w:rPr>
          <w:lang w:val="sr-Cyrl-CS"/>
        </w:rPr>
        <w:t>riziku</w:t>
      </w:r>
      <w:r w:rsidR="00F65C28" w:rsidRPr="00E95BC4">
        <w:rPr>
          <w:lang w:val="sr-Cyrl-CS"/>
        </w:rPr>
        <w:t xml:space="preserve"> </w:t>
      </w:r>
      <w:r>
        <w:rPr>
          <w:lang w:val="sr-Cyrl-CS"/>
        </w:rPr>
        <w:t>da</w:t>
      </w:r>
      <w:r w:rsidR="00F65C28" w:rsidRPr="00E95BC4">
        <w:rPr>
          <w:lang w:val="sr-Cyrl-CS"/>
        </w:rPr>
        <w:t xml:space="preserve"> </w:t>
      </w:r>
      <w:r>
        <w:rPr>
          <w:lang w:val="sr-Cyrl-CS"/>
        </w:rPr>
        <w:t>budu</w:t>
      </w:r>
      <w:r w:rsidR="00F65C28" w:rsidRPr="00E95BC4">
        <w:rPr>
          <w:lang w:val="sr-Cyrl-CS"/>
        </w:rPr>
        <w:t xml:space="preserve"> </w:t>
      </w:r>
      <w:r>
        <w:rPr>
          <w:lang w:val="sr-Cyrl-CS"/>
        </w:rPr>
        <w:t>zloupotrebljeni</w:t>
      </w:r>
      <w:r w:rsidR="00F65C28" w:rsidRPr="00E95BC4">
        <w:rPr>
          <w:lang w:val="sr-Cyrl-CS"/>
        </w:rPr>
        <w:t xml:space="preserve"> </w:t>
      </w:r>
      <w:r>
        <w:rPr>
          <w:lang w:val="sr-Cyrl-CS"/>
        </w:rPr>
        <w:t>za</w:t>
      </w:r>
      <w:r w:rsidR="00F65C28" w:rsidRPr="00E95BC4">
        <w:rPr>
          <w:lang w:val="sr-Cyrl-CS"/>
        </w:rPr>
        <w:t xml:space="preserve"> </w:t>
      </w:r>
      <w:r>
        <w:rPr>
          <w:lang w:val="sr-Cyrl-CS"/>
        </w:rPr>
        <w:t>pranje</w:t>
      </w:r>
      <w:r w:rsidR="00F65C28" w:rsidRPr="00E95BC4">
        <w:rPr>
          <w:lang w:val="sr-Cyrl-CS"/>
        </w:rPr>
        <w:t xml:space="preserve"> </w:t>
      </w:r>
      <w:r>
        <w:rPr>
          <w:lang w:val="sr-Cyrl-CS"/>
        </w:rPr>
        <w:t>novca</w:t>
      </w:r>
      <w:r w:rsidR="00F65C28" w:rsidRPr="00E95BC4">
        <w:rPr>
          <w:lang w:val="sr-Cyrl-CS"/>
        </w:rPr>
        <w:t xml:space="preserve"> </w:t>
      </w:r>
      <w:r>
        <w:rPr>
          <w:lang w:val="sr-Cyrl-CS"/>
        </w:rPr>
        <w:t>ili</w:t>
      </w:r>
      <w:r w:rsidR="00F65C28" w:rsidRPr="00E95BC4">
        <w:rPr>
          <w:lang w:val="sr-Cyrl-CS"/>
        </w:rPr>
        <w:t xml:space="preserve"> </w:t>
      </w:r>
      <w:r>
        <w:rPr>
          <w:lang w:val="sr-Cyrl-CS"/>
        </w:rPr>
        <w:t>finansiranje</w:t>
      </w:r>
      <w:r w:rsidR="00F65C28" w:rsidRPr="00E95BC4">
        <w:rPr>
          <w:lang w:val="sr-Cyrl-CS"/>
        </w:rPr>
        <w:t xml:space="preserve"> </w:t>
      </w:r>
      <w:r>
        <w:rPr>
          <w:lang w:val="sr-Cyrl-CS"/>
        </w:rPr>
        <w:t>terorizma</w:t>
      </w:r>
      <w:r w:rsidR="00F65C28" w:rsidRPr="00E95BC4">
        <w:rPr>
          <w:lang w:val="sr-Cyrl-CS"/>
        </w:rPr>
        <w:t>.</w:t>
      </w:r>
      <w:r w:rsidR="00D1117C" w:rsidRPr="00E95BC4">
        <w:rPr>
          <w:lang w:val="sr-Cyrl-CS"/>
        </w:rPr>
        <w:t xml:space="preserve"> </w:t>
      </w:r>
      <w:r>
        <w:rPr>
          <w:lang w:val="sr-Cyrl-CS"/>
        </w:rPr>
        <w:t>Time</w:t>
      </w:r>
      <w:r w:rsidR="00D1117C" w:rsidRPr="00E95BC4">
        <w:rPr>
          <w:lang w:val="sr-Cyrl-CS"/>
        </w:rPr>
        <w:t xml:space="preserve"> </w:t>
      </w:r>
      <w:r>
        <w:rPr>
          <w:lang w:val="sr-Cyrl-CS"/>
        </w:rPr>
        <w:t>se</w:t>
      </w:r>
      <w:r w:rsidR="00D1117C" w:rsidRPr="00E95BC4">
        <w:rPr>
          <w:lang w:val="sr-Cyrl-CS"/>
        </w:rPr>
        <w:t xml:space="preserve"> </w:t>
      </w:r>
      <w:r>
        <w:rPr>
          <w:lang w:val="sr-Cyrl-CS"/>
        </w:rPr>
        <w:t>ugrožava</w:t>
      </w:r>
      <w:r w:rsidR="00D1117C" w:rsidRPr="00E95BC4">
        <w:rPr>
          <w:lang w:val="sr-Cyrl-CS"/>
        </w:rPr>
        <w:t xml:space="preserve"> </w:t>
      </w:r>
      <w:r>
        <w:rPr>
          <w:lang w:val="sr-Cyrl-CS"/>
        </w:rPr>
        <w:t>i</w:t>
      </w:r>
      <w:r w:rsidR="00D1117C" w:rsidRPr="00E95BC4">
        <w:rPr>
          <w:lang w:val="sr-Cyrl-CS"/>
        </w:rPr>
        <w:t xml:space="preserve"> </w:t>
      </w:r>
      <w:r>
        <w:rPr>
          <w:lang w:val="sr-Cyrl-CS"/>
        </w:rPr>
        <w:t>status</w:t>
      </w:r>
      <w:r w:rsidR="00D1117C" w:rsidRPr="00E95BC4">
        <w:rPr>
          <w:lang w:val="sr-Cyrl-CS"/>
        </w:rPr>
        <w:t xml:space="preserve"> </w:t>
      </w:r>
      <w:r>
        <w:rPr>
          <w:lang w:val="sr-Cyrl-CS"/>
        </w:rPr>
        <w:t>države</w:t>
      </w:r>
      <w:r w:rsidR="00D1117C" w:rsidRPr="00E95BC4">
        <w:rPr>
          <w:lang w:val="sr-Cyrl-CS"/>
        </w:rPr>
        <w:t xml:space="preserve"> </w:t>
      </w:r>
      <w:r>
        <w:rPr>
          <w:lang w:val="sr-Cyrl-CS"/>
        </w:rPr>
        <w:t>u</w:t>
      </w:r>
      <w:r w:rsidR="00D1117C" w:rsidRPr="00E95BC4">
        <w:rPr>
          <w:lang w:val="sr-Cyrl-CS"/>
        </w:rPr>
        <w:t xml:space="preserve"> </w:t>
      </w:r>
      <w:r>
        <w:rPr>
          <w:lang w:val="sr-Cyrl-CS"/>
        </w:rPr>
        <w:t>međunarodnim</w:t>
      </w:r>
      <w:r w:rsidR="00D1117C" w:rsidRPr="00E95BC4">
        <w:rPr>
          <w:lang w:val="sr-Cyrl-CS"/>
        </w:rPr>
        <w:t xml:space="preserve"> </w:t>
      </w:r>
      <w:r>
        <w:rPr>
          <w:lang w:val="sr-Cyrl-CS"/>
        </w:rPr>
        <w:t>organizacijama</w:t>
      </w:r>
      <w:r w:rsidR="00D1117C" w:rsidRPr="00E95BC4">
        <w:rPr>
          <w:lang w:val="sr-Cyrl-CS"/>
        </w:rPr>
        <w:t xml:space="preserve"> </w:t>
      </w:r>
      <w:r>
        <w:rPr>
          <w:lang w:val="sr-Cyrl-CS"/>
        </w:rPr>
        <w:t>koje</w:t>
      </w:r>
      <w:r w:rsidR="00D1117C" w:rsidRPr="00E95BC4">
        <w:rPr>
          <w:lang w:val="sr-Cyrl-CS"/>
        </w:rPr>
        <w:t xml:space="preserve"> </w:t>
      </w:r>
      <w:r>
        <w:rPr>
          <w:lang w:val="sr-Cyrl-CS"/>
        </w:rPr>
        <w:t>vrše</w:t>
      </w:r>
      <w:r w:rsidR="00D1117C" w:rsidRPr="00E95BC4">
        <w:rPr>
          <w:lang w:val="sr-Cyrl-CS"/>
        </w:rPr>
        <w:t xml:space="preserve"> </w:t>
      </w:r>
      <w:r>
        <w:rPr>
          <w:lang w:val="sr-Cyrl-CS"/>
        </w:rPr>
        <w:t>evaluaciju</w:t>
      </w:r>
      <w:r w:rsidR="00D1117C" w:rsidRPr="00E95BC4">
        <w:rPr>
          <w:lang w:val="sr-Cyrl-CS"/>
        </w:rPr>
        <w:t xml:space="preserve"> </w:t>
      </w:r>
      <w:r>
        <w:rPr>
          <w:lang w:val="sr-Cyrl-CS"/>
        </w:rPr>
        <w:t>mera</w:t>
      </w:r>
      <w:r w:rsidR="00D1117C" w:rsidRPr="00E95BC4">
        <w:rPr>
          <w:lang w:val="sr-Cyrl-CS"/>
        </w:rPr>
        <w:t xml:space="preserve"> </w:t>
      </w:r>
      <w:r>
        <w:rPr>
          <w:lang w:val="sr-Cyrl-CS"/>
        </w:rPr>
        <w:t>i</w:t>
      </w:r>
      <w:r w:rsidR="00D1117C" w:rsidRPr="00E95BC4">
        <w:rPr>
          <w:lang w:val="sr-Cyrl-CS"/>
        </w:rPr>
        <w:t xml:space="preserve"> </w:t>
      </w:r>
      <w:r>
        <w:rPr>
          <w:lang w:val="sr-Cyrl-CS"/>
        </w:rPr>
        <w:t>radnji</w:t>
      </w:r>
      <w:r w:rsidR="00D1117C" w:rsidRPr="00E95BC4">
        <w:rPr>
          <w:lang w:val="sr-Cyrl-CS"/>
        </w:rPr>
        <w:t xml:space="preserve"> </w:t>
      </w:r>
      <w:r>
        <w:rPr>
          <w:lang w:val="sr-Cyrl-CS"/>
        </w:rPr>
        <w:t>koje</w:t>
      </w:r>
      <w:r w:rsidR="00D1117C" w:rsidRPr="00E95BC4">
        <w:rPr>
          <w:lang w:val="sr-Cyrl-CS"/>
        </w:rPr>
        <w:t xml:space="preserve"> </w:t>
      </w:r>
      <w:r>
        <w:rPr>
          <w:lang w:val="sr-Cyrl-CS"/>
        </w:rPr>
        <w:t>država</w:t>
      </w:r>
      <w:r w:rsidR="00D1117C" w:rsidRPr="00E95BC4">
        <w:rPr>
          <w:lang w:val="sr-Cyrl-CS"/>
        </w:rPr>
        <w:t xml:space="preserve"> </w:t>
      </w:r>
      <w:r>
        <w:rPr>
          <w:lang w:val="sr-Cyrl-CS"/>
        </w:rPr>
        <w:t>preduzima</w:t>
      </w:r>
      <w:r w:rsidR="00D1117C" w:rsidRPr="00E95BC4">
        <w:rPr>
          <w:lang w:val="sr-Cyrl-CS"/>
        </w:rPr>
        <w:t>.</w:t>
      </w:r>
      <w:r w:rsidR="00F65C28" w:rsidRPr="00E95BC4">
        <w:rPr>
          <w:lang w:val="sr-Cyrl-CS"/>
        </w:rPr>
        <w:t xml:space="preserve"> </w:t>
      </w:r>
    </w:p>
    <w:p w:rsidR="000A7CC4" w:rsidRPr="00E95BC4" w:rsidRDefault="005818C0" w:rsidP="00FF62B7">
      <w:pPr>
        <w:ind w:firstLine="720"/>
        <w:jc w:val="both"/>
        <w:rPr>
          <w:lang w:val="sr-Cyrl-CS"/>
        </w:rPr>
      </w:pPr>
      <w:r>
        <w:rPr>
          <w:lang w:val="sr-Cyrl-CS"/>
        </w:rPr>
        <w:t>U</w:t>
      </w:r>
      <w:r w:rsidR="00F65C28" w:rsidRPr="00E95BC4">
        <w:rPr>
          <w:lang w:val="sr-Cyrl-CS"/>
        </w:rPr>
        <w:t xml:space="preserve"> </w:t>
      </w:r>
      <w:r>
        <w:rPr>
          <w:lang w:val="sr-Cyrl-CS"/>
        </w:rPr>
        <w:t>tom</w:t>
      </w:r>
      <w:r w:rsidR="00F65C28" w:rsidRPr="00E95BC4">
        <w:rPr>
          <w:lang w:val="sr-Cyrl-CS"/>
        </w:rPr>
        <w:t xml:space="preserve"> </w:t>
      </w:r>
      <w:r>
        <w:rPr>
          <w:lang w:val="sr-Cyrl-CS"/>
        </w:rPr>
        <w:t>smislu</w:t>
      </w:r>
      <w:r w:rsidR="00F65C28" w:rsidRPr="00E95BC4">
        <w:rPr>
          <w:lang w:val="sr-Cyrl-CS"/>
        </w:rPr>
        <w:t xml:space="preserve">, </w:t>
      </w:r>
      <w:r>
        <w:rPr>
          <w:lang w:val="sr-Cyrl-CS"/>
        </w:rPr>
        <w:t>neophodna</w:t>
      </w:r>
      <w:r w:rsidR="00F65C28" w:rsidRPr="00E95BC4">
        <w:rPr>
          <w:lang w:val="sr-Cyrl-CS"/>
        </w:rPr>
        <w:t xml:space="preserve"> </w:t>
      </w:r>
      <w:r>
        <w:rPr>
          <w:lang w:val="sr-Cyrl-CS"/>
        </w:rPr>
        <w:t>je</w:t>
      </w:r>
      <w:r w:rsidR="00F65C28" w:rsidRPr="00E95BC4">
        <w:rPr>
          <w:lang w:val="sr-Cyrl-CS"/>
        </w:rPr>
        <w:t xml:space="preserve"> </w:t>
      </w:r>
      <w:r>
        <w:rPr>
          <w:lang w:val="sr-Cyrl-CS"/>
        </w:rPr>
        <w:t>unutrašnja</w:t>
      </w:r>
      <w:r w:rsidR="00F65C28" w:rsidRPr="00E95BC4">
        <w:rPr>
          <w:lang w:val="sr-Cyrl-CS"/>
        </w:rPr>
        <w:t xml:space="preserve"> </w:t>
      </w:r>
      <w:r>
        <w:rPr>
          <w:lang w:val="sr-Cyrl-CS"/>
        </w:rPr>
        <w:t>saradnja</w:t>
      </w:r>
      <w:r w:rsidR="00F65C28" w:rsidRPr="00E95BC4">
        <w:rPr>
          <w:lang w:val="sr-Cyrl-CS"/>
        </w:rPr>
        <w:t xml:space="preserve">, </w:t>
      </w:r>
      <w:r>
        <w:rPr>
          <w:lang w:val="sr-Cyrl-CS"/>
        </w:rPr>
        <w:t>tj</w:t>
      </w:r>
      <w:r w:rsidR="00F65C28" w:rsidRPr="00E95BC4">
        <w:rPr>
          <w:lang w:val="sr-Cyrl-CS"/>
        </w:rPr>
        <w:t xml:space="preserve">. </w:t>
      </w:r>
      <w:r>
        <w:rPr>
          <w:b/>
          <w:lang w:val="sr-Cyrl-CS"/>
        </w:rPr>
        <w:t>interna</w:t>
      </w:r>
      <w:r w:rsidR="00F65C28" w:rsidRPr="00E95BC4">
        <w:rPr>
          <w:b/>
          <w:lang w:val="sr-Cyrl-CS"/>
        </w:rPr>
        <w:t xml:space="preserve"> </w:t>
      </w:r>
      <w:r>
        <w:rPr>
          <w:b/>
          <w:lang w:val="sr-Cyrl-CS"/>
        </w:rPr>
        <w:t>koordinacija</w:t>
      </w:r>
      <w:r w:rsidR="00F65C28" w:rsidRPr="00E95BC4">
        <w:rPr>
          <w:lang w:val="sr-Cyrl-CS"/>
        </w:rPr>
        <w:t xml:space="preserve"> </w:t>
      </w:r>
      <w:r>
        <w:rPr>
          <w:lang w:val="sr-Cyrl-CS"/>
        </w:rPr>
        <w:t>i</w:t>
      </w:r>
      <w:r w:rsidR="00F65C28" w:rsidRPr="00E95BC4">
        <w:rPr>
          <w:lang w:val="sr-Cyrl-CS"/>
        </w:rPr>
        <w:t xml:space="preserve"> </w:t>
      </w:r>
      <w:r>
        <w:rPr>
          <w:b/>
          <w:lang w:val="sr-Cyrl-CS"/>
        </w:rPr>
        <w:t>međuresorna</w:t>
      </w:r>
      <w:r w:rsidR="00F65C28" w:rsidRPr="00E95BC4">
        <w:rPr>
          <w:b/>
          <w:lang w:val="sr-Cyrl-CS"/>
        </w:rPr>
        <w:t xml:space="preserve"> </w:t>
      </w:r>
      <w:r>
        <w:rPr>
          <w:b/>
          <w:lang w:val="sr-Cyrl-CS"/>
        </w:rPr>
        <w:t>saradnja</w:t>
      </w:r>
      <w:r w:rsidR="00F65C28" w:rsidRPr="00E95BC4">
        <w:rPr>
          <w:lang w:val="sr-Cyrl-CS"/>
        </w:rPr>
        <w:t xml:space="preserve">. </w:t>
      </w:r>
      <w:r>
        <w:rPr>
          <w:lang w:val="sr-Cyrl-CS"/>
        </w:rPr>
        <w:t>Ukoliko</w:t>
      </w:r>
      <w:r w:rsidR="00F65C28" w:rsidRPr="00E95BC4">
        <w:rPr>
          <w:lang w:val="sr-Cyrl-CS"/>
        </w:rPr>
        <w:t xml:space="preserve"> </w:t>
      </w:r>
      <w:r>
        <w:rPr>
          <w:lang w:val="sr-Cyrl-CS"/>
        </w:rPr>
        <w:t>se</w:t>
      </w:r>
      <w:r w:rsidR="00F65C28" w:rsidRPr="00E95BC4">
        <w:rPr>
          <w:lang w:val="sr-Cyrl-CS"/>
        </w:rPr>
        <w:t xml:space="preserve"> </w:t>
      </w:r>
      <w:r>
        <w:rPr>
          <w:lang w:val="sr-Cyrl-CS"/>
        </w:rPr>
        <w:t>koordinacija</w:t>
      </w:r>
      <w:r w:rsidR="00F65C28" w:rsidRPr="00E95BC4">
        <w:rPr>
          <w:lang w:val="sr-Cyrl-CS"/>
        </w:rPr>
        <w:t xml:space="preserve"> </w:t>
      </w:r>
      <w:r>
        <w:rPr>
          <w:lang w:val="sr-Cyrl-CS"/>
        </w:rPr>
        <w:t>i</w:t>
      </w:r>
      <w:r w:rsidR="00F65C28" w:rsidRPr="00E95BC4">
        <w:rPr>
          <w:lang w:val="sr-Cyrl-CS"/>
        </w:rPr>
        <w:t xml:space="preserve"> </w:t>
      </w:r>
      <w:r>
        <w:rPr>
          <w:lang w:val="sr-Cyrl-CS"/>
        </w:rPr>
        <w:t>saradnja</w:t>
      </w:r>
      <w:r w:rsidR="00F65C28" w:rsidRPr="00E95BC4">
        <w:rPr>
          <w:lang w:val="sr-Cyrl-CS"/>
        </w:rPr>
        <w:t xml:space="preserve"> </w:t>
      </w:r>
      <w:r>
        <w:rPr>
          <w:lang w:val="sr-Cyrl-CS"/>
        </w:rPr>
        <w:t>ne</w:t>
      </w:r>
      <w:r w:rsidR="00F65C28" w:rsidRPr="00E95BC4">
        <w:rPr>
          <w:lang w:val="sr-Cyrl-CS"/>
        </w:rPr>
        <w:t xml:space="preserve"> </w:t>
      </w:r>
      <w:r>
        <w:rPr>
          <w:lang w:val="sr-Cyrl-CS"/>
        </w:rPr>
        <w:t>odvijaju</w:t>
      </w:r>
      <w:r w:rsidR="00F65C28" w:rsidRPr="00E95BC4">
        <w:rPr>
          <w:lang w:val="sr-Cyrl-CS"/>
        </w:rPr>
        <w:t xml:space="preserve"> </w:t>
      </w:r>
      <w:r>
        <w:rPr>
          <w:lang w:val="sr-Cyrl-CS"/>
        </w:rPr>
        <w:t>adekvatno</w:t>
      </w:r>
      <w:r w:rsidR="00F65C28" w:rsidRPr="00E95BC4">
        <w:rPr>
          <w:lang w:val="sr-Cyrl-CS"/>
        </w:rPr>
        <w:t xml:space="preserve"> </w:t>
      </w:r>
      <w:r>
        <w:rPr>
          <w:lang w:val="sr-Cyrl-CS"/>
        </w:rPr>
        <w:t>na</w:t>
      </w:r>
      <w:r w:rsidR="00F65C28" w:rsidRPr="00E95BC4">
        <w:rPr>
          <w:lang w:val="sr-Cyrl-CS"/>
        </w:rPr>
        <w:t xml:space="preserve"> </w:t>
      </w:r>
      <w:r>
        <w:rPr>
          <w:lang w:val="sr-Cyrl-CS"/>
        </w:rPr>
        <w:t>nacionalnom</w:t>
      </w:r>
      <w:r w:rsidR="00F65C28" w:rsidRPr="00E95BC4">
        <w:rPr>
          <w:lang w:val="sr-Cyrl-CS"/>
        </w:rPr>
        <w:t xml:space="preserve"> </w:t>
      </w:r>
      <w:r>
        <w:rPr>
          <w:lang w:val="sr-Cyrl-CS"/>
        </w:rPr>
        <w:t>nivou</w:t>
      </w:r>
      <w:r w:rsidR="00F65C28" w:rsidRPr="00E95BC4">
        <w:rPr>
          <w:lang w:val="sr-Cyrl-CS"/>
        </w:rPr>
        <w:t xml:space="preserve">, </w:t>
      </w:r>
      <w:r>
        <w:rPr>
          <w:lang w:val="sr-Cyrl-CS"/>
        </w:rPr>
        <w:t>može</w:t>
      </w:r>
      <w:r w:rsidR="00F65C28" w:rsidRPr="00E95BC4">
        <w:rPr>
          <w:lang w:val="sr-Cyrl-CS"/>
        </w:rPr>
        <w:t xml:space="preserve"> </w:t>
      </w:r>
      <w:r>
        <w:rPr>
          <w:lang w:val="sr-Cyrl-CS"/>
        </w:rPr>
        <w:t>doći</w:t>
      </w:r>
      <w:r w:rsidR="00F65C28" w:rsidRPr="00E95BC4">
        <w:rPr>
          <w:lang w:val="sr-Cyrl-CS"/>
        </w:rPr>
        <w:t xml:space="preserve"> </w:t>
      </w:r>
      <w:r>
        <w:rPr>
          <w:lang w:val="sr-Cyrl-CS"/>
        </w:rPr>
        <w:t>do</w:t>
      </w:r>
      <w:r w:rsidR="00F65C28" w:rsidRPr="00E95BC4">
        <w:rPr>
          <w:lang w:val="sr-Cyrl-CS"/>
        </w:rPr>
        <w:t xml:space="preserve"> </w:t>
      </w:r>
      <w:r>
        <w:rPr>
          <w:lang w:val="sr-Cyrl-CS"/>
        </w:rPr>
        <w:t>opasnosti</w:t>
      </w:r>
      <w:r w:rsidR="00F65C28" w:rsidRPr="00E95BC4">
        <w:rPr>
          <w:lang w:val="sr-Cyrl-CS"/>
        </w:rPr>
        <w:t xml:space="preserve"> </w:t>
      </w:r>
      <w:r>
        <w:rPr>
          <w:lang w:val="sr-Cyrl-CS"/>
        </w:rPr>
        <w:t>da</w:t>
      </w:r>
      <w:r w:rsidR="00F65C28" w:rsidRPr="00E95BC4">
        <w:rPr>
          <w:lang w:val="sr-Cyrl-CS"/>
        </w:rPr>
        <w:t xml:space="preserve"> </w:t>
      </w:r>
      <w:r>
        <w:rPr>
          <w:lang w:val="sr-Cyrl-CS"/>
        </w:rPr>
        <w:t>odgovor</w:t>
      </w:r>
      <w:r w:rsidR="00F65C28" w:rsidRPr="00E95BC4">
        <w:rPr>
          <w:lang w:val="sr-Cyrl-CS"/>
        </w:rPr>
        <w:t xml:space="preserve"> </w:t>
      </w:r>
      <w:r>
        <w:rPr>
          <w:lang w:val="sr-Cyrl-CS"/>
        </w:rPr>
        <w:t>države</w:t>
      </w:r>
      <w:r w:rsidR="00F65C28" w:rsidRPr="00E95BC4">
        <w:rPr>
          <w:lang w:val="sr-Cyrl-CS"/>
        </w:rPr>
        <w:t xml:space="preserve"> </w:t>
      </w:r>
      <w:r>
        <w:rPr>
          <w:lang w:val="sr-Cyrl-CS"/>
        </w:rPr>
        <w:t>na</w:t>
      </w:r>
      <w:r w:rsidR="00F65C28" w:rsidRPr="00E95BC4">
        <w:rPr>
          <w:lang w:val="sr-Cyrl-CS"/>
        </w:rPr>
        <w:t xml:space="preserve"> </w:t>
      </w:r>
      <w:r>
        <w:rPr>
          <w:lang w:val="sr-Cyrl-CS"/>
        </w:rPr>
        <w:t>rizike</w:t>
      </w:r>
      <w:r w:rsidR="00F65C28" w:rsidRPr="00E95BC4">
        <w:rPr>
          <w:lang w:val="sr-Cyrl-CS"/>
        </w:rPr>
        <w:t xml:space="preserve"> </w:t>
      </w:r>
      <w:r>
        <w:rPr>
          <w:lang w:val="sr-Cyrl-CS"/>
        </w:rPr>
        <w:t>i</w:t>
      </w:r>
      <w:r w:rsidR="00F65C28" w:rsidRPr="00E95BC4">
        <w:rPr>
          <w:lang w:val="sr-Cyrl-CS"/>
        </w:rPr>
        <w:t xml:space="preserve"> </w:t>
      </w:r>
      <w:r>
        <w:rPr>
          <w:lang w:val="sr-Cyrl-CS"/>
        </w:rPr>
        <w:t>pretnje</w:t>
      </w:r>
      <w:r w:rsidR="00F65C28" w:rsidRPr="00E95BC4">
        <w:rPr>
          <w:lang w:val="sr-Cyrl-CS"/>
        </w:rPr>
        <w:t xml:space="preserve"> </w:t>
      </w:r>
      <w:r>
        <w:rPr>
          <w:lang w:val="sr-Cyrl-CS"/>
        </w:rPr>
        <w:t>bude</w:t>
      </w:r>
      <w:r w:rsidR="00F65C28" w:rsidRPr="00E95BC4">
        <w:rPr>
          <w:lang w:val="sr-Cyrl-CS"/>
        </w:rPr>
        <w:t xml:space="preserve"> </w:t>
      </w:r>
      <w:r>
        <w:rPr>
          <w:lang w:val="sr-Cyrl-CS"/>
        </w:rPr>
        <w:t>parcijalan</w:t>
      </w:r>
      <w:r w:rsidR="00F65C28" w:rsidRPr="00E95BC4">
        <w:rPr>
          <w:lang w:val="sr-Cyrl-CS"/>
        </w:rPr>
        <w:t xml:space="preserve">, </w:t>
      </w:r>
      <w:r>
        <w:rPr>
          <w:lang w:val="sr-Cyrl-CS"/>
        </w:rPr>
        <w:t>neusklađen</w:t>
      </w:r>
      <w:r w:rsidR="00F65C28" w:rsidRPr="00E95BC4">
        <w:rPr>
          <w:lang w:val="sr-Cyrl-CS"/>
        </w:rPr>
        <w:t xml:space="preserve"> </w:t>
      </w:r>
      <w:r>
        <w:rPr>
          <w:lang w:val="sr-Cyrl-CS"/>
        </w:rPr>
        <w:t>i</w:t>
      </w:r>
      <w:r w:rsidR="00F65C28" w:rsidRPr="00E95BC4">
        <w:rPr>
          <w:lang w:val="sr-Cyrl-CS"/>
        </w:rPr>
        <w:t xml:space="preserve"> </w:t>
      </w:r>
      <w:r>
        <w:rPr>
          <w:lang w:val="sr-Cyrl-CS"/>
        </w:rPr>
        <w:t>u</w:t>
      </w:r>
      <w:r w:rsidR="00F65C28" w:rsidRPr="00E95BC4">
        <w:rPr>
          <w:lang w:val="sr-Cyrl-CS"/>
        </w:rPr>
        <w:t xml:space="preserve"> </w:t>
      </w:r>
      <w:r>
        <w:rPr>
          <w:lang w:val="sr-Cyrl-CS"/>
        </w:rPr>
        <w:t>krajnjoj</w:t>
      </w:r>
      <w:r w:rsidR="00F65C28" w:rsidRPr="00E95BC4">
        <w:rPr>
          <w:lang w:val="sr-Cyrl-CS"/>
        </w:rPr>
        <w:t xml:space="preserve"> </w:t>
      </w:r>
      <w:r>
        <w:rPr>
          <w:lang w:val="sr-Cyrl-CS"/>
        </w:rPr>
        <w:t>liniji</w:t>
      </w:r>
      <w:r w:rsidR="00F65C28" w:rsidRPr="00E95BC4">
        <w:rPr>
          <w:lang w:val="sr-Cyrl-CS"/>
        </w:rPr>
        <w:t xml:space="preserve"> </w:t>
      </w:r>
      <w:r>
        <w:rPr>
          <w:lang w:val="sr-Cyrl-CS"/>
        </w:rPr>
        <w:t>bez</w:t>
      </w:r>
      <w:r w:rsidR="00F65C28" w:rsidRPr="00E95BC4">
        <w:rPr>
          <w:lang w:val="sr-Cyrl-CS"/>
        </w:rPr>
        <w:t xml:space="preserve"> </w:t>
      </w:r>
      <w:r>
        <w:rPr>
          <w:lang w:val="sr-Cyrl-CS"/>
        </w:rPr>
        <w:t>bitnijih</w:t>
      </w:r>
      <w:r w:rsidR="00D1117C" w:rsidRPr="00E95BC4">
        <w:rPr>
          <w:lang w:val="sr-Cyrl-CS"/>
        </w:rPr>
        <w:t xml:space="preserve"> </w:t>
      </w:r>
      <w:r>
        <w:rPr>
          <w:lang w:val="sr-Cyrl-CS"/>
        </w:rPr>
        <w:t>efekata</w:t>
      </w:r>
      <w:r w:rsidR="00F65C28" w:rsidRPr="00E95BC4">
        <w:rPr>
          <w:lang w:val="sr-Cyrl-CS"/>
        </w:rPr>
        <w:t xml:space="preserve">. </w:t>
      </w:r>
      <w:r>
        <w:rPr>
          <w:lang w:val="sr-Cyrl-CS"/>
        </w:rPr>
        <w:t>Jednako</w:t>
      </w:r>
      <w:r w:rsidR="008A65BD" w:rsidRPr="00E95BC4">
        <w:rPr>
          <w:lang w:val="sr-Cyrl-CS"/>
        </w:rPr>
        <w:t xml:space="preserve"> </w:t>
      </w:r>
      <w:r>
        <w:rPr>
          <w:lang w:val="sr-Cyrl-CS"/>
        </w:rPr>
        <w:t>važna</w:t>
      </w:r>
      <w:r w:rsidR="008A65BD" w:rsidRPr="00E95BC4">
        <w:rPr>
          <w:lang w:val="sr-Cyrl-CS"/>
        </w:rPr>
        <w:t xml:space="preserve"> </w:t>
      </w:r>
      <w:r>
        <w:rPr>
          <w:lang w:val="sr-Cyrl-CS"/>
        </w:rPr>
        <w:t>je</w:t>
      </w:r>
      <w:r w:rsidR="008A65BD" w:rsidRPr="00E95BC4">
        <w:rPr>
          <w:lang w:val="sr-Cyrl-CS"/>
        </w:rPr>
        <w:t xml:space="preserve"> </w:t>
      </w:r>
      <w:r>
        <w:rPr>
          <w:lang w:val="sr-Cyrl-CS"/>
        </w:rPr>
        <w:t>i</w:t>
      </w:r>
      <w:r w:rsidR="00F65C28" w:rsidRPr="00E95BC4">
        <w:rPr>
          <w:lang w:val="sr-Cyrl-CS"/>
        </w:rPr>
        <w:t xml:space="preserve"> </w:t>
      </w:r>
      <w:r>
        <w:rPr>
          <w:b/>
          <w:lang w:val="sr-Cyrl-CS"/>
        </w:rPr>
        <w:t>međunarodna</w:t>
      </w:r>
      <w:r w:rsidR="00F65C28" w:rsidRPr="00E95BC4">
        <w:rPr>
          <w:b/>
          <w:lang w:val="sr-Cyrl-CS"/>
        </w:rPr>
        <w:t xml:space="preserve"> </w:t>
      </w:r>
      <w:r>
        <w:rPr>
          <w:b/>
          <w:lang w:val="sr-Cyrl-CS"/>
        </w:rPr>
        <w:t>saradnja</w:t>
      </w:r>
      <w:r w:rsidR="00F65C28" w:rsidRPr="00E95BC4">
        <w:rPr>
          <w:lang w:val="sr-Cyrl-CS"/>
        </w:rPr>
        <w:t xml:space="preserve"> </w:t>
      </w:r>
      <w:r>
        <w:rPr>
          <w:lang w:val="sr-Cyrl-CS"/>
        </w:rPr>
        <w:t>jer</w:t>
      </w:r>
      <w:r w:rsidR="00F65C28" w:rsidRPr="00E95BC4">
        <w:rPr>
          <w:lang w:val="sr-Cyrl-CS"/>
        </w:rPr>
        <w:t xml:space="preserve"> </w:t>
      </w:r>
      <w:r>
        <w:rPr>
          <w:lang w:val="sr-Cyrl-CS"/>
        </w:rPr>
        <w:t>se</w:t>
      </w:r>
      <w:r w:rsidR="00F65C28" w:rsidRPr="00E95BC4">
        <w:rPr>
          <w:lang w:val="sr-Cyrl-CS"/>
        </w:rPr>
        <w:t xml:space="preserve"> </w:t>
      </w:r>
      <w:r>
        <w:rPr>
          <w:lang w:val="sr-Cyrl-CS"/>
        </w:rPr>
        <w:t>tim</w:t>
      </w:r>
      <w:r w:rsidR="00F65C28" w:rsidRPr="00E95BC4">
        <w:rPr>
          <w:lang w:val="sr-Cyrl-CS"/>
        </w:rPr>
        <w:t xml:space="preserve"> </w:t>
      </w:r>
      <w:r>
        <w:rPr>
          <w:lang w:val="sr-Cyrl-CS"/>
        </w:rPr>
        <w:t>putem</w:t>
      </w:r>
      <w:r w:rsidR="00F65C28" w:rsidRPr="00E95BC4">
        <w:rPr>
          <w:lang w:val="sr-Cyrl-CS"/>
        </w:rPr>
        <w:t xml:space="preserve"> </w:t>
      </w:r>
      <w:r>
        <w:rPr>
          <w:lang w:val="sr-Cyrl-CS"/>
        </w:rPr>
        <w:t>dolazi</w:t>
      </w:r>
      <w:r w:rsidR="00F65C28" w:rsidRPr="00E95BC4">
        <w:rPr>
          <w:lang w:val="sr-Cyrl-CS"/>
        </w:rPr>
        <w:t xml:space="preserve"> </w:t>
      </w:r>
      <w:r>
        <w:rPr>
          <w:lang w:val="sr-Cyrl-CS"/>
        </w:rPr>
        <w:t>do</w:t>
      </w:r>
      <w:r w:rsidR="00F65C28" w:rsidRPr="00E95BC4">
        <w:rPr>
          <w:lang w:val="sr-Cyrl-CS"/>
        </w:rPr>
        <w:t xml:space="preserve"> </w:t>
      </w:r>
      <w:r>
        <w:rPr>
          <w:lang w:val="sr-Cyrl-CS"/>
        </w:rPr>
        <w:t>odgovarajućih</w:t>
      </w:r>
      <w:r w:rsidR="00F65C28" w:rsidRPr="00E95BC4">
        <w:rPr>
          <w:lang w:val="sr-Cyrl-CS"/>
        </w:rPr>
        <w:t xml:space="preserve"> </w:t>
      </w:r>
      <w:r>
        <w:rPr>
          <w:lang w:val="sr-Cyrl-CS"/>
        </w:rPr>
        <w:t>informacija</w:t>
      </w:r>
      <w:r w:rsidR="00F65C28" w:rsidRPr="00E95BC4">
        <w:rPr>
          <w:lang w:val="sr-Cyrl-CS"/>
        </w:rPr>
        <w:t xml:space="preserve">, </w:t>
      </w:r>
      <w:r>
        <w:rPr>
          <w:lang w:val="sr-Cyrl-CS"/>
        </w:rPr>
        <w:t>finansijskoobaveštajnih</w:t>
      </w:r>
      <w:r w:rsidR="00F65C28" w:rsidRPr="00E95BC4">
        <w:rPr>
          <w:lang w:val="sr-Cyrl-CS"/>
        </w:rPr>
        <w:t xml:space="preserve"> </w:t>
      </w:r>
      <w:r>
        <w:rPr>
          <w:lang w:val="sr-Cyrl-CS"/>
        </w:rPr>
        <w:t>podataka</w:t>
      </w:r>
      <w:r w:rsidR="00F65C28" w:rsidRPr="00E95BC4">
        <w:rPr>
          <w:lang w:val="sr-Cyrl-CS"/>
        </w:rPr>
        <w:t xml:space="preserve"> </w:t>
      </w:r>
      <w:r>
        <w:rPr>
          <w:lang w:val="sr-Cyrl-CS"/>
        </w:rPr>
        <w:t>i</w:t>
      </w:r>
      <w:r w:rsidR="00F65C28" w:rsidRPr="00E95BC4">
        <w:rPr>
          <w:lang w:val="sr-Cyrl-CS"/>
        </w:rPr>
        <w:t xml:space="preserve"> </w:t>
      </w:r>
      <w:r>
        <w:rPr>
          <w:lang w:val="sr-Cyrl-CS"/>
        </w:rPr>
        <w:t>dokaza</w:t>
      </w:r>
      <w:r w:rsidR="00F65C28" w:rsidRPr="00E95BC4">
        <w:rPr>
          <w:lang w:val="sr-Cyrl-CS"/>
        </w:rPr>
        <w:t xml:space="preserve">, </w:t>
      </w:r>
      <w:r>
        <w:rPr>
          <w:lang w:val="sr-Cyrl-CS"/>
        </w:rPr>
        <w:t>i</w:t>
      </w:r>
      <w:r w:rsidR="00F65C28" w:rsidRPr="00E95BC4">
        <w:rPr>
          <w:lang w:val="sr-Cyrl-CS"/>
        </w:rPr>
        <w:t xml:space="preserve"> </w:t>
      </w:r>
      <w:r>
        <w:rPr>
          <w:lang w:val="sr-Cyrl-CS"/>
        </w:rPr>
        <w:t>samim</w:t>
      </w:r>
      <w:r w:rsidR="00F65C28" w:rsidRPr="00E95BC4">
        <w:rPr>
          <w:lang w:val="sr-Cyrl-CS"/>
        </w:rPr>
        <w:t xml:space="preserve"> </w:t>
      </w:r>
      <w:r>
        <w:rPr>
          <w:lang w:val="sr-Cyrl-CS"/>
        </w:rPr>
        <w:t>tim</w:t>
      </w:r>
      <w:r w:rsidR="00F65C28" w:rsidRPr="00E95BC4">
        <w:rPr>
          <w:lang w:val="sr-Cyrl-CS"/>
        </w:rPr>
        <w:t xml:space="preserve"> </w:t>
      </w:r>
      <w:r>
        <w:rPr>
          <w:lang w:val="sr-Cyrl-CS"/>
        </w:rPr>
        <w:t>omogućava</w:t>
      </w:r>
      <w:r w:rsidR="00F65C28" w:rsidRPr="00E95BC4">
        <w:rPr>
          <w:lang w:val="sr-Cyrl-CS"/>
        </w:rPr>
        <w:t xml:space="preserve"> </w:t>
      </w:r>
      <w:r>
        <w:rPr>
          <w:lang w:val="sr-Cyrl-CS"/>
        </w:rPr>
        <w:t>postupanje</w:t>
      </w:r>
      <w:r w:rsidR="00F65C28" w:rsidRPr="00E95BC4">
        <w:rPr>
          <w:lang w:val="sr-Cyrl-CS"/>
        </w:rPr>
        <w:t xml:space="preserve"> </w:t>
      </w:r>
      <w:r>
        <w:rPr>
          <w:lang w:val="sr-Cyrl-CS"/>
        </w:rPr>
        <w:t>u</w:t>
      </w:r>
      <w:r w:rsidR="00F65C28" w:rsidRPr="00E95BC4">
        <w:rPr>
          <w:lang w:val="sr-Cyrl-CS"/>
        </w:rPr>
        <w:t xml:space="preserve"> </w:t>
      </w:r>
      <w:r>
        <w:rPr>
          <w:lang w:val="sr-Cyrl-CS"/>
        </w:rPr>
        <w:t>odnosu</w:t>
      </w:r>
      <w:r w:rsidR="00F65C28" w:rsidRPr="00E95BC4">
        <w:rPr>
          <w:lang w:val="sr-Cyrl-CS"/>
        </w:rPr>
        <w:t xml:space="preserve"> </w:t>
      </w:r>
      <w:r>
        <w:rPr>
          <w:lang w:val="sr-Cyrl-CS"/>
        </w:rPr>
        <w:t>na</w:t>
      </w:r>
      <w:r w:rsidR="00F65C28" w:rsidRPr="00E95BC4">
        <w:rPr>
          <w:lang w:val="sr-Cyrl-CS"/>
        </w:rPr>
        <w:t xml:space="preserve"> </w:t>
      </w:r>
      <w:r>
        <w:rPr>
          <w:lang w:val="sr-Cyrl-CS"/>
        </w:rPr>
        <w:t>izvršioce</w:t>
      </w:r>
      <w:r w:rsidR="00F65C28" w:rsidRPr="00E95BC4">
        <w:rPr>
          <w:lang w:val="sr-Cyrl-CS"/>
        </w:rPr>
        <w:t xml:space="preserve"> </w:t>
      </w:r>
      <w:r>
        <w:rPr>
          <w:lang w:val="sr-Cyrl-CS"/>
        </w:rPr>
        <w:t>krivičnih</w:t>
      </w:r>
      <w:r w:rsidR="00F65C28" w:rsidRPr="00E95BC4">
        <w:rPr>
          <w:lang w:val="sr-Cyrl-CS"/>
        </w:rPr>
        <w:t xml:space="preserve"> </w:t>
      </w:r>
      <w:r>
        <w:rPr>
          <w:lang w:val="sr-Cyrl-CS"/>
        </w:rPr>
        <w:t>dela</w:t>
      </w:r>
      <w:r w:rsidR="00F65C28" w:rsidRPr="00E95BC4">
        <w:rPr>
          <w:lang w:val="sr-Cyrl-CS"/>
        </w:rPr>
        <w:t xml:space="preserve"> </w:t>
      </w:r>
      <w:r>
        <w:rPr>
          <w:lang w:val="sr-Cyrl-CS"/>
        </w:rPr>
        <w:t>i</w:t>
      </w:r>
      <w:r w:rsidR="00F65C28" w:rsidRPr="00E95BC4">
        <w:rPr>
          <w:lang w:val="sr-Cyrl-CS"/>
        </w:rPr>
        <w:t xml:space="preserve"> </w:t>
      </w:r>
      <w:r>
        <w:rPr>
          <w:lang w:val="sr-Cyrl-CS"/>
        </w:rPr>
        <w:t>njihovu</w:t>
      </w:r>
      <w:r w:rsidR="00F65C28" w:rsidRPr="00E95BC4">
        <w:rPr>
          <w:lang w:val="sr-Cyrl-CS"/>
        </w:rPr>
        <w:t xml:space="preserve"> </w:t>
      </w:r>
      <w:r>
        <w:rPr>
          <w:lang w:val="sr-Cyrl-CS"/>
        </w:rPr>
        <w:t>imovinu</w:t>
      </w:r>
      <w:r w:rsidR="00D1117C" w:rsidRPr="00E95BC4">
        <w:rPr>
          <w:lang w:val="sr-Cyrl-CS"/>
        </w:rPr>
        <w:t xml:space="preserve">, </w:t>
      </w:r>
      <w:r>
        <w:rPr>
          <w:lang w:val="sr-Cyrl-CS"/>
        </w:rPr>
        <w:t>a</w:t>
      </w:r>
      <w:r w:rsidR="00D1117C" w:rsidRPr="00E95BC4">
        <w:rPr>
          <w:lang w:val="sr-Cyrl-CS"/>
        </w:rPr>
        <w:t xml:space="preserve"> </w:t>
      </w:r>
      <w:r>
        <w:rPr>
          <w:lang w:val="sr-Cyrl-CS"/>
        </w:rPr>
        <w:t>nadležni</w:t>
      </w:r>
      <w:r w:rsidR="00D1117C" w:rsidRPr="00E95BC4">
        <w:rPr>
          <w:lang w:val="sr-Cyrl-CS"/>
        </w:rPr>
        <w:t xml:space="preserve"> </w:t>
      </w:r>
      <w:r>
        <w:rPr>
          <w:lang w:val="sr-Cyrl-CS"/>
        </w:rPr>
        <w:t>državni</w:t>
      </w:r>
      <w:r w:rsidR="00D1117C" w:rsidRPr="00E95BC4">
        <w:rPr>
          <w:lang w:val="sr-Cyrl-CS"/>
        </w:rPr>
        <w:t xml:space="preserve"> </w:t>
      </w:r>
      <w:r>
        <w:rPr>
          <w:lang w:val="sr-Cyrl-CS"/>
        </w:rPr>
        <w:t>organi</w:t>
      </w:r>
      <w:r w:rsidR="00D1117C" w:rsidRPr="00E95BC4">
        <w:rPr>
          <w:lang w:val="sr-Cyrl-CS"/>
        </w:rPr>
        <w:t xml:space="preserve"> </w:t>
      </w:r>
      <w:r>
        <w:rPr>
          <w:lang w:val="sr-Cyrl-CS"/>
        </w:rPr>
        <w:t>se</w:t>
      </w:r>
      <w:r w:rsidR="00D1117C" w:rsidRPr="00E95BC4">
        <w:rPr>
          <w:lang w:val="sr-Cyrl-CS"/>
        </w:rPr>
        <w:t xml:space="preserve">, </w:t>
      </w:r>
      <w:r>
        <w:rPr>
          <w:lang w:val="sr-Cyrl-CS"/>
        </w:rPr>
        <w:t>u</w:t>
      </w:r>
      <w:r w:rsidR="00D1117C" w:rsidRPr="00E95BC4">
        <w:rPr>
          <w:lang w:val="sr-Cyrl-CS"/>
        </w:rPr>
        <w:t xml:space="preserve"> </w:t>
      </w:r>
      <w:r>
        <w:rPr>
          <w:lang w:val="sr-Cyrl-CS"/>
        </w:rPr>
        <w:t>obrnutom</w:t>
      </w:r>
      <w:r w:rsidR="00D1117C" w:rsidRPr="00E95BC4">
        <w:rPr>
          <w:lang w:val="sr-Cyrl-CS"/>
        </w:rPr>
        <w:t xml:space="preserve"> </w:t>
      </w:r>
      <w:r>
        <w:rPr>
          <w:lang w:val="sr-Cyrl-CS"/>
        </w:rPr>
        <w:t>smislu</w:t>
      </w:r>
      <w:r w:rsidR="00D1117C" w:rsidRPr="00E95BC4">
        <w:rPr>
          <w:lang w:val="sr-Cyrl-CS"/>
        </w:rPr>
        <w:t xml:space="preserve">, </w:t>
      </w:r>
      <w:r>
        <w:rPr>
          <w:lang w:val="sr-Cyrl-CS"/>
        </w:rPr>
        <w:t>smatraju</w:t>
      </w:r>
      <w:r w:rsidR="00D1117C" w:rsidRPr="00E95BC4">
        <w:rPr>
          <w:lang w:val="sr-Cyrl-CS"/>
        </w:rPr>
        <w:t xml:space="preserve"> </w:t>
      </w:r>
      <w:r>
        <w:rPr>
          <w:lang w:val="sr-Cyrl-CS"/>
        </w:rPr>
        <w:t>pouzdanim</w:t>
      </w:r>
      <w:r w:rsidR="00D1117C" w:rsidRPr="00E95BC4">
        <w:rPr>
          <w:lang w:val="sr-Cyrl-CS"/>
        </w:rPr>
        <w:t xml:space="preserve"> </w:t>
      </w:r>
      <w:r>
        <w:rPr>
          <w:lang w:val="sr-Cyrl-CS"/>
        </w:rPr>
        <w:t>partnerima</w:t>
      </w:r>
      <w:r w:rsidR="00D1117C" w:rsidRPr="00E95BC4">
        <w:rPr>
          <w:lang w:val="sr-Cyrl-CS"/>
        </w:rPr>
        <w:t xml:space="preserve"> </w:t>
      </w:r>
      <w:r>
        <w:rPr>
          <w:lang w:val="sr-Cyrl-CS"/>
        </w:rPr>
        <w:t>u</w:t>
      </w:r>
      <w:r w:rsidR="00D1117C" w:rsidRPr="00E95BC4">
        <w:rPr>
          <w:lang w:val="sr-Cyrl-CS"/>
        </w:rPr>
        <w:t xml:space="preserve"> </w:t>
      </w:r>
      <w:r>
        <w:rPr>
          <w:lang w:val="sr-Cyrl-CS"/>
        </w:rPr>
        <w:t>međunarodnoj</w:t>
      </w:r>
      <w:r w:rsidR="00D1117C" w:rsidRPr="00E95BC4">
        <w:rPr>
          <w:lang w:val="sr-Cyrl-CS"/>
        </w:rPr>
        <w:t xml:space="preserve"> </w:t>
      </w:r>
      <w:r>
        <w:rPr>
          <w:lang w:val="sr-Cyrl-CS"/>
        </w:rPr>
        <w:t>saradnji</w:t>
      </w:r>
      <w:r w:rsidR="00D1117C" w:rsidRPr="00E95BC4">
        <w:rPr>
          <w:lang w:val="sr-Cyrl-CS"/>
        </w:rPr>
        <w:t xml:space="preserve"> </w:t>
      </w:r>
      <w:r>
        <w:rPr>
          <w:lang w:val="sr-Cyrl-CS"/>
        </w:rPr>
        <w:t>i</w:t>
      </w:r>
      <w:r w:rsidR="00D1117C" w:rsidRPr="00E95BC4">
        <w:rPr>
          <w:lang w:val="sr-Cyrl-CS"/>
        </w:rPr>
        <w:t xml:space="preserve"> </w:t>
      </w:r>
      <w:r>
        <w:rPr>
          <w:lang w:val="sr-Cyrl-CS"/>
        </w:rPr>
        <w:t>razmeni</w:t>
      </w:r>
      <w:r w:rsidR="00D1117C" w:rsidRPr="00E95BC4">
        <w:rPr>
          <w:lang w:val="sr-Cyrl-CS"/>
        </w:rPr>
        <w:t xml:space="preserve"> </w:t>
      </w:r>
      <w:r>
        <w:rPr>
          <w:lang w:val="sr-Cyrl-CS"/>
        </w:rPr>
        <w:t>informacija</w:t>
      </w:r>
      <w:r w:rsidR="00D1117C" w:rsidRPr="00E95BC4">
        <w:rPr>
          <w:lang w:val="sr-Cyrl-CS"/>
        </w:rPr>
        <w:t>.</w:t>
      </w:r>
    </w:p>
    <w:p w:rsidR="0099638C" w:rsidRPr="00E95BC4" w:rsidRDefault="005818C0" w:rsidP="00BE282A">
      <w:pPr>
        <w:pStyle w:val="FATF-TEXTE1115"/>
        <w:tabs>
          <w:tab w:val="clear" w:pos="624"/>
          <w:tab w:val="clear" w:pos="1247"/>
          <w:tab w:val="clear" w:pos="1871"/>
          <w:tab w:val="clear" w:pos="2495"/>
          <w:tab w:val="clear" w:pos="3119"/>
        </w:tabs>
        <w:spacing w:after="0" w:line="240" w:lineRule="auto"/>
        <w:ind w:firstLine="720"/>
        <w:rPr>
          <w:rFonts w:ascii="Times New Roman" w:hAnsi="Times New Roman"/>
          <w:b/>
          <w:sz w:val="24"/>
          <w:szCs w:val="24"/>
          <w:lang w:val="sr-Cyrl-CS"/>
        </w:rPr>
      </w:pPr>
      <w:r>
        <w:rPr>
          <w:rFonts w:ascii="Times New Roman" w:hAnsi="Times New Roman"/>
          <w:b/>
          <w:sz w:val="24"/>
          <w:szCs w:val="24"/>
          <w:lang w:val="sr-Cyrl-CS"/>
        </w:rPr>
        <w:t>Problem</w:t>
      </w:r>
      <w:r w:rsidR="00C55991" w:rsidRPr="00E95BC4">
        <w:rPr>
          <w:rFonts w:ascii="Times New Roman" w:hAnsi="Times New Roman"/>
          <w:b/>
          <w:sz w:val="24"/>
          <w:szCs w:val="24"/>
          <w:lang w:val="sr-Cyrl-CS"/>
        </w:rPr>
        <w:t xml:space="preserve"> 2</w:t>
      </w:r>
      <w:r w:rsidR="00E338C9">
        <w:rPr>
          <w:rFonts w:ascii="Times New Roman" w:hAnsi="Times New Roman"/>
          <w:b/>
          <w:sz w:val="24"/>
          <w:szCs w:val="24"/>
          <w:lang w:val="sr-Cyrl-CS"/>
        </w:rPr>
        <w:t xml:space="preserve"> –</w:t>
      </w:r>
      <w:r w:rsidR="00AA6D60" w:rsidRPr="00E95BC4">
        <w:rPr>
          <w:rFonts w:ascii="Times New Roman" w:hAnsi="Times New Roman"/>
          <w:b/>
          <w:sz w:val="24"/>
          <w:szCs w:val="24"/>
          <w:lang w:val="sr-Cyrl-CS"/>
        </w:rPr>
        <w:t xml:space="preserve"> </w:t>
      </w:r>
      <w:r>
        <w:rPr>
          <w:rFonts w:ascii="Times New Roman" w:hAnsi="Times New Roman"/>
          <w:b/>
          <w:sz w:val="24"/>
          <w:szCs w:val="24"/>
          <w:lang w:val="sr-Cyrl-CS"/>
        </w:rPr>
        <w:t>Preventivne</w:t>
      </w:r>
      <w:r w:rsidR="00AA6D60" w:rsidRPr="00E95BC4">
        <w:rPr>
          <w:rFonts w:ascii="Times New Roman" w:hAnsi="Times New Roman"/>
          <w:b/>
          <w:sz w:val="24"/>
          <w:szCs w:val="24"/>
          <w:lang w:val="sr-Cyrl-CS"/>
        </w:rPr>
        <w:t xml:space="preserve"> </w:t>
      </w:r>
      <w:r>
        <w:rPr>
          <w:rFonts w:ascii="Times New Roman" w:hAnsi="Times New Roman"/>
          <w:b/>
          <w:sz w:val="24"/>
          <w:szCs w:val="24"/>
          <w:lang w:val="sr-Cyrl-CS"/>
        </w:rPr>
        <w:t>mere</w:t>
      </w:r>
      <w:r w:rsidR="00AA6D60" w:rsidRPr="00E95BC4">
        <w:rPr>
          <w:rFonts w:ascii="Times New Roman" w:hAnsi="Times New Roman"/>
          <w:b/>
          <w:sz w:val="24"/>
          <w:szCs w:val="24"/>
          <w:lang w:val="sr-Cyrl-CS"/>
        </w:rPr>
        <w:t xml:space="preserve">, </w:t>
      </w:r>
      <w:r>
        <w:rPr>
          <w:rFonts w:ascii="Times New Roman" w:hAnsi="Times New Roman"/>
          <w:b/>
          <w:sz w:val="24"/>
          <w:szCs w:val="24"/>
          <w:lang w:val="sr-Cyrl-CS"/>
        </w:rPr>
        <w:t>nadzor</w:t>
      </w:r>
      <w:r w:rsidR="00BE282A" w:rsidRPr="00E95BC4">
        <w:rPr>
          <w:rFonts w:ascii="Times New Roman" w:hAnsi="Times New Roman"/>
          <w:b/>
          <w:sz w:val="24"/>
          <w:szCs w:val="24"/>
          <w:lang w:val="sr-Cyrl-CS"/>
        </w:rPr>
        <w:t xml:space="preserve">. </w:t>
      </w:r>
      <w:r>
        <w:rPr>
          <w:rFonts w:ascii="Times New Roman" w:hAnsi="Times New Roman"/>
          <w:sz w:val="24"/>
          <w:szCs w:val="24"/>
          <w:lang w:val="sr-Cyrl-CS"/>
        </w:rPr>
        <w:t>Masivno</w:t>
      </w:r>
      <w:r w:rsidR="001B65B2" w:rsidRPr="00E95BC4">
        <w:rPr>
          <w:rFonts w:ascii="Times New Roman" w:hAnsi="Times New Roman"/>
          <w:sz w:val="24"/>
          <w:szCs w:val="24"/>
          <w:lang w:val="sr-Cyrl-CS"/>
        </w:rPr>
        <w:t xml:space="preserve"> </w:t>
      </w:r>
      <w:r>
        <w:rPr>
          <w:rFonts w:ascii="Times New Roman" w:hAnsi="Times New Roman"/>
          <w:sz w:val="24"/>
          <w:szCs w:val="24"/>
          <w:lang w:val="sr-Cyrl-CS"/>
        </w:rPr>
        <w:t>i</w:t>
      </w:r>
      <w:r w:rsidR="001B65B2" w:rsidRPr="00E95BC4">
        <w:rPr>
          <w:rFonts w:ascii="Times New Roman" w:hAnsi="Times New Roman"/>
          <w:sz w:val="24"/>
          <w:szCs w:val="24"/>
          <w:lang w:val="sr-Cyrl-CS"/>
        </w:rPr>
        <w:t xml:space="preserve"> </w:t>
      </w:r>
      <w:r>
        <w:rPr>
          <w:rFonts w:ascii="Times New Roman" w:hAnsi="Times New Roman"/>
          <w:sz w:val="24"/>
          <w:szCs w:val="24"/>
          <w:lang w:val="sr-Cyrl-CS"/>
        </w:rPr>
        <w:t>liberalizovano</w:t>
      </w:r>
      <w:r w:rsidR="0099638C" w:rsidRPr="00E95BC4">
        <w:rPr>
          <w:rFonts w:ascii="Times New Roman" w:hAnsi="Times New Roman"/>
          <w:sz w:val="24"/>
          <w:szCs w:val="24"/>
          <w:lang w:val="sr-Cyrl-CS"/>
        </w:rPr>
        <w:t xml:space="preserve"> </w:t>
      </w:r>
      <w:r>
        <w:rPr>
          <w:rFonts w:ascii="Times New Roman" w:hAnsi="Times New Roman"/>
          <w:sz w:val="24"/>
          <w:szCs w:val="24"/>
          <w:lang w:val="sr-Cyrl-CS"/>
        </w:rPr>
        <w:t>kretanje</w:t>
      </w:r>
      <w:r w:rsidR="001B65B2" w:rsidRPr="00E95BC4">
        <w:rPr>
          <w:rFonts w:ascii="Times New Roman" w:hAnsi="Times New Roman"/>
          <w:sz w:val="24"/>
          <w:szCs w:val="24"/>
          <w:lang w:val="sr-Cyrl-CS"/>
        </w:rPr>
        <w:t xml:space="preserve"> </w:t>
      </w:r>
      <w:r>
        <w:rPr>
          <w:rFonts w:ascii="Times New Roman" w:hAnsi="Times New Roman"/>
          <w:sz w:val="24"/>
          <w:szCs w:val="24"/>
          <w:lang w:val="sr-Cyrl-CS"/>
        </w:rPr>
        <w:t>kapitala</w:t>
      </w:r>
      <w:r w:rsidR="001B65B2" w:rsidRPr="00E95BC4">
        <w:rPr>
          <w:rFonts w:ascii="Times New Roman" w:hAnsi="Times New Roman"/>
          <w:sz w:val="24"/>
          <w:szCs w:val="24"/>
          <w:lang w:val="sr-Cyrl-CS"/>
        </w:rPr>
        <w:t xml:space="preserve"> </w:t>
      </w:r>
      <w:r>
        <w:rPr>
          <w:rFonts w:ascii="Times New Roman" w:hAnsi="Times New Roman"/>
          <w:sz w:val="24"/>
          <w:szCs w:val="24"/>
          <w:lang w:val="sr-Cyrl-CS"/>
        </w:rPr>
        <w:t>pruža</w:t>
      </w:r>
      <w:r w:rsidR="0099638C" w:rsidRPr="00E95BC4">
        <w:rPr>
          <w:rFonts w:ascii="Times New Roman" w:hAnsi="Times New Roman"/>
          <w:sz w:val="24"/>
          <w:szCs w:val="24"/>
          <w:lang w:val="sr-Cyrl-CS"/>
        </w:rPr>
        <w:t xml:space="preserve"> </w:t>
      </w:r>
      <w:r>
        <w:rPr>
          <w:rFonts w:ascii="Times New Roman" w:hAnsi="Times New Roman"/>
          <w:sz w:val="24"/>
          <w:szCs w:val="24"/>
          <w:lang w:val="sr-Cyrl-CS"/>
        </w:rPr>
        <w:t>mogućnosti</w:t>
      </w:r>
      <w:r w:rsidR="0099638C" w:rsidRPr="00E95BC4">
        <w:rPr>
          <w:rFonts w:ascii="Times New Roman" w:hAnsi="Times New Roman"/>
          <w:sz w:val="24"/>
          <w:szCs w:val="24"/>
          <w:lang w:val="sr-Cyrl-CS"/>
        </w:rPr>
        <w:t xml:space="preserve"> </w:t>
      </w:r>
      <w:r>
        <w:rPr>
          <w:rFonts w:ascii="Times New Roman" w:hAnsi="Times New Roman"/>
          <w:sz w:val="24"/>
          <w:szCs w:val="24"/>
          <w:lang w:val="sr-Cyrl-CS"/>
        </w:rPr>
        <w:t>i</w:t>
      </w:r>
      <w:r w:rsidR="0099638C" w:rsidRPr="00E95BC4">
        <w:rPr>
          <w:rFonts w:ascii="Times New Roman" w:hAnsi="Times New Roman"/>
          <w:sz w:val="24"/>
          <w:szCs w:val="24"/>
          <w:lang w:val="sr-Cyrl-CS"/>
        </w:rPr>
        <w:t xml:space="preserve"> </w:t>
      </w:r>
      <w:r>
        <w:rPr>
          <w:rFonts w:ascii="Times New Roman" w:hAnsi="Times New Roman"/>
          <w:sz w:val="24"/>
          <w:szCs w:val="24"/>
          <w:lang w:val="sr-Cyrl-CS"/>
        </w:rPr>
        <w:t>za</w:t>
      </w:r>
      <w:r w:rsidR="0099638C" w:rsidRPr="00E95BC4">
        <w:rPr>
          <w:rFonts w:ascii="Times New Roman" w:hAnsi="Times New Roman"/>
          <w:sz w:val="24"/>
          <w:szCs w:val="24"/>
          <w:lang w:val="sr-Cyrl-CS"/>
        </w:rPr>
        <w:t xml:space="preserve"> </w:t>
      </w:r>
      <w:r>
        <w:rPr>
          <w:rFonts w:ascii="Times New Roman" w:hAnsi="Times New Roman"/>
          <w:sz w:val="24"/>
          <w:szCs w:val="24"/>
          <w:lang w:val="sr-Cyrl-CS"/>
        </w:rPr>
        <w:t>različite</w:t>
      </w:r>
      <w:r w:rsidR="00D1117C" w:rsidRPr="00E95BC4">
        <w:rPr>
          <w:rFonts w:ascii="Times New Roman" w:hAnsi="Times New Roman"/>
          <w:sz w:val="24"/>
          <w:szCs w:val="24"/>
          <w:lang w:val="sr-Cyrl-CS"/>
        </w:rPr>
        <w:t xml:space="preserve"> </w:t>
      </w:r>
      <w:r>
        <w:rPr>
          <w:rFonts w:ascii="Times New Roman" w:hAnsi="Times New Roman"/>
          <w:sz w:val="24"/>
          <w:szCs w:val="24"/>
          <w:lang w:val="sr-Cyrl-CS"/>
        </w:rPr>
        <w:t>prevare</w:t>
      </w:r>
      <w:r w:rsidR="001B65B2" w:rsidRPr="00E95BC4">
        <w:rPr>
          <w:rFonts w:ascii="Times New Roman" w:hAnsi="Times New Roman"/>
          <w:sz w:val="24"/>
          <w:szCs w:val="24"/>
          <w:lang w:val="sr-Cyrl-CS"/>
        </w:rPr>
        <w:t xml:space="preserve"> </w:t>
      </w:r>
      <w:r>
        <w:rPr>
          <w:rFonts w:ascii="Times New Roman" w:hAnsi="Times New Roman"/>
          <w:sz w:val="24"/>
          <w:szCs w:val="24"/>
          <w:lang w:val="sr-Cyrl-CS"/>
        </w:rPr>
        <w:t>na</w:t>
      </w:r>
      <w:r w:rsidR="001B65B2" w:rsidRPr="00E95BC4">
        <w:rPr>
          <w:rFonts w:ascii="Times New Roman" w:hAnsi="Times New Roman"/>
          <w:sz w:val="24"/>
          <w:szCs w:val="24"/>
          <w:lang w:val="sr-Cyrl-CS"/>
        </w:rPr>
        <w:t xml:space="preserve"> </w:t>
      </w:r>
      <w:r>
        <w:rPr>
          <w:rFonts w:ascii="Times New Roman" w:hAnsi="Times New Roman"/>
          <w:sz w:val="24"/>
          <w:szCs w:val="24"/>
          <w:lang w:val="sr-Cyrl-CS"/>
        </w:rPr>
        <w:t>međunarodnom</w:t>
      </w:r>
      <w:r w:rsidR="001B65B2" w:rsidRPr="00E95BC4">
        <w:rPr>
          <w:rFonts w:ascii="Times New Roman" w:hAnsi="Times New Roman"/>
          <w:sz w:val="24"/>
          <w:szCs w:val="24"/>
          <w:lang w:val="sr-Cyrl-CS"/>
        </w:rPr>
        <w:t xml:space="preserve"> </w:t>
      </w:r>
      <w:r>
        <w:rPr>
          <w:rFonts w:ascii="Times New Roman" w:hAnsi="Times New Roman"/>
          <w:sz w:val="24"/>
          <w:szCs w:val="24"/>
          <w:lang w:val="sr-Cyrl-CS"/>
        </w:rPr>
        <w:t>nivou</w:t>
      </w:r>
      <w:r w:rsidR="001B65B2" w:rsidRPr="00E95BC4">
        <w:rPr>
          <w:rFonts w:ascii="Times New Roman" w:hAnsi="Times New Roman"/>
          <w:sz w:val="24"/>
          <w:szCs w:val="24"/>
          <w:lang w:val="sr-Cyrl-CS"/>
        </w:rPr>
        <w:t xml:space="preserve"> </w:t>
      </w:r>
      <w:r>
        <w:rPr>
          <w:rFonts w:ascii="Times New Roman" w:hAnsi="Times New Roman"/>
          <w:sz w:val="24"/>
          <w:szCs w:val="24"/>
          <w:lang w:val="sr-Cyrl-CS"/>
        </w:rPr>
        <w:t>i</w:t>
      </w:r>
      <w:r w:rsidR="001B65B2" w:rsidRPr="00E95BC4">
        <w:rPr>
          <w:rFonts w:ascii="Times New Roman" w:hAnsi="Times New Roman"/>
          <w:sz w:val="24"/>
          <w:szCs w:val="24"/>
          <w:lang w:val="sr-Cyrl-CS"/>
        </w:rPr>
        <w:t xml:space="preserve"> </w:t>
      </w:r>
      <w:r>
        <w:rPr>
          <w:rFonts w:ascii="Times New Roman" w:hAnsi="Times New Roman"/>
          <w:sz w:val="24"/>
          <w:szCs w:val="24"/>
          <w:lang w:val="sr-Cyrl-CS"/>
        </w:rPr>
        <w:t>pranje</w:t>
      </w:r>
      <w:r w:rsidR="001B65B2" w:rsidRPr="00E95BC4">
        <w:rPr>
          <w:rFonts w:ascii="Times New Roman" w:hAnsi="Times New Roman"/>
          <w:sz w:val="24"/>
          <w:szCs w:val="24"/>
          <w:lang w:val="sr-Cyrl-CS"/>
        </w:rPr>
        <w:t xml:space="preserve"> </w:t>
      </w:r>
      <w:r>
        <w:rPr>
          <w:rFonts w:ascii="Times New Roman" w:hAnsi="Times New Roman"/>
          <w:sz w:val="24"/>
          <w:szCs w:val="24"/>
          <w:lang w:val="sr-Cyrl-CS"/>
        </w:rPr>
        <w:t>novca</w:t>
      </w:r>
      <w:r w:rsidR="001B65B2" w:rsidRPr="00E95BC4">
        <w:rPr>
          <w:rFonts w:ascii="Times New Roman" w:hAnsi="Times New Roman"/>
          <w:sz w:val="24"/>
          <w:szCs w:val="24"/>
          <w:lang w:val="sr-Cyrl-CS"/>
        </w:rPr>
        <w:t xml:space="preserve">. </w:t>
      </w:r>
      <w:r>
        <w:rPr>
          <w:rFonts w:ascii="Times New Roman" w:hAnsi="Times New Roman"/>
          <w:sz w:val="24"/>
          <w:szCs w:val="24"/>
          <w:lang w:val="sr-Cyrl-CS"/>
        </w:rPr>
        <w:t>Otuda</w:t>
      </w:r>
      <w:r w:rsidR="00C37424" w:rsidRPr="00E95BC4">
        <w:rPr>
          <w:rFonts w:ascii="Times New Roman" w:hAnsi="Times New Roman"/>
          <w:sz w:val="24"/>
          <w:szCs w:val="24"/>
          <w:lang w:val="sr-Cyrl-CS"/>
        </w:rPr>
        <w:t xml:space="preserve"> </w:t>
      </w:r>
      <w:r>
        <w:rPr>
          <w:rFonts w:ascii="Times New Roman" w:hAnsi="Times New Roman"/>
          <w:sz w:val="24"/>
          <w:szCs w:val="24"/>
          <w:lang w:val="sr-Cyrl-CS"/>
        </w:rPr>
        <w:t>je</w:t>
      </w:r>
      <w:r w:rsidR="00C37424" w:rsidRPr="00E95BC4">
        <w:rPr>
          <w:rFonts w:ascii="Times New Roman" w:hAnsi="Times New Roman"/>
          <w:sz w:val="24"/>
          <w:szCs w:val="24"/>
          <w:lang w:val="sr-Cyrl-CS"/>
        </w:rPr>
        <w:t xml:space="preserve"> </w:t>
      </w:r>
      <w:r>
        <w:rPr>
          <w:rFonts w:ascii="Times New Roman" w:hAnsi="Times New Roman"/>
          <w:sz w:val="24"/>
          <w:szCs w:val="24"/>
          <w:lang w:val="sr-Cyrl-CS"/>
        </w:rPr>
        <w:t>neophodno</w:t>
      </w:r>
      <w:r w:rsidR="00C37424" w:rsidRPr="00E95BC4">
        <w:rPr>
          <w:rFonts w:ascii="Times New Roman" w:hAnsi="Times New Roman"/>
          <w:sz w:val="24"/>
          <w:szCs w:val="24"/>
          <w:lang w:val="sr-Cyrl-CS"/>
        </w:rPr>
        <w:t xml:space="preserve"> </w:t>
      </w:r>
      <w:r>
        <w:rPr>
          <w:rFonts w:ascii="Times New Roman" w:hAnsi="Times New Roman"/>
          <w:sz w:val="24"/>
          <w:szCs w:val="24"/>
          <w:lang w:val="sr-Cyrl-CS"/>
        </w:rPr>
        <w:t>imati</w:t>
      </w:r>
      <w:r w:rsidR="00C37424" w:rsidRPr="00E95BC4">
        <w:rPr>
          <w:rFonts w:ascii="Times New Roman" w:hAnsi="Times New Roman"/>
          <w:sz w:val="24"/>
          <w:szCs w:val="24"/>
          <w:lang w:val="sr-Cyrl-CS"/>
        </w:rPr>
        <w:t xml:space="preserve"> </w:t>
      </w:r>
      <w:r>
        <w:rPr>
          <w:rFonts w:ascii="Times New Roman" w:hAnsi="Times New Roman"/>
          <w:sz w:val="24"/>
          <w:szCs w:val="24"/>
          <w:lang w:val="sr-Cyrl-CS"/>
        </w:rPr>
        <w:t>sistem</w:t>
      </w:r>
      <w:r w:rsidR="00C37424" w:rsidRPr="00E95BC4">
        <w:rPr>
          <w:rFonts w:ascii="Times New Roman" w:hAnsi="Times New Roman"/>
          <w:sz w:val="24"/>
          <w:szCs w:val="24"/>
          <w:lang w:val="sr-Cyrl-CS"/>
        </w:rPr>
        <w:t xml:space="preserve"> </w:t>
      </w:r>
      <w:r>
        <w:rPr>
          <w:rFonts w:ascii="Times New Roman" w:hAnsi="Times New Roman"/>
          <w:sz w:val="24"/>
          <w:szCs w:val="24"/>
          <w:lang w:val="sr-Cyrl-CS"/>
        </w:rPr>
        <w:t>kontrole</w:t>
      </w:r>
      <w:r w:rsidR="00C37424" w:rsidRPr="00E95BC4">
        <w:rPr>
          <w:rFonts w:ascii="Times New Roman" w:hAnsi="Times New Roman"/>
          <w:sz w:val="24"/>
          <w:szCs w:val="24"/>
          <w:lang w:val="sr-Cyrl-CS"/>
        </w:rPr>
        <w:t xml:space="preserve">, </w:t>
      </w:r>
      <w:r>
        <w:rPr>
          <w:rFonts w:ascii="Times New Roman" w:hAnsi="Times New Roman"/>
          <w:sz w:val="24"/>
          <w:szCs w:val="24"/>
          <w:lang w:val="sr-Cyrl-CS"/>
        </w:rPr>
        <w:t>odnosno</w:t>
      </w:r>
      <w:r w:rsidR="00C37424" w:rsidRPr="00E95BC4">
        <w:rPr>
          <w:rFonts w:ascii="Times New Roman" w:hAnsi="Times New Roman"/>
          <w:sz w:val="24"/>
          <w:szCs w:val="24"/>
          <w:lang w:val="sr-Cyrl-CS"/>
        </w:rPr>
        <w:t xml:space="preserve"> </w:t>
      </w:r>
      <w:r>
        <w:rPr>
          <w:rFonts w:ascii="Times New Roman" w:hAnsi="Times New Roman"/>
          <w:sz w:val="24"/>
          <w:szCs w:val="24"/>
          <w:lang w:val="sr-Cyrl-CS"/>
        </w:rPr>
        <w:t>preventivni</w:t>
      </w:r>
      <w:r w:rsidR="00C37424" w:rsidRPr="00E95BC4">
        <w:rPr>
          <w:rFonts w:ascii="Times New Roman" w:hAnsi="Times New Roman"/>
          <w:sz w:val="24"/>
          <w:szCs w:val="24"/>
          <w:lang w:val="sr-Cyrl-CS"/>
        </w:rPr>
        <w:t xml:space="preserve"> </w:t>
      </w:r>
      <w:r>
        <w:rPr>
          <w:rFonts w:ascii="Times New Roman" w:hAnsi="Times New Roman"/>
          <w:sz w:val="24"/>
          <w:szCs w:val="24"/>
          <w:lang w:val="sr-Cyrl-CS"/>
        </w:rPr>
        <w:t>sistem</w:t>
      </w:r>
      <w:r w:rsidR="00C37424" w:rsidRPr="00E95BC4">
        <w:rPr>
          <w:rFonts w:ascii="Times New Roman" w:hAnsi="Times New Roman"/>
          <w:sz w:val="24"/>
          <w:szCs w:val="24"/>
          <w:lang w:val="sr-Cyrl-CS"/>
        </w:rPr>
        <w:t xml:space="preserve"> </w:t>
      </w:r>
      <w:r>
        <w:rPr>
          <w:rFonts w:ascii="Times New Roman" w:hAnsi="Times New Roman"/>
          <w:sz w:val="24"/>
          <w:szCs w:val="24"/>
          <w:lang w:val="sr-Cyrl-CS"/>
        </w:rPr>
        <w:t>koji</w:t>
      </w:r>
      <w:r w:rsidR="00C37424" w:rsidRPr="00E95BC4">
        <w:rPr>
          <w:rFonts w:ascii="Times New Roman" w:hAnsi="Times New Roman"/>
          <w:sz w:val="24"/>
          <w:szCs w:val="24"/>
          <w:lang w:val="sr-Cyrl-CS"/>
        </w:rPr>
        <w:t xml:space="preserve"> </w:t>
      </w:r>
      <w:r>
        <w:rPr>
          <w:rFonts w:ascii="Times New Roman" w:hAnsi="Times New Roman"/>
          <w:sz w:val="24"/>
          <w:szCs w:val="24"/>
          <w:lang w:val="sr-Cyrl-CS"/>
        </w:rPr>
        <w:t>će</w:t>
      </w:r>
      <w:r w:rsidR="00C37424" w:rsidRPr="00E95BC4">
        <w:rPr>
          <w:rFonts w:ascii="Times New Roman" w:hAnsi="Times New Roman"/>
          <w:sz w:val="24"/>
          <w:szCs w:val="24"/>
          <w:lang w:val="sr-Cyrl-CS"/>
        </w:rPr>
        <w:t xml:space="preserve"> </w:t>
      </w:r>
      <w:r>
        <w:rPr>
          <w:rFonts w:ascii="Times New Roman" w:hAnsi="Times New Roman"/>
          <w:sz w:val="24"/>
          <w:szCs w:val="24"/>
          <w:lang w:val="sr-Cyrl-CS"/>
        </w:rPr>
        <w:t>omogućiti</w:t>
      </w:r>
      <w:r w:rsidR="00C37424" w:rsidRPr="00E95BC4">
        <w:rPr>
          <w:rFonts w:ascii="Times New Roman" w:hAnsi="Times New Roman"/>
          <w:sz w:val="24"/>
          <w:szCs w:val="24"/>
          <w:lang w:val="sr-Cyrl-CS"/>
        </w:rPr>
        <w:t xml:space="preserve"> </w:t>
      </w:r>
      <w:r>
        <w:rPr>
          <w:rFonts w:ascii="Times New Roman" w:hAnsi="Times New Roman"/>
          <w:sz w:val="24"/>
          <w:szCs w:val="24"/>
          <w:lang w:val="sr-Cyrl-CS"/>
        </w:rPr>
        <w:t>otkrivanje</w:t>
      </w:r>
      <w:r w:rsidR="0099638C" w:rsidRPr="00E95BC4">
        <w:rPr>
          <w:rFonts w:ascii="Times New Roman" w:hAnsi="Times New Roman"/>
          <w:sz w:val="24"/>
          <w:szCs w:val="24"/>
          <w:lang w:val="sr-Cyrl-CS"/>
        </w:rPr>
        <w:t xml:space="preserve"> </w:t>
      </w:r>
      <w:r>
        <w:rPr>
          <w:rFonts w:ascii="Times New Roman" w:hAnsi="Times New Roman"/>
          <w:sz w:val="24"/>
          <w:szCs w:val="24"/>
          <w:lang w:val="sr-Cyrl-CS"/>
        </w:rPr>
        <w:t>i</w:t>
      </w:r>
      <w:r w:rsidR="0099638C" w:rsidRPr="00E95BC4">
        <w:rPr>
          <w:rFonts w:ascii="Times New Roman" w:hAnsi="Times New Roman"/>
          <w:sz w:val="24"/>
          <w:szCs w:val="24"/>
          <w:lang w:val="sr-Cyrl-CS"/>
        </w:rPr>
        <w:t xml:space="preserve"> </w:t>
      </w:r>
      <w:r>
        <w:rPr>
          <w:rFonts w:ascii="Times New Roman" w:hAnsi="Times New Roman"/>
          <w:sz w:val="24"/>
          <w:szCs w:val="24"/>
          <w:lang w:val="sr-Cyrl-CS"/>
        </w:rPr>
        <w:t>sprečavanje</w:t>
      </w:r>
      <w:r w:rsidR="00C37424" w:rsidRPr="00E95BC4">
        <w:rPr>
          <w:rFonts w:ascii="Times New Roman" w:hAnsi="Times New Roman"/>
          <w:sz w:val="24"/>
          <w:szCs w:val="24"/>
          <w:lang w:val="sr-Cyrl-CS"/>
        </w:rPr>
        <w:t xml:space="preserve"> </w:t>
      </w:r>
      <w:r>
        <w:rPr>
          <w:rFonts w:ascii="Times New Roman" w:hAnsi="Times New Roman"/>
          <w:sz w:val="24"/>
          <w:szCs w:val="24"/>
          <w:lang w:val="sr-Cyrl-CS"/>
        </w:rPr>
        <w:t>tih</w:t>
      </w:r>
      <w:r w:rsidR="00C37424" w:rsidRPr="00E95BC4">
        <w:rPr>
          <w:rFonts w:ascii="Times New Roman" w:hAnsi="Times New Roman"/>
          <w:sz w:val="24"/>
          <w:szCs w:val="24"/>
          <w:lang w:val="sr-Cyrl-CS"/>
        </w:rPr>
        <w:t xml:space="preserve"> </w:t>
      </w:r>
      <w:r>
        <w:rPr>
          <w:rFonts w:ascii="Times New Roman" w:hAnsi="Times New Roman"/>
          <w:sz w:val="24"/>
          <w:szCs w:val="24"/>
          <w:lang w:val="sr-Cyrl-CS"/>
        </w:rPr>
        <w:t>aktivnosti</w:t>
      </w:r>
      <w:r w:rsidR="00C37424" w:rsidRPr="00E95BC4">
        <w:rPr>
          <w:rFonts w:ascii="Times New Roman" w:hAnsi="Times New Roman"/>
          <w:sz w:val="24"/>
          <w:szCs w:val="24"/>
          <w:lang w:val="sr-Cyrl-CS"/>
        </w:rPr>
        <w:t xml:space="preserve">, </w:t>
      </w:r>
      <w:r>
        <w:rPr>
          <w:rFonts w:ascii="Times New Roman" w:hAnsi="Times New Roman"/>
          <w:sz w:val="24"/>
          <w:szCs w:val="24"/>
          <w:lang w:val="sr-Cyrl-CS"/>
        </w:rPr>
        <w:t>što</w:t>
      </w:r>
      <w:r w:rsidR="00C37424" w:rsidRPr="00E95BC4">
        <w:rPr>
          <w:rFonts w:ascii="Times New Roman" w:hAnsi="Times New Roman"/>
          <w:sz w:val="24"/>
          <w:szCs w:val="24"/>
          <w:lang w:val="sr-Cyrl-CS"/>
        </w:rPr>
        <w:t xml:space="preserve"> </w:t>
      </w:r>
      <w:r>
        <w:rPr>
          <w:rFonts w:ascii="Times New Roman" w:hAnsi="Times New Roman"/>
          <w:sz w:val="24"/>
          <w:szCs w:val="24"/>
          <w:lang w:val="sr-Cyrl-CS"/>
        </w:rPr>
        <w:t>jeste</w:t>
      </w:r>
      <w:r w:rsidR="00C37424" w:rsidRPr="00E95BC4">
        <w:rPr>
          <w:rFonts w:ascii="Times New Roman" w:hAnsi="Times New Roman"/>
          <w:sz w:val="24"/>
          <w:szCs w:val="24"/>
          <w:lang w:val="sr-Cyrl-CS"/>
        </w:rPr>
        <w:t xml:space="preserve"> </w:t>
      </w:r>
      <w:r>
        <w:rPr>
          <w:rFonts w:ascii="Times New Roman" w:hAnsi="Times New Roman"/>
          <w:sz w:val="24"/>
          <w:szCs w:val="24"/>
          <w:lang w:val="sr-Cyrl-CS"/>
        </w:rPr>
        <w:t>jedan</w:t>
      </w:r>
      <w:r w:rsidR="00C37424" w:rsidRPr="00E95BC4">
        <w:rPr>
          <w:rFonts w:ascii="Times New Roman" w:hAnsi="Times New Roman"/>
          <w:sz w:val="24"/>
          <w:szCs w:val="24"/>
          <w:lang w:val="sr-Cyrl-CS"/>
        </w:rPr>
        <w:t xml:space="preserve"> </w:t>
      </w:r>
      <w:r>
        <w:rPr>
          <w:rFonts w:ascii="Times New Roman" w:hAnsi="Times New Roman"/>
          <w:sz w:val="24"/>
          <w:szCs w:val="24"/>
          <w:lang w:val="sr-Cyrl-CS"/>
        </w:rPr>
        <w:t>od</w:t>
      </w:r>
      <w:r w:rsidR="00C37424" w:rsidRPr="00E95BC4">
        <w:rPr>
          <w:rFonts w:ascii="Times New Roman" w:hAnsi="Times New Roman"/>
          <w:sz w:val="24"/>
          <w:szCs w:val="24"/>
          <w:lang w:val="sr-Cyrl-CS"/>
        </w:rPr>
        <w:t xml:space="preserve"> </w:t>
      </w:r>
      <w:r>
        <w:rPr>
          <w:rFonts w:ascii="Times New Roman" w:hAnsi="Times New Roman"/>
          <w:sz w:val="24"/>
          <w:szCs w:val="24"/>
          <w:lang w:val="sr-Cyrl-CS"/>
        </w:rPr>
        <w:t>ključnih</w:t>
      </w:r>
      <w:r w:rsidR="00C37424" w:rsidRPr="00E95BC4">
        <w:rPr>
          <w:rFonts w:ascii="Times New Roman" w:hAnsi="Times New Roman"/>
          <w:sz w:val="24"/>
          <w:szCs w:val="24"/>
          <w:lang w:val="sr-Cyrl-CS"/>
        </w:rPr>
        <w:t xml:space="preserve"> </w:t>
      </w:r>
      <w:r>
        <w:rPr>
          <w:rFonts w:ascii="Times New Roman" w:hAnsi="Times New Roman"/>
          <w:sz w:val="24"/>
          <w:szCs w:val="24"/>
          <w:lang w:val="sr-Cyrl-CS"/>
        </w:rPr>
        <w:t>ciljeva</w:t>
      </w:r>
      <w:r w:rsidR="00C37424" w:rsidRPr="00E95BC4">
        <w:rPr>
          <w:rFonts w:ascii="Times New Roman" w:hAnsi="Times New Roman"/>
          <w:sz w:val="24"/>
          <w:szCs w:val="24"/>
          <w:lang w:val="sr-Cyrl-CS"/>
        </w:rPr>
        <w:t xml:space="preserve"> </w:t>
      </w:r>
      <w:r>
        <w:rPr>
          <w:rFonts w:ascii="Times New Roman" w:hAnsi="Times New Roman"/>
          <w:sz w:val="24"/>
          <w:szCs w:val="24"/>
          <w:lang w:val="sr-Cyrl-CS"/>
        </w:rPr>
        <w:t>politike</w:t>
      </w:r>
      <w:r w:rsidR="00C37424" w:rsidRPr="00E95BC4">
        <w:rPr>
          <w:rFonts w:ascii="Times New Roman" w:hAnsi="Times New Roman"/>
          <w:sz w:val="24"/>
          <w:szCs w:val="24"/>
          <w:lang w:val="sr-Cyrl-CS"/>
        </w:rPr>
        <w:t xml:space="preserve"> </w:t>
      </w:r>
      <w:r>
        <w:rPr>
          <w:rFonts w:ascii="Times New Roman" w:hAnsi="Times New Roman"/>
          <w:sz w:val="24"/>
          <w:szCs w:val="24"/>
          <w:lang w:val="sr-Cyrl-CS"/>
        </w:rPr>
        <w:t>u</w:t>
      </w:r>
      <w:r w:rsidR="001B65B2" w:rsidRPr="00E95BC4">
        <w:rPr>
          <w:rFonts w:ascii="Times New Roman" w:hAnsi="Times New Roman"/>
          <w:sz w:val="24"/>
          <w:szCs w:val="24"/>
          <w:lang w:val="sr-Cyrl-CS"/>
        </w:rPr>
        <w:t xml:space="preserve"> </w:t>
      </w:r>
      <w:r>
        <w:rPr>
          <w:rFonts w:ascii="Times New Roman" w:hAnsi="Times New Roman"/>
          <w:sz w:val="24"/>
          <w:szCs w:val="24"/>
          <w:lang w:val="sr-Cyrl-CS"/>
        </w:rPr>
        <w:t>ovoj</w:t>
      </w:r>
      <w:r w:rsidR="001B65B2" w:rsidRPr="00E95BC4">
        <w:rPr>
          <w:rFonts w:ascii="Times New Roman" w:hAnsi="Times New Roman"/>
          <w:sz w:val="24"/>
          <w:szCs w:val="24"/>
          <w:lang w:val="sr-Cyrl-CS"/>
        </w:rPr>
        <w:t xml:space="preserve"> </w:t>
      </w:r>
      <w:r>
        <w:rPr>
          <w:rFonts w:ascii="Times New Roman" w:hAnsi="Times New Roman"/>
          <w:sz w:val="24"/>
          <w:szCs w:val="24"/>
          <w:lang w:val="sr-Cyrl-CS"/>
        </w:rPr>
        <w:t>oblasti</w:t>
      </w:r>
      <w:r w:rsidR="001B65B2" w:rsidRPr="00E95BC4">
        <w:rPr>
          <w:rFonts w:ascii="Times New Roman" w:hAnsi="Times New Roman"/>
          <w:sz w:val="24"/>
          <w:szCs w:val="24"/>
          <w:lang w:val="sr-Cyrl-CS"/>
        </w:rPr>
        <w:t>.</w:t>
      </w:r>
      <w:r w:rsidR="00D1117C" w:rsidRPr="00E95BC4">
        <w:rPr>
          <w:rStyle w:val="FootnoteReference"/>
          <w:rFonts w:ascii="Times New Roman" w:hAnsi="Times New Roman"/>
          <w:sz w:val="24"/>
          <w:szCs w:val="24"/>
          <w:lang w:val="sr-Cyrl-CS"/>
        </w:rPr>
        <w:footnoteReference w:id="26"/>
      </w:r>
      <w:r w:rsidR="00765B7E" w:rsidRPr="00E95BC4">
        <w:rPr>
          <w:rFonts w:ascii="Times New Roman" w:hAnsi="Times New Roman"/>
          <w:sz w:val="24"/>
          <w:szCs w:val="24"/>
          <w:lang w:val="sr-Cyrl-CS"/>
        </w:rPr>
        <w:t xml:space="preserve"> </w:t>
      </w:r>
      <w:r>
        <w:rPr>
          <w:rFonts w:ascii="Times New Roman" w:hAnsi="Times New Roman"/>
          <w:sz w:val="24"/>
          <w:szCs w:val="24"/>
          <w:lang w:val="sr-Cyrl-CS"/>
        </w:rPr>
        <w:t>U</w:t>
      </w:r>
      <w:r w:rsidR="00765B7E" w:rsidRPr="00E95BC4">
        <w:rPr>
          <w:rFonts w:ascii="Times New Roman" w:hAnsi="Times New Roman"/>
          <w:sz w:val="24"/>
          <w:szCs w:val="24"/>
          <w:lang w:val="sr-Cyrl-CS"/>
        </w:rPr>
        <w:t xml:space="preserve"> </w:t>
      </w:r>
      <w:r>
        <w:rPr>
          <w:rFonts w:ascii="Times New Roman" w:hAnsi="Times New Roman"/>
          <w:sz w:val="24"/>
          <w:szCs w:val="24"/>
          <w:lang w:val="sr-Cyrl-CS"/>
        </w:rPr>
        <w:t>okviru</w:t>
      </w:r>
      <w:r w:rsidR="00765B7E" w:rsidRPr="00E95BC4">
        <w:rPr>
          <w:rFonts w:ascii="Times New Roman" w:hAnsi="Times New Roman"/>
          <w:sz w:val="24"/>
          <w:szCs w:val="24"/>
          <w:lang w:val="sr-Cyrl-CS"/>
        </w:rPr>
        <w:t xml:space="preserve"> </w:t>
      </w:r>
      <w:r>
        <w:rPr>
          <w:rFonts w:ascii="Times New Roman" w:hAnsi="Times New Roman"/>
          <w:sz w:val="24"/>
          <w:szCs w:val="24"/>
          <w:lang w:val="sr-Cyrl-CS"/>
        </w:rPr>
        <w:t>Nacionalne</w:t>
      </w:r>
      <w:r w:rsidR="00765B7E" w:rsidRPr="00E95BC4">
        <w:rPr>
          <w:rFonts w:ascii="Times New Roman" w:hAnsi="Times New Roman"/>
          <w:sz w:val="24"/>
          <w:szCs w:val="24"/>
          <w:lang w:val="sr-Cyrl-CS"/>
        </w:rPr>
        <w:t xml:space="preserve"> </w:t>
      </w:r>
      <w:r>
        <w:rPr>
          <w:rFonts w:ascii="Times New Roman" w:hAnsi="Times New Roman"/>
          <w:sz w:val="24"/>
          <w:szCs w:val="24"/>
          <w:lang w:val="sr-Cyrl-CS"/>
        </w:rPr>
        <w:t>procene</w:t>
      </w:r>
      <w:r w:rsidR="00765B7E" w:rsidRPr="00E95BC4">
        <w:rPr>
          <w:rFonts w:ascii="Times New Roman" w:hAnsi="Times New Roman"/>
          <w:sz w:val="24"/>
          <w:szCs w:val="24"/>
          <w:lang w:val="sr-Cyrl-CS"/>
        </w:rPr>
        <w:t xml:space="preserve"> </w:t>
      </w:r>
      <w:r>
        <w:rPr>
          <w:rFonts w:ascii="Times New Roman" w:hAnsi="Times New Roman"/>
          <w:sz w:val="24"/>
          <w:szCs w:val="24"/>
          <w:lang w:val="sr-Cyrl-CS"/>
        </w:rPr>
        <w:t>rizika</w:t>
      </w:r>
      <w:r w:rsidR="00765B7E" w:rsidRPr="00E95BC4">
        <w:rPr>
          <w:rFonts w:ascii="Times New Roman" w:hAnsi="Times New Roman"/>
          <w:sz w:val="24"/>
          <w:szCs w:val="24"/>
          <w:lang w:val="sr-Cyrl-CS"/>
        </w:rPr>
        <w:t xml:space="preserve"> </w:t>
      </w:r>
      <w:r>
        <w:rPr>
          <w:rFonts w:ascii="Times New Roman" w:hAnsi="Times New Roman"/>
          <w:sz w:val="24"/>
          <w:szCs w:val="24"/>
          <w:lang w:val="sr-Cyrl-CS"/>
        </w:rPr>
        <w:t>iz</w:t>
      </w:r>
      <w:r w:rsidR="00765B7E" w:rsidRPr="00E95BC4">
        <w:rPr>
          <w:rFonts w:ascii="Times New Roman" w:hAnsi="Times New Roman"/>
          <w:sz w:val="24"/>
          <w:szCs w:val="24"/>
          <w:lang w:val="sr-Cyrl-CS"/>
        </w:rPr>
        <w:t xml:space="preserve"> 2018. </w:t>
      </w:r>
      <w:r>
        <w:rPr>
          <w:rFonts w:ascii="Times New Roman" w:hAnsi="Times New Roman"/>
          <w:sz w:val="24"/>
          <w:szCs w:val="24"/>
          <w:lang w:val="sr-Cyrl-CS"/>
        </w:rPr>
        <w:t>godine</w:t>
      </w:r>
      <w:r w:rsidR="00765B7E" w:rsidRPr="00E95BC4">
        <w:rPr>
          <w:rFonts w:ascii="Times New Roman" w:hAnsi="Times New Roman"/>
          <w:sz w:val="24"/>
          <w:szCs w:val="24"/>
          <w:lang w:val="sr-Cyrl-CS"/>
        </w:rPr>
        <w:t xml:space="preserve"> </w:t>
      </w:r>
      <w:r>
        <w:rPr>
          <w:rFonts w:ascii="Times New Roman" w:hAnsi="Times New Roman"/>
          <w:sz w:val="24"/>
          <w:szCs w:val="24"/>
          <w:lang w:val="sr-Cyrl-CS"/>
        </w:rPr>
        <w:t>utvrđeno</w:t>
      </w:r>
      <w:r w:rsidR="00765B7E" w:rsidRPr="00E95BC4">
        <w:rPr>
          <w:rFonts w:ascii="Times New Roman" w:hAnsi="Times New Roman"/>
          <w:sz w:val="24"/>
          <w:szCs w:val="24"/>
          <w:lang w:val="sr-Cyrl-CS"/>
        </w:rPr>
        <w:t xml:space="preserve"> </w:t>
      </w:r>
      <w:r>
        <w:rPr>
          <w:rFonts w:ascii="Times New Roman" w:hAnsi="Times New Roman"/>
          <w:sz w:val="24"/>
          <w:szCs w:val="24"/>
          <w:lang w:val="sr-Cyrl-CS"/>
        </w:rPr>
        <w:t>je</w:t>
      </w:r>
      <w:r w:rsidR="00765B7E" w:rsidRPr="00E95BC4">
        <w:rPr>
          <w:rFonts w:ascii="Times New Roman" w:hAnsi="Times New Roman"/>
          <w:sz w:val="24"/>
          <w:szCs w:val="24"/>
          <w:lang w:val="sr-Cyrl-CS"/>
        </w:rPr>
        <w:t xml:space="preserve"> </w:t>
      </w:r>
      <w:r>
        <w:rPr>
          <w:rFonts w:ascii="Times New Roman" w:hAnsi="Times New Roman"/>
          <w:sz w:val="24"/>
          <w:szCs w:val="24"/>
          <w:lang w:val="sr-Cyrl-CS"/>
        </w:rPr>
        <w:t>da</w:t>
      </w:r>
      <w:r w:rsidR="00765B7E" w:rsidRPr="00E95BC4">
        <w:rPr>
          <w:rFonts w:ascii="Times New Roman" w:hAnsi="Times New Roman"/>
          <w:sz w:val="24"/>
          <w:szCs w:val="24"/>
          <w:lang w:val="sr-Cyrl-CS"/>
        </w:rPr>
        <w:t xml:space="preserve"> </w:t>
      </w:r>
      <w:r>
        <w:rPr>
          <w:rFonts w:ascii="Times New Roman" w:hAnsi="Times New Roman"/>
          <w:sz w:val="24"/>
          <w:szCs w:val="24"/>
          <w:lang w:val="sr-Cyrl-CS"/>
        </w:rPr>
        <w:t>ukupni</w:t>
      </w:r>
      <w:r w:rsidR="00765B7E" w:rsidRPr="00E95BC4">
        <w:rPr>
          <w:rFonts w:ascii="Times New Roman" w:hAnsi="Times New Roman"/>
          <w:sz w:val="24"/>
          <w:szCs w:val="24"/>
          <w:lang w:val="sr-Cyrl-CS"/>
        </w:rPr>
        <w:t xml:space="preserve"> </w:t>
      </w:r>
      <w:r>
        <w:rPr>
          <w:rFonts w:ascii="Times New Roman" w:hAnsi="Times New Roman"/>
          <w:sz w:val="24"/>
          <w:szCs w:val="24"/>
          <w:lang w:val="sr-Cyrl-CS"/>
        </w:rPr>
        <w:t>rizik</w:t>
      </w:r>
      <w:r w:rsidR="00765B7E" w:rsidRPr="00E95BC4">
        <w:rPr>
          <w:rFonts w:ascii="Times New Roman" w:hAnsi="Times New Roman"/>
          <w:sz w:val="24"/>
          <w:szCs w:val="24"/>
          <w:lang w:val="sr-Cyrl-CS"/>
        </w:rPr>
        <w:t xml:space="preserve"> </w:t>
      </w:r>
      <w:r>
        <w:rPr>
          <w:rFonts w:ascii="Times New Roman" w:hAnsi="Times New Roman"/>
          <w:sz w:val="24"/>
          <w:szCs w:val="24"/>
          <w:lang w:val="sr-Cyrl-CS"/>
        </w:rPr>
        <w:t>od</w:t>
      </w:r>
      <w:r w:rsidR="001E55D5" w:rsidRPr="00E95BC4">
        <w:rPr>
          <w:rFonts w:ascii="Times New Roman" w:hAnsi="Times New Roman"/>
          <w:sz w:val="24"/>
          <w:szCs w:val="24"/>
          <w:lang w:val="sr-Cyrl-CS"/>
        </w:rPr>
        <w:t xml:space="preserve"> </w:t>
      </w:r>
      <w:r>
        <w:rPr>
          <w:rFonts w:ascii="Times New Roman" w:hAnsi="Times New Roman"/>
          <w:sz w:val="24"/>
          <w:szCs w:val="24"/>
          <w:lang w:val="sr-Cyrl-CS"/>
        </w:rPr>
        <w:t>pranja</w:t>
      </w:r>
      <w:r w:rsidR="001E55D5" w:rsidRPr="00E95BC4">
        <w:rPr>
          <w:rFonts w:ascii="Times New Roman" w:hAnsi="Times New Roman"/>
          <w:sz w:val="24"/>
          <w:szCs w:val="24"/>
          <w:lang w:val="sr-Cyrl-CS"/>
        </w:rPr>
        <w:t xml:space="preserve"> </w:t>
      </w:r>
      <w:r>
        <w:rPr>
          <w:rFonts w:ascii="Times New Roman" w:hAnsi="Times New Roman"/>
          <w:sz w:val="24"/>
          <w:szCs w:val="24"/>
          <w:lang w:val="sr-Cyrl-CS"/>
        </w:rPr>
        <w:t>novca</w:t>
      </w:r>
      <w:r w:rsidR="001E55D5" w:rsidRPr="00E95BC4">
        <w:rPr>
          <w:rFonts w:ascii="Times New Roman" w:hAnsi="Times New Roman"/>
          <w:sz w:val="24"/>
          <w:szCs w:val="24"/>
          <w:lang w:val="sr-Cyrl-CS"/>
        </w:rPr>
        <w:t xml:space="preserve"> </w:t>
      </w:r>
      <w:r>
        <w:rPr>
          <w:rFonts w:ascii="Times New Roman" w:hAnsi="Times New Roman"/>
          <w:sz w:val="24"/>
          <w:szCs w:val="24"/>
          <w:lang w:val="sr-Cyrl-CS"/>
        </w:rPr>
        <w:t>u</w:t>
      </w:r>
      <w:r w:rsidR="00E902D8" w:rsidRPr="00E902D8">
        <w:rPr>
          <w:lang w:val="sr-Cyrl-CS"/>
        </w:rPr>
        <w:t xml:space="preserve"> </w:t>
      </w:r>
      <w:r>
        <w:rPr>
          <w:sz w:val="24"/>
          <w:szCs w:val="24"/>
          <w:lang w:val="sr-Cyrl-CS"/>
        </w:rPr>
        <w:t>Republici</w:t>
      </w:r>
      <w:r w:rsidR="001E55D5" w:rsidRPr="00E95BC4">
        <w:rPr>
          <w:rFonts w:ascii="Times New Roman" w:hAnsi="Times New Roman"/>
          <w:sz w:val="24"/>
          <w:szCs w:val="24"/>
          <w:lang w:val="sr-Cyrl-CS"/>
        </w:rPr>
        <w:t xml:space="preserve"> </w:t>
      </w:r>
      <w:r>
        <w:rPr>
          <w:rFonts w:ascii="Times New Roman" w:hAnsi="Times New Roman"/>
          <w:sz w:val="24"/>
          <w:szCs w:val="24"/>
          <w:lang w:val="sr-Cyrl-CS"/>
        </w:rPr>
        <w:t>Srbiji</w:t>
      </w:r>
      <w:r w:rsidR="001E55D5" w:rsidRPr="00E95BC4">
        <w:rPr>
          <w:rFonts w:ascii="Times New Roman" w:hAnsi="Times New Roman"/>
          <w:sz w:val="24"/>
          <w:szCs w:val="24"/>
          <w:lang w:val="sr-Cyrl-CS"/>
        </w:rPr>
        <w:t xml:space="preserve"> „</w:t>
      </w:r>
      <w:r>
        <w:rPr>
          <w:rFonts w:ascii="Times New Roman" w:hAnsi="Times New Roman"/>
          <w:sz w:val="24"/>
          <w:szCs w:val="24"/>
          <w:lang w:val="sr-Cyrl-CS"/>
        </w:rPr>
        <w:t>srednji</w:t>
      </w:r>
      <w:r w:rsidR="001E55D5" w:rsidRPr="00E95BC4">
        <w:rPr>
          <w:rFonts w:ascii="Times New Roman" w:hAnsi="Times New Roman"/>
          <w:sz w:val="24"/>
          <w:szCs w:val="24"/>
          <w:lang w:val="sr-Cyrl-CS"/>
        </w:rPr>
        <w:t>”</w:t>
      </w:r>
      <w:r w:rsidR="00765B7E" w:rsidRPr="00E95BC4">
        <w:rPr>
          <w:rFonts w:ascii="Times New Roman" w:hAnsi="Times New Roman"/>
          <w:sz w:val="24"/>
          <w:szCs w:val="24"/>
          <w:lang w:val="sr-Cyrl-CS"/>
        </w:rPr>
        <w:t xml:space="preserve">. </w:t>
      </w:r>
      <w:r>
        <w:rPr>
          <w:rFonts w:ascii="Times New Roman" w:hAnsi="Times New Roman"/>
          <w:sz w:val="24"/>
          <w:szCs w:val="24"/>
          <w:lang w:val="sr-Cyrl-CS"/>
        </w:rPr>
        <w:t>Međutim</w:t>
      </w:r>
      <w:r w:rsidR="00765B7E" w:rsidRPr="00E95BC4">
        <w:rPr>
          <w:rFonts w:ascii="Times New Roman" w:hAnsi="Times New Roman"/>
          <w:sz w:val="24"/>
          <w:szCs w:val="24"/>
          <w:lang w:val="sr-Cyrl-CS"/>
        </w:rPr>
        <w:t xml:space="preserve">, </w:t>
      </w:r>
      <w:r>
        <w:rPr>
          <w:rFonts w:ascii="Times New Roman" w:hAnsi="Times New Roman"/>
          <w:sz w:val="24"/>
          <w:szCs w:val="24"/>
          <w:lang w:val="sr-Cyrl-CS"/>
        </w:rPr>
        <w:t>utvrđeno</w:t>
      </w:r>
      <w:r w:rsidR="00765B7E" w:rsidRPr="00E95BC4">
        <w:rPr>
          <w:rFonts w:ascii="Times New Roman" w:hAnsi="Times New Roman"/>
          <w:sz w:val="24"/>
          <w:szCs w:val="24"/>
          <w:lang w:val="sr-Cyrl-CS"/>
        </w:rPr>
        <w:t xml:space="preserve"> </w:t>
      </w:r>
      <w:r>
        <w:rPr>
          <w:rFonts w:ascii="Times New Roman" w:hAnsi="Times New Roman"/>
          <w:sz w:val="24"/>
          <w:szCs w:val="24"/>
          <w:lang w:val="sr-Cyrl-CS"/>
        </w:rPr>
        <w:t>je</w:t>
      </w:r>
      <w:r w:rsidR="00765B7E" w:rsidRPr="00E95BC4">
        <w:rPr>
          <w:rFonts w:ascii="Times New Roman" w:hAnsi="Times New Roman"/>
          <w:sz w:val="24"/>
          <w:szCs w:val="24"/>
          <w:lang w:val="sr-Cyrl-CS"/>
        </w:rPr>
        <w:t xml:space="preserve"> </w:t>
      </w:r>
      <w:r>
        <w:rPr>
          <w:rFonts w:ascii="Times New Roman" w:hAnsi="Times New Roman"/>
          <w:sz w:val="24"/>
          <w:szCs w:val="24"/>
          <w:lang w:val="sr-Cyrl-CS"/>
        </w:rPr>
        <w:t>da</w:t>
      </w:r>
      <w:r w:rsidR="00765B7E" w:rsidRPr="00E95BC4">
        <w:rPr>
          <w:rFonts w:ascii="Times New Roman" w:hAnsi="Times New Roman"/>
          <w:sz w:val="24"/>
          <w:szCs w:val="24"/>
          <w:lang w:val="sr-Cyrl-CS"/>
        </w:rPr>
        <w:t xml:space="preserve"> </w:t>
      </w:r>
      <w:r>
        <w:rPr>
          <w:rFonts w:ascii="Times New Roman" w:hAnsi="Times New Roman"/>
          <w:sz w:val="24"/>
          <w:szCs w:val="24"/>
          <w:lang w:val="sr-Cyrl-CS"/>
        </w:rPr>
        <w:t>su</w:t>
      </w:r>
      <w:r w:rsidR="00765B7E" w:rsidRPr="00E95BC4">
        <w:rPr>
          <w:rFonts w:ascii="Times New Roman" w:hAnsi="Times New Roman"/>
          <w:sz w:val="24"/>
          <w:szCs w:val="24"/>
          <w:lang w:val="sr-Cyrl-CS"/>
        </w:rPr>
        <w:t xml:space="preserve"> </w:t>
      </w:r>
      <w:r>
        <w:rPr>
          <w:rFonts w:ascii="Times New Roman" w:hAnsi="Times New Roman"/>
          <w:sz w:val="24"/>
          <w:szCs w:val="24"/>
          <w:lang w:val="sr-Cyrl-CS"/>
        </w:rPr>
        <w:t>neki</w:t>
      </w:r>
      <w:r w:rsidR="00765B7E" w:rsidRPr="00E95BC4">
        <w:rPr>
          <w:rFonts w:ascii="Times New Roman" w:hAnsi="Times New Roman"/>
          <w:sz w:val="24"/>
          <w:szCs w:val="24"/>
          <w:lang w:val="sr-Cyrl-CS"/>
        </w:rPr>
        <w:t xml:space="preserve"> </w:t>
      </w:r>
      <w:r>
        <w:rPr>
          <w:rFonts w:ascii="Times New Roman" w:hAnsi="Times New Roman"/>
          <w:sz w:val="24"/>
          <w:szCs w:val="24"/>
          <w:lang w:val="sr-Cyrl-CS"/>
        </w:rPr>
        <w:t>sektori</w:t>
      </w:r>
      <w:r w:rsidR="00765B7E" w:rsidRPr="00E95BC4">
        <w:rPr>
          <w:rFonts w:ascii="Times New Roman" w:hAnsi="Times New Roman"/>
          <w:sz w:val="24"/>
          <w:szCs w:val="24"/>
          <w:lang w:val="sr-Cyrl-CS"/>
        </w:rPr>
        <w:t xml:space="preserve"> </w:t>
      </w:r>
      <w:r>
        <w:rPr>
          <w:rFonts w:ascii="Times New Roman" w:hAnsi="Times New Roman"/>
          <w:sz w:val="24"/>
          <w:szCs w:val="24"/>
          <w:lang w:val="sr-Cyrl-CS"/>
        </w:rPr>
        <w:t>i</w:t>
      </w:r>
      <w:r w:rsidR="00765B7E" w:rsidRPr="00E95BC4">
        <w:rPr>
          <w:rFonts w:ascii="Times New Roman" w:hAnsi="Times New Roman"/>
          <w:sz w:val="24"/>
          <w:szCs w:val="24"/>
          <w:lang w:val="sr-Cyrl-CS"/>
        </w:rPr>
        <w:t xml:space="preserve"> </w:t>
      </w:r>
      <w:r>
        <w:rPr>
          <w:rFonts w:ascii="Times New Roman" w:hAnsi="Times New Roman"/>
          <w:sz w:val="24"/>
          <w:szCs w:val="24"/>
          <w:lang w:val="sr-Cyrl-CS"/>
        </w:rPr>
        <w:t>privredne</w:t>
      </w:r>
      <w:r w:rsidR="00765B7E" w:rsidRPr="00E95BC4">
        <w:rPr>
          <w:rFonts w:ascii="Times New Roman" w:hAnsi="Times New Roman"/>
          <w:sz w:val="24"/>
          <w:szCs w:val="24"/>
          <w:lang w:val="sr-Cyrl-CS"/>
        </w:rPr>
        <w:t xml:space="preserve"> </w:t>
      </w:r>
      <w:r>
        <w:rPr>
          <w:rFonts w:ascii="Times New Roman" w:hAnsi="Times New Roman"/>
          <w:sz w:val="24"/>
          <w:szCs w:val="24"/>
          <w:lang w:val="sr-Cyrl-CS"/>
        </w:rPr>
        <w:t>delatnosti</w:t>
      </w:r>
      <w:r w:rsidR="00765B7E" w:rsidRPr="00E95BC4">
        <w:rPr>
          <w:rFonts w:ascii="Times New Roman" w:hAnsi="Times New Roman"/>
          <w:sz w:val="24"/>
          <w:szCs w:val="24"/>
          <w:lang w:val="sr-Cyrl-CS"/>
        </w:rPr>
        <w:t xml:space="preserve"> </w:t>
      </w:r>
      <w:r>
        <w:rPr>
          <w:rFonts w:ascii="Times New Roman" w:hAnsi="Times New Roman"/>
          <w:sz w:val="24"/>
          <w:szCs w:val="24"/>
          <w:lang w:val="sr-Cyrl-CS"/>
        </w:rPr>
        <w:t>ranjivi</w:t>
      </w:r>
      <w:r w:rsidR="000F7156">
        <w:rPr>
          <w:rFonts w:ascii="Times New Roman" w:hAnsi="Times New Roman"/>
          <w:sz w:val="24"/>
          <w:szCs w:val="24"/>
          <w:lang w:val="sr-Cyrl-CS"/>
        </w:rPr>
        <w:t>,</w:t>
      </w:r>
      <w:r w:rsidR="008A65BD" w:rsidRPr="00E95BC4">
        <w:rPr>
          <w:rFonts w:ascii="Times New Roman" w:hAnsi="Times New Roman"/>
          <w:sz w:val="24"/>
          <w:szCs w:val="24"/>
          <w:lang w:val="sr-Cyrl-CS"/>
        </w:rPr>
        <w:t xml:space="preserve"> </w:t>
      </w:r>
      <w:r>
        <w:rPr>
          <w:rFonts w:ascii="Times New Roman" w:hAnsi="Times New Roman"/>
          <w:sz w:val="24"/>
          <w:szCs w:val="24"/>
          <w:lang w:val="sr-Cyrl-CS"/>
        </w:rPr>
        <w:t>odnosno</w:t>
      </w:r>
      <w:r w:rsidR="008A65BD" w:rsidRPr="00E95BC4">
        <w:rPr>
          <w:rFonts w:ascii="Times New Roman" w:hAnsi="Times New Roman"/>
          <w:sz w:val="24"/>
          <w:szCs w:val="24"/>
          <w:lang w:val="sr-Cyrl-CS"/>
        </w:rPr>
        <w:t xml:space="preserve"> </w:t>
      </w:r>
      <w:r>
        <w:rPr>
          <w:rFonts w:ascii="Times New Roman" w:hAnsi="Times New Roman"/>
          <w:sz w:val="24"/>
          <w:szCs w:val="24"/>
          <w:lang w:val="sr-Cyrl-CS"/>
        </w:rPr>
        <w:t>rizični</w:t>
      </w:r>
      <w:r w:rsidR="00765B7E" w:rsidRPr="00E95BC4">
        <w:rPr>
          <w:rFonts w:ascii="Times New Roman" w:hAnsi="Times New Roman"/>
          <w:sz w:val="24"/>
          <w:szCs w:val="24"/>
          <w:lang w:val="sr-Cyrl-CS"/>
        </w:rPr>
        <w:t xml:space="preserve">, </w:t>
      </w:r>
      <w:r>
        <w:rPr>
          <w:rFonts w:ascii="Times New Roman" w:hAnsi="Times New Roman"/>
          <w:sz w:val="24"/>
          <w:szCs w:val="24"/>
          <w:lang w:val="sr-Cyrl-CS"/>
        </w:rPr>
        <w:t>poput</w:t>
      </w:r>
      <w:r w:rsidR="008A65BD" w:rsidRPr="00E95BC4">
        <w:rPr>
          <w:rFonts w:ascii="Times New Roman" w:hAnsi="Times New Roman"/>
          <w:sz w:val="24"/>
          <w:szCs w:val="24"/>
          <w:lang w:val="sr-Cyrl-CS"/>
        </w:rPr>
        <w:t xml:space="preserve"> </w:t>
      </w:r>
      <w:r>
        <w:rPr>
          <w:rFonts w:ascii="Times New Roman" w:hAnsi="Times New Roman"/>
          <w:sz w:val="24"/>
          <w:szCs w:val="24"/>
          <w:lang w:val="sr-Cyrl-CS"/>
        </w:rPr>
        <w:t>sektora</w:t>
      </w:r>
      <w:r w:rsidR="00765B7E" w:rsidRPr="00E95BC4">
        <w:rPr>
          <w:rFonts w:ascii="Times New Roman" w:hAnsi="Times New Roman"/>
          <w:sz w:val="24"/>
          <w:szCs w:val="24"/>
          <w:lang w:val="sr-Cyrl-CS"/>
        </w:rPr>
        <w:t xml:space="preserve"> </w:t>
      </w:r>
      <w:r>
        <w:rPr>
          <w:rFonts w:ascii="Times New Roman" w:hAnsi="Times New Roman"/>
          <w:sz w:val="24"/>
          <w:szCs w:val="24"/>
          <w:lang w:val="sr-Cyrl-CS"/>
        </w:rPr>
        <w:t>prometa</w:t>
      </w:r>
      <w:r w:rsidR="00765B7E" w:rsidRPr="00E95BC4">
        <w:rPr>
          <w:rFonts w:ascii="Times New Roman" w:hAnsi="Times New Roman"/>
          <w:sz w:val="24"/>
          <w:szCs w:val="24"/>
          <w:lang w:val="sr-Cyrl-CS"/>
        </w:rPr>
        <w:t xml:space="preserve"> </w:t>
      </w:r>
      <w:r>
        <w:rPr>
          <w:rFonts w:ascii="Times New Roman" w:hAnsi="Times New Roman"/>
          <w:sz w:val="24"/>
          <w:szCs w:val="24"/>
          <w:lang w:val="sr-Cyrl-CS"/>
        </w:rPr>
        <w:t>i</w:t>
      </w:r>
      <w:r w:rsidR="00765B7E" w:rsidRPr="00E95BC4">
        <w:rPr>
          <w:rFonts w:ascii="Times New Roman" w:hAnsi="Times New Roman"/>
          <w:sz w:val="24"/>
          <w:szCs w:val="24"/>
          <w:lang w:val="sr-Cyrl-CS"/>
        </w:rPr>
        <w:t xml:space="preserve"> </w:t>
      </w:r>
      <w:r>
        <w:rPr>
          <w:rFonts w:ascii="Times New Roman" w:hAnsi="Times New Roman"/>
          <w:sz w:val="24"/>
          <w:szCs w:val="24"/>
          <w:lang w:val="sr-Cyrl-CS"/>
        </w:rPr>
        <w:t>zakupa</w:t>
      </w:r>
      <w:r w:rsidR="00765B7E" w:rsidRPr="00E95BC4">
        <w:rPr>
          <w:rFonts w:ascii="Times New Roman" w:hAnsi="Times New Roman"/>
          <w:sz w:val="24"/>
          <w:szCs w:val="24"/>
          <w:lang w:val="sr-Cyrl-CS"/>
        </w:rPr>
        <w:t xml:space="preserve"> </w:t>
      </w:r>
      <w:r>
        <w:rPr>
          <w:rFonts w:ascii="Times New Roman" w:hAnsi="Times New Roman"/>
          <w:sz w:val="24"/>
          <w:szCs w:val="24"/>
          <w:lang w:val="sr-Cyrl-CS"/>
        </w:rPr>
        <w:t>nepokretnosti</w:t>
      </w:r>
      <w:r w:rsidR="00765B7E" w:rsidRPr="00E95BC4">
        <w:rPr>
          <w:rFonts w:ascii="Times New Roman" w:hAnsi="Times New Roman"/>
          <w:sz w:val="24"/>
          <w:szCs w:val="24"/>
          <w:lang w:val="sr-Cyrl-CS"/>
        </w:rPr>
        <w:t xml:space="preserve">, </w:t>
      </w:r>
      <w:r>
        <w:rPr>
          <w:rFonts w:ascii="Times New Roman" w:hAnsi="Times New Roman"/>
          <w:sz w:val="24"/>
          <w:szCs w:val="24"/>
          <w:lang w:val="sr-Cyrl-CS"/>
        </w:rPr>
        <w:t>igara</w:t>
      </w:r>
      <w:r w:rsidR="00765B7E" w:rsidRPr="00E95BC4">
        <w:rPr>
          <w:rFonts w:ascii="Times New Roman" w:hAnsi="Times New Roman"/>
          <w:sz w:val="24"/>
          <w:szCs w:val="24"/>
          <w:lang w:val="sr-Cyrl-CS"/>
        </w:rPr>
        <w:t xml:space="preserve"> </w:t>
      </w:r>
      <w:r>
        <w:rPr>
          <w:rFonts w:ascii="Times New Roman" w:hAnsi="Times New Roman"/>
          <w:sz w:val="24"/>
          <w:szCs w:val="24"/>
          <w:lang w:val="sr-Cyrl-CS"/>
        </w:rPr>
        <w:t>na</w:t>
      </w:r>
      <w:r w:rsidR="00765B7E" w:rsidRPr="00E95BC4">
        <w:rPr>
          <w:rFonts w:ascii="Times New Roman" w:hAnsi="Times New Roman"/>
          <w:sz w:val="24"/>
          <w:szCs w:val="24"/>
          <w:lang w:val="sr-Cyrl-CS"/>
        </w:rPr>
        <w:t xml:space="preserve"> </w:t>
      </w:r>
      <w:r>
        <w:rPr>
          <w:rFonts w:ascii="Times New Roman" w:hAnsi="Times New Roman"/>
          <w:sz w:val="24"/>
          <w:szCs w:val="24"/>
          <w:lang w:val="sr-Cyrl-CS"/>
        </w:rPr>
        <w:t>sreću</w:t>
      </w:r>
      <w:r w:rsidR="00765B7E" w:rsidRPr="00E95BC4">
        <w:rPr>
          <w:rFonts w:ascii="Times New Roman" w:hAnsi="Times New Roman"/>
          <w:sz w:val="24"/>
          <w:szCs w:val="24"/>
          <w:lang w:val="sr-Cyrl-CS"/>
        </w:rPr>
        <w:t xml:space="preserve"> </w:t>
      </w:r>
      <w:r>
        <w:rPr>
          <w:rFonts w:ascii="Times New Roman" w:hAnsi="Times New Roman"/>
          <w:sz w:val="24"/>
          <w:szCs w:val="24"/>
          <w:lang w:val="sr-Cyrl-CS"/>
        </w:rPr>
        <w:t>i</w:t>
      </w:r>
      <w:r w:rsidR="008A65BD" w:rsidRPr="00E95BC4">
        <w:rPr>
          <w:rFonts w:ascii="Times New Roman" w:hAnsi="Times New Roman"/>
          <w:sz w:val="24"/>
          <w:szCs w:val="24"/>
          <w:lang w:val="sr-Cyrl-CS"/>
        </w:rPr>
        <w:t xml:space="preserve"> </w:t>
      </w:r>
      <w:r>
        <w:rPr>
          <w:rFonts w:ascii="Times New Roman" w:hAnsi="Times New Roman"/>
          <w:sz w:val="24"/>
          <w:szCs w:val="24"/>
          <w:lang w:val="sr-Cyrl-CS"/>
        </w:rPr>
        <w:t>bankarski</w:t>
      </w:r>
      <w:r w:rsidR="008A65BD" w:rsidRPr="00E95BC4">
        <w:rPr>
          <w:rFonts w:ascii="Times New Roman" w:hAnsi="Times New Roman"/>
          <w:sz w:val="24"/>
          <w:szCs w:val="24"/>
          <w:lang w:val="sr-Cyrl-CS"/>
        </w:rPr>
        <w:t xml:space="preserve"> </w:t>
      </w:r>
      <w:r>
        <w:rPr>
          <w:rFonts w:ascii="Times New Roman" w:hAnsi="Times New Roman"/>
          <w:sz w:val="24"/>
          <w:szCs w:val="24"/>
          <w:lang w:val="sr-Cyrl-CS"/>
        </w:rPr>
        <w:t>sektor</w:t>
      </w:r>
      <w:r w:rsidR="008A65BD" w:rsidRPr="00E95BC4">
        <w:rPr>
          <w:rFonts w:ascii="Times New Roman" w:hAnsi="Times New Roman"/>
          <w:sz w:val="24"/>
          <w:szCs w:val="24"/>
          <w:lang w:val="sr-Cyrl-CS"/>
        </w:rPr>
        <w:t xml:space="preserve">, </w:t>
      </w:r>
      <w:r>
        <w:rPr>
          <w:rFonts w:ascii="Times New Roman" w:hAnsi="Times New Roman"/>
          <w:sz w:val="24"/>
          <w:szCs w:val="24"/>
          <w:lang w:val="sr-Cyrl-CS"/>
        </w:rPr>
        <w:t>zatim</w:t>
      </w:r>
      <w:r w:rsidR="008A65BD" w:rsidRPr="00E95BC4">
        <w:rPr>
          <w:rFonts w:ascii="Times New Roman" w:hAnsi="Times New Roman"/>
          <w:sz w:val="24"/>
          <w:szCs w:val="24"/>
          <w:lang w:val="sr-Cyrl-CS"/>
        </w:rPr>
        <w:t xml:space="preserve"> </w:t>
      </w:r>
      <w:r>
        <w:rPr>
          <w:rFonts w:ascii="Times New Roman" w:hAnsi="Times New Roman"/>
          <w:sz w:val="24"/>
          <w:szCs w:val="24"/>
          <w:lang w:val="sr-Cyrl-CS"/>
        </w:rPr>
        <w:t>menjački</w:t>
      </w:r>
      <w:r w:rsidR="008A65BD" w:rsidRPr="00E95BC4">
        <w:rPr>
          <w:rFonts w:ascii="Times New Roman" w:hAnsi="Times New Roman"/>
          <w:sz w:val="24"/>
          <w:szCs w:val="24"/>
          <w:lang w:val="sr-Cyrl-CS"/>
        </w:rPr>
        <w:t xml:space="preserve"> </w:t>
      </w:r>
      <w:r>
        <w:rPr>
          <w:rFonts w:ascii="Times New Roman" w:hAnsi="Times New Roman"/>
          <w:sz w:val="24"/>
          <w:szCs w:val="24"/>
          <w:lang w:val="sr-Cyrl-CS"/>
        </w:rPr>
        <w:t>poslovi</w:t>
      </w:r>
      <w:r w:rsidR="008A65BD" w:rsidRPr="00E95BC4">
        <w:rPr>
          <w:rFonts w:ascii="Times New Roman" w:hAnsi="Times New Roman"/>
          <w:sz w:val="24"/>
          <w:szCs w:val="24"/>
          <w:lang w:val="sr-Cyrl-CS"/>
        </w:rPr>
        <w:t xml:space="preserve">, </w:t>
      </w:r>
      <w:r>
        <w:rPr>
          <w:rFonts w:ascii="Times New Roman" w:hAnsi="Times New Roman"/>
          <w:sz w:val="24"/>
          <w:szCs w:val="24"/>
          <w:lang w:val="sr-Cyrl-CS"/>
        </w:rPr>
        <w:t>kazina</w:t>
      </w:r>
      <w:r w:rsidR="008A65BD" w:rsidRPr="00E95BC4">
        <w:rPr>
          <w:rFonts w:ascii="Times New Roman" w:hAnsi="Times New Roman"/>
          <w:sz w:val="24"/>
          <w:szCs w:val="24"/>
          <w:lang w:val="sr-Cyrl-CS"/>
        </w:rPr>
        <w:t xml:space="preserve"> </w:t>
      </w:r>
      <w:r>
        <w:rPr>
          <w:rFonts w:ascii="Times New Roman" w:hAnsi="Times New Roman"/>
          <w:sz w:val="24"/>
          <w:szCs w:val="24"/>
          <w:lang w:val="sr-Cyrl-CS"/>
        </w:rPr>
        <w:t>i</w:t>
      </w:r>
      <w:r w:rsidR="008A65BD" w:rsidRPr="00E95BC4">
        <w:rPr>
          <w:rFonts w:ascii="Times New Roman" w:hAnsi="Times New Roman"/>
          <w:sz w:val="24"/>
          <w:szCs w:val="24"/>
          <w:lang w:val="sr-Cyrl-CS"/>
        </w:rPr>
        <w:t xml:space="preserve"> </w:t>
      </w:r>
      <w:r>
        <w:rPr>
          <w:rFonts w:ascii="Times New Roman" w:hAnsi="Times New Roman"/>
          <w:sz w:val="24"/>
          <w:szCs w:val="24"/>
          <w:lang w:val="sr-Cyrl-CS"/>
        </w:rPr>
        <w:t>računovođe</w:t>
      </w:r>
      <w:r w:rsidR="00765B7E" w:rsidRPr="00E95BC4">
        <w:rPr>
          <w:rFonts w:ascii="Times New Roman" w:hAnsi="Times New Roman"/>
          <w:sz w:val="24"/>
          <w:szCs w:val="24"/>
          <w:lang w:val="sr-Cyrl-CS"/>
        </w:rPr>
        <w:t xml:space="preserve">. </w:t>
      </w:r>
      <w:r>
        <w:rPr>
          <w:rFonts w:ascii="Times New Roman" w:hAnsi="Times New Roman"/>
          <w:sz w:val="24"/>
          <w:szCs w:val="24"/>
          <w:lang w:val="sr-Cyrl-CS"/>
        </w:rPr>
        <w:t>Ova</w:t>
      </w:r>
      <w:r w:rsidR="00765B7E" w:rsidRPr="00E95BC4">
        <w:rPr>
          <w:rFonts w:ascii="Times New Roman" w:hAnsi="Times New Roman"/>
          <w:sz w:val="24"/>
          <w:szCs w:val="24"/>
          <w:lang w:val="sr-Cyrl-CS"/>
        </w:rPr>
        <w:t xml:space="preserve"> </w:t>
      </w:r>
      <w:r>
        <w:rPr>
          <w:rFonts w:ascii="Times New Roman" w:hAnsi="Times New Roman"/>
          <w:sz w:val="24"/>
          <w:szCs w:val="24"/>
          <w:lang w:val="sr-Cyrl-CS"/>
        </w:rPr>
        <w:t>strategija</w:t>
      </w:r>
      <w:r w:rsidR="00765B7E" w:rsidRPr="00E95BC4">
        <w:rPr>
          <w:rFonts w:ascii="Times New Roman" w:hAnsi="Times New Roman"/>
          <w:sz w:val="24"/>
          <w:szCs w:val="24"/>
          <w:lang w:val="sr-Cyrl-CS"/>
        </w:rPr>
        <w:t xml:space="preserve"> </w:t>
      </w:r>
      <w:r>
        <w:rPr>
          <w:rFonts w:ascii="Times New Roman" w:hAnsi="Times New Roman"/>
          <w:sz w:val="24"/>
          <w:szCs w:val="24"/>
          <w:lang w:val="sr-Cyrl-CS"/>
        </w:rPr>
        <w:t>će</w:t>
      </w:r>
      <w:r w:rsidR="00765B7E" w:rsidRPr="00E95BC4">
        <w:rPr>
          <w:rFonts w:ascii="Times New Roman" w:hAnsi="Times New Roman"/>
          <w:sz w:val="24"/>
          <w:szCs w:val="24"/>
          <w:lang w:val="sr-Cyrl-CS"/>
        </w:rPr>
        <w:t xml:space="preserve"> </w:t>
      </w:r>
      <w:r>
        <w:rPr>
          <w:rFonts w:ascii="Times New Roman" w:hAnsi="Times New Roman"/>
          <w:sz w:val="24"/>
          <w:szCs w:val="24"/>
          <w:lang w:val="sr-Cyrl-CS"/>
        </w:rPr>
        <w:t>se</w:t>
      </w:r>
      <w:r w:rsidR="00765B7E" w:rsidRPr="00E95BC4">
        <w:rPr>
          <w:rFonts w:ascii="Times New Roman" w:hAnsi="Times New Roman"/>
          <w:sz w:val="24"/>
          <w:szCs w:val="24"/>
          <w:lang w:val="sr-Cyrl-CS"/>
        </w:rPr>
        <w:t xml:space="preserve"> </w:t>
      </w:r>
      <w:r>
        <w:rPr>
          <w:rFonts w:ascii="Times New Roman" w:hAnsi="Times New Roman"/>
          <w:sz w:val="24"/>
          <w:szCs w:val="24"/>
          <w:lang w:val="sr-Cyrl-CS"/>
        </w:rPr>
        <w:t>i</w:t>
      </w:r>
      <w:r w:rsidR="00765B7E" w:rsidRPr="00E95BC4">
        <w:rPr>
          <w:rFonts w:ascii="Times New Roman" w:hAnsi="Times New Roman"/>
          <w:sz w:val="24"/>
          <w:szCs w:val="24"/>
          <w:lang w:val="sr-Cyrl-CS"/>
        </w:rPr>
        <w:t xml:space="preserve"> </w:t>
      </w:r>
      <w:r>
        <w:rPr>
          <w:rFonts w:ascii="Times New Roman" w:hAnsi="Times New Roman"/>
          <w:sz w:val="24"/>
          <w:szCs w:val="24"/>
          <w:lang w:val="sr-Cyrl-CS"/>
        </w:rPr>
        <w:t>dalje</w:t>
      </w:r>
      <w:r w:rsidR="00765B7E" w:rsidRPr="00E95BC4">
        <w:rPr>
          <w:rFonts w:ascii="Times New Roman" w:hAnsi="Times New Roman"/>
          <w:sz w:val="24"/>
          <w:szCs w:val="24"/>
          <w:lang w:val="sr-Cyrl-CS"/>
        </w:rPr>
        <w:t xml:space="preserve"> </w:t>
      </w:r>
      <w:r>
        <w:rPr>
          <w:rFonts w:ascii="Times New Roman" w:hAnsi="Times New Roman"/>
          <w:sz w:val="24"/>
          <w:szCs w:val="24"/>
          <w:lang w:val="sr-Cyrl-CS"/>
        </w:rPr>
        <w:t>baviti</w:t>
      </w:r>
      <w:r w:rsidR="00765B7E" w:rsidRPr="00E95BC4">
        <w:rPr>
          <w:rFonts w:ascii="Times New Roman" w:hAnsi="Times New Roman"/>
          <w:sz w:val="24"/>
          <w:szCs w:val="24"/>
          <w:lang w:val="sr-Cyrl-CS"/>
        </w:rPr>
        <w:t xml:space="preserve">, </w:t>
      </w:r>
      <w:r>
        <w:rPr>
          <w:rFonts w:ascii="Times New Roman" w:hAnsi="Times New Roman"/>
          <w:sz w:val="24"/>
          <w:szCs w:val="24"/>
          <w:lang w:val="sr-Cyrl-CS"/>
        </w:rPr>
        <w:t>na</w:t>
      </w:r>
      <w:r w:rsidR="00765B7E" w:rsidRPr="00E95BC4">
        <w:rPr>
          <w:rFonts w:ascii="Times New Roman" w:hAnsi="Times New Roman"/>
          <w:sz w:val="24"/>
          <w:szCs w:val="24"/>
          <w:lang w:val="sr-Cyrl-CS"/>
        </w:rPr>
        <w:t xml:space="preserve"> </w:t>
      </w:r>
      <w:r>
        <w:rPr>
          <w:rFonts w:ascii="Times New Roman" w:hAnsi="Times New Roman"/>
          <w:sz w:val="24"/>
          <w:szCs w:val="24"/>
          <w:lang w:val="sr-Cyrl-CS"/>
        </w:rPr>
        <w:t>osnovu</w:t>
      </w:r>
      <w:r w:rsidR="00765B7E" w:rsidRPr="00E95BC4">
        <w:rPr>
          <w:rFonts w:ascii="Times New Roman" w:hAnsi="Times New Roman"/>
          <w:sz w:val="24"/>
          <w:szCs w:val="24"/>
          <w:lang w:val="sr-Cyrl-CS"/>
        </w:rPr>
        <w:t xml:space="preserve"> </w:t>
      </w:r>
      <w:r>
        <w:rPr>
          <w:rFonts w:ascii="Times New Roman" w:hAnsi="Times New Roman"/>
          <w:sz w:val="24"/>
          <w:szCs w:val="24"/>
          <w:lang w:val="sr-Cyrl-CS"/>
        </w:rPr>
        <w:t>Akcionog</w:t>
      </w:r>
      <w:r w:rsidR="00765B7E" w:rsidRPr="00E95BC4">
        <w:rPr>
          <w:rFonts w:ascii="Times New Roman" w:hAnsi="Times New Roman"/>
          <w:sz w:val="24"/>
          <w:szCs w:val="24"/>
          <w:lang w:val="sr-Cyrl-CS"/>
        </w:rPr>
        <w:t xml:space="preserve"> </w:t>
      </w:r>
      <w:r>
        <w:rPr>
          <w:rFonts w:ascii="Times New Roman" w:hAnsi="Times New Roman"/>
          <w:sz w:val="24"/>
          <w:szCs w:val="24"/>
          <w:lang w:val="sr-Cyrl-CS"/>
        </w:rPr>
        <w:t>plana</w:t>
      </w:r>
      <w:r w:rsidR="00765B7E" w:rsidRPr="00E95BC4">
        <w:rPr>
          <w:rFonts w:ascii="Times New Roman" w:hAnsi="Times New Roman"/>
          <w:sz w:val="24"/>
          <w:szCs w:val="24"/>
          <w:lang w:val="sr-Cyrl-CS"/>
        </w:rPr>
        <w:t xml:space="preserve"> </w:t>
      </w:r>
      <w:r>
        <w:rPr>
          <w:rFonts w:ascii="Times New Roman" w:hAnsi="Times New Roman"/>
          <w:sz w:val="24"/>
          <w:szCs w:val="24"/>
          <w:lang w:val="sr-Cyrl-CS"/>
        </w:rPr>
        <w:t>uz</w:t>
      </w:r>
      <w:r w:rsidR="00765B7E" w:rsidRPr="00E95BC4">
        <w:rPr>
          <w:rFonts w:ascii="Times New Roman" w:hAnsi="Times New Roman"/>
          <w:sz w:val="24"/>
          <w:szCs w:val="24"/>
          <w:lang w:val="sr-Cyrl-CS"/>
        </w:rPr>
        <w:t xml:space="preserve"> </w:t>
      </w:r>
      <w:r>
        <w:rPr>
          <w:rFonts w:ascii="Times New Roman" w:hAnsi="Times New Roman"/>
          <w:sz w:val="24"/>
          <w:szCs w:val="24"/>
          <w:lang w:val="sr-Cyrl-CS"/>
        </w:rPr>
        <w:t>Nacionalnu</w:t>
      </w:r>
      <w:r w:rsidR="00765B7E" w:rsidRPr="00E95BC4">
        <w:rPr>
          <w:rFonts w:ascii="Times New Roman" w:hAnsi="Times New Roman"/>
          <w:sz w:val="24"/>
          <w:szCs w:val="24"/>
          <w:lang w:val="sr-Cyrl-CS"/>
        </w:rPr>
        <w:t xml:space="preserve"> </w:t>
      </w:r>
      <w:r>
        <w:rPr>
          <w:rFonts w:ascii="Times New Roman" w:hAnsi="Times New Roman"/>
          <w:sz w:val="24"/>
          <w:szCs w:val="24"/>
          <w:lang w:val="sr-Cyrl-CS"/>
        </w:rPr>
        <w:t>procenu</w:t>
      </w:r>
      <w:r w:rsidR="00765B7E" w:rsidRPr="00E95BC4">
        <w:rPr>
          <w:rFonts w:ascii="Times New Roman" w:hAnsi="Times New Roman"/>
          <w:sz w:val="24"/>
          <w:szCs w:val="24"/>
          <w:lang w:val="sr-Cyrl-CS"/>
        </w:rPr>
        <w:t xml:space="preserve"> </w:t>
      </w:r>
      <w:r>
        <w:rPr>
          <w:rFonts w:ascii="Times New Roman" w:hAnsi="Times New Roman"/>
          <w:sz w:val="24"/>
          <w:szCs w:val="24"/>
          <w:lang w:val="sr-Cyrl-CS"/>
        </w:rPr>
        <w:t>rizika</w:t>
      </w:r>
      <w:r w:rsidR="00765B7E" w:rsidRPr="00E95BC4">
        <w:rPr>
          <w:rFonts w:ascii="Times New Roman" w:hAnsi="Times New Roman"/>
          <w:sz w:val="24"/>
          <w:szCs w:val="24"/>
          <w:lang w:val="sr-Cyrl-CS"/>
        </w:rPr>
        <w:t xml:space="preserve"> </w:t>
      </w:r>
      <w:r>
        <w:rPr>
          <w:rFonts w:ascii="Times New Roman" w:hAnsi="Times New Roman"/>
          <w:sz w:val="24"/>
          <w:szCs w:val="24"/>
          <w:lang w:val="sr-Cyrl-CS"/>
        </w:rPr>
        <w:t>iz</w:t>
      </w:r>
      <w:r w:rsidR="00765B7E" w:rsidRPr="00E95BC4">
        <w:rPr>
          <w:rFonts w:ascii="Times New Roman" w:hAnsi="Times New Roman"/>
          <w:sz w:val="24"/>
          <w:szCs w:val="24"/>
          <w:lang w:val="sr-Cyrl-CS"/>
        </w:rPr>
        <w:t xml:space="preserve"> 2018, </w:t>
      </w:r>
      <w:r>
        <w:rPr>
          <w:rFonts w:ascii="Times New Roman" w:hAnsi="Times New Roman"/>
          <w:sz w:val="24"/>
          <w:szCs w:val="24"/>
          <w:lang w:val="sr-Cyrl-CS"/>
        </w:rPr>
        <w:t>tim</w:t>
      </w:r>
      <w:r w:rsidR="00765B7E" w:rsidRPr="00E95BC4">
        <w:rPr>
          <w:rFonts w:ascii="Times New Roman" w:hAnsi="Times New Roman"/>
          <w:sz w:val="24"/>
          <w:szCs w:val="24"/>
          <w:lang w:val="sr-Cyrl-CS"/>
        </w:rPr>
        <w:t xml:space="preserve"> </w:t>
      </w:r>
      <w:r>
        <w:rPr>
          <w:rFonts w:ascii="Times New Roman" w:hAnsi="Times New Roman"/>
          <w:sz w:val="24"/>
          <w:szCs w:val="24"/>
          <w:lang w:val="sr-Cyrl-CS"/>
        </w:rPr>
        <w:t>ranjivostima</w:t>
      </w:r>
      <w:r w:rsidR="00765B7E" w:rsidRPr="00E95BC4">
        <w:rPr>
          <w:rFonts w:ascii="Times New Roman" w:hAnsi="Times New Roman"/>
          <w:sz w:val="24"/>
          <w:szCs w:val="24"/>
          <w:lang w:val="sr-Cyrl-CS"/>
        </w:rPr>
        <w:t xml:space="preserve"> </w:t>
      </w:r>
      <w:r>
        <w:rPr>
          <w:rFonts w:ascii="Times New Roman" w:hAnsi="Times New Roman"/>
          <w:sz w:val="24"/>
          <w:szCs w:val="24"/>
          <w:lang w:val="sr-Cyrl-CS"/>
        </w:rPr>
        <w:t>tako</w:t>
      </w:r>
      <w:r w:rsidR="00765B7E" w:rsidRPr="00E95BC4">
        <w:rPr>
          <w:rFonts w:ascii="Times New Roman" w:hAnsi="Times New Roman"/>
          <w:sz w:val="24"/>
          <w:szCs w:val="24"/>
          <w:lang w:val="sr-Cyrl-CS"/>
        </w:rPr>
        <w:t xml:space="preserve"> </w:t>
      </w:r>
      <w:r>
        <w:rPr>
          <w:rFonts w:ascii="Times New Roman" w:hAnsi="Times New Roman"/>
          <w:sz w:val="24"/>
          <w:szCs w:val="24"/>
          <w:lang w:val="sr-Cyrl-CS"/>
        </w:rPr>
        <w:t>što</w:t>
      </w:r>
      <w:r w:rsidR="00765B7E" w:rsidRPr="00E95BC4">
        <w:rPr>
          <w:rFonts w:ascii="Times New Roman" w:hAnsi="Times New Roman"/>
          <w:sz w:val="24"/>
          <w:szCs w:val="24"/>
          <w:lang w:val="sr-Cyrl-CS"/>
        </w:rPr>
        <w:t xml:space="preserve"> </w:t>
      </w:r>
      <w:r>
        <w:rPr>
          <w:rFonts w:ascii="Times New Roman" w:hAnsi="Times New Roman"/>
          <w:sz w:val="24"/>
          <w:szCs w:val="24"/>
          <w:lang w:val="sr-Cyrl-CS"/>
        </w:rPr>
        <w:t>će</w:t>
      </w:r>
      <w:r w:rsidR="00765B7E" w:rsidRPr="00E95BC4">
        <w:rPr>
          <w:rFonts w:ascii="Times New Roman" w:hAnsi="Times New Roman"/>
          <w:sz w:val="24"/>
          <w:szCs w:val="24"/>
          <w:lang w:val="sr-Cyrl-CS"/>
        </w:rPr>
        <w:t xml:space="preserve"> </w:t>
      </w:r>
      <w:r>
        <w:rPr>
          <w:rFonts w:ascii="Times New Roman" w:hAnsi="Times New Roman"/>
          <w:sz w:val="24"/>
          <w:szCs w:val="24"/>
          <w:lang w:val="sr-Cyrl-CS"/>
        </w:rPr>
        <w:t>svi</w:t>
      </w:r>
      <w:r w:rsidR="00765B7E" w:rsidRPr="00E95BC4">
        <w:rPr>
          <w:rFonts w:ascii="Times New Roman" w:hAnsi="Times New Roman"/>
          <w:sz w:val="24"/>
          <w:szCs w:val="24"/>
          <w:lang w:val="sr-Cyrl-CS"/>
        </w:rPr>
        <w:t xml:space="preserve"> </w:t>
      </w:r>
      <w:r>
        <w:rPr>
          <w:rFonts w:ascii="Times New Roman" w:hAnsi="Times New Roman"/>
          <w:sz w:val="24"/>
          <w:szCs w:val="24"/>
          <w:lang w:val="sr-Cyrl-CS"/>
        </w:rPr>
        <w:t>sektori</w:t>
      </w:r>
      <w:r w:rsidR="00765B7E" w:rsidRPr="00E95BC4">
        <w:rPr>
          <w:rFonts w:ascii="Times New Roman" w:hAnsi="Times New Roman"/>
          <w:sz w:val="24"/>
          <w:szCs w:val="24"/>
          <w:lang w:val="sr-Cyrl-CS"/>
        </w:rPr>
        <w:t xml:space="preserve"> </w:t>
      </w:r>
      <w:r>
        <w:rPr>
          <w:rFonts w:ascii="Times New Roman" w:hAnsi="Times New Roman"/>
          <w:sz w:val="24"/>
          <w:szCs w:val="24"/>
          <w:lang w:val="sr-Cyrl-CS"/>
        </w:rPr>
        <w:t>biti</w:t>
      </w:r>
      <w:r w:rsidR="00765B7E" w:rsidRPr="00E95BC4">
        <w:rPr>
          <w:rFonts w:ascii="Times New Roman" w:hAnsi="Times New Roman"/>
          <w:sz w:val="24"/>
          <w:szCs w:val="24"/>
          <w:lang w:val="sr-Cyrl-CS"/>
        </w:rPr>
        <w:t xml:space="preserve"> </w:t>
      </w:r>
      <w:r>
        <w:rPr>
          <w:rFonts w:ascii="Times New Roman" w:hAnsi="Times New Roman"/>
          <w:sz w:val="24"/>
          <w:szCs w:val="24"/>
          <w:lang w:val="sr-Cyrl-CS"/>
        </w:rPr>
        <w:t>u</w:t>
      </w:r>
      <w:r w:rsidR="00765B7E" w:rsidRPr="00E95BC4">
        <w:rPr>
          <w:rFonts w:ascii="Times New Roman" w:hAnsi="Times New Roman"/>
          <w:sz w:val="24"/>
          <w:szCs w:val="24"/>
          <w:lang w:val="sr-Cyrl-CS"/>
        </w:rPr>
        <w:t xml:space="preserve"> </w:t>
      </w:r>
      <w:r>
        <w:rPr>
          <w:rFonts w:ascii="Times New Roman" w:hAnsi="Times New Roman"/>
          <w:sz w:val="24"/>
          <w:szCs w:val="24"/>
          <w:lang w:val="sr-Cyrl-CS"/>
        </w:rPr>
        <w:t>potpunosti</w:t>
      </w:r>
      <w:r w:rsidR="00765B7E" w:rsidRPr="00E95BC4">
        <w:rPr>
          <w:rFonts w:ascii="Times New Roman" w:hAnsi="Times New Roman"/>
          <w:sz w:val="24"/>
          <w:szCs w:val="24"/>
          <w:lang w:val="sr-Cyrl-CS"/>
        </w:rPr>
        <w:t xml:space="preserve"> </w:t>
      </w:r>
      <w:r>
        <w:rPr>
          <w:rFonts w:ascii="Times New Roman" w:hAnsi="Times New Roman"/>
          <w:sz w:val="24"/>
          <w:szCs w:val="24"/>
          <w:lang w:val="sr-Cyrl-CS"/>
        </w:rPr>
        <w:t>pokriveni</w:t>
      </w:r>
      <w:r w:rsidR="00765B7E" w:rsidRPr="00E95BC4">
        <w:rPr>
          <w:rFonts w:ascii="Times New Roman" w:hAnsi="Times New Roman"/>
          <w:sz w:val="24"/>
          <w:szCs w:val="24"/>
          <w:lang w:val="sr-Cyrl-CS"/>
        </w:rPr>
        <w:t xml:space="preserve"> </w:t>
      </w:r>
      <w:r>
        <w:rPr>
          <w:rFonts w:ascii="Times New Roman" w:hAnsi="Times New Roman"/>
          <w:sz w:val="24"/>
          <w:szCs w:val="24"/>
          <w:lang w:val="sr-Cyrl-CS"/>
        </w:rPr>
        <w:t>preventivnim</w:t>
      </w:r>
      <w:r w:rsidR="00765B7E" w:rsidRPr="00E95BC4">
        <w:rPr>
          <w:rFonts w:ascii="Times New Roman" w:hAnsi="Times New Roman"/>
          <w:sz w:val="24"/>
          <w:szCs w:val="24"/>
          <w:lang w:val="sr-Cyrl-CS"/>
        </w:rPr>
        <w:t xml:space="preserve"> </w:t>
      </w:r>
      <w:r>
        <w:rPr>
          <w:rFonts w:ascii="Times New Roman" w:hAnsi="Times New Roman"/>
          <w:sz w:val="24"/>
          <w:szCs w:val="24"/>
          <w:lang w:val="sr-Cyrl-CS"/>
        </w:rPr>
        <w:t>merama</w:t>
      </w:r>
      <w:r w:rsidR="00765B7E" w:rsidRPr="00E95BC4">
        <w:rPr>
          <w:rFonts w:ascii="Times New Roman" w:hAnsi="Times New Roman"/>
          <w:sz w:val="24"/>
          <w:szCs w:val="24"/>
          <w:lang w:val="sr-Cyrl-CS"/>
        </w:rPr>
        <w:t xml:space="preserve"> </w:t>
      </w:r>
      <w:r>
        <w:rPr>
          <w:rFonts w:ascii="Times New Roman" w:hAnsi="Times New Roman"/>
          <w:sz w:val="24"/>
          <w:szCs w:val="24"/>
          <w:lang w:val="sr-Cyrl-CS"/>
        </w:rPr>
        <w:t>u</w:t>
      </w:r>
      <w:r w:rsidR="00765B7E" w:rsidRPr="00E95BC4">
        <w:rPr>
          <w:rFonts w:ascii="Times New Roman" w:hAnsi="Times New Roman"/>
          <w:sz w:val="24"/>
          <w:szCs w:val="24"/>
          <w:lang w:val="sr-Cyrl-CS"/>
        </w:rPr>
        <w:t xml:space="preserve"> </w:t>
      </w:r>
      <w:r>
        <w:rPr>
          <w:rFonts w:ascii="Times New Roman" w:hAnsi="Times New Roman"/>
          <w:sz w:val="24"/>
          <w:szCs w:val="24"/>
          <w:lang w:val="sr-Cyrl-CS"/>
        </w:rPr>
        <w:t>oblasti</w:t>
      </w:r>
      <w:r w:rsidR="00765B7E" w:rsidRPr="00E95BC4">
        <w:rPr>
          <w:rFonts w:ascii="Times New Roman" w:hAnsi="Times New Roman"/>
          <w:sz w:val="24"/>
          <w:szCs w:val="24"/>
          <w:lang w:val="sr-Cyrl-CS"/>
        </w:rPr>
        <w:t xml:space="preserve"> </w:t>
      </w:r>
      <w:r>
        <w:rPr>
          <w:rFonts w:ascii="Times New Roman" w:hAnsi="Times New Roman"/>
          <w:sz w:val="24"/>
          <w:szCs w:val="24"/>
          <w:lang w:val="sr-Cyrl-CS"/>
        </w:rPr>
        <w:t>pranja</w:t>
      </w:r>
      <w:r w:rsidR="00765B7E" w:rsidRPr="00E95BC4">
        <w:rPr>
          <w:rFonts w:ascii="Times New Roman" w:hAnsi="Times New Roman"/>
          <w:sz w:val="24"/>
          <w:szCs w:val="24"/>
          <w:lang w:val="sr-Cyrl-CS"/>
        </w:rPr>
        <w:t xml:space="preserve"> </w:t>
      </w:r>
      <w:r>
        <w:rPr>
          <w:rFonts w:ascii="Times New Roman" w:hAnsi="Times New Roman"/>
          <w:sz w:val="24"/>
          <w:szCs w:val="24"/>
          <w:lang w:val="sr-Cyrl-CS"/>
        </w:rPr>
        <w:t>novca</w:t>
      </w:r>
      <w:r w:rsidR="00765B7E" w:rsidRPr="00E95BC4">
        <w:rPr>
          <w:rFonts w:ascii="Times New Roman" w:hAnsi="Times New Roman"/>
          <w:sz w:val="24"/>
          <w:szCs w:val="24"/>
          <w:lang w:val="sr-Cyrl-CS"/>
        </w:rPr>
        <w:t xml:space="preserve"> </w:t>
      </w:r>
      <w:r>
        <w:rPr>
          <w:rFonts w:ascii="Times New Roman" w:hAnsi="Times New Roman"/>
          <w:sz w:val="24"/>
          <w:szCs w:val="24"/>
          <w:lang w:val="sr-Cyrl-CS"/>
        </w:rPr>
        <w:t>i</w:t>
      </w:r>
      <w:r w:rsidR="00765B7E" w:rsidRPr="00E95BC4">
        <w:rPr>
          <w:rFonts w:ascii="Times New Roman" w:hAnsi="Times New Roman"/>
          <w:sz w:val="24"/>
          <w:szCs w:val="24"/>
          <w:lang w:val="sr-Cyrl-CS"/>
        </w:rPr>
        <w:t xml:space="preserve"> </w:t>
      </w:r>
      <w:r>
        <w:rPr>
          <w:rFonts w:ascii="Times New Roman" w:hAnsi="Times New Roman"/>
          <w:sz w:val="24"/>
          <w:szCs w:val="24"/>
          <w:lang w:val="sr-Cyrl-CS"/>
        </w:rPr>
        <w:t>finansiranja</w:t>
      </w:r>
      <w:r w:rsidR="00765B7E" w:rsidRPr="00E95BC4">
        <w:rPr>
          <w:rFonts w:ascii="Times New Roman" w:hAnsi="Times New Roman"/>
          <w:sz w:val="24"/>
          <w:szCs w:val="24"/>
          <w:lang w:val="sr-Cyrl-CS"/>
        </w:rPr>
        <w:t xml:space="preserve"> </w:t>
      </w:r>
      <w:r>
        <w:rPr>
          <w:rFonts w:ascii="Times New Roman" w:hAnsi="Times New Roman"/>
          <w:sz w:val="24"/>
          <w:szCs w:val="24"/>
          <w:lang w:val="sr-Cyrl-CS"/>
        </w:rPr>
        <w:t>terorizma</w:t>
      </w:r>
      <w:r w:rsidR="00765B7E" w:rsidRPr="00E95BC4">
        <w:rPr>
          <w:rFonts w:ascii="Times New Roman" w:hAnsi="Times New Roman"/>
          <w:sz w:val="24"/>
          <w:szCs w:val="24"/>
          <w:lang w:val="sr-Cyrl-CS"/>
        </w:rPr>
        <w:t xml:space="preserve"> </w:t>
      </w:r>
      <w:r>
        <w:rPr>
          <w:rFonts w:ascii="Times New Roman" w:hAnsi="Times New Roman"/>
          <w:sz w:val="24"/>
          <w:szCs w:val="24"/>
          <w:lang w:val="sr-Cyrl-CS"/>
        </w:rPr>
        <w:t>i</w:t>
      </w:r>
      <w:r w:rsidR="00765B7E" w:rsidRPr="00E95BC4">
        <w:rPr>
          <w:rFonts w:ascii="Times New Roman" w:hAnsi="Times New Roman"/>
          <w:sz w:val="24"/>
          <w:szCs w:val="24"/>
          <w:lang w:val="sr-Cyrl-CS"/>
        </w:rPr>
        <w:t xml:space="preserve"> </w:t>
      </w:r>
      <w:r>
        <w:rPr>
          <w:rFonts w:ascii="Times New Roman" w:hAnsi="Times New Roman"/>
          <w:sz w:val="24"/>
          <w:szCs w:val="24"/>
          <w:lang w:val="sr-Cyrl-CS"/>
        </w:rPr>
        <w:t>tako</w:t>
      </w:r>
      <w:r w:rsidR="00765B7E" w:rsidRPr="00E95BC4">
        <w:rPr>
          <w:rFonts w:ascii="Times New Roman" w:hAnsi="Times New Roman"/>
          <w:sz w:val="24"/>
          <w:szCs w:val="24"/>
          <w:lang w:val="sr-Cyrl-CS"/>
        </w:rPr>
        <w:t xml:space="preserve"> </w:t>
      </w:r>
      <w:r>
        <w:rPr>
          <w:rFonts w:ascii="Times New Roman" w:hAnsi="Times New Roman"/>
          <w:sz w:val="24"/>
          <w:szCs w:val="24"/>
          <w:lang w:val="sr-Cyrl-CS"/>
        </w:rPr>
        <w:t>što</w:t>
      </w:r>
      <w:r w:rsidR="00765B7E" w:rsidRPr="00E95BC4">
        <w:rPr>
          <w:rFonts w:ascii="Times New Roman" w:hAnsi="Times New Roman"/>
          <w:sz w:val="24"/>
          <w:szCs w:val="24"/>
          <w:lang w:val="sr-Cyrl-CS"/>
        </w:rPr>
        <w:t xml:space="preserve"> </w:t>
      </w:r>
      <w:r>
        <w:rPr>
          <w:rFonts w:ascii="Times New Roman" w:hAnsi="Times New Roman"/>
          <w:sz w:val="24"/>
          <w:szCs w:val="24"/>
          <w:lang w:val="sr-Cyrl-CS"/>
        </w:rPr>
        <w:t>će</w:t>
      </w:r>
      <w:r w:rsidR="00765B7E" w:rsidRPr="00E95BC4">
        <w:rPr>
          <w:rFonts w:ascii="Times New Roman" w:hAnsi="Times New Roman"/>
          <w:sz w:val="24"/>
          <w:szCs w:val="24"/>
          <w:lang w:val="sr-Cyrl-CS"/>
        </w:rPr>
        <w:t xml:space="preserve"> </w:t>
      </w:r>
      <w:r>
        <w:rPr>
          <w:rFonts w:ascii="Times New Roman" w:hAnsi="Times New Roman"/>
          <w:sz w:val="24"/>
          <w:szCs w:val="24"/>
          <w:lang w:val="sr-Cyrl-CS"/>
        </w:rPr>
        <w:t>postojati</w:t>
      </w:r>
      <w:r w:rsidR="00765B7E" w:rsidRPr="00E95BC4">
        <w:rPr>
          <w:rFonts w:ascii="Times New Roman" w:hAnsi="Times New Roman"/>
          <w:sz w:val="24"/>
          <w:szCs w:val="24"/>
          <w:lang w:val="sr-Cyrl-CS"/>
        </w:rPr>
        <w:t xml:space="preserve"> </w:t>
      </w:r>
      <w:r>
        <w:rPr>
          <w:rFonts w:ascii="Times New Roman" w:hAnsi="Times New Roman"/>
          <w:sz w:val="24"/>
          <w:szCs w:val="24"/>
          <w:lang w:val="sr-Cyrl-CS"/>
        </w:rPr>
        <w:t>odgovarajući</w:t>
      </w:r>
      <w:r w:rsidR="00765B7E" w:rsidRPr="00E95BC4">
        <w:rPr>
          <w:rFonts w:ascii="Times New Roman" w:hAnsi="Times New Roman"/>
          <w:sz w:val="24"/>
          <w:szCs w:val="24"/>
          <w:lang w:val="sr-Cyrl-CS"/>
        </w:rPr>
        <w:t xml:space="preserve"> </w:t>
      </w:r>
      <w:r>
        <w:rPr>
          <w:rFonts w:ascii="Times New Roman" w:hAnsi="Times New Roman"/>
          <w:sz w:val="24"/>
          <w:szCs w:val="24"/>
          <w:lang w:val="sr-Cyrl-CS"/>
        </w:rPr>
        <w:t>nivoi</w:t>
      </w:r>
      <w:r w:rsidR="00765B7E" w:rsidRPr="00E95BC4">
        <w:rPr>
          <w:rFonts w:ascii="Times New Roman" w:hAnsi="Times New Roman"/>
          <w:sz w:val="24"/>
          <w:szCs w:val="24"/>
          <w:lang w:val="sr-Cyrl-CS"/>
        </w:rPr>
        <w:t xml:space="preserve"> </w:t>
      </w:r>
      <w:r>
        <w:rPr>
          <w:rFonts w:ascii="Times New Roman" w:hAnsi="Times New Roman"/>
          <w:sz w:val="24"/>
          <w:szCs w:val="24"/>
          <w:lang w:val="sr-Cyrl-CS"/>
        </w:rPr>
        <w:t>nadzora</w:t>
      </w:r>
      <w:r w:rsidR="00765B7E" w:rsidRPr="00E95BC4">
        <w:rPr>
          <w:rFonts w:ascii="Times New Roman" w:hAnsi="Times New Roman"/>
          <w:sz w:val="24"/>
          <w:szCs w:val="24"/>
          <w:lang w:val="sr-Cyrl-CS"/>
        </w:rPr>
        <w:t>.</w:t>
      </w:r>
    </w:p>
    <w:p w:rsidR="0099638C" w:rsidRPr="00E95BC4" w:rsidRDefault="005818C0" w:rsidP="0099638C">
      <w:pPr>
        <w:ind w:firstLine="720"/>
        <w:jc w:val="both"/>
        <w:rPr>
          <w:rFonts w:eastAsia="SimSun"/>
          <w:color w:val="auto"/>
          <w:kern w:val="0"/>
          <w:lang w:val="sr-Cyrl-CS" w:eastAsia="zh-CN"/>
        </w:rPr>
      </w:pPr>
      <w:r>
        <w:rPr>
          <w:rFonts w:eastAsia="SimSun"/>
          <w:color w:val="auto"/>
          <w:kern w:val="0"/>
          <w:lang w:val="sr-Cyrl-CS" w:eastAsia="zh-CN"/>
        </w:rPr>
        <w:t>Preventivni</w:t>
      </w:r>
      <w:r w:rsidR="0099638C" w:rsidRPr="00E95BC4">
        <w:rPr>
          <w:rFonts w:eastAsia="SimSun"/>
          <w:color w:val="auto"/>
          <w:kern w:val="0"/>
          <w:lang w:val="sr-Cyrl-CS" w:eastAsia="zh-CN"/>
        </w:rPr>
        <w:t xml:space="preserve"> </w:t>
      </w:r>
      <w:r>
        <w:rPr>
          <w:rFonts w:eastAsia="SimSun"/>
          <w:color w:val="auto"/>
          <w:kern w:val="0"/>
          <w:lang w:val="sr-Cyrl-CS" w:eastAsia="zh-CN"/>
        </w:rPr>
        <w:t>sistem</w:t>
      </w:r>
      <w:r w:rsidR="0099638C" w:rsidRPr="00E95BC4">
        <w:rPr>
          <w:rFonts w:eastAsia="SimSun"/>
          <w:color w:val="auto"/>
          <w:kern w:val="0"/>
          <w:lang w:val="sr-Cyrl-CS" w:eastAsia="zh-CN"/>
        </w:rPr>
        <w:t xml:space="preserve"> </w:t>
      </w:r>
      <w:r>
        <w:rPr>
          <w:rFonts w:eastAsia="SimSun"/>
          <w:color w:val="auto"/>
          <w:kern w:val="0"/>
          <w:lang w:val="sr-Cyrl-CS" w:eastAsia="zh-CN"/>
        </w:rPr>
        <w:t>u</w:t>
      </w:r>
      <w:r w:rsidR="0099638C" w:rsidRPr="00E95BC4">
        <w:rPr>
          <w:rFonts w:eastAsia="SimSun"/>
          <w:color w:val="auto"/>
          <w:kern w:val="0"/>
          <w:lang w:val="sr-Cyrl-CS" w:eastAsia="zh-CN"/>
        </w:rPr>
        <w:t xml:space="preserve"> </w:t>
      </w:r>
      <w:r>
        <w:rPr>
          <w:rFonts w:eastAsia="SimSun"/>
          <w:color w:val="auto"/>
          <w:kern w:val="0"/>
          <w:lang w:val="sr-Cyrl-CS" w:eastAsia="zh-CN"/>
        </w:rPr>
        <w:t>Republici</w:t>
      </w:r>
      <w:r w:rsidR="0099638C" w:rsidRPr="00E95BC4">
        <w:rPr>
          <w:rFonts w:eastAsia="SimSun"/>
          <w:color w:val="auto"/>
          <w:kern w:val="0"/>
          <w:lang w:val="sr-Cyrl-CS" w:eastAsia="zh-CN"/>
        </w:rPr>
        <w:t xml:space="preserve"> </w:t>
      </w:r>
      <w:r>
        <w:rPr>
          <w:rFonts w:eastAsia="SimSun"/>
          <w:color w:val="auto"/>
          <w:kern w:val="0"/>
          <w:lang w:val="sr-Cyrl-CS" w:eastAsia="zh-CN"/>
        </w:rPr>
        <w:t>Srbiji</w:t>
      </w:r>
      <w:r w:rsidR="0099638C" w:rsidRPr="00E95BC4">
        <w:rPr>
          <w:rFonts w:eastAsia="SimSun"/>
          <w:color w:val="auto"/>
          <w:kern w:val="0"/>
          <w:lang w:val="sr-Cyrl-CS" w:eastAsia="zh-CN"/>
        </w:rPr>
        <w:t xml:space="preserve"> </w:t>
      </w:r>
      <w:r>
        <w:rPr>
          <w:rFonts w:eastAsia="SimSun"/>
          <w:color w:val="auto"/>
          <w:kern w:val="0"/>
          <w:lang w:val="sr-Cyrl-CS" w:eastAsia="zh-CN"/>
        </w:rPr>
        <w:t>utvrđen</w:t>
      </w:r>
      <w:r w:rsidR="0099638C" w:rsidRPr="00E95BC4">
        <w:rPr>
          <w:rFonts w:eastAsia="SimSun"/>
          <w:color w:val="auto"/>
          <w:kern w:val="0"/>
          <w:lang w:val="sr-Cyrl-CS" w:eastAsia="zh-CN"/>
        </w:rPr>
        <w:t xml:space="preserve"> </w:t>
      </w:r>
      <w:r>
        <w:rPr>
          <w:rFonts w:eastAsia="SimSun"/>
          <w:color w:val="auto"/>
          <w:kern w:val="0"/>
          <w:lang w:val="sr-Cyrl-CS" w:eastAsia="zh-CN"/>
        </w:rPr>
        <w:t>je</w:t>
      </w:r>
      <w:r w:rsidR="0099638C" w:rsidRPr="00E95BC4">
        <w:rPr>
          <w:rFonts w:eastAsia="SimSun"/>
          <w:color w:val="auto"/>
          <w:kern w:val="0"/>
          <w:lang w:val="sr-Cyrl-CS" w:eastAsia="zh-CN"/>
        </w:rPr>
        <w:t xml:space="preserve"> </w:t>
      </w:r>
      <w:r>
        <w:rPr>
          <w:rFonts w:eastAsia="SimSun"/>
          <w:color w:val="auto"/>
          <w:kern w:val="0"/>
          <w:lang w:val="sr-Cyrl-CS" w:eastAsia="zh-CN"/>
        </w:rPr>
        <w:t>donošenjem</w:t>
      </w:r>
      <w:r w:rsidR="0099638C" w:rsidRPr="00E95BC4">
        <w:rPr>
          <w:rFonts w:eastAsia="SimSun"/>
          <w:color w:val="auto"/>
          <w:kern w:val="0"/>
          <w:lang w:val="sr-Cyrl-CS" w:eastAsia="zh-CN"/>
        </w:rPr>
        <w:t xml:space="preserve"> </w:t>
      </w:r>
      <w:r>
        <w:rPr>
          <w:rFonts w:eastAsia="SimSun"/>
          <w:color w:val="auto"/>
          <w:kern w:val="0"/>
          <w:lang w:val="sr-Cyrl-CS" w:eastAsia="zh-CN"/>
        </w:rPr>
        <w:t>Zakona</w:t>
      </w:r>
      <w:r w:rsidR="0099638C" w:rsidRPr="00E95BC4">
        <w:rPr>
          <w:rFonts w:eastAsia="SimSun"/>
          <w:color w:val="auto"/>
          <w:kern w:val="0"/>
          <w:lang w:val="sr-Cyrl-CS" w:eastAsia="zh-CN"/>
        </w:rPr>
        <w:t xml:space="preserve"> </w:t>
      </w:r>
      <w:r>
        <w:rPr>
          <w:rFonts w:eastAsia="SimSun"/>
          <w:color w:val="auto"/>
          <w:kern w:val="0"/>
          <w:lang w:val="sr-Cyrl-CS" w:eastAsia="zh-CN"/>
        </w:rPr>
        <w:t>o</w:t>
      </w:r>
      <w:r w:rsidR="0099638C" w:rsidRPr="00E95BC4">
        <w:rPr>
          <w:rFonts w:eastAsia="SimSun"/>
          <w:color w:val="auto"/>
          <w:kern w:val="0"/>
          <w:lang w:val="sr-Cyrl-CS" w:eastAsia="zh-CN"/>
        </w:rPr>
        <w:t xml:space="preserve"> </w:t>
      </w:r>
      <w:r>
        <w:rPr>
          <w:rFonts w:eastAsia="SimSun"/>
          <w:color w:val="auto"/>
          <w:kern w:val="0"/>
          <w:lang w:val="sr-Cyrl-CS" w:eastAsia="zh-CN"/>
        </w:rPr>
        <w:t>sprečavanju</w:t>
      </w:r>
      <w:r w:rsidR="0099638C" w:rsidRPr="00E95BC4">
        <w:rPr>
          <w:rFonts w:eastAsia="SimSun"/>
          <w:color w:val="auto"/>
          <w:kern w:val="0"/>
          <w:lang w:val="sr-Cyrl-CS" w:eastAsia="zh-CN"/>
        </w:rPr>
        <w:t xml:space="preserve"> </w:t>
      </w:r>
      <w:r>
        <w:rPr>
          <w:rFonts w:eastAsia="SimSun"/>
          <w:color w:val="auto"/>
          <w:kern w:val="0"/>
          <w:lang w:val="sr-Cyrl-CS" w:eastAsia="zh-CN"/>
        </w:rPr>
        <w:t>pranja</w:t>
      </w:r>
      <w:r w:rsidR="0099638C" w:rsidRPr="00E95BC4">
        <w:rPr>
          <w:rFonts w:eastAsia="SimSun"/>
          <w:color w:val="auto"/>
          <w:kern w:val="0"/>
          <w:lang w:val="sr-Cyrl-CS" w:eastAsia="zh-CN"/>
        </w:rPr>
        <w:t xml:space="preserve"> </w:t>
      </w:r>
      <w:r>
        <w:rPr>
          <w:rFonts w:eastAsia="SimSun"/>
          <w:color w:val="auto"/>
          <w:kern w:val="0"/>
          <w:lang w:val="sr-Cyrl-CS" w:eastAsia="zh-CN"/>
        </w:rPr>
        <w:t>novca</w:t>
      </w:r>
      <w:r w:rsidR="0099638C" w:rsidRPr="00E95BC4">
        <w:rPr>
          <w:rFonts w:eastAsia="SimSun"/>
          <w:color w:val="auto"/>
          <w:kern w:val="0"/>
          <w:lang w:val="sr-Cyrl-CS" w:eastAsia="zh-CN"/>
        </w:rPr>
        <w:t xml:space="preserve"> 2002. </w:t>
      </w:r>
      <w:r>
        <w:rPr>
          <w:rFonts w:eastAsia="SimSun"/>
          <w:color w:val="auto"/>
          <w:kern w:val="0"/>
          <w:lang w:val="sr-Cyrl-CS" w:eastAsia="zh-CN"/>
        </w:rPr>
        <w:t>godine</w:t>
      </w:r>
      <w:r w:rsidR="0099638C" w:rsidRPr="00E95BC4">
        <w:rPr>
          <w:rFonts w:eastAsia="SimSun"/>
          <w:color w:val="auto"/>
          <w:kern w:val="0"/>
          <w:lang w:val="sr-Cyrl-CS" w:eastAsia="zh-CN"/>
        </w:rPr>
        <w:t xml:space="preserve"> </w:t>
      </w:r>
      <w:r>
        <w:rPr>
          <w:rFonts w:eastAsia="SimSun"/>
          <w:color w:val="auto"/>
          <w:kern w:val="0"/>
          <w:lang w:val="sr-Cyrl-CS" w:eastAsia="zh-CN"/>
        </w:rPr>
        <w:t>i</w:t>
      </w:r>
      <w:r w:rsidR="0099638C" w:rsidRPr="00E95BC4">
        <w:rPr>
          <w:rFonts w:eastAsia="SimSun"/>
          <w:color w:val="auto"/>
          <w:kern w:val="0"/>
          <w:lang w:val="sr-Cyrl-CS" w:eastAsia="zh-CN"/>
        </w:rPr>
        <w:t xml:space="preserve"> </w:t>
      </w:r>
      <w:r>
        <w:rPr>
          <w:rFonts w:eastAsia="SimSun"/>
          <w:color w:val="auto"/>
          <w:kern w:val="0"/>
          <w:lang w:val="sr-Cyrl-CS" w:eastAsia="zh-CN"/>
        </w:rPr>
        <w:t>građen</w:t>
      </w:r>
      <w:r w:rsidR="0099638C" w:rsidRPr="00E95BC4">
        <w:rPr>
          <w:rFonts w:eastAsia="SimSun"/>
          <w:color w:val="auto"/>
          <w:kern w:val="0"/>
          <w:lang w:val="sr-Cyrl-CS" w:eastAsia="zh-CN"/>
        </w:rPr>
        <w:t xml:space="preserve"> </w:t>
      </w:r>
      <w:r>
        <w:rPr>
          <w:rFonts w:eastAsia="SimSun"/>
          <w:color w:val="auto"/>
          <w:kern w:val="0"/>
          <w:lang w:val="sr-Cyrl-CS" w:eastAsia="zh-CN"/>
        </w:rPr>
        <w:t>tako</w:t>
      </w:r>
      <w:r w:rsidR="0099638C" w:rsidRPr="00E95BC4">
        <w:rPr>
          <w:rFonts w:eastAsia="SimSun"/>
          <w:color w:val="auto"/>
          <w:kern w:val="0"/>
          <w:lang w:val="sr-Cyrl-CS" w:eastAsia="zh-CN"/>
        </w:rPr>
        <w:t xml:space="preserve"> </w:t>
      </w:r>
      <w:r>
        <w:rPr>
          <w:rFonts w:eastAsia="SimSun"/>
          <w:color w:val="auto"/>
          <w:kern w:val="0"/>
          <w:lang w:val="sr-Cyrl-CS" w:eastAsia="zh-CN"/>
        </w:rPr>
        <w:t>da</w:t>
      </w:r>
      <w:r w:rsidR="0099638C" w:rsidRPr="00E95BC4">
        <w:rPr>
          <w:rFonts w:eastAsia="SimSun"/>
          <w:color w:val="auto"/>
          <w:kern w:val="0"/>
          <w:lang w:val="sr-Cyrl-CS" w:eastAsia="zh-CN"/>
        </w:rPr>
        <w:t xml:space="preserve"> </w:t>
      </w:r>
      <w:r>
        <w:rPr>
          <w:rFonts w:eastAsia="SimSun"/>
          <w:color w:val="auto"/>
          <w:kern w:val="0"/>
          <w:lang w:val="sr-Cyrl-CS" w:eastAsia="zh-CN"/>
        </w:rPr>
        <w:t>prati</w:t>
      </w:r>
      <w:r w:rsidR="0099638C" w:rsidRPr="00E95BC4">
        <w:rPr>
          <w:rFonts w:eastAsia="SimSun"/>
          <w:color w:val="auto"/>
          <w:kern w:val="0"/>
          <w:lang w:val="sr-Cyrl-CS" w:eastAsia="zh-CN"/>
        </w:rPr>
        <w:t xml:space="preserve"> </w:t>
      </w:r>
      <w:r>
        <w:rPr>
          <w:rFonts w:eastAsia="SimSun"/>
          <w:color w:val="auto"/>
          <w:kern w:val="0"/>
          <w:lang w:val="sr-Cyrl-CS" w:eastAsia="zh-CN"/>
        </w:rPr>
        <w:t>razvoj</w:t>
      </w:r>
      <w:r w:rsidR="0099638C" w:rsidRPr="00E95BC4">
        <w:rPr>
          <w:rFonts w:eastAsia="SimSun"/>
          <w:color w:val="auto"/>
          <w:kern w:val="0"/>
          <w:lang w:val="sr-Cyrl-CS" w:eastAsia="zh-CN"/>
        </w:rPr>
        <w:t xml:space="preserve"> </w:t>
      </w:r>
      <w:r>
        <w:rPr>
          <w:rFonts w:eastAsia="SimSun"/>
          <w:color w:val="auto"/>
          <w:kern w:val="0"/>
          <w:lang w:val="sr-Cyrl-CS" w:eastAsia="zh-CN"/>
        </w:rPr>
        <w:t>međunarodnih</w:t>
      </w:r>
      <w:r w:rsidR="0099638C" w:rsidRPr="00E95BC4">
        <w:rPr>
          <w:rFonts w:eastAsia="SimSun"/>
          <w:color w:val="auto"/>
          <w:kern w:val="0"/>
          <w:lang w:val="sr-Cyrl-CS" w:eastAsia="zh-CN"/>
        </w:rPr>
        <w:t xml:space="preserve"> </w:t>
      </w:r>
      <w:r>
        <w:rPr>
          <w:rFonts w:eastAsia="SimSun"/>
          <w:color w:val="auto"/>
          <w:kern w:val="0"/>
          <w:lang w:val="sr-Cyrl-CS" w:eastAsia="zh-CN"/>
        </w:rPr>
        <w:t>standarda</w:t>
      </w:r>
      <w:r w:rsidR="0099638C" w:rsidRPr="00E95BC4">
        <w:rPr>
          <w:rFonts w:eastAsia="SimSun"/>
          <w:color w:val="auto"/>
          <w:kern w:val="0"/>
          <w:lang w:val="sr-Cyrl-CS" w:eastAsia="zh-CN"/>
        </w:rPr>
        <w:t xml:space="preserve"> </w:t>
      </w:r>
      <w:r>
        <w:rPr>
          <w:rFonts w:eastAsia="SimSun"/>
          <w:color w:val="auto"/>
          <w:kern w:val="0"/>
          <w:lang w:val="sr-Cyrl-CS" w:eastAsia="zh-CN"/>
        </w:rPr>
        <w:t>i</w:t>
      </w:r>
      <w:r w:rsidR="0099638C" w:rsidRPr="00E95BC4">
        <w:rPr>
          <w:rFonts w:eastAsia="SimSun"/>
          <w:color w:val="auto"/>
          <w:kern w:val="0"/>
          <w:lang w:val="sr-Cyrl-CS" w:eastAsia="zh-CN"/>
        </w:rPr>
        <w:t xml:space="preserve"> </w:t>
      </w:r>
      <w:r>
        <w:rPr>
          <w:rFonts w:eastAsia="SimSun"/>
          <w:color w:val="auto"/>
          <w:kern w:val="0"/>
          <w:lang w:val="sr-Cyrl-CS" w:eastAsia="zh-CN"/>
        </w:rPr>
        <w:t>situaciju</w:t>
      </w:r>
      <w:r w:rsidR="0099638C" w:rsidRPr="00E95BC4">
        <w:rPr>
          <w:rFonts w:eastAsia="SimSun"/>
          <w:color w:val="auto"/>
          <w:kern w:val="0"/>
          <w:lang w:val="sr-Cyrl-CS" w:eastAsia="zh-CN"/>
        </w:rPr>
        <w:t xml:space="preserve"> </w:t>
      </w:r>
      <w:r>
        <w:rPr>
          <w:rFonts w:eastAsia="SimSun"/>
          <w:color w:val="auto"/>
          <w:kern w:val="0"/>
          <w:lang w:val="sr-Cyrl-CS" w:eastAsia="zh-CN"/>
        </w:rPr>
        <w:t>na</w:t>
      </w:r>
      <w:r w:rsidR="0099638C" w:rsidRPr="00E95BC4">
        <w:rPr>
          <w:rFonts w:eastAsia="SimSun"/>
          <w:color w:val="auto"/>
          <w:kern w:val="0"/>
          <w:lang w:val="sr-Cyrl-CS" w:eastAsia="zh-CN"/>
        </w:rPr>
        <w:t xml:space="preserve"> </w:t>
      </w:r>
      <w:r>
        <w:rPr>
          <w:rFonts w:eastAsia="SimSun"/>
          <w:color w:val="auto"/>
          <w:kern w:val="0"/>
          <w:lang w:val="sr-Cyrl-CS" w:eastAsia="zh-CN"/>
        </w:rPr>
        <w:t>terenu</w:t>
      </w:r>
      <w:r w:rsidR="0099638C" w:rsidRPr="00E95BC4">
        <w:rPr>
          <w:rFonts w:eastAsia="SimSun"/>
          <w:color w:val="auto"/>
          <w:kern w:val="0"/>
          <w:lang w:val="sr-Cyrl-CS" w:eastAsia="zh-CN"/>
        </w:rPr>
        <w:t xml:space="preserve">. </w:t>
      </w:r>
      <w:r>
        <w:rPr>
          <w:rFonts w:eastAsia="SimSun"/>
          <w:color w:val="auto"/>
          <w:kern w:val="0"/>
          <w:lang w:val="sr-Cyrl-CS" w:eastAsia="zh-CN"/>
        </w:rPr>
        <w:t>Sistem</w:t>
      </w:r>
      <w:r w:rsidR="0099638C" w:rsidRPr="00E95BC4">
        <w:rPr>
          <w:rFonts w:eastAsia="SimSun"/>
          <w:color w:val="auto"/>
          <w:kern w:val="0"/>
          <w:lang w:val="sr-Cyrl-CS" w:eastAsia="zh-CN"/>
        </w:rPr>
        <w:t xml:space="preserve"> </w:t>
      </w:r>
      <w:r>
        <w:rPr>
          <w:rFonts w:eastAsia="SimSun"/>
          <w:color w:val="auto"/>
          <w:kern w:val="0"/>
          <w:lang w:val="sr-Cyrl-CS" w:eastAsia="zh-CN"/>
        </w:rPr>
        <w:t>je</w:t>
      </w:r>
      <w:r w:rsidR="0099638C" w:rsidRPr="00E95BC4">
        <w:rPr>
          <w:rFonts w:eastAsia="SimSun"/>
          <w:color w:val="auto"/>
          <w:kern w:val="0"/>
          <w:lang w:val="sr-Cyrl-CS" w:eastAsia="zh-CN"/>
        </w:rPr>
        <w:t xml:space="preserve"> </w:t>
      </w:r>
      <w:r>
        <w:rPr>
          <w:rFonts w:eastAsia="SimSun"/>
          <w:color w:val="auto"/>
          <w:kern w:val="0"/>
          <w:lang w:val="sr-Cyrl-CS" w:eastAsia="zh-CN"/>
        </w:rPr>
        <w:t>utvrđen</w:t>
      </w:r>
      <w:r w:rsidR="0099638C" w:rsidRPr="00E95BC4">
        <w:rPr>
          <w:rFonts w:eastAsia="SimSun"/>
          <w:color w:val="auto"/>
          <w:kern w:val="0"/>
          <w:lang w:val="sr-Cyrl-CS" w:eastAsia="zh-CN"/>
        </w:rPr>
        <w:t xml:space="preserve"> </w:t>
      </w:r>
      <w:r>
        <w:rPr>
          <w:rFonts w:eastAsia="SimSun"/>
          <w:color w:val="auto"/>
          <w:kern w:val="0"/>
          <w:lang w:val="sr-Cyrl-CS" w:eastAsia="zh-CN"/>
        </w:rPr>
        <w:t>u</w:t>
      </w:r>
      <w:r w:rsidR="0099638C" w:rsidRPr="00E95BC4">
        <w:rPr>
          <w:rFonts w:eastAsia="SimSun"/>
          <w:color w:val="auto"/>
          <w:kern w:val="0"/>
          <w:lang w:val="sr-Cyrl-CS" w:eastAsia="zh-CN"/>
        </w:rPr>
        <w:t xml:space="preserve"> </w:t>
      </w:r>
      <w:r>
        <w:rPr>
          <w:rFonts w:eastAsia="SimSun"/>
          <w:color w:val="auto"/>
          <w:kern w:val="0"/>
          <w:lang w:val="sr-Cyrl-CS" w:eastAsia="zh-CN"/>
        </w:rPr>
        <w:t>Zakonu</w:t>
      </w:r>
      <w:r w:rsidR="0099638C" w:rsidRPr="00E95BC4">
        <w:rPr>
          <w:rFonts w:eastAsia="SimSun"/>
          <w:color w:val="auto"/>
          <w:kern w:val="0"/>
          <w:lang w:val="sr-Cyrl-CS" w:eastAsia="zh-CN"/>
        </w:rPr>
        <w:t xml:space="preserve"> </w:t>
      </w:r>
      <w:r>
        <w:rPr>
          <w:rFonts w:eastAsia="SimSun"/>
          <w:color w:val="auto"/>
          <w:kern w:val="0"/>
          <w:lang w:val="sr-Cyrl-CS" w:eastAsia="zh-CN"/>
        </w:rPr>
        <w:t>o</w:t>
      </w:r>
      <w:r w:rsidR="0099638C" w:rsidRPr="00E95BC4">
        <w:rPr>
          <w:rFonts w:eastAsia="SimSun"/>
          <w:color w:val="auto"/>
          <w:kern w:val="0"/>
          <w:lang w:val="sr-Cyrl-CS" w:eastAsia="zh-CN"/>
        </w:rPr>
        <w:t xml:space="preserve"> </w:t>
      </w:r>
      <w:r>
        <w:rPr>
          <w:rFonts w:eastAsia="SimSun"/>
          <w:color w:val="auto"/>
          <w:kern w:val="0"/>
          <w:lang w:val="sr-Cyrl-CS" w:eastAsia="zh-CN"/>
        </w:rPr>
        <w:t>sprečavanju</w:t>
      </w:r>
      <w:r w:rsidR="0099638C" w:rsidRPr="00E95BC4">
        <w:rPr>
          <w:rFonts w:eastAsia="SimSun"/>
          <w:color w:val="auto"/>
          <w:kern w:val="0"/>
          <w:lang w:val="sr-Cyrl-CS" w:eastAsia="zh-CN"/>
        </w:rPr>
        <w:t xml:space="preserve"> </w:t>
      </w:r>
      <w:r>
        <w:rPr>
          <w:rFonts w:eastAsia="SimSun"/>
          <w:color w:val="auto"/>
          <w:kern w:val="0"/>
          <w:lang w:val="sr-Cyrl-CS" w:eastAsia="zh-CN"/>
        </w:rPr>
        <w:t>pranja</w:t>
      </w:r>
      <w:r w:rsidR="0099638C" w:rsidRPr="00E95BC4">
        <w:rPr>
          <w:rFonts w:eastAsia="SimSun"/>
          <w:color w:val="auto"/>
          <w:kern w:val="0"/>
          <w:lang w:val="sr-Cyrl-CS" w:eastAsia="zh-CN"/>
        </w:rPr>
        <w:t xml:space="preserve"> </w:t>
      </w:r>
      <w:r>
        <w:rPr>
          <w:rFonts w:eastAsia="SimSun"/>
          <w:color w:val="auto"/>
          <w:kern w:val="0"/>
          <w:lang w:val="sr-Cyrl-CS" w:eastAsia="zh-CN"/>
        </w:rPr>
        <w:t>novca</w:t>
      </w:r>
      <w:r w:rsidR="0099638C" w:rsidRPr="00E95BC4">
        <w:rPr>
          <w:rFonts w:eastAsia="SimSun"/>
          <w:color w:val="auto"/>
          <w:kern w:val="0"/>
          <w:lang w:val="sr-Cyrl-CS" w:eastAsia="zh-CN"/>
        </w:rPr>
        <w:t xml:space="preserve"> </w:t>
      </w:r>
      <w:r>
        <w:rPr>
          <w:rFonts w:eastAsia="SimSun"/>
          <w:color w:val="auto"/>
          <w:kern w:val="0"/>
          <w:lang w:val="sr-Cyrl-CS" w:eastAsia="zh-CN"/>
        </w:rPr>
        <w:t>i</w:t>
      </w:r>
      <w:r w:rsidR="0099638C" w:rsidRPr="00E95BC4">
        <w:rPr>
          <w:rFonts w:eastAsia="SimSun"/>
          <w:color w:val="auto"/>
          <w:kern w:val="0"/>
          <w:lang w:val="sr-Cyrl-CS" w:eastAsia="zh-CN"/>
        </w:rPr>
        <w:t xml:space="preserve"> </w:t>
      </w:r>
      <w:r>
        <w:rPr>
          <w:rFonts w:eastAsia="SimSun"/>
          <w:color w:val="auto"/>
          <w:kern w:val="0"/>
          <w:lang w:val="sr-Cyrl-CS" w:eastAsia="zh-CN"/>
        </w:rPr>
        <w:t>finansiranja</w:t>
      </w:r>
      <w:r w:rsidR="0099638C" w:rsidRPr="00E95BC4">
        <w:rPr>
          <w:rFonts w:eastAsia="SimSun"/>
          <w:color w:val="auto"/>
          <w:kern w:val="0"/>
          <w:lang w:val="sr-Cyrl-CS" w:eastAsia="zh-CN"/>
        </w:rPr>
        <w:t xml:space="preserve"> </w:t>
      </w:r>
      <w:r>
        <w:rPr>
          <w:rFonts w:eastAsia="SimSun"/>
          <w:color w:val="auto"/>
          <w:kern w:val="0"/>
          <w:lang w:val="sr-Cyrl-CS" w:eastAsia="zh-CN"/>
        </w:rPr>
        <w:t>terorizma</w:t>
      </w:r>
      <w:r w:rsidR="00F2688F" w:rsidRPr="00E95BC4">
        <w:rPr>
          <w:rFonts w:eastAsia="SimSun"/>
          <w:color w:val="auto"/>
          <w:kern w:val="0"/>
          <w:lang w:val="sr-Cyrl-CS" w:eastAsia="zh-CN"/>
        </w:rPr>
        <w:t xml:space="preserve"> </w:t>
      </w:r>
      <w:r>
        <w:rPr>
          <w:rFonts w:eastAsia="SimSun"/>
          <w:color w:val="auto"/>
          <w:kern w:val="0"/>
          <w:lang w:val="sr-Cyrl-CS" w:eastAsia="zh-CN"/>
        </w:rPr>
        <w:t>i</w:t>
      </w:r>
      <w:r w:rsidR="00F2688F" w:rsidRPr="00E95BC4">
        <w:rPr>
          <w:rFonts w:eastAsia="SimSun"/>
          <w:color w:val="auto"/>
          <w:kern w:val="0"/>
          <w:lang w:val="sr-Cyrl-CS" w:eastAsia="zh-CN"/>
        </w:rPr>
        <w:t xml:space="preserve"> </w:t>
      </w:r>
      <w:r>
        <w:rPr>
          <w:rFonts w:eastAsia="SimSun"/>
          <w:color w:val="auto"/>
          <w:kern w:val="0"/>
          <w:lang w:val="sr-Cyrl-CS" w:eastAsia="zh-CN"/>
        </w:rPr>
        <w:t>u</w:t>
      </w:r>
      <w:r w:rsidR="00F2688F" w:rsidRPr="00E95BC4">
        <w:rPr>
          <w:rFonts w:eastAsia="SimSun"/>
          <w:color w:val="auto"/>
          <w:kern w:val="0"/>
          <w:lang w:val="sr-Cyrl-CS" w:eastAsia="zh-CN"/>
        </w:rPr>
        <w:t xml:space="preserve"> </w:t>
      </w:r>
      <w:r>
        <w:rPr>
          <w:rFonts w:eastAsia="SimSun"/>
          <w:color w:val="auto"/>
          <w:kern w:val="0"/>
          <w:lang w:val="sr-Cyrl-CS" w:eastAsia="zh-CN"/>
        </w:rPr>
        <w:t>nizu</w:t>
      </w:r>
      <w:r w:rsidR="00F2688F" w:rsidRPr="00E95BC4">
        <w:rPr>
          <w:rFonts w:eastAsia="SimSun"/>
          <w:color w:val="auto"/>
          <w:kern w:val="0"/>
          <w:lang w:val="sr-Cyrl-CS" w:eastAsia="zh-CN"/>
        </w:rPr>
        <w:t xml:space="preserve"> </w:t>
      </w:r>
      <w:r>
        <w:rPr>
          <w:rFonts w:eastAsia="SimSun"/>
          <w:color w:val="auto"/>
          <w:kern w:val="0"/>
          <w:lang w:val="sr-Cyrl-CS" w:eastAsia="zh-CN"/>
        </w:rPr>
        <w:lastRenderedPageBreak/>
        <w:t>sektorskih</w:t>
      </w:r>
      <w:r w:rsidR="00F2688F" w:rsidRPr="00E95BC4">
        <w:rPr>
          <w:rFonts w:eastAsia="SimSun"/>
          <w:color w:val="auto"/>
          <w:kern w:val="0"/>
          <w:lang w:val="sr-Cyrl-CS" w:eastAsia="zh-CN"/>
        </w:rPr>
        <w:t xml:space="preserve"> </w:t>
      </w:r>
      <w:r>
        <w:rPr>
          <w:rFonts w:eastAsia="SimSun"/>
          <w:color w:val="auto"/>
          <w:kern w:val="0"/>
          <w:lang w:val="sr-Cyrl-CS" w:eastAsia="zh-CN"/>
        </w:rPr>
        <w:t>zakona</w:t>
      </w:r>
      <w:r w:rsidR="00F2688F" w:rsidRPr="00E95BC4">
        <w:rPr>
          <w:rFonts w:eastAsia="SimSun"/>
          <w:color w:val="auto"/>
          <w:kern w:val="0"/>
          <w:lang w:val="sr-Cyrl-CS" w:eastAsia="zh-CN"/>
        </w:rPr>
        <w:t xml:space="preserve">. </w:t>
      </w:r>
      <w:r>
        <w:rPr>
          <w:rFonts w:eastAsia="SimSun"/>
          <w:color w:val="auto"/>
          <w:kern w:val="0"/>
          <w:lang w:val="sr-Cyrl-CS" w:eastAsia="zh-CN"/>
        </w:rPr>
        <w:t>Njima</w:t>
      </w:r>
      <w:r w:rsidR="00F2688F" w:rsidRPr="00E95BC4">
        <w:rPr>
          <w:rFonts w:eastAsia="SimSun"/>
          <w:color w:val="auto"/>
          <w:kern w:val="0"/>
          <w:lang w:val="sr-Cyrl-CS" w:eastAsia="zh-CN"/>
        </w:rPr>
        <w:t xml:space="preserve"> </w:t>
      </w:r>
      <w:r>
        <w:rPr>
          <w:rFonts w:eastAsia="SimSun"/>
          <w:color w:val="auto"/>
          <w:kern w:val="0"/>
          <w:lang w:val="sr-Cyrl-CS" w:eastAsia="zh-CN"/>
        </w:rPr>
        <w:t>se</w:t>
      </w:r>
      <w:r w:rsidR="00F2688F" w:rsidRPr="00E95BC4">
        <w:rPr>
          <w:rFonts w:eastAsia="SimSun"/>
          <w:color w:val="auto"/>
          <w:kern w:val="0"/>
          <w:lang w:val="sr-Cyrl-CS" w:eastAsia="zh-CN"/>
        </w:rPr>
        <w:t xml:space="preserve"> </w:t>
      </w:r>
      <w:r>
        <w:rPr>
          <w:rFonts w:eastAsia="SimSun"/>
          <w:color w:val="auto"/>
          <w:kern w:val="0"/>
          <w:lang w:val="sr-Cyrl-CS" w:eastAsia="zh-CN"/>
        </w:rPr>
        <w:t>određuju</w:t>
      </w:r>
      <w:r w:rsidR="00F2688F" w:rsidRPr="00E95BC4">
        <w:rPr>
          <w:rFonts w:eastAsia="SimSun"/>
          <w:color w:val="auto"/>
          <w:kern w:val="0"/>
          <w:lang w:val="sr-Cyrl-CS" w:eastAsia="zh-CN"/>
        </w:rPr>
        <w:t xml:space="preserve"> </w:t>
      </w:r>
      <w:r>
        <w:rPr>
          <w:rFonts w:eastAsia="SimSun"/>
          <w:color w:val="auto"/>
          <w:kern w:val="0"/>
          <w:lang w:val="sr-Cyrl-CS" w:eastAsia="zh-CN"/>
        </w:rPr>
        <w:t>obveznici</w:t>
      </w:r>
      <w:r w:rsidR="00F2688F" w:rsidRPr="00E95BC4">
        <w:rPr>
          <w:rFonts w:eastAsia="SimSun"/>
          <w:color w:val="auto"/>
          <w:kern w:val="0"/>
          <w:lang w:val="sr-Cyrl-CS" w:eastAsia="zh-CN"/>
        </w:rPr>
        <w:t xml:space="preserve">, </w:t>
      </w:r>
      <w:r>
        <w:rPr>
          <w:rFonts w:eastAsia="SimSun"/>
          <w:color w:val="auto"/>
          <w:kern w:val="0"/>
          <w:lang w:val="sr-Cyrl-CS" w:eastAsia="zh-CN"/>
        </w:rPr>
        <w:t>obaveze</w:t>
      </w:r>
      <w:r w:rsidR="00F2688F" w:rsidRPr="00E95BC4">
        <w:rPr>
          <w:rFonts w:eastAsia="SimSun"/>
          <w:color w:val="auto"/>
          <w:kern w:val="0"/>
          <w:lang w:val="sr-Cyrl-CS" w:eastAsia="zh-CN"/>
        </w:rPr>
        <w:t xml:space="preserve"> </w:t>
      </w:r>
      <w:r>
        <w:rPr>
          <w:rFonts w:eastAsia="SimSun"/>
          <w:color w:val="auto"/>
          <w:kern w:val="0"/>
          <w:lang w:val="sr-Cyrl-CS" w:eastAsia="zh-CN"/>
        </w:rPr>
        <w:t>obveznika</w:t>
      </w:r>
      <w:r w:rsidR="00F2688F" w:rsidRPr="00E95BC4">
        <w:rPr>
          <w:rFonts w:eastAsia="SimSun"/>
          <w:color w:val="auto"/>
          <w:kern w:val="0"/>
          <w:lang w:val="sr-Cyrl-CS" w:eastAsia="zh-CN"/>
        </w:rPr>
        <w:t xml:space="preserve">, </w:t>
      </w:r>
      <w:r>
        <w:rPr>
          <w:rFonts w:eastAsia="SimSun"/>
          <w:color w:val="auto"/>
          <w:kern w:val="0"/>
          <w:lang w:val="sr-Cyrl-CS" w:eastAsia="zh-CN"/>
        </w:rPr>
        <w:t>obaveze</w:t>
      </w:r>
      <w:r w:rsidR="00F2688F" w:rsidRPr="00E95BC4">
        <w:rPr>
          <w:rFonts w:eastAsia="SimSun"/>
          <w:color w:val="auto"/>
          <w:kern w:val="0"/>
          <w:lang w:val="sr-Cyrl-CS" w:eastAsia="zh-CN"/>
        </w:rPr>
        <w:t xml:space="preserve"> </w:t>
      </w:r>
      <w:r>
        <w:rPr>
          <w:rFonts w:eastAsia="SimSun"/>
          <w:color w:val="auto"/>
          <w:kern w:val="0"/>
          <w:lang w:val="sr-Cyrl-CS" w:eastAsia="zh-CN"/>
        </w:rPr>
        <w:t>kontrole</w:t>
      </w:r>
      <w:r w:rsidR="00F2688F" w:rsidRPr="00E95BC4">
        <w:rPr>
          <w:rFonts w:eastAsia="SimSun"/>
          <w:color w:val="auto"/>
          <w:kern w:val="0"/>
          <w:lang w:val="sr-Cyrl-CS" w:eastAsia="zh-CN"/>
        </w:rPr>
        <w:t xml:space="preserve"> </w:t>
      </w:r>
      <w:r>
        <w:rPr>
          <w:rFonts w:eastAsia="SimSun"/>
          <w:color w:val="auto"/>
          <w:kern w:val="0"/>
          <w:lang w:val="sr-Cyrl-CS" w:eastAsia="zh-CN"/>
        </w:rPr>
        <w:t>stručnosti</w:t>
      </w:r>
      <w:r w:rsidR="00F2688F" w:rsidRPr="00E95BC4">
        <w:rPr>
          <w:rFonts w:eastAsia="SimSun"/>
          <w:color w:val="auto"/>
          <w:kern w:val="0"/>
          <w:lang w:val="sr-Cyrl-CS" w:eastAsia="zh-CN"/>
        </w:rPr>
        <w:t xml:space="preserve"> </w:t>
      </w:r>
      <w:r>
        <w:rPr>
          <w:rFonts w:eastAsia="SimSun"/>
          <w:color w:val="auto"/>
          <w:kern w:val="0"/>
          <w:lang w:val="sr-Cyrl-CS" w:eastAsia="zh-CN"/>
        </w:rPr>
        <w:t>i</w:t>
      </w:r>
      <w:r w:rsidR="00F2688F" w:rsidRPr="00E95BC4">
        <w:rPr>
          <w:rFonts w:eastAsia="SimSun"/>
          <w:color w:val="auto"/>
          <w:kern w:val="0"/>
          <w:lang w:val="sr-Cyrl-CS" w:eastAsia="zh-CN"/>
        </w:rPr>
        <w:t xml:space="preserve"> </w:t>
      </w:r>
      <w:r>
        <w:rPr>
          <w:rFonts w:eastAsia="SimSun"/>
          <w:color w:val="auto"/>
          <w:kern w:val="0"/>
          <w:lang w:val="sr-Cyrl-CS" w:eastAsia="zh-CN"/>
        </w:rPr>
        <w:t>podobnosti</w:t>
      </w:r>
      <w:r w:rsidR="00F2688F" w:rsidRPr="00E95BC4">
        <w:rPr>
          <w:rFonts w:eastAsia="SimSun"/>
          <w:color w:val="auto"/>
          <w:kern w:val="0"/>
          <w:lang w:val="sr-Cyrl-CS" w:eastAsia="zh-CN"/>
        </w:rPr>
        <w:t xml:space="preserve"> </w:t>
      </w:r>
      <w:r>
        <w:rPr>
          <w:rFonts w:eastAsia="SimSun"/>
          <w:color w:val="auto"/>
          <w:kern w:val="0"/>
          <w:lang w:val="sr-Cyrl-CS" w:eastAsia="zh-CN"/>
        </w:rPr>
        <w:t>lica</w:t>
      </w:r>
      <w:r w:rsidR="00F2688F" w:rsidRPr="00E95BC4">
        <w:rPr>
          <w:rFonts w:eastAsia="SimSun"/>
          <w:color w:val="auto"/>
          <w:kern w:val="0"/>
          <w:lang w:val="sr-Cyrl-CS" w:eastAsia="zh-CN"/>
        </w:rPr>
        <w:t xml:space="preserve"> </w:t>
      </w:r>
      <w:r>
        <w:rPr>
          <w:rFonts w:eastAsia="SimSun"/>
          <w:color w:val="auto"/>
          <w:kern w:val="0"/>
          <w:lang w:val="sr-Cyrl-CS" w:eastAsia="zh-CN"/>
        </w:rPr>
        <w:t>koja</w:t>
      </w:r>
      <w:r w:rsidR="00F2688F" w:rsidRPr="00E95BC4">
        <w:rPr>
          <w:rFonts w:eastAsia="SimSun"/>
          <w:color w:val="auto"/>
          <w:kern w:val="0"/>
          <w:lang w:val="sr-Cyrl-CS" w:eastAsia="zh-CN"/>
        </w:rPr>
        <w:t xml:space="preserve"> </w:t>
      </w:r>
      <w:r>
        <w:rPr>
          <w:rFonts w:eastAsia="SimSun"/>
          <w:color w:val="auto"/>
          <w:kern w:val="0"/>
          <w:lang w:val="sr-Cyrl-CS" w:eastAsia="zh-CN"/>
        </w:rPr>
        <w:t>su</w:t>
      </w:r>
      <w:r w:rsidR="00F2688F" w:rsidRPr="00E95BC4">
        <w:rPr>
          <w:rFonts w:eastAsia="SimSun"/>
          <w:color w:val="auto"/>
          <w:kern w:val="0"/>
          <w:lang w:val="sr-Cyrl-CS" w:eastAsia="zh-CN"/>
        </w:rPr>
        <w:t xml:space="preserve"> </w:t>
      </w:r>
      <w:r>
        <w:rPr>
          <w:rFonts w:eastAsia="SimSun"/>
          <w:color w:val="auto"/>
          <w:kern w:val="0"/>
          <w:lang w:val="sr-Cyrl-CS" w:eastAsia="zh-CN"/>
        </w:rPr>
        <w:t>vlasnici</w:t>
      </w:r>
      <w:r w:rsidR="00F2688F" w:rsidRPr="00E95BC4">
        <w:rPr>
          <w:rFonts w:eastAsia="SimSun"/>
          <w:color w:val="auto"/>
          <w:kern w:val="0"/>
          <w:lang w:val="sr-Cyrl-CS" w:eastAsia="zh-CN"/>
        </w:rPr>
        <w:t xml:space="preserve"> </w:t>
      </w:r>
      <w:r>
        <w:rPr>
          <w:rFonts w:eastAsia="SimSun"/>
          <w:color w:val="auto"/>
          <w:kern w:val="0"/>
          <w:lang w:val="sr-Cyrl-CS" w:eastAsia="zh-CN"/>
        </w:rPr>
        <w:t>ili</w:t>
      </w:r>
      <w:r w:rsidR="00F2688F" w:rsidRPr="00E95BC4">
        <w:rPr>
          <w:rFonts w:eastAsia="SimSun"/>
          <w:color w:val="auto"/>
          <w:kern w:val="0"/>
          <w:lang w:val="sr-Cyrl-CS" w:eastAsia="zh-CN"/>
        </w:rPr>
        <w:t xml:space="preserve"> </w:t>
      </w:r>
      <w:r>
        <w:rPr>
          <w:rFonts w:eastAsia="SimSun"/>
          <w:color w:val="auto"/>
          <w:kern w:val="0"/>
          <w:lang w:val="sr-Cyrl-CS" w:eastAsia="zh-CN"/>
        </w:rPr>
        <w:t>kontrolišu</w:t>
      </w:r>
      <w:r w:rsidR="00F2688F" w:rsidRPr="00E95BC4">
        <w:rPr>
          <w:rFonts w:eastAsia="SimSun"/>
          <w:color w:val="auto"/>
          <w:kern w:val="0"/>
          <w:lang w:val="sr-Cyrl-CS" w:eastAsia="zh-CN"/>
        </w:rPr>
        <w:t xml:space="preserve"> </w:t>
      </w:r>
      <w:r>
        <w:rPr>
          <w:rFonts w:eastAsia="SimSun"/>
          <w:color w:val="auto"/>
          <w:kern w:val="0"/>
          <w:lang w:val="sr-Cyrl-CS" w:eastAsia="zh-CN"/>
        </w:rPr>
        <w:t>subjekte</w:t>
      </w:r>
      <w:r w:rsidR="00F2688F" w:rsidRPr="00E95BC4">
        <w:rPr>
          <w:rFonts w:eastAsia="SimSun"/>
          <w:color w:val="auto"/>
          <w:kern w:val="0"/>
          <w:lang w:val="sr-Cyrl-CS" w:eastAsia="zh-CN"/>
        </w:rPr>
        <w:t xml:space="preserve"> </w:t>
      </w:r>
      <w:r>
        <w:rPr>
          <w:rFonts w:eastAsia="SimSun"/>
          <w:color w:val="auto"/>
          <w:kern w:val="0"/>
          <w:lang w:val="sr-Cyrl-CS" w:eastAsia="zh-CN"/>
        </w:rPr>
        <w:t>nadzora</w:t>
      </w:r>
      <w:r w:rsidR="00F2688F" w:rsidRPr="00E95BC4">
        <w:rPr>
          <w:rFonts w:eastAsia="SimSun"/>
          <w:color w:val="auto"/>
          <w:kern w:val="0"/>
          <w:lang w:val="sr-Cyrl-CS" w:eastAsia="zh-CN"/>
        </w:rPr>
        <w:t xml:space="preserve">, </w:t>
      </w:r>
      <w:r>
        <w:rPr>
          <w:rFonts w:eastAsia="SimSun"/>
          <w:color w:val="auto"/>
          <w:kern w:val="0"/>
          <w:lang w:val="sr-Cyrl-CS" w:eastAsia="zh-CN"/>
        </w:rPr>
        <w:t>reguliše</w:t>
      </w:r>
      <w:r w:rsidR="00F2688F" w:rsidRPr="00E95BC4">
        <w:rPr>
          <w:rFonts w:eastAsia="SimSun"/>
          <w:color w:val="auto"/>
          <w:kern w:val="0"/>
          <w:lang w:val="sr-Cyrl-CS" w:eastAsia="zh-CN"/>
        </w:rPr>
        <w:t xml:space="preserve"> </w:t>
      </w:r>
      <w:r>
        <w:rPr>
          <w:rFonts w:eastAsia="SimSun"/>
          <w:color w:val="auto"/>
          <w:kern w:val="0"/>
          <w:lang w:val="sr-Cyrl-CS" w:eastAsia="zh-CN"/>
        </w:rPr>
        <w:t>se</w:t>
      </w:r>
      <w:r w:rsidR="00F2688F" w:rsidRPr="00E95BC4">
        <w:rPr>
          <w:rFonts w:eastAsia="SimSun"/>
          <w:color w:val="auto"/>
          <w:kern w:val="0"/>
          <w:lang w:val="sr-Cyrl-CS" w:eastAsia="zh-CN"/>
        </w:rPr>
        <w:t xml:space="preserve"> </w:t>
      </w:r>
      <w:r>
        <w:rPr>
          <w:rFonts w:eastAsia="SimSun"/>
          <w:color w:val="auto"/>
          <w:kern w:val="0"/>
          <w:lang w:val="sr-Cyrl-CS" w:eastAsia="zh-CN"/>
        </w:rPr>
        <w:t>pitanje</w:t>
      </w:r>
      <w:r w:rsidR="00F2688F" w:rsidRPr="00E95BC4">
        <w:rPr>
          <w:rFonts w:eastAsia="SimSun"/>
          <w:color w:val="auto"/>
          <w:kern w:val="0"/>
          <w:lang w:val="sr-Cyrl-CS" w:eastAsia="zh-CN"/>
        </w:rPr>
        <w:t xml:space="preserve"> </w:t>
      </w:r>
      <w:r>
        <w:rPr>
          <w:rFonts w:eastAsia="SimSun"/>
          <w:color w:val="auto"/>
          <w:kern w:val="0"/>
          <w:lang w:val="sr-Cyrl-CS" w:eastAsia="zh-CN"/>
        </w:rPr>
        <w:t>transparentnosti</w:t>
      </w:r>
      <w:r w:rsidR="00F2688F" w:rsidRPr="00E95BC4">
        <w:rPr>
          <w:rFonts w:eastAsia="SimSun"/>
          <w:color w:val="auto"/>
          <w:kern w:val="0"/>
          <w:lang w:val="sr-Cyrl-CS" w:eastAsia="zh-CN"/>
        </w:rPr>
        <w:t xml:space="preserve"> </w:t>
      </w:r>
      <w:r>
        <w:rPr>
          <w:rFonts w:eastAsia="SimSun"/>
          <w:color w:val="auto"/>
          <w:kern w:val="0"/>
          <w:lang w:val="sr-Cyrl-CS" w:eastAsia="zh-CN"/>
        </w:rPr>
        <w:t>pravnih</w:t>
      </w:r>
      <w:r w:rsidR="00F2688F" w:rsidRPr="00E95BC4">
        <w:rPr>
          <w:rFonts w:eastAsia="SimSun"/>
          <w:color w:val="auto"/>
          <w:kern w:val="0"/>
          <w:lang w:val="sr-Cyrl-CS" w:eastAsia="zh-CN"/>
        </w:rPr>
        <w:t xml:space="preserve"> </w:t>
      </w:r>
      <w:r>
        <w:rPr>
          <w:rFonts w:eastAsia="SimSun"/>
          <w:color w:val="auto"/>
          <w:kern w:val="0"/>
          <w:lang w:val="sr-Cyrl-CS" w:eastAsia="zh-CN"/>
        </w:rPr>
        <w:t>lica</w:t>
      </w:r>
      <w:r w:rsidR="00F2688F" w:rsidRPr="00E95BC4">
        <w:rPr>
          <w:rFonts w:eastAsia="SimSun"/>
          <w:color w:val="auto"/>
          <w:kern w:val="0"/>
          <w:lang w:val="sr-Cyrl-CS" w:eastAsia="zh-CN"/>
        </w:rPr>
        <w:t xml:space="preserve">, </w:t>
      </w:r>
      <w:r>
        <w:rPr>
          <w:rFonts w:eastAsia="SimSun"/>
          <w:color w:val="auto"/>
          <w:kern w:val="0"/>
          <w:lang w:val="sr-Cyrl-CS" w:eastAsia="zh-CN"/>
        </w:rPr>
        <w:t>određuju</w:t>
      </w:r>
      <w:r w:rsidR="00F2688F" w:rsidRPr="00E95BC4">
        <w:rPr>
          <w:rFonts w:eastAsia="SimSun"/>
          <w:color w:val="auto"/>
          <w:kern w:val="0"/>
          <w:lang w:val="sr-Cyrl-CS" w:eastAsia="zh-CN"/>
        </w:rPr>
        <w:t xml:space="preserve"> </w:t>
      </w:r>
      <w:r>
        <w:rPr>
          <w:rFonts w:eastAsia="SimSun"/>
          <w:color w:val="auto"/>
          <w:kern w:val="0"/>
          <w:lang w:val="sr-Cyrl-CS" w:eastAsia="zh-CN"/>
        </w:rPr>
        <w:t>se</w:t>
      </w:r>
      <w:r w:rsidR="00F2688F" w:rsidRPr="00E95BC4">
        <w:rPr>
          <w:rFonts w:eastAsia="SimSun"/>
          <w:color w:val="auto"/>
          <w:kern w:val="0"/>
          <w:lang w:val="sr-Cyrl-CS" w:eastAsia="zh-CN"/>
        </w:rPr>
        <w:t xml:space="preserve"> </w:t>
      </w:r>
      <w:r>
        <w:rPr>
          <w:rFonts w:eastAsia="SimSun"/>
          <w:color w:val="auto"/>
          <w:kern w:val="0"/>
          <w:lang w:val="sr-Cyrl-CS" w:eastAsia="zh-CN"/>
        </w:rPr>
        <w:t>nadzorni</w:t>
      </w:r>
      <w:r w:rsidR="00F2688F" w:rsidRPr="00E95BC4">
        <w:rPr>
          <w:rFonts w:eastAsia="SimSun"/>
          <w:color w:val="auto"/>
          <w:kern w:val="0"/>
          <w:lang w:val="sr-Cyrl-CS" w:eastAsia="zh-CN"/>
        </w:rPr>
        <w:t xml:space="preserve"> </w:t>
      </w:r>
      <w:r>
        <w:rPr>
          <w:rFonts w:eastAsia="SimSun"/>
          <w:color w:val="auto"/>
          <w:kern w:val="0"/>
          <w:lang w:val="sr-Cyrl-CS" w:eastAsia="zh-CN"/>
        </w:rPr>
        <w:t>organi</w:t>
      </w:r>
      <w:r w:rsidR="00F2688F" w:rsidRPr="00E95BC4">
        <w:rPr>
          <w:rFonts w:eastAsia="SimSun"/>
          <w:color w:val="auto"/>
          <w:kern w:val="0"/>
          <w:lang w:val="sr-Cyrl-CS" w:eastAsia="zh-CN"/>
        </w:rPr>
        <w:t xml:space="preserve"> </w:t>
      </w:r>
      <w:r>
        <w:rPr>
          <w:rFonts w:eastAsia="SimSun"/>
          <w:color w:val="auto"/>
          <w:kern w:val="0"/>
          <w:lang w:val="sr-Cyrl-CS" w:eastAsia="zh-CN"/>
        </w:rPr>
        <w:t>i</w:t>
      </w:r>
      <w:r w:rsidR="00F2688F" w:rsidRPr="00E95BC4">
        <w:rPr>
          <w:rFonts w:eastAsia="SimSun"/>
          <w:color w:val="auto"/>
          <w:kern w:val="0"/>
          <w:lang w:val="sr-Cyrl-CS" w:eastAsia="zh-CN"/>
        </w:rPr>
        <w:t xml:space="preserve"> </w:t>
      </w:r>
      <w:r>
        <w:rPr>
          <w:rFonts w:eastAsia="SimSun"/>
          <w:color w:val="auto"/>
          <w:kern w:val="0"/>
          <w:lang w:val="sr-Cyrl-CS" w:eastAsia="zh-CN"/>
        </w:rPr>
        <w:t>uspostavlja</w:t>
      </w:r>
      <w:r w:rsidR="00F2688F" w:rsidRPr="00E95BC4">
        <w:rPr>
          <w:rFonts w:eastAsia="SimSun"/>
          <w:color w:val="auto"/>
          <w:kern w:val="0"/>
          <w:lang w:val="sr-Cyrl-CS" w:eastAsia="zh-CN"/>
        </w:rPr>
        <w:t xml:space="preserve"> </w:t>
      </w:r>
      <w:r>
        <w:rPr>
          <w:rFonts w:eastAsia="SimSun"/>
          <w:color w:val="auto"/>
          <w:kern w:val="0"/>
          <w:lang w:val="sr-Cyrl-CS" w:eastAsia="zh-CN"/>
        </w:rPr>
        <w:t>sistem</w:t>
      </w:r>
      <w:r w:rsidR="00F2688F" w:rsidRPr="00E95BC4">
        <w:rPr>
          <w:rFonts w:eastAsia="SimSun"/>
          <w:color w:val="auto"/>
          <w:kern w:val="0"/>
          <w:lang w:val="sr-Cyrl-CS" w:eastAsia="zh-CN"/>
        </w:rPr>
        <w:t xml:space="preserve"> </w:t>
      </w:r>
      <w:r>
        <w:rPr>
          <w:rFonts w:eastAsia="SimSun"/>
          <w:color w:val="auto"/>
          <w:kern w:val="0"/>
          <w:lang w:val="sr-Cyrl-CS" w:eastAsia="zh-CN"/>
        </w:rPr>
        <w:t>sankcionisanja</w:t>
      </w:r>
      <w:r w:rsidR="00F2688F" w:rsidRPr="00E95BC4">
        <w:rPr>
          <w:rFonts w:eastAsia="SimSun"/>
          <w:color w:val="auto"/>
          <w:kern w:val="0"/>
          <w:lang w:val="sr-Cyrl-CS" w:eastAsia="zh-CN"/>
        </w:rPr>
        <w:t xml:space="preserve"> </w:t>
      </w:r>
      <w:r>
        <w:rPr>
          <w:rFonts w:eastAsia="SimSun"/>
          <w:color w:val="auto"/>
          <w:kern w:val="0"/>
          <w:lang w:val="sr-Cyrl-CS" w:eastAsia="zh-CN"/>
        </w:rPr>
        <w:t>za</w:t>
      </w:r>
      <w:r w:rsidR="00F2688F" w:rsidRPr="00E95BC4">
        <w:rPr>
          <w:rFonts w:eastAsia="SimSun"/>
          <w:color w:val="auto"/>
          <w:kern w:val="0"/>
          <w:lang w:val="sr-Cyrl-CS" w:eastAsia="zh-CN"/>
        </w:rPr>
        <w:t xml:space="preserve"> </w:t>
      </w:r>
      <w:r>
        <w:rPr>
          <w:rFonts w:eastAsia="SimSun"/>
          <w:color w:val="auto"/>
          <w:kern w:val="0"/>
          <w:lang w:val="sr-Cyrl-CS" w:eastAsia="zh-CN"/>
        </w:rPr>
        <w:t>nepoštovanje</w:t>
      </w:r>
      <w:r w:rsidR="00F2688F" w:rsidRPr="00E95BC4">
        <w:rPr>
          <w:rFonts w:eastAsia="SimSun"/>
          <w:color w:val="auto"/>
          <w:kern w:val="0"/>
          <w:lang w:val="sr-Cyrl-CS" w:eastAsia="zh-CN"/>
        </w:rPr>
        <w:t xml:space="preserve"> </w:t>
      </w:r>
      <w:r>
        <w:rPr>
          <w:rFonts w:eastAsia="SimSun"/>
          <w:color w:val="auto"/>
          <w:kern w:val="0"/>
          <w:lang w:val="sr-Cyrl-CS" w:eastAsia="zh-CN"/>
        </w:rPr>
        <w:t>propisanih</w:t>
      </w:r>
      <w:r w:rsidR="00F2688F" w:rsidRPr="00E95BC4">
        <w:rPr>
          <w:rFonts w:eastAsia="SimSun"/>
          <w:color w:val="auto"/>
          <w:kern w:val="0"/>
          <w:lang w:val="sr-Cyrl-CS" w:eastAsia="zh-CN"/>
        </w:rPr>
        <w:t xml:space="preserve"> </w:t>
      </w:r>
      <w:r>
        <w:rPr>
          <w:rFonts w:eastAsia="SimSun"/>
          <w:color w:val="auto"/>
          <w:kern w:val="0"/>
          <w:lang w:val="sr-Cyrl-CS" w:eastAsia="zh-CN"/>
        </w:rPr>
        <w:t>obaveza</w:t>
      </w:r>
      <w:r w:rsidR="00F2688F" w:rsidRPr="00E95BC4">
        <w:rPr>
          <w:rFonts w:eastAsia="SimSun"/>
          <w:color w:val="auto"/>
          <w:kern w:val="0"/>
          <w:lang w:val="sr-Cyrl-CS" w:eastAsia="zh-CN"/>
        </w:rPr>
        <w:t xml:space="preserve"> </w:t>
      </w:r>
      <w:r>
        <w:rPr>
          <w:rFonts w:eastAsia="SimSun"/>
          <w:color w:val="auto"/>
          <w:kern w:val="0"/>
          <w:lang w:val="sr-Cyrl-CS" w:eastAsia="zh-CN"/>
        </w:rPr>
        <w:t>u</w:t>
      </w:r>
      <w:r w:rsidR="00F2688F" w:rsidRPr="00E95BC4">
        <w:rPr>
          <w:rFonts w:eastAsia="SimSun"/>
          <w:color w:val="auto"/>
          <w:kern w:val="0"/>
          <w:lang w:val="sr-Cyrl-CS" w:eastAsia="zh-CN"/>
        </w:rPr>
        <w:t xml:space="preserve"> </w:t>
      </w:r>
      <w:r>
        <w:rPr>
          <w:rFonts w:eastAsia="SimSun"/>
          <w:color w:val="auto"/>
          <w:kern w:val="0"/>
          <w:lang w:val="sr-Cyrl-CS" w:eastAsia="zh-CN"/>
        </w:rPr>
        <w:t>skladu</w:t>
      </w:r>
      <w:r w:rsidR="00F2688F" w:rsidRPr="00E95BC4">
        <w:rPr>
          <w:rFonts w:eastAsia="SimSun"/>
          <w:color w:val="auto"/>
          <w:kern w:val="0"/>
          <w:lang w:val="sr-Cyrl-CS" w:eastAsia="zh-CN"/>
        </w:rPr>
        <w:t xml:space="preserve"> </w:t>
      </w:r>
      <w:r>
        <w:rPr>
          <w:rFonts w:eastAsia="SimSun"/>
          <w:color w:val="auto"/>
          <w:kern w:val="0"/>
          <w:lang w:val="sr-Cyrl-CS" w:eastAsia="zh-CN"/>
        </w:rPr>
        <w:t>sa</w:t>
      </w:r>
      <w:r w:rsidR="00F2688F" w:rsidRPr="00E95BC4">
        <w:rPr>
          <w:rFonts w:eastAsia="SimSun"/>
          <w:color w:val="auto"/>
          <w:kern w:val="0"/>
          <w:lang w:val="sr-Cyrl-CS" w:eastAsia="zh-CN"/>
        </w:rPr>
        <w:t xml:space="preserve"> </w:t>
      </w:r>
      <w:r>
        <w:rPr>
          <w:rFonts w:eastAsia="SimSun"/>
          <w:color w:val="auto"/>
          <w:kern w:val="0"/>
          <w:lang w:val="sr-Cyrl-CS" w:eastAsia="zh-CN"/>
        </w:rPr>
        <w:t>međunarodnim</w:t>
      </w:r>
      <w:r w:rsidR="00F2688F" w:rsidRPr="00E95BC4">
        <w:rPr>
          <w:rFonts w:eastAsia="SimSun"/>
          <w:color w:val="auto"/>
          <w:kern w:val="0"/>
          <w:lang w:val="sr-Cyrl-CS" w:eastAsia="zh-CN"/>
        </w:rPr>
        <w:t xml:space="preserve"> </w:t>
      </w:r>
      <w:r>
        <w:rPr>
          <w:rFonts w:eastAsia="SimSun"/>
          <w:color w:val="auto"/>
          <w:kern w:val="0"/>
          <w:lang w:val="sr-Cyrl-CS" w:eastAsia="zh-CN"/>
        </w:rPr>
        <w:t>standardima</w:t>
      </w:r>
      <w:r w:rsidR="00F2688F" w:rsidRPr="00E95BC4">
        <w:rPr>
          <w:rFonts w:eastAsia="SimSun"/>
          <w:color w:val="auto"/>
          <w:kern w:val="0"/>
          <w:lang w:val="sr-Cyrl-CS" w:eastAsia="zh-CN"/>
        </w:rPr>
        <w:t>.</w:t>
      </w:r>
    </w:p>
    <w:p w:rsidR="00F2688F" w:rsidRPr="00E95BC4" w:rsidRDefault="005818C0" w:rsidP="00F2688F">
      <w:pPr>
        <w:ind w:firstLine="720"/>
        <w:jc w:val="both"/>
        <w:rPr>
          <w:lang w:val="sr-Cyrl-CS"/>
        </w:rPr>
      </w:pPr>
      <w:r>
        <w:rPr>
          <w:lang w:val="sr-Cyrl-CS"/>
        </w:rPr>
        <w:t>Imajući</w:t>
      </w:r>
      <w:r w:rsidR="00F2688F" w:rsidRPr="00E95BC4">
        <w:rPr>
          <w:lang w:val="sr-Cyrl-CS"/>
        </w:rPr>
        <w:t xml:space="preserve"> </w:t>
      </w:r>
      <w:r>
        <w:rPr>
          <w:lang w:val="sr-Cyrl-CS"/>
        </w:rPr>
        <w:t>u</w:t>
      </w:r>
      <w:r w:rsidR="00F2688F" w:rsidRPr="00E95BC4">
        <w:rPr>
          <w:lang w:val="sr-Cyrl-CS"/>
        </w:rPr>
        <w:t xml:space="preserve"> </w:t>
      </w:r>
      <w:r>
        <w:rPr>
          <w:lang w:val="sr-Cyrl-CS"/>
        </w:rPr>
        <w:t>vidu</w:t>
      </w:r>
      <w:r w:rsidR="00F2688F" w:rsidRPr="00E95BC4">
        <w:rPr>
          <w:lang w:val="sr-Cyrl-CS"/>
        </w:rPr>
        <w:t xml:space="preserve"> </w:t>
      </w:r>
      <w:r>
        <w:rPr>
          <w:lang w:val="sr-Cyrl-CS"/>
        </w:rPr>
        <w:t>sve</w:t>
      </w:r>
      <w:r w:rsidR="00F2688F" w:rsidRPr="00E95BC4">
        <w:rPr>
          <w:lang w:val="sr-Cyrl-CS"/>
        </w:rPr>
        <w:t xml:space="preserve"> </w:t>
      </w:r>
      <w:r>
        <w:rPr>
          <w:lang w:val="sr-Cyrl-CS"/>
        </w:rPr>
        <w:t>navedeno</w:t>
      </w:r>
      <w:r w:rsidR="00F2688F" w:rsidRPr="00E95BC4">
        <w:rPr>
          <w:lang w:val="sr-Cyrl-CS"/>
        </w:rPr>
        <w:t xml:space="preserve">, </w:t>
      </w:r>
      <w:r>
        <w:rPr>
          <w:lang w:val="sr-Cyrl-CS"/>
        </w:rPr>
        <w:t>neophodno</w:t>
      </w:r>
      <w:r w:rsidR="00F2688F" w:rsidRPr="00E95BC4">
        <w:rPr>
          <w:lang w:val="sr-Cyrl-CS"/>
        </w:rPr>
        <w:t xml:space="preserve"> </w:t>
      </w:r>
      <w:r>
        <w:rPr>
          <w:lang w:val="sr-Cyrl-CS"/>
        </w:rPr>
        <w:t>je</w:t>
      </w:r>
      <w:r w:rsidR="00F2688F" w:rsidRPr="00E95BC4">
        <w:rPr>
          <w:lang w:val="sr-Cyrl-CS"/>
        </w:rPr>
        <w:t xml:space="preserve"> </w:t>
      </w:r>
      <w:r>
        <w:rPr>
          <w:lang w:val="sr-Cyrl-CS"/>
        </w:rPr>
        <w:t>pratiti</w:t>
      </w:r>
      <w:r w:rsidR="00F2688F" w:rsidRPr="00E95BC4">
        <w:rPr>
          <w:lang w:val="sr-Cyrl-CS"/>
        </w:rPr>
        <w:t xml:space="preserve"> </w:t>
      </w:r>
      <w:r>
        <w:rPr>
          <w:lang w:val="sr-Cyrl-CS"/>
        </w:rPr>
        <w:t>stanje</w:t>
      </w:r>
      <w:r w:rsidR="00F2688F" w:rsidRPr="00E95BC4">
        <w:rPr>
          <w:lang w:val="sr-Cyrl-CS"/>
        </w:rPr>
        <w:t xml:space="preserve"> </w:t>
      </w:r>
      <w:r>
        <w:rPr>
          <w:lang w:val="sr-Cyrl-CS"/>
        </w:rPr>
        <w:t>u</w:t>
      </w:r>
      <w:r w:rsidR="00F2688F" w:rsidRPr="00E95BC4">
        <w:rPr>
          <w:lang w:val="sr-Cyrl-CS"/>
        </w:rPr>
        <w:t xml:space="preserve"> </w:t>
      </w:r>
      <w:r>
        <w:rPr>
          <w:lang w:val="sr-Cyrl-CS"/>
        </w:rPr>
        <w:t>pogledu</w:t>
      </w:r>
      <w:r w:rsidR="00F2688F" w:rsidRPr="00E95BC4">
        <w:rPr>
          <w:lang w:val="sr-Cyrl-CS"/>
        </w:rPr>
        <w:t xml:space="preserve"> </w:t>
      </w:r>
      <w:r>
        <w:rPr>
          <w:lang w:val="sr-Cyrl-CS"/>
        </w:rPr>
        <w:t>slabosti</w:t>
      </w:r>
      <w:r w:rsidR="005A6DC3" w:rsidRPr="00E95BC4">
        <w:rPr>
          <w:lang w:val="sr-Cyrl-CS"/>
        </w:rPr>
        <w:t xml:space="preserve"> </w:t>
      </w:r>
      <w:r>
        <w:rPr>
          <w:lang w:val="sr-Cyrl-CS"/>
        </w:rPr>
        <w:t>u</w:t>
      </w:r>
      <w:r w:rsidR="005A6DC3" w:rsidRPr="00E95BC4">
        <w:rPr>
          <w:lang w:val="sr-Cyrl-CS"/>
        </w:rPr>
        <w:t xml:space="preserve"> </w:t>
      </w:r>
      <w:r>
        <w:rPr>
          <w:lang w:val="sr-Cyrl-CS"/>
        </w:rPr>
        <w:t>sistemu</w:t>
      </w:r>
      <w:r w:rsidR="00F2688F" w:rsidRPr="00E95BC4">
        <w:rPr>
          <w:lang w:val="sr-Cyrl-CS"/>
        </w:rPr>
        <w:t xml:space="preserve"> </w:t>
      </w:r>
      <w:r>
        <w:rPr>
          <w:lang w:val="sr-Cyrl-CS"/>
        </w:rPr>
        <w:t>i</w:t>
      </w:r>
      <w:r w:rsidR="00F2688F" w:rsidRPr="00E95BC4">
        <w:rPr>
          <w:lang w:val="sr-Cyrl-CS"/>
        </w:rPr>
        <w:t xml:space="preserve"> </w:t>
      </w:r>
      <w:r>
        <w:rPr>
          <w:lang w:val="sr-Cyrl-CS"/>
        </w:rPr>
        <w:t>ispunjenosti</w:t>
      </w:r>
      <w:r w:rsidR="00D1117C" w:rsidRPr="00E95BC4">
        <w:rPr>
          <w:lang w:val="sr-Cyrl-CS"/>
        </w:rPr>
        <w:t xml:space="preserve"> </w:t>
      </w:r>
      <w:r>
        <w:rPr>
          <w:lang w:val="sr-Cyrl-CS"/>
        </w:rPr>
        <w:t>međunarodnih</w:t>
      </w:r>
      <w:r w:rsidR="00D1117C" w:rsidRPr="00E95BC4">
        <w:rPr>
          <w:lang w:val="sr-Cyrl-CS"/>
        </w:rPr>
        <w:t xml:space="preserve"> </w:t>
      </w:r>
      <w:r>
        <w:rPr>
          <w:lang w:val="sr-Cyrl-CS"/>
        </w:rPr>
        <w:t>standarda</w:t>
      </w:r>
      <w:r w:rsidR="00D1117C" w:rsidRPr="00E95BC4">
        <w:rPr>
          <w:lang w:val="sr-Cyrl-CS"/>
        </w:rPr>
        <w:t xml:space="preserve">, </w:t>
      </w:r>
      <w:r>
        <w:rPr>
          <w:lang w:val="sr-Cyrl-CS"/>
        </w:rPr>
        <w:t>upodobljavati</w:t>
      </w:r>
      <w:r w:rsidR="00F2688F" w:rsidRPr="00E95BC4">
        <w:rPr>
          <w:lang w:val="sr-Cyrl-CS"/>
        </w:rPr>
        <w:t xml:space="preserve"> </w:t>
      </w:r>
      <w:r>
        <w:rPr>
          <w:lang w:val="sr-Cyrl-CS"/>
        </w:rPr>
        <w:t>regulativu</w:t>
      </w:r>
      <w:r w:rsidR="00F2688F" w:rsidRPr="00E95BC4">
        <w:rPr>
          <w:lang w:val="sr-Cyrl-CS"/>
        </w:rPr>
        <w:t xml:space="preserve"> </w:t>
      </w:r>
      <w:r>
        <w:rPr>
          <w:lang w:val="sr-Cyrl-CS"/>
        </w:rPr>
        <w:t>u</w:t>
      </w:r>
      <w:r w:rsidR="00F2688F" w:rsidRPr="00E95BC4">
        <w:rPr>
          <w:lang w:val="sr-Cyrl-CS"/>
        </w:rPr>
        <w:t xml:space="preserve"> </w:t>
      </w:r>
      <w:r>
        <w:rPr>
          <w:lang w:val="sr-Cyrl-CS"/>
        </w:rPr>
        <w:t>skladu</w:t>
      </w:r>
      <w:r w:rsidR="00F2688F" w:rsidRPr="00E95BC4">
        <w:rPr>
          <w:lang w:val="sr-Cyrl-CS"/>
        </w:rPr>
        <w:t xml:space="preserve"> </w:t>
      </w:r>
      <w:r>
        <w:rPr>
          <w:lang w:val="sr-Cyrl-CS"/>
        </w:rPr>
        <w:t>sa</w:t>
      </w:r>
      <w:r w:rsidR="00F2688F" w:rsidRPr="00E95BC4">
        <w:rPr>
          <w:lang w:val="sr-Cyrl-CS"/>
        </w:rPr>
        <w:t xml:space="preserve"> </w:t>
      </w:r>
      <w:r>
        <w:rPr>
          <w:lang w:val="sr-Cyrl-CS"/>
        </w:rPr>
        <w:t>uočenim</w:t>
      </w:r>
      <w:r w:rsidR="00D1117C" w:rsidRPr="00E95BC4">
        <w:rPr>
          <w:lang w:val="sr-Cyrl-CS"/>
        </w:rPr>
        <w:t xml:space="preserve"> </w:t>
      </w:r>
      <w:r>
        <w:rPr>
          <w:lang w:val="sr-Cyrl-CS"/>
        </w:rPr>
        <w:t>promenama</w:t>
      </w:r>
      <w:r w:rsidR="00F2688F" w:rsidRPr="00E95BC4">
        <w:rPr>
          <w:lang w:val="sr-Cyrl-CS"/>
        </w:rPr>
        <w:t xml:space="preserve"> </w:t>
      </w:r>
      <w:r>
        <w:rPr>
          <w:lang w:val="sr-Cyrl-CS"/>
        </w:rPr>
        <w:t>i</w:t>
      </w:r>
      <w:r w:rsidR="00F2688F" w:rsidRPr="00E95BC4">
        <w:rPr>
          <w:lang w:val="sr-Cyrl-CS"/>
        </w:rPr>
        <w:t xml:space="preserve"> </w:t>
      </w:r>
      <w:r>
        <w:rPr>
          <w:lang w:val="sr-Cyrl-CS"/>
        </w:rPr>
        <w:t>vršiti</w:t>
      </w:r>
      <w:r w:rsidR="00F2688F" w:rsidRPr="00E95BC4">
        <w:rPr>
          <w:lang w:val="sr-Cyrl-CS"/>
        </w:rPr>
        <w:t xml:space="preserve"> </w:t>
      </w:r>
      <w:r>
        <w:rPr>
          <w:lang w:val="sr-Cyrl-CS"/>
        </w:rPr>
        <w:t>adekvatan</w:t>
      </w:r>
      <w:r w:rsidR="00F2688F" w:rsidRPr="00E95BC4">
        <w:rPr>
          <w:lang w:val="sr-Cyrl-CS"/>
        </w:rPr>
        <w:t xml:space="preserve"> </w:t>
      </w:r>
      <w:r>
        <w:rPr>
          <w:lang w:val="sr-Cyrl-CS"/>
        </w:rPr>
        <w:t>nadzor</w:t>
      </w:r>
      <w:r w:rsidR="00F2688F" w:rsidRPr="00E95BC4">
        <w:rPr>
          <w:lang w:val="sr-Cyrl-CS"/>
        </w:rPr>
        <w:t xml:space="preserve">. </w:t>
      </w:r>
      <w:r>
        <w:rPr>
          <w:lang w:val="sr-Cyrl-CS"/>
        </w:rPr>
        <w:t>Takođe</w:t>
      </w:r>
      <w:r w:rsidR="00F2688F" w:rsidRPr="00E95BC4">
        <w:rPr>
          <w:lang w:val="sr-Cyrl-CS"/>
        </w:rPr>
        <w:t xml:space="preserve">, </w:t>
      </w:r>
      <w:r>
        <w:rPr>
          <w:lang w:val="sr-Cyrl-CS"/>
        </w:rPr>
        <w:t>nadzorni</w:t>
      </w:r>
      <w:r w:rsidR="00F2688F" w:rsidRPr="00E95BC4">
        <w:rPr>
          <w:lang w:val="sr-Cyrl-CS"/>
        </w:rPr>
        <w:t xml:space="preserve"> </w:t>
      </w:r>
      <w:r>
        <w:rPr>
          <w:lang w:val="sr-Cyrl-CS"/>
        </w:rPr>
        <w:t>organi</w:t>
      </w:r>
      <w:r w:rsidR="00F2688F" w:rsidRPr="00E95BC4">
        <w:rPr>
          <w:lang w:val="sr-Cyrl-CS"/>
        </w:rPr>
        <w:t xml:space="preserve"> </w:t>
      </w:r>
      <w:r>
        <w:rPr>
          <w:lang w:val="sr-Cyrl-CS"/>
        </w:rPr>
        <w:t>treba</w:t>
      </w:r>
      <w:r w:rsidR="00F2688F" w:rsidRPr="00E95BC4">
        <w:rPr>
          <w:lang w:val="sr-Cyrl-CS"/>
        </w:rPr>
        <w:t xml:space="preserve"> </w:t>
      </w:r>
      <w:r>
        <w:rPr>
          <w:lang w:val="sr-Cyrl-CS"/>
        </w:rPr>
        <w:t>da</w:t>
      </w:r>
      <w:r w:rsidR="00F2688F" w:rsidRPr="00E95BC4">
        <w:rPr>
          <w:lang w:val="sr-Cyrl-CS"/>
        </w:rPr>
        <w:t xml:space="preserve"> </w:t>
      </w:r>
      <w:r>
        <w:rPr>
          <w:lang w:val="sr-Cyrl-CS"/>
        </w:rPr>
        <w:t>unapređuju</w:t>
      </w:r>
      <w:r w:rsidR="00F2688F" w:rsidRPr="00E95BC4">
        <w:rPr>
          <w:lang w:val="sr-Cyrl-CS"/>
        </w:rPr>
        <w:t xml:space="preserve"> </w:t>
      </w:r>
      <w:r>
        <w:rPr>
          <w:lang w:val="sr-Cyrl-CS"/>
        </w:rPr>
        <w:t>aktivnosti</w:t>
      </w:r>
      <w:r w:rsidR="00F2688F" w:rsidRPr="00E95BC4">
        <w:rPr>
          <w:lang w:val="sr-Cyrl-CS"/>
        </w:rPr>
        <w:t xml:space="preserve"> </w:t>
      </w:r>
      <w:r>
        <w:rPr>
          <w:lang w:val="sr-Cyrl-CS"/>
        </w:rPr>
        <w:t>u</w:t>
      </w:r>
      <w:r w:rsidR="00F2688F" w:rsidRPr="00E95BC4">
        <w:rPr>
          <w:lang w:val="sr-Cyrl-CS"/>
        </w:rPr>
        <w:t xml:space="preserve"> </w:t>
      </w:r>
      <w:r>
        <w:rPr>
          <w:lang w:val="sr-Cyrl-CS"/>
        </w:rPr>
        <w:t>nadzoru</w:t>
      </w:r>
      <w:r w:rsidR="00F2688F" w:rsidRPr="00E95BC4">
        <w:rPr>
          <w:lang w:val="sr-Cyrl-CS"/>
        </w:rPr>
        <w:t xml:space="preserve">, </w:t>
      </w:r>
      <w:r>
        <w:rPr>
          <w:lang w:val="sr-Cyrl-CS"/>
        </w:rPr>
        <w:t>prate</w:t>
      </w:r>
      <w:r w:rsidR="00F2688F" w:rsidRPr="00E95BC4">
        <w:rPr>
          <w:lang w:val="sr-Cyrl-CS"/>
        </w:rPr>
        <w:t xml:space="preserve"> </w:t>
      </w:r>
      <w:r>
        <w:rPr>
          <w:lang w:val="sr-Cyrl-CS"/>
        </w:rPr>
        <w:t>i</w:t>
      </w:r>
      <w:r w:rsidR="00F2688F" w:rsidRPr="00E95BC4">
        <w:rPr>
          <w:lang w:val="sr-Cyrl-CS"/>
        </w:rPr>
        <w:t xml:space="preserve"> </w:t>
      </w:r>
      <w:r>
        <w:rPr>
          <w:lang w:val="sr-Cyrl-CS"/>
        </w:rPr>
        <w:t>regulišu</w:t>
      </w:r>
      <w:r w:rsidR="00F2688F" w:rsidRPr="00E95BC4">
        <w:rPr>
          <w:lang w:val="sr-Cyrl-CS"/>
        </w:rPr>
        <w:t xml:space="preserve"> </w:t>
      </w:r>
      <w:r>
        <w:rPr>
          <w:lang w:val="sr-Cyrl-CS"/>
        </w:rPr>
        <w:t>rad</w:t>
      </w:r>
      <w:r w:rsidR="00F2688F" w:rsidRPr="00E95BC4">
        <w:rPr>
          <w:lang w:val="sr-Cyrl-CS"/>
        </w:rPr>
        <w:t xml:space="preserve"> </w:t>
      </w:r>
      <w:r>
        <w:rPr>
          <w:lang w:val="sr-Cyrl-CS"/>
        </w:rPr>
        <w:t>finansijskih</w:t>
      </w:r>
      <w:r w:rsidR="00F2688F" w:rsidRPr="00E95BC4">
        <w:rPr>
          <w:lang w:val="sr-Cyrl-CS"/>
        </w:rPr>
        <w:t xml:space="preserve"> </w:t>
      </w:r>
      <w:r>
        <w:rPr>
          <w:lang w:val="sr-Cyrl-CS"/>
        </w:rPr>
        <w:t>institucija</w:t>
      </w:r>
      <w:r w:rsidR="00F2688F" w:rsidRPr="00E95BC4">
        <w:rPr>
          <w:lang w:val="sr-Cyrl-CS"/>
        </w:rPr>
        <w:t xml:space="preserve"> </w:t>
      </w:r>
      <w:r>
        <w:rPr>
          <w:lang w:val="sr-Cyrl-CS"/>
        </w:rPr>
        <w:t>i</w:t>
      </w:r>
      <w:r w:rsidR="00F2688F" w:rsidRPr="00E95BC4">
        <w:rPr>
          <w:lang w:val="sr-Cyrl-CS"/>
        </w:rPr>
        <w:t xml:space="preserve"> </w:t>
      </w:r>
      <w:r>
        <w:rPr>
          <w:lang w:val="sr-Cyrl-CS"/>
        </w:rPr>
        <w:t>određenih</w:t>
      </w:r>
      <w:r w:rsidR="00F2688F" w:rsidRPr="00E95BC4">
        <w:rPr>
          <w:lang w:val="sr-Cyrl-CS"/>
        </w:rPr>
        <w:t xml:space="preserve"> </w:t>
      </w:r>
      <w:r>
        <w:rPr>
          <w:lang w:val="sr-Cyrl-CS"/>
        </w:rPr>
        <w:t>pravnih</w:t>
      </w:r>
      <w:r w:rsidR="00F2688F" w:rsidRPr="00E95BC4">
        <w:rPr>
          <w:lang w:val="sr-Cyrl-CS"/>
        </w:rPr>
        <w:t xml:space="preserve"> </w:t>
      </w:r>
      <w:r>
        <w:rPr>
          <w:lang w:val="sr-Cyrl-CS"/>
        </w:rPr>
        <w:t>i</w:t>
      </w:r>
      <w:r w:rsidR="00F2688F" w:rsidRPr="00E95BC4">
        <w:rPr>
          <w:lang w:val="sr-Cyrl-CS"/>
        </w:rPr>
        <w:t xml:space="preserve"> </w:t>
      </w:r>
      <w:r>
        <w:rPr>
          <w:lang w:val="sr-Cyrl-CS"/>
        </w:rPr>
        <w:t>fizičkih</w:t>
      </w:r>
      <w:r w:rsidR="00F2688F" w:rsidRPr="00E95BC4">
        <w:rPr>
          <w:lang w:val="sr-Cyrl-CS"/>
        </w:rPr>
        <w:t xml:space="preserve"> </w:t>
      </w:r>
      <w:r>
        <w:rPr>
          <w:lang w:val="sr-Cyrl-CS"/>
        </w:rPr>
        <w:t>lica</w:t>
      </w:r>
      <w:r w:rsidR="00F2688F" w:rsidRPr="00E95BC4">
        <w:rPr>
          <w:lang w:val="sr-Cyrl-CS"/>
        </w:rPr>
        <w:t xml:space="preserve"> </w:t>
      </w:r>
      <w:r>
        <w:rPr>
          <w:lang w:val="sr-Cyrl-CS"/>
        </w:rPr>
        <w:t>van</w:t>
      </w:r>
      <w:r w:rsidR="00F2688F" w:rsidRPr="00E95BC4">
        <w:rPr>
          <w:lang w:val="sr-Cyrl-CS"/>
        </w:rPr>
        <w:t xml:space="preserve"> </w:t>
      </w:r>
      <w:r>
        <w:rPr>
          <w:lang w:val="sr-Cyrl-CS"/>
        </w:rPr>
        <w:t>finansijskog</w:t>
      </w:r>
      <w:r w:rsidR="00F2688F" w:rsidRPr="00E95BC4">
        <w:rPr>
          <w:lang w:val="sr-Cyrl-CS"/>
        </w:rPr>
        <w:t xml:space="preserve"> </w:t>
      </w:r>
      <w:r>
        <w:rPr>
          <w:lang w:val="sr-Cyrl-CS"/>
        </w:rPr>
        <w:t>sektora</w:t>
      </w:r>
      <w:r w:rsidR="00F2688F" w:rsidRPr="00E95BC4">
        <w:rPr>
          <w:lang w:val="sr-Cyrl-CS"/>
        </w:rPr>
        <w:t xml:space="preserve"> </w:t>
      </w:r>
      <w:r>
        <w:rPr>
          <w:lang w:val="sr-Cyrl-CS"/>
        </w:rPr>
        <w:t>u</w:t>
      </w:r>
      <w:r w:rsidR="00F2688F" w:rsidRPr="00E95BC4">
        <w:rPr>
          <w:lang w:val="sr-Cyrl-CS"/>
        </w:rPr>
        <w:t xml:space="preserve"> </w:t>
      </w:r>
      <w:r>
        <w:rPr>
          <w:lang w:val="sr-Cyrl-CS"/>
        </w:rPr>
        <w:t>pogledu</w:t>
      </w:r>
      <w:r w:rsidR="00F2688F" w:rsidRPr="00E95BC4">
        <w:rPr>
          <w:lang w:val="sr-Cyrl-CS"/>
        </w:rPr>
        <w:t xml:space="preserve"> </w:t>
      </w:r>
      <w:r>
        <w:rPr>
          <w:lang w:val="sr-Cyrl-CS"/>
        </w:rPr>
        <w:t>njihove</w:t>
      </w:r>
      <w:r w:rsidR="00F2688F" w:rsidRPr="00E95BC4">
        <w:rPr>
          <w:lang w:val="sr-Cyrl-CS"/>
        </w:rPr>
        <w:t xml:space="preserve"> </w:t>
      </w:r>
      <w:r>
        <w:rPr>
          <w:lang w:val="sr-Cyrl-CS"/>
        </w:rPr>
        <w:t>usklađenosti</w:t>
      </w:r>
      <w:r w:rsidR="00F2688F" w:rsidRPr="00E95BC4">
        <w:rPr>
          <w:lang w:val="sr-Cyrl-CS"/>
        </w:rPr>
        <w:t xml:space="preserve"> </w:t>
      </w:r>
      <w:r>
        <w:rPr>
          <w:lang w:val="sr-Cyrl-CS"/>
        </w:rPr>
        <w:t>sa</w:t>
      </w:r>
      <w:r w:rsidR="00F2688F" w:rsidRPr="00E95BC4">
        <w:rPr>
          <w:lang w:val="sr-Cyrl-CS"/>
        </w:rPr>
        <w:t xml:space="preserve"> </w:t>
      </w:r>
      <w:r>
        <w:rPr>
          <w:lang w:val="sr-Cyrl-CS"/>
        </w:rPr>
        <w:t>obavezama</w:t>
      </w:r>
      <w:r w:rsidR="00F2688F" w:rsidRPr="00E95BC4">
        <w:rPr>
          <w:lang w:val="sr-Cyrl-CS"/>
        </w:rPr>
        <w:t xml:space="preserve"> </w:t>
      </w:r>
      <w:r>
        <w:rPr>
          <w:lang w:val="sr-Cyrl-CS"/>
        </w:rPr>
        <w:t>u</w:t>
      </w:r>
      <w:r w:rsidR="00F2688F" w:rsidRPr="00E95BC4">
        <w:rPr>
          <w:lang w:val="sr-Cyrl-CS"/>
        </w:rPr>
        <w:t xml:space="preserve"> </w:t>
      </w:r>
      <w:r>
        <w:rPr>
          <w:lang w:val="sr-Cyrl-CS"/>
        </w:rPr>
        <w:t>oblasti</w:t>
      </w:r>
      <w:r w:rsidR="00F2688F" w:rsidRPr="00E95BC4">
        <w:rPr>
          <w:lang w:val="sr-Cyrl-CS"/>
        </w:rPr>
        <w:t xml:space="preserve"> </w:t>
      </w:r>
      <w:r>
        <w:rPr>
          <w:lang w:val="sr-Cyrl-CS"/>
        </w:rPr>
        <w:t>borbe</w:t>
      </w:r>
      <w:r w:rsidR="00F2688F" w:rsidRPr="00E95BC4">
        <w:rPr>
          <w:lang w:val="sr-Cyrl-CS"/>
        </w:rPr>
        <w:t xml:space="preserve"> </w:t>
      </w:r>
      <w:r>
        <w:rPr>
          <w:lang w:val="sr-Cyrl-CS"/>
        </w:rPr>
        <w:t>protiv</w:t>
      </w:r>
      <w:r w:rsidR="00F2688F" w:rsidRPr="00E95BC4">
        <w:rPr>
          <w:lang w:val="sr-Cyrl-CS"/>
        </w:rPr>
        <w:t xml:space="preserve"> </w:t>
      </w:r>
      <w:r>
        <w:rPr>
          <w:lang w:val="sr-Cyrl-CS"/>
        </w:rPr>
        <w:t>pranja</w:t>
      </w:r>
      <w:r w:rsidR="00F2688F" w:rsidRPr="00E95BC4">
        <w:rPr>
          <w:lang w:val="sr-Cyrl-CS"/>
        </w:rPr>
        <w:t xml:space="preserve"> </w:t>
      </w:r>
      <w:r>
        <w:rPr>
          <w:lang w:val="sr-Cyrl-CS"/>
        </w:rPr>
        <w:t>novca</w:t>
      </w:r>
      <w:r w:rsidR="00F2688F" w:rsidRPr="00E95BC4">
        <w:rPr>
          <w:lang w:val="sr-Cyrl-CS"/>
        </w:rPr>
        <w:t xml:space="preserve"> </w:t>
      </w:r>
      <w:r>
        <w:rPr>
          <w:lang w:val="sr-Cyrl-CS"/>
        </w:rPr>
        <w:t>i</w:t>
      </w:r>
      <w:r w:rsidR="00F2688F" w:rsidRPr="00E95BC4">
        <w:rPr>
          <w:lang w:val="sr-Cyrl-CS"/>
        </w:rPr>
        <w:t xml:space="preserve"> </w:t>
      </w:r>
      <w:r>
        <w:rPr>
          <w:lang w:val="sr-Cyrl-CS"/>
        </w:rPr>
        <w:t>finansiranja</w:t>
      </w:r>
      <w:r w:rsidR="00F2688F" w:rsidRPr="00E95BC4">
        <w:rPr>
          <w:lang w:val="sr-Cyrl-CS"/>
        </w:rPr>
        <w:t xml:space="preserve"> </w:t>
      </w:r>
      <w:r>
        <w:rPr>
          <w:lang w:val="sr-Cyrl-CS"/>
        </w:rPr>
        <w:t>terorizma</w:t>
      </w:r>
      <w:r w:rsidR="00F2688F" w:rsidRPr="00E95BC4">
        <w:rPr>
          <w:lang w:val="sr-Cyrl-CS"/>
        </w:rPr>
        <w:t xml:space="preserve">, </w:t>
      </w:r>
      <w:r>
        <w:rPr>
          <w:lang w:val="sr-Cyrl-CS"/>
        </w:rPr>
        <w:t>sve</w:t>
      </w:r>
      <w:r w:rsidR="00F2688F" w:rsidRPr="00E95BC4">
        <w:rPr>
          <w:lang w:val="sr-Cyrl-CS"/>
        </w:rPr>
        <w:t xml:space="preserve"> </w:t>
      </w:r>
      <w:r>
        <w:rPr>
          <w:lang w:val="sr-Cyrl-CS"/>
        </w:rPr>
        <w:t>u</w:t>
      </w:r>
      <w:r w:rsidR="00F2688F" w:rsidRPr="00E95BC4">
        <w:rPr>
          <w:lang w:val="sr-Cyrl-CS"/>
        </w:rPr>
        <w:t xml:space="preserve"> </w:t>
      </w:r>
      <w:r>
        <w:rPr>
          <w:lang w:val="sr-Cyrl-CS"/>
        </w:rPr>
        <w:t>skladu</w:t>
      </w:r>
      <w:r w:rsidR="00F2688F" w:rsidRPr="00E95BC4">
        <w:rPr>
          <w:lang w:val="sr-Cyrl-CS"/>
        </w:rPr>
        <w:t xml:space="preserve"> </w:t>
      </w:r>
      <w:r>
        <w:rPr>
          <w:lang w:val="sr-Cyrl-CS"/>
        </w:rPr>
        <w:t>sa</w:t>
      </w:r>
      <w:r w:rsidR="00F2688F" w:rsidRPr="00E95BC4">
        <w:rPr>
          <w:lang w:val="sr-Cyrl-CS"/>
        </w:rPr>
        <w:t xml:space="preserve"> </w:t>
      </w:r>
      <w:r>
        <w:rPr>
          <w:lang w:val="sr-Cyrl-CS"/>
        </w:rPr>
        <w:t>rizicima</w:t>
      </w:r>
      <w:r w:rsidR="00F2688F" w:rsidRPr="00E95BC4">
        <w:rPr>
          <w:lang w:val="sr-Cyrl-CS"/>
        </w:rPr>
        <w:t xml:space="preserve"> </w:t>
      </w:r>
      <w:r>
        <w:rPr>
          <w:lang w:val="sr-Cyrl-CS"/>
        </w:rPr>
        <w:t>kojima</w:t>
      </w:r>
      <w:r w:rsidR="00F2688F" w:rsidRPr="00E95BC4">
        <w:rPr>
          <w:lang w:val="sr-Cyrl-CS"/>
        </w:rPr>
        <w:t xml:space="preserve"> </w:t>
      </w:r>
      <w:r>
        <w:rPr>
          <w:lang w:val="sr-Cyrl-CS"/>
        </w:rPr>
        <w:t>su</w:t>
      </w:r>
      <w:r w:rsidR="00F2688F" w:rsidRPr="00E95BC4">
        <w:rPr>
          <w:lang w:val="sr-Cyrl-CS"/>
        </w:rPr>
        <w:t xml:space="preserve"> </w:t>
      </w:r>
      <w:r>
        <w:rPr>
          <w:lang w:val="sr-Cyrl-CS"/>
        </w:rPr>
        <w:t>ti</w:t>
      </w:r>
      <w:r w:rsidR="00F2688F" w:rsidRPr="00E95BC4">
        <w:rPr>
          <w:lang w:val="sr-Cyrl-CS"/>
        </w:rPr>
        <w:t xml:space="preserve"> </w:t>
      </w:r>
      <w:r>
        <w:rPr>
          <w:lang w:val="sr-Cyrl-CS"/>
        </w:rPr>
        <w:t>sektori</w:t>
      </w:r>
      <w:r w:rsidR="00F2688F" w:rsidRPr="00E95BC4">
        <w:rPr>
          <w:lang w:val="sr-Cyrl-CS"/>
        </w:rPr>
        <w:t xml:space="preserve"> </w:t>
      </w:r>
      <w:r>
        <w:rPr>
          <w:lang w:val="sr-Cyrl-CS"/>
        </w:rPr>
        <w:t>izloženi</w:t>
      </w:r>
      <w:r w:rsidR="00F2688F" w:rsidRPr="00E95BC4">
        <w:rPr>
          <w:lang w:val="sr-Cyrl-CS"/>
        </w:rPr>
        <w:t xml:space="preserve">. </w:t>
      </w:r>
      <w:r>
        <w:rPr>
          <w:lang w:val="sr-Cyrl-CS"/>
        </w:rPr>
        <w:t>Finansijske</w:t>
      </w:r>
      <w:r w:rsidR="00F2688F" w:rsidRPr="00E95BC4">
        <w:rPr>
          <w:lang w:val="sr-Cyrl-CS"/>
        </w:rPr>
        <w:t xml:space="preserve"> </w:t>
      </w:r>
      <w:r>
        <w:rPr>
          <w:lang w:val="sr-Cyrl-CS"/>
        </w:rPr>
        <w:t>institucije</w:t>
      </w:r>
      <w:r w:rsidR="00F2688F" w:rsidRPr="00E95BC4">
        <w:rPr>
          <w:lang w:val="sr-Cyrl-CS"/>
        </w:rPr>
        <w:t xml:space="preserve"> </w:t>
      </w:r>
      <w:r>
        <w:rPr>
          <w:lang w:val="sr-Cyrl-CS"/>
        </w:rPr>
        <w:t>i</w:t>
      </w:r>
      <w:r w:rsidR="00F2688F" w:rsidRPr="00E95BC4">
        <w:rPr>
          <w:lang w:val="sr-Cyrl-CS"/>
        </w:rPr>
        <w:t xml:space="preserve"> </w:t>
      </w:r>
      <w:r>
        <w:rPr>
          <w:lang w:val="sr-Cyrl-CS"/>
        </w:rPr>
        <w:t>određena</w:t>
      </w:r>
      <w:r w:rsidR="00F2688F" w:rsidRPr="00E95BC4">
        <w:rPr>
          <w:lang w:val="sr-Cyrl-CS"/>
        </w:rPr>
        <w:t xml:space="preserve"> </w:t>
      </w:r>
      <w:r>
        <w:rPr>
          <w:lang w:val="sr-Cyrl-CS"/>
        </w:rPr>
        <w:t>pravna</w:t>
      </w:r>
      <w:r w:rsidR="00F2688F" w:rsidRPr="00E95BC4">
        <w:rPr>
          <w:lang w:val="sr-Cyrl-CS"/>
        </w:rPr>
        <w:t xml:space="preserve"> </w:t>
      </w:r>
      <w:r>
        <w:rPr>
          <w:lang w:val="sr-Cyrl-CS"/>
        </w:rPr>
        <w:t>i</w:t>
      </w:r>
      <w:r w:rsidR="00F2688F" w:rsidRPr="00E95BC4">
        <w:rPr>
          <w:lang w:val="sr-Cyrl-CS"/>
        </w:rPr>
        <w:t xml:space="preserve"> </w:t>
      </w:r>
      <w:r>
        <w:rPr>
          <w:lang w:val="sr-Cyrl-CS"/>
        </w:rPr>
        <w:t>fizička</w:t>
      </w:r>
      <w:r w:rsidR="00F2688F" w:rsidRPr="00E95BC4">
        <w:rPr>
          <w:lang w:val="sr-Cyrl-CS"/>
        </w:rPr>
        <w:t xml:space="preserve"> </w:t>
      </w:r>
      <w:r>
        <w:rPr>
          <w:lang w:val="sr-Cyrl-CS"/>
        </w:rPr>
        <w:t>lica</w:t>
      </w:r>
      <w:r w:rsidR="00F2688F" w:rsidRPr="00E95BC4">
        <w:rPr>
          <w:lang w:val="sr-Cyrl-CS"/>
        </w:rPr>
        <w:t xml:space="preserve"> </w:t>
      </w:r>
      <w:r>
        <w:rPr>
          <w:lang w:val="sr-Cyrl-CS"/>
        </w:rPr>
        <w:t>van</w:t>
      </w:r>
      <w:r w:rsidR="00F2688F" w:rsidRPr="00E95BC4">
        <w:rPr>
          <w:lang w:val="sr-Cyrl-CS"/>
        </w:rPr>
        <w:t xml:space="preserve"> </w:t>
      </w:r>
      <w:r>
        <w:rPr>
          <w:lang w:val="sr-Cyrl-CS"/>
        </w:rPr>
        <w:t>finansijskog</w:t>
      </w:r>
      <w:r w:rsidR="00F2688F" w:rsidRPr="00E95BC4">
        <w:rPr>
          <w:lang w:val="sr-Cyrl-CS"/>
        </w:rPr>
        <w:t xml:space="preserve"> </w:t>
      </w:r>
      <w:r>
        <w:rPr>
          <w:lang w:val="sr-Cyrl-CS"/>
        </w:rPr>
        <w:t>sektora</w:t>
      </w:r>
      <w:r w:rsidR="00F2688F" w:rsidRPr="00E95BC4">
        <w:rPr>
          <w:lang w:val="sr-Cyrl-CS"/>
        </w:rPr>
        <w:t xml:space="preserve"> </w:t>
      </w:r>
      <w:r>
        <w:rPr>
          <w:lang w:val="sr-Cyrl-CS"/>
        </w:rPr>
        <w:t>treba</w:t>
      </w:r>
      <w:r w:rsidR="00F2688F" w:rsidRPr="00E95BC4">
        <w:rPr>
          <w:lang w:val="sr-Cyrl-CS"/>
        </w:rPr>
        <w:t xml:space="preserve"> </w:t>
      </w:r>
      <w:r>
        <w:rPr>
          <w:lang w:val="sr-Cyrl-CS"/>
        </w:rPr>
        <w:t>adekvatno</w:t>
      </w:r>
      <w:r w:rsidR="00F2688F" w:rsidRPr="00E95BC4">
        <w:rPr>
          <w:lang w:val="sr-Cyrl-CS"/>
        </w:rPr>
        <w:t xml:space="preserve"> </w:t>
      </w:r>
      <w:r>
        <w:rPr>
          <w:lang w:val="sr-Cyrl-CS"/>
        </w:rPr>
        <w:t>da</w:t>
      </w:r>
      <w:r w:rsidR="00F2688F" w:rsidRPr="00E95BC4">
        <w:rPr>
          <w:lang w:val="sr-Cyrl-CS"/>
        </w:rPr>
        <w:t xml:space="preserve"> </w:t>
      </w:r>
      <w:r>
        <w:rPr>
          <w:lang w:val="sr-Cyrl-CS"/>
        </w:rPr>
        <w:t>primenjuju</w:t>
      </w:r>
      <w:r w:rsidR="00F2688F" w:rsidRPr="00E95BC4">
        <w:rPr>
          <w:lang w:val="sr-Cyrl-CS"/>
        </w:rPr>
        <w:t xml:space="preserve"> </w:t>
      </w:r>
      <w:r>
        <w:rPr>
          <w:lang w:val="sr-Cyrl-CS"/>
        </w:rPr>
        <w:t>preventivne</w:t>
      </w:r>
      <w:r w:rsidR="00F2688F" w:rsidRPr="00E95BC4">
        <w:rPr>
          <w:lang w:val="sr-Cyrl-CS"/>
        </w:rPr>
        <w:t xml:space="preserve"> </w:t>
      </w:r>
      <w:r>
        <w:rPr>
          <w:lang w:val="sr-Cyrl-CS"/>
        </w:rPr>
        <w:t>mere</w:t>
      </w:r>
      <w:r w:rsidR="00F2688F" w:rsidRPr="00E95BC4">
        <w:rPr>
          <w:lang w:val="sr-Cyrl-CS"/>
        </w:rPr>
        <w:t xml:space="preserve"> </w:t>
      </w:r>
      <w:r>
        <w:rPr>
          <w:lang w:val="sr-Cyrl-CS"/>
        </w:rPr>
        <w:t>u</w:t>
      </w:r>
      <w:r w:rsidR="00F2688F" w:rsidRPr="00E95BC4">
        <w:rPr>
          <w:lang w:val="sr-Cyrl-CS"/>
        </w:rPr>
        <w:t xml:space="preserve"> </w:t>
      </w:r>
      <w:r>
        <w:rPr>
          <w:lang w:val="sr-Cyrl-CS"/>
        </w:rPr>
        <w:t>oblasti</w:t>
      </w:r>
      <w:r w:rsidR="00F2688F" w:rsidRPr="00E95BC4">
        <w:rPr>
          <w:lang w:val="sr-Cyrl-CS"/>
        </w:rPr>
        <w:t xml:space="preserve"> </w:t>
      </w:r>
      <w:r>
        <w:rPr>
          <w:lang w:val="sr-Cyrl-CS"/>
        </w:rPr>
        <w:t>borbe</w:t>
      </w:r>
      <w:r w:rsidR="00A1499B" w:rsidRPr="00E95BC4">
        <w:rPr>
          <w:lang w:val="sr-Cyrl-CS"/>
        </w:rPr>
        <w:t xml:space="preserve"> </w:t>
      </w:r>
      <w:r>
        <w:rPr>
          <w:lang w:val="sr-Cyrl-CS"/>
        </w:rPr>
        <w:t>protiv</w:t>
      </w:r>
      <w:r w:rsidR="00F2688F" w:rsidRPr="00E95BC4">
        <w:rPr>
          <w:lang w:val="sr-Cyrl-CS"/>
        </w:rPr>
        <w:t xml:space="preserve"> </w:t>
      </w:r>
      <w:r>
        <w:rPr>
          <w:lang w:val="sr-Cyrl-CS"/>
        </w:rPr>
        <w:t>pranja</w:t>
      </w:r>
      <w:r w:rsidR="00F2688F" w:rsidRPr="00E95BC4">
        <w:rPr>
          <w:lang w:val="sr-Cyrl-CS"/>
        </w:rPr>
        <w:t xml:space="preserve"> </w:t>
      </w:r>
      <w:r>
        <w:rPr>
          <w:lang w:val="sr-Cyrl-CS"/>
        </w:rPr>
        <w:t>novca</w:t>
      </w:r>
      <w:r w:rsidR="00F2688F" w:rsidRPr="00E95BC4">
        <w:rPr>
          <w:lang w:val="sr-Cyrl-CS"/>
        </w:rPr>
        <w:t xml:space="preserve"> </w:t>
      </w:r>
      <w:r>
        <w:rPr>
          <w:lang w:val="sr-Cyrl-CS"/>
        </w:rPr>
        <w:t>i</w:t>
      </w:r>
      <w:r w:rsidR="00F2688F" w:rsidRPr="00E95BC4">
        <w:rPr>
          <w:lang w:val="sr-Cyrl-CS"/>
        </w:rPr>
        <w:t xml:space="preserve"> </w:t>
      </w:r>
      <w:r>
        <w:rPr>
          <w:lang w:val="sr-Cyrl-CS"/>
        </w:rPr>
        <w:t>finansiranja</w:t>
      </w:r>
      <w:r w:rsidR="00F2688F" w:rsidRPr="00E95BC4">
        <w:rPr>
          <w:lang w:val="sr-Cyrl-CS"/>
        </w:rPr>
        <w:t xml:space="preserve"> </w:t>
      </w:r>
      <w:r>
        <w:rPr>
          <w:lang w:val="sr-Cyrl-CS"/>
        </w:rPr>
        <w:t>terorizma</w:t>
      </w:r>
      <w:r w:rsidR="00F2688F" w:rsidRPr="00E95BC4">
        <w:rPr>
          <w:lang w:val="sr-Cyrl-CS"/>
        </w:rPr>
        <w:t xml:space="preserve"> </w:t>
      </w:r>
      <w:r>
        <w:rPr>
          <w:lang w:val="sr-Cyrl-CS"/>
        </w:rPr>
        <w:t>srazmerno</w:t>
      </w:r>
      <w:r w:rsidR="00F2688F" w:rsidRPr="00E95BC4">
        <w:rPr>
          <w:lang w:val="sr-Cyrl-CS"/>
        </w:rPr>
        <w:t xml:space="preserve"> </w:t>
      </w:r>
      <w:r>
        <w:rPr>
          <w:lang w:val="sr-Cyrl-CS"/>
        </w:rPr>
        <w:t>rizicima</w:t>
      </w:r>
      <w:r w:rsidR="00F2688F" w:rsidRPr="00E95BC4">
        <w:rPr>
          <w:lang w:val="sr-Cyrl-CS"/>
        </w:rPr>
        <w:t xml:space="preserve"> </w:t>
      </w:r>
      <w:r>
        <w:rPr>
          <w:lang w:val="sr-Cyrl-CS"/>
        </w:rPr>
        <w:t>kojima</w:t>
      </w:r>
      <w:r w:rsidR="00F2688F" w:rsidRPr="00E95BC4">
        <w:rPr>
          <w:lang w:val="sr-Cyrl-CS"/>
        </w:rPr>
        <w:t xml:space="preserve"> </w:t>
      </w:r>
      <w:r>
        <w:rPr>
          <w:lang w:val="sr-Cyrl-CS"/>
        </w:rPr>
        <w:t>su</w:t>
      </w:r>
      <w:r w:rsidR="00F2688F" w:rsidRPr="00E95BC4">
        <w:rPr>
          <w:lang w:val="sr-Cyrl-CS"/>
        </w:rPr>
        <w:t xml:space="preserve"> </w:t>
      </w:r>
      <w:r>
        <w:rPr>
          <w:lang w:val="sr-Cyrl-CS"/>
        </w:rPr>
        <w:t>izloženi</w:t>
      </w:r>
      <w:r w:rsidR="002E071E" w:rsidRPr="00E95BC4">
        <w:rPr>
          <w:lang w:val="sr-Cyrl-CS"/>
        </w:rPr>
        <w:t xml:space="preserve">. </w:t>
      </w:r>
      <w:r>
        <w:rPr>
          <w:lang w:val="sr-Cyrl-CS"/>
        </w:rPr>
        <w:t>Takođe</w:t>
      </w:r>
      <w:r w:rsidR="002E071E" w:rsidRPr="00E95BC4">
        <w:rPr>
          <w:lang w:val="sr-Cyrl-CS"/>
        </w:rPr>
        <w:t xml:space="preserve">, </w:t>
      </w:r>
      <w:r>
        <w:rPr>
          <w:lang w:val="sr-Cyrl-CS"/>
        </w:rPr>
        <w:t>potrebno</w:t>
      </w:r>
      <w:r w:rsidR="002E071E" w:rsidRPr="00E95BC4">
        <w:rPr>
          <w:lang w:val="sr-Cyrl-CS"/>
        </w:rPr>
        <w:t xml:space="preserve"> </w:t>
      </w:r>
      <w:r>
        <w:rPr>
          <w:lang w:val="sr-Cyrl-CS"/>
        </w:rPr>
        <w:t>je</w:t>
      </w:r>
      <w:r w:rsidR="002E071E" w:rsidRPr="00E95BC4">
        <w:rPr>
          <w:lang w:val="sr-Cyrl-CS"/>
        </w:rPr>
        <w:t xml:space="preserve"> </w:t>
      </w:r>
      <w:r>
        <w:rPr>
          <w:lang w:val="sr-Cyrl-CS"/>
        </w:rPr>
        <w:t>i</w:t>
      </w:r>
      <w:r w:rsidR="002E071E" w:rsidRPr="00E95BC4">
        <w:rPr>
          <w:lang w:val="sr-Cyrl-CS"/>
        </w:rPr>
        <w:t xml:space="preserve"> </w:t>
      </w:r>
      <w:r>
        <w:rPr>
          <w:lang w:val="sr-Cyrl-CS"/>
        </w:rPr>
        <w:t>da</w:t>
      </w:r>
      <w:r w:rsidR="00F2688F" w:rsidRPr="00E95BC4">
        <w:rPr>
          <w:lang w:val="sr-Cyrl-CS"/>
        </w:rPr>
        <w:t xml:space="preserve"> </w:t>
      </w:r>
      <w:r>
        <w:rPr>
          <w:lang w:val="sr-Cyrl-CS"/>
        </w:rPr>
        <w:t>prijavljuju</w:t>
      </w:r>
      <w:r w:rsidR="00F2688F" w:rsidRPr="00E95BC4">
        <w:rPr>
          <w:lang w:val="sr-Cyrl-CS"/>
        </w:rPr>
        <w:t xml:space="preserve"> </w:t>
      </w:r>
      <w:r>
        <w:rPr>
          <w:lang w:val="sr-Cyrl-CS"/>
        </w:rPr>
        <w:t>sumnjive</w:t>
      </w:r>
      <w:r w:rsidR="00F2688F" w:rsidRPr="00E95BC4">
        <w:rPr>
          <w:lang w:val="sr-Cyrl-CS"/>
        </w:rPr>
        <w:t xml:space="preserve"> </w:t>
      </w:r>
      <w:r>
        <w:rPr>
          <w:lang w:val="sr-Cyrl-CS"/>
        </w:rPr>
        <w:t>aktivnosti</w:t>
      </w:r>
      <w:r w:rsidR="006D3236" w:rsidRPr="00E95BC4">
        <w:rPr>
          <w:lang w:val="sr-Cyrl-CS"/>
        </w:rPr>
        <w:t xml:space="preserve"> </w:t>
      </w:r>
      <w:r>
        <w:rPr>
          <w:lang w:val="sr-Cyrl-CS"/>
        </w:rPr>
        <w:t>Upravi</w:t>
      </w:r>
      <w:r w:rsidR="00F2688F" w:rsidRPr="00E95BC4">
        <w:rPr>
          <w:lang w:val="sr-Cyrl-CS"/>
        </w:rPr>
        <w:t xml:space="preserve"> </w:t>
      </w:r>
      <w:r>
        <w:rPr>
          <w:lang w:val="sr-Cyrl-CS"/>
        </w:rPr>
        <w:t>za</w:t>
      </w:r>
      <w:r w:rsidR="00F2688F" w:rsidRPr="00E95BC4">
        <w:rPr>
          <w:lang w:val="sr-Cyrl-CS"/>
        </w:rPr>
        <w:t xml:space="preserve"> </w:t>
      </w:r>
      <w:r>
        <w:rPr>
          <w:lang w:val="sr-Cyrl-CS"/>
        </w:rPr>
        <w:t>sprečavanje</w:t>
      </w:r>
      <w:r w:rsidR="00F2688F" w:rsidRPr="00E95BC4">
        <w:rPr>
          <w:lang w:val="sr-Cyrl-CS"/>
        </w:rPr>
        <w:t xml:space="preserve"> </w:t>
      </w:r>
      <w:r>
        <w:rPr>
          <w:lang w:val="sr-Cyrl-CS"/>
        </w:rPr>
        <w:t>pranja</w:t>
      </w:r>
      <w:r w:rsidR="00F2688F" w:rsidRPr="00E95BC4">
        <w:rPr>
          <w:lang w:val="sr-Cyrl-CS"/>
        </w:rPr>
        <w:t xml:space="preserve"> </w:t>
      </w:r>
      <w:r>
        <w:rPr>
          <w:lang w:val="sr-Cyrl-CS"/>
        </w:rPr>
        <w:t>novca</w:t>
      </w:r>
      <w:r w:rsidR="00F2688F" w:rsidRPr="00E95BC4">
        <w:rPr>
          <w:lang w:val="sr-Cyrl-CS"/>
        </w:rPr>
        <w:t xml:space="preserve"> </w:t>
      </w:r>
      <w:r>
        <w:rPr>
          <w:lang w:val="sr-Cyrl-CS"/>
        </w:rPr>
        <w:t>što</w:t>
      </w:r>
      <w:r w:rsidR="00F2688F" w:rsidRPr="00E95BC4">
        <w:rPr>
          <w:lang w:val="sr-Cyrl-CS"/>
        </w:rPr>
        <w:t xml:space="preserve"> </w:t>
      </w:r>
      <w:r>
        <w:rPr>
          <w:lang w:val="sr-Cyrl-CS"/>
        </w:rPr>
        <w:t>je</w:t>
      </w:r>
      <w:r w:rsidR="00F2688F" w:rsidRPr="00E95BC4">
        <w:rPr>
          <w:lang w:val="sr-Cyrl-CS"/>
        </w:rPr>
        <w:t xml:space="preserve"> </w:t>
      </w:r>
      <w:r>
        <w:rPr>
          <w:lang w:val="sr-Cyrl-CS"/>
        </w:rPr>
        <w:t>od</w:t>
      </w:r>
      <w:r w:rsidR="00F2688F" w:rsidRPr="00E95BC4">
        <w:rPr>
          <w:lang w:val="sr-Cyrl-CS"/>
        </w:rPr>
        <w:t xml:space="preserve"> </w:t>
      </w:r>
      <w:r>
        <w:rPr>
          <w:lang w:val="sr-Cyrl-CS"/>
        </w:rPr>
        <w:t>presudnog</w:t>
      </w:r>
      <w:r w:rsidR="00F2688F" w:rsidRPr="00E95BC4">
        <w:rPr>
          <w:lang w:val="sr-Cyrl-CS"/>
        </w:rPr>
        <w:t xml:space="preserve"> </w:t>
      </w:r>
      <w:r>
        <w:rPr>
          <w:lang w:val="sr-Cyrl-CS"/>
        </w:rPr>
        <w:t>značaja</w:t>
      </w:r>
      <w:r w:rsidR="00F2688F" w:rsidRPr="00E95BC4">
        <w:rPr>
          <w:lang w:val="sr-Cyrl-CS"/>
        </w:rPr>
        <w:t xml:space="preserve"> </w:t>
      </w:r>
      <w:r>
        <w:rPr>
          <w:lang w:val="sr-Cyrl-CS"/>
        </w:rPr>
        <w:t>za</w:t>
      </w:r>
      <w:r w:rsidR="00F2688F" w:rsidRPr="00E95BC4">
        <w:rPr>
          <w:lang w:val="sr-Cyrl-CS"/>
        </w:rPr>
        <w:t xml:space="preserve"> </w:t>
      </w:r>
      <w:r>
        <w:rPr>
          <w:lang w:val="sr-Cyrl-CS"/>
        </w:rPr>
        <w:t>efektivnost</w:t>
      </w:r>
      <w:r w:rsidR="00F2688F" w:rsidRPr="00E95BC4">
        <w:rPr>
          <w:lang w:val="sr-Cyrl-CS"/>
        </w:rPr>
        <w:t xml:space="preserve"> </w:t>
      </w:r>
      <w:r>
        <w:rPr>
          <w:lang w:val="sr-Cyrl-CS"/>
        </w:rPr>
        <w:t>rada</w:t>
      </w:r>
      <w:r w:rsidR="00F2688F" w:rsidRPr="00E95BC4">
        <w:rPr>
          <w:lang w:val="sr-Cyrl-CS"/>
        </w:rPr>
        <w:t xml:space="preserve"> </w:t>
      </w:r>
      <w:r>
        <w:rPr>
          <w:lang w:val="sr-Cyrl-CS"/>
        </w:rPr>
        <w:t>Uprave</w:t>
      </w:r>
      <w:r w:rsidR="00F2688F" w:rsidRPr="00E95BC4">
        <w:rPr>
          <w:lang w:val="sr-Cyrl-CS"/>
        </w:rPr>
        <w:t xml:space="preserve"> </w:t>
      </w:r>
      <w:r>
        <w:rPr>
          <w:lang w:val="sr-Cyrl-CS"/>
        </w:rPr>
        <w:t>za</w:t>
      </w:r>
      <w:r w:rsidR="00F2688F" w:rsidRPr="00E95BC4">
        <w:rPr>
          <w:lang w:val="sr-Cyrl-CS"/>
        </w:rPr>
        <w:t xml:space="preserve"> </w:t>
      </w:r>
      <w:r>
        <w:rPr>
          <w:lang w:val="sr-Cyrl-CS"/>
        </w:rPr>
        <w:t>sprečavanje</w:t>
      </w:r>
      <w:r w:rsidR="00F2688F" w:rsidRPr="00E95BC4">
        <w:rPr>
          <w:lang w:val="sr-Cyrl-CS"/>
        </w:rPr>
        <w:t xml:space="preserve"> </w:t>
      </w:r>
      <w:r>
        <w:rPr>
          <w:lang w:val="sr-Cyrl-CS"/>
        </w:rPr>
        <w:t>pranja</w:t>
      </w:r>
      <w:r w:rsidR="00F2688F" w:rsidRPr="00E95BC4">
        <w:rPr>
          <w:lang w:val="sr-Cyrl-CS"/>
        </w:rPr>
        <w:t xml:space="preserve"> </w:t>
      </w:r>
      <w:r>
        <w:rPr>
          <w:lang w:val="sr-Cyrl-CS"/>
        </w:rPr>
        <w:t>novca</w:t>
      </w:r>
      <w:r w:rsidR="002E071E" w:rsidRPr="00E95BC4">
        <w:rPr>
          <w:lang w:val="sr-Cyrl-CS"/>
        </w:rPr>
        <w:t xml:space="preserve"> </w:t>
      </w:r>
      <w:r>
        <w:rPr>
          <w:lang w:val="sr-Cyrl-CS"/>
        </w:rPr>
        <w:t>budući</w:t>
      </w:r>
      <w:r w:rsidR="002E071E" w:rsidRPr="00E95BC4">
        <w:rPr>
          <w:lang w:val="sr-Cyrl-CS"/>
        </w:rPr>
        <w:t xml:space="preserve"> </w:t>
      </w:r>
      <w:r>
        <w:rPr>
          <w:lang w:val="sr-Cyrl-CS"/>
        </w:rPr>
        <w:t>da</w:t>
      </w:r>
      <w:r w:rsidR="002E071E" w:rsidRPr="00E95BC4">
        <w:rPr>
          <w:lang w:val="sr-Cyrl-CS"/>
        </w:rPr>
        <w:t xml:space="preserve"> </w:t>
      </w:r>
      <w:r>
        <w:rPr>
          <w:lang w:val="sr-Cyrl-CS"/>
        </w:rPr>
        <w:t>je</w:t>
      </w:r>
      <w:r w:rsidR="002E071E" w:rsidRPr="00E95BC4">
        <w:rPr>
          <w:lang w:val="sr-Cyrl-CS"/>
        </w:rPr>
        <w:t xml:space="preserve"> </w:t>
      </w:r>
      <w:r>
        <w:rPr>
          <w:lang w:val="sr-Cyrl-CS"/>
        </w:rPr>
        <w:t>cilj</w:t>
      </w:r>
      <w:r w:rsidR="002E071E" w:rsidRPr="00E95BC4">
        <w:rPr>
          <w:lang w:val="sr-Cyrl-CS"/>
        </w:rPr>
        <w:t xml:space="preserve"> </w:t>
      </w:r>
      <w:r>
        <w:rPr>
          <w:lang w:val="sr-Cyrl-CS"/>
        </w:rPr>
        <w:t>kvalitetnih</w:t>
      </w:r>
      <w:r w:rsidR="002E071E" w:rsidRPr="00E95BC4">
        <w:rPr>
          <w:lang w:val="sr-Cyrl-CS"/>
        </w:rPr>
        <w:t xml:space="preserve"> </w:t>
      </w:r>
      <w:r>
        <w:rPr>
          <w:lang w:val="sr-Cyrl-CS"/>
        </w:rPr>
        <w:t>prijava</w:t>
      </w:r>
      <w:r w:rsidR="002E071E" w:rsidRPr="00E95BC4">
        <w:rPr>
          <w:lang w:val="sr-Cyrl-CS"/>
        </w:rPr>
        <w:t xml:space="preserve"> </w:t>
      </w:r>
      <w:r>
        <w:rPr>
          <w:lang w:val="sr-Cyrl-CS"/>
        </w:rPr>
        <w:t>da</w:t>
      </w:r>
      <w:r w:rsidR="002E071E" w:rsidRPr="00E95BC4">
        <w:rPr>
          <w:lang w:val="sr-Cyrl-CS"/>
        </w:rPr>
        <w:t xml:space="preserve"> </w:t>
      </w:r>
      <w:r>
        <w:rPr>
          <w:lang w:val="sr-Cyrl-CS"/>
        </w:rPr>
        <w:t>nadležni</w:t>
      </w:r>
      <w:r w:rsidR="00BF57D9" w:rsidRPr="00E95BC4">
        <w:rPr>
          <w:lang w:val="sr-Cyrl-CS"/>
        </w:rPr>
        <w:t xml:space="preserve"> </w:t>
      </w:r>
      <w:r>
        <w:rPr>
          <w:lang w:val="sr-Cyrl-CS"/>
        </w:rPr>
        <w:t>organi</w:t>
      </w:r>
      <w:r w:rsidR="00BF57D9" w:rsidRPr="00E95BC4">
        <w:rPr>
          <w:lang w:val="sr-Cyrl-CS"/>
        </w:rPr>
        <w:t xml:space="preserve"> </w:t>
      </w:r>
      <w:r>
        <w:rPr>
          <w:lang w:val="sr-Cyrl-CS"/>
        </w:rPr>
        <w:t>finansijskoobaveštajne</w:t>
      </w:r>
      <w:r w:rsidR="00BF57D9" w:rsidRPr="00E95BC4">
        <w:rPr>
          <w:lang w:val="sr-Cyrl-CS"/>
        </w:rPr>
        <w:t xml:space="preserve"> </w:t>
      </w:r>
      <w:r>
        <w:rPr>
          <w:lang w:val="sr-Cyrl-CS"/>
        </w:rPr>
        <w:t>podatke</w:t>
      </w:r>
      <w:r w:rsidR="002E071E" w:rsidRPr="00E95BC4">
        <w:rPr>
          <w:lang w:val="sr-Cyrl-CS"/>
        </w:rPr>
        <w:t xml:space="preserve"> </w:t>
      </w:r>
      <w:r>
        <w:rPr>
          <w:lang w:val="sr-Cyrl-CS"/>
        </w:rPr>
        <w:t>i</w:t>
      </w:r>
      <w:r w:rsidR="002E071E" w:rsidRPr="00E95BC4">
        <w:rPr>
          <w:lang w:val="sr-Cyrl-CS"/>
        </w:rPr>
        <w:t xml:space="preserve"> </w:t>
      </w:r>
      <w:r>
        <w:rPr>
          <w:lang w:val="sr-Cyrl-CS"/>
        </w:rPr>
        <w:t>druge</w:t>
      </w:r>
      <w:r w:rsidR="002E071E" w:rsidRPr="00E95BC4">
        <w:rPr>
          <w:lang w:val="sr-Cyrl-CS"/>
        </w:rPr>
        <w:t xml:space="preserve"> </w:t>
      </w:r>
      <w:r>
        <w:rPr>
          <w:lang w:val="sr-Cyrl-CS"/>
        </w:rPr>
        <w:t>relevantne</w:t>
      </w:r>
      <w:r w:rsidR="002E071E" w:rsidRPr="00E95BC4">
        <w:rPr>
          <w:lang w:val="sr-Cyrl-CS"/>
        </w:rPr>
        <w:t xml:space="preserve"> </w:t>
      </w:r>
      <w:r>
        <w:rPr>
          <w:lang w:val="sr-Cyrl-CS"/>
        </w:rPr>
        <w:t>informacije</w:t>
      </w:r>
      <w:r w:rsidR="002E071E" w:rsidRPr="00E95BC4">
        <w:rPr>
          <w:lang w:val="sr-Cyrl-CS"/>
        </w:rPr>
        <w:t xml:space="preserve"> </w:t>
      </w:r>
      <w:r>
        <w:rPr>
          <w:lang w:val="sr-Cyrl-CS"/>
        </w:rPr>
        <w:t>adekvatno</w:t>
      </w:r>
      <w:r w:rsidR="002E071E" w:rsidRPr="00E95BC4">
        <w:rPr>
          <w:lang w:val="sr-Cyrl-CS"/>
        </w:rPr>
        <w:t xml:space="preserve"> </w:t>
      </w:r>
      <w:r>
        <w:rPr>
          <w:lang w:val="sr-Cyrl-CS"/>
        </w:rPr>
        <w:t>koriste</w:t>
      </w:r>
      <w:r w:rsidR="002E071E" w:rsidRPr="00E95BC4">
        <w:rPr>
          <w:lang w:val="sr-Cyrl-CS"/>
        </w:rPr>
        <w:t xml:space="preserve"> </w:t>
      </w:r>
      <w:r>
        <w:rPr>
          <w:lang w:val="sr-Cyrl-CS"/>
        </w:rPr>
        <w:t>u</w:t>
      </w:r>
      <w:r w:rsidR="002E071E" w:rsidRPr="00E95BC4">
        <w:rPr>
          <w:lang w:val="sr-Cyrl-CS"/>
        </w:rPr>
        <w:t xml:space="preserve"> </w:t>
      </w:r>
      <w:r>
        <w:rPr>
          <w:lang w:val="sr-Cyrl-CS"/>
        </w:rPr>
        <w:t>istragama</w:t>
      </w:r>
      <w:r w:rsidR="002E071E" w:rsidRPr="00E95BC4">
        <w:rPr>
          <w:lang w:val="sr-Cyrl-CS"/>
        </w:rPr>
        <w:t xml:space="preserve"> </w:t>
      </w:r>
      <w:r>
        <w:rPr>
          <w:lang w:val="sr-Cyrl-CS"/>
        </w:rPr>
        <w:t>pranja</w:t>
      </w:r>
      <w:r w:rsidR="002E071E" w:rsidRPr="00E95BC4">
        <w:rPr>
          <w:lang w:val="sr-Cyrl-CS"/>
        </w:rPr>
        <w:t xml:space="preserve"> </w:t>
      </w:r>
      <w:r>
        <w:rPr>
          <w:lang w:val="sr-Cyrl-CS"/>
        </w:rPr>
        <w:t>novca</w:t>
      </w:r>
      <w:r w:rsidR="006D3236" w:rsidRPr="00E95BC4">
        <w:rPr>
          <w:lang w:val="sr-Cyrl-CS"/>
        </w:rPr>
        <w:t xml:space="preserve"> </w:t>
      </w:r>
      <w:r>
        <w:rPr>
          <w:lang w:val="sr-Cyrl-CS"/>
        </w:rPr>
        <w:t>ili</w:t>
      </w:r>
      <w:r w:rsidR="006D3236" w:rsidRPr="00E95BC4">
        <w:rPr>
          <w:lang w:val="sr-Cyrl-CS"/>
        </w:rPr>
        <w:t xml:space="preserve"> </w:t>
      </w:r>
      <w:r>
        <w:rPr>
          <w:lang w:val="sr-Cyrl-CS"/>
        </w:rPr>
        <w:t>finansiranja</w:t>
      </w:r>
      <w:r w:rsidR="006D3236" w:rsidRPr="00E95BC4">
        <w:rPr>
          <w:lang w:val="sr-Cyrl-CS"/>
        </w:rPr>
        <w:t xml:space="preserve"> </w:t>
      </w:r>
      <w:r>
        <w:rPr>
          <w:lang w:val="sr-Cyrl-CS"/>
        </w:rPr>
        <w:t>terorizma</w:t>
      </w:r>
      <w:r w:rsidR="002E071E" w:rsidRPr="00E95BC4">
        <w:rPr>
          <w:lang w:val="sr-Cyrl-CS"/>
        </w:rPr>
        <w:t xml:space="preserve"> </w:t>
      </w:r>
      <w:r>
        <w:rPr>
          <w:lang w:val="sr-Cyrl-CS"/>
        </w:rPr>
        <w:t>i</w:t>
      </w:r>
      <w:r w:rsidR="002E071E" w:rsidRPr="00E95BC4">
        <w:rPr>
          <w:lang w:val="sr-Cyrl-CS"/>
        </w:rPr>
        <w:t xml:space="preserve"> </w:t>
      </w:r>
      <w:r>
        <w:rPr>
          <w:lang w:val="sr-Cyrl-CS"/>
        </w:rPr>
        <w:t>finansijskim</w:t>
      </w:r>
      <w:r w:rsidR="002E071E" w:rsidRPr="00E95BC4">
        <w:rPr>
          <w:lang w:val="sr-Cyrl-CS"/>
        </w:rPr>
        <w:t xml:space="preserve"> </w:t>
      </w:r>
      <w:r>
        <w:rPr>
          <w:lang w:val="sr-Cyrl-CS"/>
        </w:rPr>
        <w:t>istragama</w:t>
      </w:r>
      <w:r w:rsidR="002E071E" w:rsidRPr="00E95BC4">
        <w:rPr>
          <w:lang w:val="sr-Cyrl-CS"/>
        </w:rPr>
        <w:t xml:space="preserve">. </w:t>
      </w:r>
      <w:r>
        <w:rPr>
          <w:lang w:val="sr-Cyrl-CS"/>
        </w:rPr>
        <w:t>Dobar</w:t>
      </w:r>
      <w:r w:rsidR="002E071E" w:rsidRPr="00E95BC4">
        <w:rPr>
          <w:lang w:val="sr-Cyrl-CS"/>
        </w:rPr>
        <w:t xml:space="preserve"> </w:t>
      </w:r>
      <w:r>
        <w:rPr>
          <w:lang w:val="sr-Cyrl-CS"/>
        </w:rPr>
        <w:t>preventivni</w:t>
      </w:r>
      <w:r w:rsidR="002E071E" w:rsidRPr="00E95BC4">
        <w:rPr>
          <w:lang w:val="sr-Cyrl-CS"/>
        </w:rPr>
        <w:t xml:space="preserve"> </w:t>
      </w:r>
      <w:r>
        <w:rPr>
          <w:lang w:val="sr-Cyrl-CS"/>
        </w:rPr>
        <w:t>sistem</w:t>
      </w:r>
      <w:r w:rsidR="002E071E" w:rsidRPr="00E95BC4">
        <w:rPr>
          <w:lang w:val="sr-Cyrl-CS"/>
        </w:rPr>
        <w:t xml:space="preserve"> </w:t>
      </w:r>
      <w:r>
        <w:rPr>
          <w:lang w:val="sr-Cyrl-CS"/>
        </w:rPr>
        <w:t>takođe</w:t>
      </w:r>
      <w:r w:rsidR="002E071E" w:rsidRPr="00E95BC4">
        <w:rPr>
          <w:lang w:val="sr-Cyrl-CS"/>
        </w:rPr>
        <w:t xml:space="preserve"> </w:t>
      </w:r>
      <w:r>
        <w:rPr>
          <w:lang w:val="sr-Cyrl-CS"/>
        </w:rPr>
        <w:t>sprečava</w:t>
      </w:r>
      <w:r w:rsidR="002E071E" w:rsidRPr="00E95BC4">
        <w:rPr>
          <w:lang w:val="sr-Cyrl-CS"/>
        </w:rPr>
        <w:t xml:space="preserve"> </w:t>
      </w:r>
      <w:r>
        <w:rPr>
          <w:lang w:val="sr-Cyrl-CS"/>
        </w:rPr>
        <w:t>zloupotrebu</w:t>
      </w:r>
      <w:r w:rsidR="00F2688F" w:rsidRPr="00E95BC4">
        <w:rPr>
          <w:lang w:val="sr-Cyrl-CS"/>
        </w:rPr>
        <w:t xml:space="preserve"> </w:t>
      </w:r>
      <w:r>
        <w:rPr>
          <w:lang w:val="sr-Cyrl-CS"/>
        </w:rPr>
        <w:t>pravnih</w:t>
      </w:r>
      <w:r w:rsidR="00F2688F" w:rsidRPr="00E95BC4">
        <w:rPr>
          <w:lang w:val="sr-Cyrl-CS"/>
        </w:rPr>
        <w:t xml:space="preserve"> </w:t>
      </w:r>
      <w:r>
        <w:rPr>
          <w:lang w:val="sr-Cyrl-CS"/>
        </w:rPr>
        <w:t>lica</w:t>
      </w:r>
      <w:r w:rsidR="00F2688F" w:rsidRPr="00E95BC4">
        <w:rPr>
          <w:lang w:val="sr-Cyrl-CS"/>
        </w:rPr>
        <w:t xml:space="preserve"> </w:t>
      </w:r>
      <w:r>
        <w:rPr>
          <w:lang w:val="sr-Cyrl-CS"/>
        </w:rPr>
        <w:t>i</w:t>
      </w:r>
      <w:r w:rsidR="00F2688F" w:rsidRPr="00E95BC4">
        <w:rPr>
          <w:lang w:val="sr-Cyrl-CS"/>
        </w:rPr>
        <w:t xml:space="preserve"> </w:t>
      </w:r>
      <w:r>
        <w:rPr>
          <w:lang w:val="sr-Cyrl-CS"/>
        </w:rPr>
        <w:t>lica</w:t>
      </w:r>
      <w:r w:rsidR="002E071E" w:rsidRPr="00E95BC4">
        <w:rPr>
          <w:lang w:val="sr-Cyrl-CS"/>
        </w:rPr>
        <w:t xml:space="preserve"> </w:t>
      </w:r>
      <w:r>
        <w:rPr>
          <w:lang w:val="sr-Cyrl-CS"/>
        </w:rPr>
        <w:t>stranog</w:t>
      </w:r>
      <w:r w:rsidR="002E071E" w:rsidRPr="00E95BC4">
        <w:rPr>
          <w:lang w:val="sr-Cyrl-CS"/>
        </w:rPr>
        <w:t xml:space="preserve"> </w:t>
      </w:r>
      <w:r>
        <w:rPr>
          <w:lang w:val="sr-Cyrl-CS"/>
        </w:rPr>
        <w:t>prava</w:t>
      </w:r>
      <w:r w:rsidR="002E071E" w:rsidRPr="00E95BC4">
        <w:rPr>
          <w:lang w:val="sr-Cyrl-CS"/>
        </w:rPr>
        <w:t xml:space="preserve"> (</w:t>
      </w:r>
      <w:r>
        <w:rPr>
          <w:lang w:val="sr-Cyrl-CS"/>
        </w:rPr>
        <w:t>npr</w:t>
      </w:r>
      <w:r w:rsidR="002E071E" w:rsidRPr="00E95BC4">
        <w:rPr>
          <w:lang w:val="sr-Cyrl-CS"/>
        </w:rPr>
        <w:t xml:space="preserve">. </w:t>
      </w:r>
      <w:r>
        <w:rPr>
          <w:lang w:val="sr-Cyrl-CS"/>
        </w:rPr>
        <w:t>trastovi</w:t>
      </w:r>
      <w:r w:rsidR="00F2688F" w:rsidRPr="00E95BC4">
        <w:rPr>
          <w:lang w:val="sr-Cyrl-CS"/>
        </w:rPr>
        <w:t xml:space="preserve">) </w:t>
      </w:r>
      <w:r>
        <w:rPr>
          <w:lang w:val="sr-Cyrl-CS"/>
        </w:rPr>
        <w:t>za</w:t>
      </w:r>
      <w:r w:rsidR="00F2688F" w:rsidRPr="00E95BC4">
        <w:rPr>
          <w:lang w:val="sr-Cyrl-CS"/>
        </w:rPr>
        <w:t xml:space="preserve"> </w:t>
      </w:r>
      <w:r>
        <w:rPr>
          <w:lang w:val="sr-Cyrl-CS"/>
        </w:rPr>
        <w:t>svrhe</w:t>
      </w:r>
      <w:r w:rsidR="00F2688F" w:rsidRPr="00E95BC4">
        <w:rPr>
          <w:lang w:val="sr-Cyrl-CS"/>
        </w:rPr>
        <w:t xml:space="preserve"> </w:t>
      </w:r>
      <w:r>
        <w:rPr>
          <w:lang w:val="sr-Cyrl-CS"/>
        </w:rPr>
        <w:t>pranja</w:t>
      </w:r>
      <w:r w:rsidR="00F2688F" w:rsidRPr="00E95BC4">
        <w:rPr>
          <w:lang w:val="sr-Cyrl-CS"/>
        </w:rPr>
        <w:t xml:space="preserve"> </w:t>
      </w:r>
      <w:r>
        <w:rPr>
          <w:lang w:val="sr-Cyrl-CS"/>
        </w:rPr>
        <w:t>novca</w:t>
      </w:r>
      <w:r w:rsidR="00F2688F" w:rsidRPr="00E95BC4">
        <w:rPr>
          <w:lang w:val="sr-Cyrl-CS"/>
        </w:rPr>
        <w:t xml:space="preserve"> </w:t>
      </w:r>
      <w:r>
        <w:rPr>
          <w:lang w:val="sr-Cyrl-CS"/>
        </w:rPr>
        <w:t>ili</w:t>
      </w:r>
      <w:r w:rsidR="00F2688F" w:rsidRPr="00E95BC4">
        <w:rPr>
          <w:lang w:val="sr-Cyrl-CS"/>
        </w:rPr>
        <w:t xml:space="preserve"> </w:t>
      </w:r>
      <w:r>
        <w:rPr>
          <w:lang w:val="sr-Cyrl-CS"/>
        </w:rPr>
        <w:t>finansiranja</w:t>
      </w:r>
      <w:r w:rsidR="00F2688F" w:rsidRPr="00E95BC4">
        <w:rPr>
          <w:lang w:val="sr-Cyrl-CS"/>
        </w:rPr>
        <w:t xml:space="preserve"> </w:t>
      </w:r>
      <w:r>
        <w:rPr>
          <w:lang w:val="sr-Cyrl-CS"/>
        </w:rPr>
        <w:t>terorizma</w:t>
      </w:r>
      <w:r w:rsidR="00F2688F" w:rsidRPr="00E95BC4">
        <w:rPr>
          <w:lang w:val="sr-Cyrl-CS"/>
        </w:rPr>
        <w:t xml:space="preserve">, </w:t>
      </w:r>
      <w:r>
        <w:rPr>
          <w:lang w:val="sr-Cyrl-CS"/>
        </w:rPr>
        <w:t>a</w:t>
      </w:r>
      <w:r w:rsidR="00F2688F" w:rsidRPr="00E95BC4">
        <w:rPr>
          <w:lang w:val="sr-Cyrl-CS"/>
        </w:rPr>
        <w:t xml:space="preserve"> </w:t>
      </w:r>
      <w:r>
        <w:rPr>
          <w:lang w:val="sr-Cyrl-CS"/>
        </w:rPr>
        <w:t>informacije</w:t>
      </w:r>
      <w:r w:rsidR="00F2688F" w:rsidRPr="00E95BC4">
        <w:rPr>
          <w:lang w:val="sr-Cyrl-CS"/>
        </w:rPr>
        <w:t xml:space="preserve"> </w:t>
      </w:r>
      <w:r>
        <w:rPr>
          <w:lang w:val="sr-Cyrl-CS"/>
        </w:rPr>
        <w:t>o</w:t>
      </w:r>
      <w:r w:rsidR="00F2688F" w:rsidRPr="00E95BC4">
        <w:rPr>
          <w:lang w:val="sr-Cyrl-CS"/>
        </w:rPr>
        <w:t xml:space="preserve"> </w:t>
      </w:r>
      <w:r>
        <w:rPr>
          <w:lang w:val="sr-Cyrl-CS"/>
        </w:rPr>
        <w:t>njihovom</w:t>
      </w:r>
      <w:r w:rsidR="00F2688F" w:rsidRPr="00E95BC4">
        <w:rPr>
          <w:lang w:val="sr-Cyrl-CS"/>
        </w:rPr>
        <w:t xml:space="preserve"> </w:t>
      </w:r>
      <w:r>
        <w:rPr>
          <w:lang w:val="sr-Cyrl-CS"/>
        </w:rPr>
        <w:t>stvarnom</w:t>
      </w:r>
      <w:r w:rsidR="00F2688F" w:rsidRPr="00E95BC4">
        <w:rPr>
          <w:lang w:val="sr-Cyrl-CS"/>
        </w:rPr>
        <w:t xml:space="preserve"> </w:t>
      </w:r>
      <w:r>
        <w:rPr>
          <w:lang w:val="sr-Cyrl-CS"/>
        </w:rPr>
        <w:t>vlasništvu</w:t>
      </w:r>
      <w:r w:rsidR="00F2688F" w:rsidRPr="00E95BC4">
        <w:rPr>
          <w:lang w:val="sr-Cyrl-CS"/>
        </w:rPr>
        <w:t xml:space="preserve"> </w:t>
      </w:r>
      <w:r>
        <w:rPr>
          <w:lang w:val="sr-Cyrl-CS"/>
        </w:rPr>
        <w:t>su</w:t>
      </w:r>
      <w:r w:rsidR="00F2688F" w:rsidRPr="00E95BC4">
        <w:rPr>
          <w:lang w:val="sr-Cyrl-CS"/>
        </w:rPr>
        <w:t xml:space="preserve"> </w:t>
      </w:r>
      <w:r>
        <w:rPr>
          <w:lang w:val="sr-Cyrl-CS"/>
        </w:rPr>
        <w:t>dostupne</w:t>
      </w:r>
      <w:r w:rsidR="00F2688F" w:rsidRPr="00E95BC4">
        <w:rPr>
          <w:lang w:val="sr-Cyrl-CS"/>
        </w:rPr>
        <w:t xml:space="preserve"> </w:t>
      </w:r>
      <w:r>
        <w:rPr>
          <w:lang w:val="sr-Cyrl-CS"/>
        </w:rPr>
        <w:t>nadležnim</w:t>
      </w:r>
      <w:r w:rsidR="00F2688F" w:rsidRPr="00E95BC4">
        <w:rPr>
          <w:lang w:val="sr-Cyrl-CS"/>
        </w:rPr>
        <w:t xml:space="preserve"> </w:t>
      </w:r>
      <w:r>
        <w:rPr>
          <w:lang w:val="sr-Cyrl-CS"/>
        </w:rPr>
        <w:t>organima</w:t>
      </w:r>
      <w:r w:rsidR="00F2688F" w:rsidRPr="00E95BC4">
        <w:rPr>
          <w:lang w:val="sr-Cyrl-CS"/>
        </w:rPr>
        <w:t xml:space="preserve"> </w:t>
      </w:r>
      <w:r>
        <w:rPr>
          <w:lang w:val="sr-Cyrl-CS"/>
        </w:rPr>
        <w:t>bez</w:t>
      </w:r>
      <w:r w:rsidR="00F2688F" w:rsidRPr="00E95BC4">
        <w:rPr>
          <w:lang w:val="sr-Cyrl-CS"/>
        </w:rPr>
        <w:t xml:space="preserve"> </w:t>
      </w:r>
      <w:r>
        <w:rPr>
          <w:lang w:val="sr-Cyrl-CS"/>
        </w:rPr>
        <w:t>prepreka</w:t>
      </w:r>
      <w:r w:rsidR="00F2688F" w:rsidRPr="00E95BC4">
        <w:rPr>
          <w:lang w:val="sr-Cyrl-CS"/>
        </w:rPr>
        <w:t xml:space="preserve">. </w:t>
      </w:r>
    </w:p>
    <w:p w:rsidR="0099638C" w:rsidRPr="00E95BC4" w:rsidRDefault="005818C0" w:rsidP="00AA6D60">
      <w:pPr>
        <w:ind w:firstLine="720"/>
        <w:jc w:val="both"/>
        <w:rPr>
          <w:lang w:val="sr-Cyrl-CS"/>
        </w:rPr>
      </w:pPr>
      <w:r>
        <w:rPr>
          <w:lang w:val="sr-Cyrl-CS"/>
        </w:rPr>
        <w:t>Okruženje</w:t>
      </w:r>
      <w:r w:rsidR="0099638C" w:rsidRPr="00E95BC4">
        <w:rPr>
          <w:lang w:val="sr-Cyrl-CS"/>
        </w:rPr>
        <w:t xml:space="preserve"> </w:t>
      </w:r>
      <w:r>
        <w:rPr>
          <w:lang w:val="sr-Cyrl-CS"/>
        </w:rPr>
        <w:t>u</w:t>
      </w:r>
      <w:r w:rsidR="0099638C" w:rsidRPr="00E95BC4">
        <w:rPr>
          <w:lang w:val="sr-Cyrl-CS"/>
        </w:rPr>
        <w:t xml:space="preserve"> </w:t>
      </w:r>
      <w:r>
        <w:rPr>
          <w:lang w:val="sr-Cyrl-CS"/>
        </w:rPr>
        <w:t>kom</w:t>
      </w:r>
      <w:r w:rsidR="0099638C" w:rsidRPr="00E95BC4">
        <w:rPr>
          <w:lang w:val="sr-Cyrl-CS"/>
        </w:rPr>
        <w:t xml:space="preserve"> </w:t>
      </w:r>
      <w:r>
        <w:rPr>
          <w:lang w:val="sr-Cyrl-CS"/>
        </w:rPr>
        <w:t>se</w:t>
      </w:r>
      <w:r w:rsidR="0099638C" w:rsidRPr="00E95BC4">
        <w:rPr>
          <w:lang w:val="sr-Cyrl-CS"/>
        </w:rPr>
        <w:t xml:space="preserve"> </w:t>
      </w:r>
      <w:r>
        <w:rPr>
          <w:lang w:val="sr-Cyrl-CS"/>
        </w:rPr>
        <w:t>privatni</w:t>
      </w:r>
      <w:r w:rsidR="0099638C" w:rsidRPr="00E95BC4">
        <w:rPr>
          <w:lang w:val="sr-Cyrl-CS"/>
        </w:rPr>
        <w:t xml:space="preserve"> </w:t>
      </w:r>
      <w:r>
        <w:rPr>
          <w:lang w:val="sr-Cyrl-CS"/>
        </w:rPr>
        <w:t>kapital</w:t>
      </w:r>
      <w:r w:rsidR="0099638C" w:rsidRPr="00E95BC4">
        <w:rPr>
          <w:lang w:val="sr-Cyrl-CS"/>
        </w:rPr>
        <w:t xml:space="preserve"> </w:t>
      </w:r>
      <w:r>
        <w:rPr>
          <w:lang w:val="sr-Cyrl-CS"/>
        </w:rPr>
        <w:t>brzo</w:t>
      </w:r>
      <w:r w:rsidR="0099638C" w:rsidRPr="00E95BC4">
        <w:rPr>
          <w:lang w:val="sr-Cyrl-CS"/>
        </w:rPr>
        <w:t xml:space="preserve"> </w:t>
      </w:r>
      <w:r>
        <w:rPr>
          <w:lang w:val="sr-Cyrl-CS"/>
        </w:rPr>
        <w:t>kreće</w:t>
      </w:r>
      <w:r w:rsidR="0099638C" w:rsidRPr="00E95BC4">
        <w:rPr>
          <w:lang w:val="sr-Cyrl-CS"/>
        </w:rPr>
        <w:t xml:space="preserve"> </w:t>
      </w:r>
      <w:r>
        <w:rPr>
          <w:lang w:val="sr-Cyrl-CS"/>
        </w:rPr>
        <w:t>pruža</w:t>
      </w:r>
      <w:r w:rsidR="0099638C" w:rsidRPr="00E95BC4">
        <w:rPr>
          <w:lang w:val="sr-Cyrl-CS"/>
        </w:rPr>
        <w:t xml:space="preserve"> </w:t>
      </w:r>
      <w:r>
        <w:rPr>
          <w:lang w:val="sr-Cyrl-CS"/>
        </w:rPr>
        <w:t>mogućnosti</w:t>
      </w:r>
      <w:r w:rsidR="0099638C" w:rsidRPr="00E95BC4">
        <w:rPr>
          <w:lang w:val="sr-Cyrl-CS"/>
        </w:rPr>
        <w:t xml:space="preserve"> </w:t>
      </w:r>
      <w:r>
        <w:rPr>
          <w:lang w:val="sr-Cyrl-CS"/>
        </w:rPr>
        <w:t>i</w:t>
      </w:r>
      <w:r w:rsidR="0099638C" w:rsidRPr="00E95BC4">
        <w:rPr>
          <w:lang w:val="sr-Cyrl-CS"/>
        </w:rPr>
        <w:t xml:space="preserve"> </w:t>
      </w:r>
      <w:r>
        <w:rPr>
          <w:lang w:val="sr-Cyrl-CS"/>
        </w:rPr>
        <w:t>za</w:t>
      </w:r>
      <w:r w:rsidR="0099638C" w:rsidRPr="00E95BC4">
        <w:rPr>
          <w:lang w:val="sr-Cyrl-CS"/>
        </w:rPr>
        <w:t xml:space="preserve"> </w:t>
      </w:r>
      <w:r>
        <w:rPr>
          <w:lang w:val="sr-Cyrl-CS"/>
        </w:rPr>
        <w:t>vršenje</w:t>
      </w:r>
      <w:r w:rsidR="0099638C" w:rsidRPr="00E95BC4">
        <w:rPr>
          <w:lang w:val="sr-Cyrl-CS"/>
        </w:rPr>
        <w:t xml:space="preserve"> </w:t>
      </w:r>
      <w:r>
        <w:rPr>
          <w:lang w:val="sr-Cyrl-CS"/>
        </w:rPr>
        <w:t>transakcija</w:t>
      </w:r>
      <w:r w:rsidR="0099638C" w:rsidRPr="00E95BC4">
        <w:rPr>
          <w:lang w:val="sr-Cyrl-CS"/>
        </w:rPr>
        <w:t xml:space="preserve"> </w:t>
      </w:r>
      <w:r>
        <w:rPr>
          <w:lang w:val="sr-Cyrl-CS"/>
        </w:rPr>
        <w:t>koje</w:t>
      </w:r>
      <w:r w:rsidR="0099638C" w:rsidRPr="00E95BC4">
        <w:rPr>
          <w:lang w:val="sr-Cyrl-CS"/>
        </w:rPr>
        <w:t xml:space="preserve"> </w:t>
      </w:r>
      <w:r>
        <w:rPr>
          <w:lang w:val="sr-Cyrl-CS"/>
        </w:rPr>
        <w:t>su</w:t>
      </w:r>
      <w:r w:rsidR="0099638C" w:rsidRPr="00E95BC4">
        <w:rPr>
          <w:lang w:val="sr-Cyrl-CS"/>
        </w:rPr>
        <w:t xml:space="preserve"> </w:t>
      </w:r>
      <w:r>
        <w:rPr>
          <w:lang w:val="sr-Cyrl-CS"/>
        </w:rPr>
        <w:t>prevarne</w:t>
      </w:r>
      <w:r w:rsidR="00806E9B" w:rsidRPr="00E95BC4">
        <w:rPr>
          <w:lang w:val="sr-Cyrl-CS"/>
        </w:rPr>
        <w:t xml:space="preserve"> </w:t>
      </w:r>
      <w:r>
        <w:rPr>
          <w:lang w:val="sr-Cyrl-CS"/>
        </w:rPr>
        <w:t>po</w:t>
      </w:r>
      <w:r w:rsidR="0087616A" w:rsidRPr="00E95BC4">
        <w:rPr>
          <w:lang w:val="sr-Cyrl-CS"/>
        </w:rPr>
        <w:t xml:space="preserve"> </w:t>
      </w:r>
      <w:r>
        <w:rPr>
          <w:lang w:val="sr-Cyrl-CS"/>
        </w:rPr>
        <w:t>prirodi</w:t>
      </w:r>
      <w:r w:rsidR="0087616A" w:rsidRPr="00E95BC4">
        <w:rPr>
          <w:lang w:val="sr-Cyrl-CS"/>
        </w:rPr>
        <w:t xml:space="preserve"> </w:t>
      </w:r>
      <w:r>
        <w:rPr>
          <w:lang w:val="sr-Cyrl-CS"/>
        </w:rPr>
        <w:t>ili</w:t>
      </w:r>
      <w:r w:rsidR="00806E9B" w:rsidRPr="00E95BC4">
        <w:rPr>
          <w:lang w:val="sr-Cyrl-CS"/>
        </w:rPr>
        <w:t xml:space="preserve"> </w:t>
      </w:r>
      <w:r>
        <w:rPr>
          <w:lang w:val="sr-Cyrl-CS"/>
        </w:rPr>
        <w:t>predstavljaju</w:t>
      </w:r>
      <w:r w:rsidR="00806E9B" w:rsidRPr="00E95BC4">
        <w:rPr>
          <w:lang w:val="sr-Cyrl-CS"/>
        </w:rPr>
        <w:t xml:space="preserve"> </w:t>
      </w:r>
      <w:r>
        <w:rPr>
          <w:lang w:val="sr-Cyrl-CS"/>
        </w:rPr>
        <w:t>pranje</w:t>
      </w:r>
      <w:r w:rsidR="00806E9B" w:rsidRPr="00E95BC4">
        <w:rPr>
          <w:lang w:val="sr-Cyrl-CS"/>
        </w:rPr>
        <w:t xml:space="preserve"> </w:t>
      </w:r>
      <w:r>
        <w:rPr>
          <w:lang w:val="sr-Cyrl-CS"/>
        </w:rPr>
        <w:t>novca</w:t>
      </w:r>
      <w:r w:rsidR="00806E9B" w:rsidRPr="00E95BC4">
        <w:rPr>
          <w:lang w:val="sr-Cyrl-CS"/>
        </w:rPr>
        <w:t xml:space="preserve">. </w:t>
      </w:r>
      <w:r>
        <w:rPr>
          <w:lang w:val="sr-Cyrl-CS"/>
        </w:rPr>
        <w:t>To</w:t>
      </w:r>
      <w:r w:rsidR="0099638C" w:rsidRPr="00E95BC4">
        <w:rPr>
          <w:lang w:val="sr-Cyrl-CS"/>
        </w:rPr>
        <w:t xml:space="preserve"> </w:t>
      </w:r>
      <w:r>
        <w:rPr>
          <w:lang w:val="sr-Cyrl-CS"/>
        </w:rPr>
        <w:t>dodatno</w:t>
      </w:r>
      <w:r w:rsidR="0099638C" w:rsidRPr="00E95BC4">
        <w:rPr>
          <w:lang w:val="sr-Cyrl-CS"/>
        </w:rPr>
        <w:t xml:space="preserve"> </w:t>
      </w:r>
      <w:r>
        <w:rPr>
          <w:lang w:val="sr-Cyrl-CS"/>
        </w:rPr>
        <w:t>komplikuju</w:t>
      </w:r>
      <w:r w:rsidR="0099638C" w:rsidRPr="00E95BC4">
        <w:rPr>
          <w:lang w:val="sr-Cyrl-CS"/>
        </w:rPr>
        <w:t xml:space="preserve"> </w:t>
      </w:r>
      <w:r>
        <w:rPr>
          <w:lang w:val="sr-Cyrl-CS"/>
        </w:rPr>
        <w:t>sve</w:t>
      </w:r>
      <w:r w:rsidR="0099638C" w:rsidRPr="00E95BC4">
        <w:rPr>
          <w:lang w:val="sr-Cyrl-CS"/>
        </w:rPr>
        <w:t xml:space="preserve"> </w:t>
      </w:r>
      <w:r>
        <w:rPr>
          <w:lang w:val="sr-Cyrl-CS"/>
        </w:rPr>
        <w:t>sofisticiraniji</w:t>
      </w:r>
      <w:r w:rsidR="0099638C" w:rsidRPr="00E95BC4">
        <w:rPr>
          <w:lang w:val="sr-Cyrl-CS"/>
        </w:rPr>
        <w:t xml:space="preserve"> </w:t>
      </w:r>
      <w:r>
        <w:rPr>
          <w:lang w:val="sr-Cyrl-CS"/>
        </w:rPr>
        <w:t>finansijski</w:t>
      </w:r>
      <w:r w:rsidR="0099638C" w:rsidRPr="00E95BC4">
        <w:rPr>
          <w:lang w:val="sr-Cyrl-CS"/>
        </w:rPr>
        <w:t xml:space="preserve"> </w:t>
      </w:r>
      <w:r>
        <w:rPr>
          <w:lang w:val="sr-Cyrl-CS"/>
        </w:rPr>
        <w:t>proizvodi</w:t>
      </w:r>
      <w:r w:rsidR="0099638C" w:rsidRPr="00E95BC4">
        <w:rPr>
          <w:lang w:val="sr-Cyrl-CS"/>
        </w:rPr>
        <w:t xml:space="preserve">, </w:t>
      </w:r>
      <w:r>
        <w:rPr>
          <w:lang w:val="sr-Cyrl-CS"/>
        </w:rPr>
        <w:t>često</w:t>
      </w:r>
      <w:r w:rsidR="0099638C" w:rsidRPr="00E95BC4">
        <w:rPr>
          <w:lang w:val="sr-Cyrl-CS"/>
        </w:rPr>
        <w:t xml:space="preserve"> </w:t>
      </w:r>
      <w:r>
        <w:rPr>
          <w:lang w:val="sr-Cyrl-CS"/>
        </w:rPr>
        <w:t>korišćenje</w:t>
      </w:r>
      <w:r w:rsidR="0099638C" w:rsidRPr="00E95BC4">
        <w:rPr>
          <w:lang w:val="sr-Cyrl-CS"/>
        </w:rPr>
        <w:t xml:space="preserve"> </w:t>
      </w:r>
      <w:r>
        <w:rPr>
          <w:lang w:val="sr-Cyrl-CS"/>
        </w:rPr>
        <w:t>ofšor</w:t>
      </w:r>
      <w:r w:rsidR="0099638C" w:rsidRPr="00E95BC4">
        <w:rPr>
          <w:lang w:val="sr-Cyrl-CS"/>
        </w:rPr>
        <w:t xml:space="preserve"> </w:t>
      </w:r>
      <w:r>
        <w:rPr>
          <w:lang w:val="sr-Cyrl-CS"/>
        </w:rPr>
        <w:t>centara</w:t>
      </w:r>
      <w:r w:rsidR="0099638C" w:rsidRPr="00E95BC4">
        <w:rPr>
          <w:lang w:val="sr-Cyrl-CS"/>
        </w:rPr>
        <w:t xml:space="preserve"> </w:t>
      </w:r>
      <w:r>
        <w:rPr>
          <w:lang w:val="sr-Cyrl-CS"/>
        </w:rPr>
        <w:t>i</w:t>
      </w:r>
      <w:r w:rsidR="0099638C" w:rsidRPr="00E95BC4">
        <w:rPr>
          <w:lang w:val="sr-Cyrl-CS"/>
        </w:rPr>
        <w:t xml:space="preserve"> </w:t>
      </w:r>
      <w:r>
        <w:rPr>
          <w:lang w:val="sr-Cyrl-CS"/>
        </w:rPr>
        <w:t>nove</w:t>
      </w:r>
      <w:r w:rsidR="0099638C" w:rsidRPr="00E95BC4">
        <w:rPr>
          <w:lang w:val="sr-Cyrl-CS"/>
        </w:rPr>
        <w:t xml:space="preserve"> </w:t>
      </w:r>
      <w:r>
        <w:rPr>
          <w:lang w:val="sr-Cyrl-CS"/>
        </w:rPr>
        <w:t>tehnologije</w:t>
      </w:r>
      <w:r w:rsidR="0099638C" w:rsidRPr="00E95BC4">
        <w:rPr>
          <w:lang w:val="sr-Cyrl-CS"/>
        </w:rPr>
        <w:t xml:space="preserve">. </w:t>
      </w:r>
      <w:r>
        <w:rPr>
          <w:lang w:val="sr-Cyrl-CS"/>
        </w:rPr>
        <w:t>Nepostojanje</w:t>
      </w:r>
      <w:r w:rsidR="0099638C" w:rsidRPr="00E95BC4">
        <w:rPr>
          <w:lang w:val="sr-Cyrl-CS"/>
        </w:rPr>
        <w:t xml:space="preserve"> </w:t>
      </w:r>
      <w:r>
        <w:rPr>
          <w:lang w:val="sr-Cyrl-CS"/>
        </w:rPr>
        <w:t>adekvatnih</w:t>
      </w:r>
      <w:r w:rsidR="0099638C" w:rsidRPr="00E95BC4">
        <w:rPr>
          <w:lang w:val="sr-Cyrl-CS"/>
        </w:rPr>
        <w:t xml:space="preserve"> </w:t>
      </w:r>
      <w:r>
        <w:rPr>
          <w:lang w:val="sr-Cyrl-CS"/>
        </w:rPr>
        <w:t>preventivnih</w:t>
      </w:r>
      <w:r w:rsidR="0099638C" w:rsidRPr="00E95BC4">
        <w:rPr>
          <w:lang w:val="sr-Cyrl-CS"/>
        </w:rPr>
        <w:t xml:space="preserve"> </w:t>
      </w:r>
      <w:r>
        <w:rPr>
          <w:lang w:val="sr-Cyrl-CS"/>
        </w:rPr>
        <w:t>sistema</w:t>
      </w:r>
      <w:r w:rsidR="0099638C" w:rsidRPr="00E95BC4">
        <w:rPr>
          <w:lang w:val="sr-Cyrl-CS"/>
        </w:rPr>
        <w:t xml:space="preserve"> </w:t>
      </w:r>
      <w:r>
        <w:rPr>
          <w:lang w:val="sr-Cyrl-CS"/>
        </w:rPr>
        <w:t>omogućava</w:t>
      </w:r>
      <w:r w:rsidR="0099638C" w:rsidRPr="00E95BC4">
        <w:rPr>
          <w:lang w:val="sr-Cyrl-CS"/>
        </w:rPr>
        <w:t xml:space="preserve"> </w:t>
      </w:r>
      <w:r>
        <w:rPr>
          <w:lang w:val="sr-Cyrl-CS"/>
        </w:rPr>
        <w:t>izvršiocima</w:t>
      </w:r>
      <w:r w:rsidR="0099638C" w:rsidRPr="00E95BC4">
        <w:rPr>
          <w:lang w:val="sr-Cyrl-CS"/>
        </w:rPr>
        <w:t xml:space="preserve"> </w:t>
      </w:r>
      <w:r>
        <w:rPr>
          <w:lang w:val="sr-Cyrl-CS"/>
        </w:rPr>
        <w:t>krivičnih</w:t>
      </w:r>
      <w:r w:rsidR="0099638C" w:rsidRPr="00E95BC4">
        <w:rPr>
          <w:lang w:val="sr-Cyrl-CS"/>
        </w:rPr>
        <w:t xml:space="preserve"> </w:t>
      </w:r>
      <w:r>
        <w:rPr>
          <w:lang w:val="sr-Cyrl-CS"/>
        </w:rPr>
        <w:t>dela</w:t>
      </w:r>
      <w:r w:rsidR="0099638C" w:rsidRPr="00E95BC4">
        <w:rPr>
          <w:lang w:val="sr-Cyrl-CS"/>
        </w:rPr>
        <w:t xml:space="preserve"> </w:t>
      </w:r>
      <w:r>
        <w:rPr>
          <w:lang w:val="sr-Cyrl-CS"/>
        </w:rPr>
        <w:t>da</w:t>
      </w:r>
      <w:r w:rsidR="0099638C" w:rsidRPr="00E95BC4">
        <w:rPr>
          <w:lang w:val="sr-Cyrl-CS"/>
        </w:rPr>
        <w:t xml:space="preserve"> </w:t>
      </w:r>
      <w:r>
        <w:rPr>
          <w:lang w:val="sr-Cyrl-CS"/>
        </w:rPr>
        <w:t>se</w:t>
      </w:r>
      <w:r w:rsidR="00806E9B" w:rsidRPr="00E95BC4">
        <w:rPr>
          <w:lang w:val="sr-Cyrl-CS"/>
        </w:rPr>
        <w:t xml:space="preserve"> </w:t>
      </w:r>
      <w:r>
        <w:rPr>
          <w:lang w:val="sr-Cyrl-CS"/>
        </w:rPr>
        <w:t>razvijaju</w:t>
      </w:r>
      <w:r w:rsidR="0099638C" w:rsidRPr="00E95BC4">
        <w:rPr>
          <w:lang w:val="sr-Cyrl-CS"/>
        </w:rPr>
        <w:t xml:space="preserve"> </w:t>
      </w:r>
      <w:r>
        <w:rPr>
          <w:lang w:val="sr-Cyrl-CS"/>
        </w:rPr>
        <w:t>i</w:t>
      </w:r>
      <w:r w:rsidR="0099638C" w:rsidRPr="00E95BC4">
        <w:rPr>
          <w:lang w:val="sr-Cyrl-CS"/>
        </w:rPr>
        <w:t xml:space="preserve"> </w:t>
      </w:r>
      <w:r>
        <w:rPr>
          <w:lang w:val="sr-Cyrl-CS"/>
        </w:rPr>
        <w:t>nanose</w:t>
      </w:r>
      <w:r w:rsidR="0099638C" w:rsidRPr="00E95BC4">
        <w:rPr>
          <w:lang w:val="sr-Cyrl-CS"/>
        </w:rPr>
        <w:t xml:space="preserve"> </w:t>
      </w:r>
      <w:r>
        <w:rPr>
          <w:lang w:val="sr-Cyrl-CS"/>
        </w:rPr>
        <w:t>dodatnu</w:t>
      </w:r>
      <w:r w:rsidR="0099638C" w:rsidRPr="00E95BC4">
        <w:rPr>
          <w:lang w:val="sr-Cyrl-CS"/>
        </w:rPr>
        <w:t xml:space="preserve"> </w:t>
      </w:r>
      <w:r>
        <w:rPr>
          <w:lang w:val="sr-Cyrl-CS"/>
        </w:rPr>
        <w:t>štetu</w:t>
      </w:r>
      <w:r w:rsidR="0099638C" w:rsidRPr="00E95BC4">
        <w:rPr>
          <w:lang w:val="sr-Cyrl-CS"/>
        </w:rPr>
        <w:t>,</w:t>
      </w:r>
      <w:r w:rsidR="004F598D" w:rsidRPr="00E95BC4">
        <w:rPr>
          <w:lang w:val="sr-Cyrl-CS"/>
        </w:rPr>
        <w:t xml:space="preserve"> </w:t>
      </w:r>
      <w:r>
        <w:rPr>
          <w:lang w:val="sr-Cyrl-CS"/>
        </w:rPr>
        <w:t>što</w:t>
      </w:r>
      <w:r w:rsidR="0099638C" w:rsidRPr="00E95BC4">
        <w:rPr>
          <w:lang w:val="sr-Cyrl-CS"/>
        </w:rPr>
        <w:t xml:space="preserve"> </w:t>
      </w:r>
      <w:r>
        <w:rPr>
          <w:lang w:val="sr-Cyrl-CS"/>
        </w:rPr>
        <w:t>je</w:t>
      </w:r>
      <w:r w:rsidR="0099638C" w:rsidRPr="00E95BC4">
        <w:rPr>
          <w:lang w:val="sr-Cyrl-CS"/>
        </w:rPr>
        <w:t xml:space="preserve"> </w:t>
      </w:r>
      <w:r>
        <w:rPr>
          <w:lang w:val="sr-Cyrl-CS"/>
        </w:rPr>
        <w:t>najočiglednije</w:t>
      </w:r>
      <w:r w:rsidR="0099638C" w:rsidRPr="00E95BC4">
        <w:rPr>
          <w:lang w:val="sr-Cyrl-CS"/>
        </w:rPr>
        <w:t xml:space="preserve"> </w:t>
      </w:r>
      <w:r>
        <w:rPr>
          <w:lang w:val="sr-Cyrl-CS"/>
        </w:rPr>
        <w:t>u</w:t>
      </w:r>
      <w:r w:rsidR="0099638C" w:rsidRPr="00E95BC4">
        <w:rPr>
          <w:lang w:val="sr-Cyrl-CS"/>
        </w:rPr>
        <w:t xml:space="preserve"> </w:t>
      </w:r>
      <w:r>
        <w:rPr>
          <w:lang w:val="sr-Cyrl-CS"/>
        </w:rPr>
        <w:t>slučajevima</w:t>
      </w:r>
      <w:r w:rsidR="0099638C" w:rsidRPr="00E95BC4">
        <w:rPr>
          <w:lang w:val="sr-Cyrl-CS"/>
        </w:rPr>
        <w:t xml:space="preserve"> </w:t>
      </w:r>
      <w:r>
        <w:rPr>
          <w:lang w:val="sr-Cyrl-CS"/>
        </w:rPr>
        <w:t>finansiranja</w:t>
      </w:r>
      <w:r w:rsidR="0099638C" w:rsidRPr="00E95BC4">
        <w:rPr>
          <w:lang w:val="sr-Cyrl-CS"/>
        </w:rPr>
        <w:t xml:space="preserve"> </w:t>
      </w:r>
      <w:r>
        <w:rPr>
          <w:lang w:val="sr-Cyrl-CS"/>
        </w:rPr>
        <w:t>terorizma</w:t>
      </w:r>
      <w:r w:rsidR="0099638C" w:rsidRPr="00E95BC4">
        <w:rPr>
          <w:lang w:val="sr-Cyrl-CS"/>
        </w:rPr>
        <w:t xml:space="preserve">. </w:t>
      </w:r>
      <w:r>
        <w:rPr>
          <w:lang w:val="sr-Cyrl-CS"/>
        </w:rPr>
        <w:t>Neadekvatno</w:t>
      </w:r>
      <w:r w:rsidR="004F598D" w:rsidRPr="00E95BC4">
        <w:rPr>
          <w:lang w:val="sr-Cyrl-CS"/>
        </w:rPr>
        <w:t xml:space="preserve"> </w:t>
      </w:r>
      <w:r>
        <w:rPr>
          <w:lang w:val="sr-Cyrl-CS"/>
        </w:rPr>
        <w:t>sprečavanje</w:t>
      </w:r>
      <w:r w:rsidR="004F598D" w:rsidRPr="00E95BC4">
        <w:rPr>
          <w:lang w:val="sr-Cyrl-CS"/>
        </w:rPr>
        <w:t xml:space="preserve"> </w:t>
      </w:r>
      <w:r>
        <w:rPr>
          <w:lang w:val="sr-Cyrl-CS"/>
        </w:rPr>
        <w:t>pranja</w:t>
      </w:r>
      <w:r w:rsidR="004F598D" w:rsidRPr="00E95BC4">
        <w:rPr>
          <w:lang w:val="sr-Cyrl-CS"/>
        </w:rPr>
        <w:t xml:space="preserve"> </w:t>
      </w:r>
      <w:r>
        <w:rPr>
          <w:lang w:val="sr-Cyrl-CS"/>
        </w:rPr>
        <w:t>novca</w:t>
      </w:r>
      <w:r w:rsidR="004F598D" w:rsidRPr="00E95BC4">
        <w:rPr>
          <w:lang w:val="sr-Cyrl-CS"/>
        </w:rPr>
        <w:t xml:space="preserve"> </w:t>
      </w:r>
      <w:r>
        <w:rPr>
          <w:lang w:val="sr-Cyrl-CS"/>
        </w:rPr>
        <w:t>i</w:t>
      </w:r>
      <w:r w:rsidR="004F598D" w:rsidRPr="00E95BC4">
        <w:rPr>
          <w:lang w:val="sr-Cyrl-CS"/>
        </w:rPr>
        <w:t xml:space="preserve"> </w:t>
      </w:r>
      <w:r>
        <w:rPr>
          <w:lang w:val="sr-Cyrl-CS"/>
        </w:rPr>
        <w:t>finansiranja</w:t>
      </w:r>
      <w:r w:rsidR="004F598D" w:rsidRPr="00E95BC4">
        <w:rPr>
          <w:lang w:val="sr-Cyrl-CS"/>
        </w:rPr>
        <w:t xml:space="preserve"> </w:t>
      </w:r>
      <w:r>
        <w:rPr>
          <w:lang w:val="sr-Cyrl-CS"/>
        </w:rPr>
        <w:t>terorizma</w:t>
      </w:r>
      <w:r w:rsidR="004F598D" w:rsidRPr="00E95BC4">
        <w:rPr>
          <w:lang w:val="sr-Cyrl-CS"/>
        </w:rPr>
        <w:t xml:space="preserve"> </w:t>
      </w:r>
      <w:r>
        <w:rPr>
          <w:lang w:val="sr-Cyrl-CS"/>
        </w:rPr>
        <w:t>potencijalno</w:t>
      </w:r>
      <w:r w:rsidR="0099638C" w:rsidRPr="00E95BC4">
        <w:rPr>
          <w:lang w:val="sr-Cyrl-CS"/>
        </w:rPr>
        <w:t xml:space="preserve"> </w:t>
      </w:r>
      <w:r>
        <w:rPr>
          <w:lang w:val="sr-Cyrl-CS"/>
        </w:rPr>
        <w:t>nanosi</w:t>
      </w:r>
      <w:r w:rsidR="00CC44BB" w:rsidRPr="00E95BC4">
        <w:rPr>
          <w:lang w:val="sr-Cyrl-CS"/>
        </w:rPr>
        <w:t xml:space="preserve"> </w:t>
      </w:r>
      <w:r>
        <w:rPr>
          <w:lang w:val="sr-Cyrl-CS"/>
        </w:rPr>
        <w:t>i</w:t>
      </w:r>
      <w:r w:rsidR="00CC44BB" w:rsidRPr="00E95BC4">
        <w:rPr>
          <w:lang w:val="sr-Cyrl-CS"/>
        </w:rPr>
        <w:t xml:space="preserve"> </w:t>
      </w:r>
      <w:r>
        <w:rPr>
          <w:lang w:val="sr-Cyrl-CS"/>
        </w:rPr>
        <w:t>visoku</w:t>
      </w:r>
      <w:r w:rsidR="00CC44BB" w:rsidRPr="00E95BC4">
        <w:rPr>
          <w:lang w:val="sr-Cyrl-CS"/>
        </w:rPr>
        <w:t xml:space="preserve"> </w:t>
      </w:r>
      <w:r>
        <w:rPr>
          <w:lang w:val="sr-Cyrl-CS"/>
        </w:rPr>
        <w:t>moralnu</w:t>
      </w:r>
      <w:r w:rsidR="00CC44BB" w:rsidRPr="00E95BC4">
        <w:rPr>
          <w:lang w:val="sr-Cyrl-CS"/>
        </w:rPr>
        <w:t xml:space="preserve"> </w:t>
      </w:r>
      <w:r>
        <w:rPr>
          <w:lang w:val="sr-Cyrl-CS"/>
        </w:rPr>
        <w:t>i</w:t>
      </w:r>
      <w:r w:rsidR="00CC44BB" w:rsidRPr="00E95BC4">
        <w:rPr>
          <w:lang w:val="sr-Cyrl-CS"/>
        </w:rPr>
        <w:t xml:space="preserve"> </w:t>
      </w:r>
      <w:r>
        <w:rPr>
          <w:lang w:val="sr-Cyrl-CS"/>
        </w:rPr>
        <w:t>reputacionu</w:t>
      </w:r>
      <w:r w:rsidR="00CC44BB" w:rsidRPr="00E95BC4">
        <w:rPr>
          <w:lang w:val="sr-Cyrl-CS"/>
        </w:rPr>
        <w:t xml:space="preserve"> </w:t>
      </w:r>
      <w:r>
        <w:rPr>
          <w:lang w:val="sr-Cyrl-CS"/>
        </w:rPr>
        <w:t>štetu</w:t>
      </w:r>
      <w:r w:rsidR="0099638C" w:rsidRPr="00E95BC4">
        <w:rPr>
          <w:lang w:val="sr-Cyrl-CS"/>
        </w:rPr>
        <w:t xml:space="preserve"> </w:t>
      </w:r>
      <w:r>
        <w:rPr>
          <w:lang w:val="sr-Cyrl-CS"/>
        </w:rPr>
        <w:t>finansijskom</w:t>
      </w:r>
      <w:r w:rsidR="0099638C" w:rsidRPr="00E95BC4">
        <w:rPr>
          <w:lang w:val="sr-Cyrl-CS"/>
        </w:rPr>
        <w:t xml:space="preserve"> </w:t>
      </w:r>
      <w:r>
        <w:rPr>
          <w:lang w:val="sr-Cyrl-CS"/>
        </w:rPr>
        <w:t>sistemu</w:t>
      </w:r>
      <w:r w:rsidR="0099638C" w:rsidRPr="00E95BC4">
        <w:rPr>
          <w:lang w:val="sr-Cyrl-CS"/>
        </w:rPr>
        <w:t xml:space="preserve"> </w:t>
      </w:r>
      <w:r>
        <w:rPr>
          <w:lang w:val="sr-Cyrl-CS"/>
        </w:rPr>
        <w:t>i</w:t>
      </w:r>
      <w:r w:rsidR="0099638C" w:rsidRPr="00E95BC4">
        <w:rPr>
          <w:lang w:val="sr-Cyrl-CS"/>
        </w:rPr>
        <w:t xml:space="preserve"> </w:t>
      </w:r>
      <w:r>
        <w:rPr>
          <w:lang w:val="sr-Cyrl-CS"/>
        </w:rPr>
        <w:t>društvu</w:t>
      </w:r>
      <w:r w:rsidR="0099638C" w:rsidRPr="00E95BC4">
        <w:rPr>
          <w:lang w:val="sr-Cyrl-CS"/>
        </w:rPr>
        <w:t xml:space="preserve"> </w:t>
      </w:r>
      <w:r>
        <w:rPr>
          <w:lang w:val="sr-Cyrl-CS"/>
        </w:rPr>
        <w:t>u</w:t>
      </w:r>
      <w:r w:rsidR="0099638C" w:rsidRPr="00E95BC4">
        <w:rPr>
          <w:lang w:val="sr-Cyrl-CS"/>
        </w:rPr>
        <w:t xml:space="preserve"> </w:t>
      </w:r>
      <w:r>
        <w:rPr>
          <w:lang w:val="sr-Cyrl-CS"/>
        </w:rPr>
        <w:t>celini</w:t>
      </w:r>
      <w:r w:rsidR="0099638C" w:rsidRPr="00E95BC4">
        <w:rPr>
          <w:lang w:val="sr-Cyrl-CS"/>
        </w:rPr>
        <w:t xml:space="preserve">. </w:t>
      </w:r>
      <w:r>
        <w:rPr>
          <w:lang w:val="sr-Cyrl-CS"/>
        </w:rPr>
        <w:t>Takođe</w:t>
      </w:r>
      <w:r w:rsidR="0099638C" w:rsidRPr="00E95BC4">
        <w:rPr>
          <w:lang w:val="sr-Cyrl-CS"/>
        </w:rPr>
        <w:t xml:space="preserve">, </w:t>
      </w:r>
      <w:r>
        <w:rPr>
          <w:lang w:val="sr-Cyrl-CS"/>
        </w:rPr>
        <w:t>uzrokuju</w:t>
      </w:r>
      <w:r w:rsidR="0099638C" w:rsidRPr="00E95BC4">
        <w:rPr>
          <w:lang w:val="sr-Cyrl-CS"/>
        </w:rPr>
        <w:t xml:space="preserve"> </w:t>
      </w:r>
      <w:r>
        <w:rPr>
          <w:lang w:val="sr-Cyrl-CS"/>
        </w:rPr>
        <w:t>se</w:t>
      </w:r>
      <w:r w:rsidR="0099638C" w:rsidRPr="00E95BC4">
        <w:rPr>
          <w:lang w:val="sr-Cyrl-CS"/>
        </w:rPr>
        <w:t xml:space="preserve"> </w:t>
      </w:r>
      <w:r>
        <w:rPr>
          <w:lang w:val="sr-Cyrl-CS"/>
        </w:rPr>
        <w:t>neefikasnosti</w:t>
      </w:r>
      <w:r w:rsidR="0099638C" w:rsidRPr="00E95BC4">
        <w:rPr>
          <w:lang w:val="sr-Cyrl-CS"/>
        </w:rPr>
        <w:t xml:space="preserve"> </w:t>
      </w:r>
      <w:r>
        <w:rPr>
          <w:lang w:val="sr-Cyrl-CS"/>
        </w:rPr>
        <w:t>i</w:t>
      </w:r>
      <w:r w:rsidR="0099638C" w:rsidRPr="00E95BC4">
        <w:rPr>
          <w:lang w:val="sr-Cyrl-CS"/>
        </w:rPr>
        <w:t xml:space="preserve"> </w:t>
      </w:r>
      <w:r>
        <w:rPr>
          <w:lang w:val="sr-Cyrl-CS"/>
        </w:rPr>
        <w:t>oscilacije</w:t>
      </w:r>
      <w:r w:rsidR="0099638C" w:rsidRPr="00E95BC4">
        <w:rPr>
          <w:lang w:val="sr-Cyrl-CS"/>
        </w:rPr>
        <w:t xml:space="preserve"> </w:t>
      </w:r>
      <w:r>
        <w:rPr>
          <w:lang w:val="sr-Cyrl-CS"/>
        </w:rPr>
        <w:t>u</w:t>
      </w:r>
      <w:r w:rsidR="0099638C" w:rsidRPr="00E95BC4">
        <w:rPr>
          <w:lang w:val="sr-Cyrl-CS"/>
        </w:rPr>
        <w:t xml:space="preserve"> </w:t>
      </w:r>
      <w:r>
        <w:rPr>
          <w:lang w:val="sr-Cyrl-CS"/>
        </w:rPr>
        <w:t>preraspodeli</w:t>
      </w:r>
      <w:r w:rsidR="0099638C" w:rsidRPr="00E95BC4">
        <w:rPr>
          <w:lang w:val="sr-Cyrl-CS"/>
        </w:rPr>
        <w:t xml:space="preserve"> </w:t>
      </w:r>
      <w:r>
        <w:rPr>
          <w:lang w:val="sr-Cyrl-CS"/>
        </w:rPr>
        <w:t>resursa</w:t>
      </w:r>
      <w:r w:rsidR="0099638C" w:rsidRPr="00E95BC4">
        <w:rPr>
          <w:lang w:val="sr-Cyrl-CS"/>
        </w:rPr>
        <w:t xml:space="preserve"> </w:t>
      </w:r>
      <w:r>
        <w:rPr>
          <w:lang w:val="sr-Cyrl-CS"/>
        </w:rPr>
        <w:t>budući</w:t>
      </w:r>
      <w:r w:rsidR="0099638C" w:rsidRPr="00E95BC4">
        <w:rPr>
          <w:lang w:val="sr-Cyrl-CS"/>
        </w:rPr>
        <w:t xml:space="preserve"> </w:t>
      </w:r>
      <w:r>
        <w:rPr>
          <w:lang w:val="sr-Cyrl-CS"/>
        </w:rPr>
        <w:t>da</w:t>
      </w:r>
      <w:r w:rsidR="0099638C" w:rsidRPr="00E95BC4">
        <w:rPr>
          <w:lang w:val="sr-Cyrl-CS"/>
        </w:rPr>
        <w:t xml:space="preserve"> </w:t>
      </w:r>
      <w:r>
        <w:rPr>
          <w:lang w:val="sr-Cyrl-CS"/>
        </w:rPr>
        <w:t>lica</w:t>
      </w:r>
      <w:r w:rsidR="0099638C" w:rsidRPr="00E95BC4">
        <w:rPr>
          <w:lang w:val="sr-Cyrl-CS"/>
        </w:rPr>
        <w:t xml:space="preserve"> </w:t>
      </w:r>
      <w:r>
        <w:rPr>
          <w:lang w:val="sr-Cyrl-CS"/>
        </w:rPr>
        <w:t>koja</w:t>
      </w:r>
      <w:r w:rsidR="0099638C" w:rsidRPr="00E95BC4">
        <w:rPr>
          <w:lang w:val="sr-Cyrl-CS"/>
        </w:rPr>
        <w:t xml:space="preserve"> </w:t>
      </w:r>
      <w:r>
        <w:rPr>
          <w:lang w:val="sr-Cyrl-CS"/>
        </w:rPr>
        <w:t>peru</w:t>
      </w:r>
      <w:r w:rsidR="0099638C" w:rsidRPr="00E95BC4">
        <w:rPr>
          <w:lang w:val="sr-Cyrl-CS"/>
        </w:rPr>
        <w:t xml:space="preserve"> </w:t>
      </w:r>
      <w:r>
        <w:rPr>
          <w:lang w:val="sr-Cyrl-CS"/>
        </w:rPr>
        <w:t>novac</w:t>
      </w:r>
      <w:r w:rsidR="0099638C" w:rsidRPr="00E95BC4">
        <w:rPr>
          <w:lang w:val="sr-Cyrl-CS"/>
        </w:rPr>
        <w:t xml:space="preserve"> </w:t>
      </w:r>
      <w:r>
        <w:rPr>
          <w:lang w:val="sr-Cyrl-CS"/>
        </w:rPr>
        <w:t>premeštaju</w:t>
      </w:r>
      <w:r w:rsidR="0099638C" w:rsidRPr="00E95BC4">
        <w:rPr>
          <w:lang w:val="sr-Cyrl-CS"/>
        </w:rPr>
        <w:t xml:space="preserve"> </w:t>
      </w:r>
      <w:r>
        <w:rPr>
          <w:lang w:val="sr-Cyrl-CS"/>
        </w:rPr>
        <w:t>sredstva</w:t>
      </w:r>
      <w:r w:rsidR="0099638C" w:rsidRPr="00E95BC4">
        <w:rPr>
          <w:lang w:val="sr-Cyrl-CS"/>
        </w:rPr>
        <w:t xml:space="preserve"> </w:t>
      </w:r>
      <w:r>
        <w:rPr>
          <w:lang w:val="sr-Cyrl-CS"/>
        </w:rPr>
        <w:t>shodno</w:t>
      </w:r>
      <w:r w:rsidR="0099638C" w:rsidRPr="00E95BC4">
        <w:rPr>
          <w:lang w:val="sr-Cyrl-CS"/>
        </w:rPr>
        <w:t xml:space="preserve"> </w:t>
      </w:r>
      <w:r>
        <w:rPr>
          <w:lang w:val="sr-Cyrl-CS"/>
        </w:rPr>
        <w:t>ekonomskoj</w:t>
      </w:r>
      <w:r w:rsidR="0099638C" w:rsidRPr="00E95BC4">
        <w:rPr>
          <w:lang w:val="sr-Cyrl-CS"/>
        </w:rPr>
        <w:t xml:space="preserve"> </w:t>
      </w:r>
      <w:r>
        <w:rPr>
          <w:lang w:val="sr-Cyrl-CS"/>
        </w:rPr>
        <w:t>logici</w:t>
      </w:r>
      <w:r w:rsidR="0099638C" w:rsidRPr="00E95BC4">
        <w:rPr>
          <w:lang w:val="sr-Cyrl-CS"/>
        </w:rPr>
        <w:t xml:space="preserve"> </w:t>
      </w:r>
      <w:r>
        <w:rPr>
          <w:lang w:val="sr-Cyrl-CS"/>
        </w:rPr>
        <w:t>ali</w:t>
      </w:r>
      <w:r w:rsidR="0099638C" w:rsidRPr="00E95BC4">
        <w:rPr>
          <w:lang w:val="sr-Cyrl-CS"/>
        </w:rPr>
        <w:t xml:space="preserve"> </w:t>
      </w:r>
      <w:r>
        <w:rPr>
          <w:lang w:val="sr-Cyrl-CS"/>
        </w:rPr>
        <w:t>svakako</w:t>
      </w:r>
      <w:r w:rsidR="0099638C" w:rsidRPr="00E95BC4">
        <w:rPr>
          <w:lang w:val="sr-Cyrl-CS"/>
        </w:rPr>
        <w:t xml:space="preserve"> </w:t>
      </w:r>
      <w:r>
        <w:rPr>
          <w:lang w:val="sr-Cyrl-CS"/>
        </w:rPr>
        <w:t>u</w:t>
      </w:r>
      <w:r w:rsidR="0099638C" w:rsidRPr="00E95BC4">
        <w:rPr>
          <w:lang w:val="sr-Cyrl-CS"/>
        </w:rPr>
        <w:t xml:space="preserve"> </w:t>
      </w:r>
      <w:r>
        <w:rPr>
          <w:lang w:val="sr-Cyrl-CS"/>
        </w:rPr>
        <w:t>nastojanju</w:t>
      </w:r>
      <w:r w:rsidR="0099638C" w:rsidRPr="00E95BC4">
        <w:rPr>
          <w:lang w:val="sr-Cyrl-CS"/>
        </w:rPr>
        <w:t xml:space="preserve"> </w:t>
      </w:r>
      <w:r>
        <w:rPr>
          <w:lang w:val="sr-Cyrl-CS"/>
        </w:rPr>
        <w:t>da</w:t>
      </w:r>
      <w:r w:rsidR="0099638C" w:rsidRPr="00E95BC4">
        <w:rPr>
          <w:lang w:val="sr-Cyrl-CS"/>
        </w:rPr>
        <w:t xml:space="preserve"> </w:t>
      </w:r>
      <w:r>
        <w:rPr>
          <w:lang w:val="sr-Cyrl-CS"/>
        </w:rPr>
        <w:t>prikriju</w:t>
      </w:r>
      <w:r w:rsidR="0099638C" w:rsidRPr="00E95BC4">
        <w:rPr>
          <w:lang w:val="sr-Cyrl-CS"/>
        </w:rPr>
        <w:t xml:space="preserve"> </w:t>
      </w:r>
      <w:r>
        <w:rPr>
          <w:lang w:val="sr-Cyrl-CS"/>
        </w:rPr>
        <w:t>poreklo</w:t>
      </w:r>
      <w:r w:rsidR="0099638C" w:rsidRPr="00E95BC4">
        <w:rPr>
          <w:lang w:val="sr-Cyrl-CS"/>
        </w:rPr>
        <w:t xml:space="preserve"> </w:t>
      </w:r>
      <w:r>
        <w:rPr>
          <w:lang w:val="sr-Cyrl-CS"/>
        </w:rPr>
        <w:t>tog</w:t>
      </w:r>
      <w:r w:rsidR="0099638C" w:rsidRPr="00E95BC4">
        <w:rPr>
          <w:lang w:val="sr-Cyrl-CS"/>
        </w:rPr>
        <w:t xml:space="preserve"> </w:t>
      </w:r>
      <w:r>
        <w:rPr>
          <w:lang w:val="sr-Cyrl-CS"/>
        </w:rPr>
        <w:t>novca</w:t>
      </w:r>
      <w:r w:rsidR="0099638C" w:rsidRPr="00E95BC4">
        <w:rPr>
          <w:lang w:val="sr-Cyrl-CS"/>
        </w:rPr>
        <w:t xml:space="preserve">. </w:t>
      </w:r>
      <w:r>
        <w:rPr>
          <w:lang w:val="sr-Cyrl-CS"/>
        </w:rPr>
        <w:t>Time</w:t>
      </w:r>
      <w:r w:rsidR="002E071E" w:rsidRPr="00E95BC4">
        <w:rPr>
          <w:lang w:val="sr-Cyrl-CS"/>
        </w:rPr>
        <w:t xml:space="preserve"> </w:t>
      </w:r>
      <w:r>
        <w:rPr>
          <w:lang w:val="sr-Cyrl-CS"/>
        </w:rPr>
        <w:t>se</w:t>
      </w:r>
      <w:r w:rsidR="0099638C" w:rsidRPr="00E95BC4">
        <w:rPr>
          <w:lang w:val="sr-Cyrl-CS"/>
        </w:rPr>
        <w:t xml:space="preserve"> </w:t>
      </w:r>
      <w:r>
        <w:rPr>
          <w:lang w:val="sr-Cyrl-CS"/>
        </w:rPr>
        <w:t>čini</w:t>
      </w:r>
      <w:r w:rsidR="0099638C" w:rsidRPr="00E95BC4">
        <w:rPr>
          <w:lang w:val="sr-Cyrl-CS"/>
        </w:rPr>
        <w:t xml:space="preserve"> </w:t>
      </w:r>
      <w:r>
        <w:rPr>
          <w:lang w:val="sr-Cyrl-CS"/>
        </w:rPr>
        <w:t>upravo</w:t>
      </w:r>
      <w:r w:rsidR="0099638C" w:rsidRPr="00E95BC4">
        <w:rPr>
          <w:lang w:val="sr-Cyrl-CS"/>
        </w:rPr>
        <w:t xml:space="preserve"> </w:t>
      </w:r>
      <w:r>
        <w:rPr>
          <w:lang w:val="sr-Cyrl-CS"/>
        </w:rPr>
        <w:t>suprotno</w:t>
      </w:r>
      <w:r w:rsidR="0099638C" w:rsidRPr="00E95BC4">
        <w:rPr>
          <w:lang w:val="sr-Cyrl-CS"/>
        </w:rPr>
        <w:t xml:space="preserve"> </w:t>
      </w:r>
      <w:r>
        <w:rPr>
          <w:lang w:val="sr-Cyrl-CS"/>
        </w:rPr>
        <w:t>željenim</w:t>
      </w:r>
      <w:r w:rsidR="0099638C" w:rsidRPr="00E95BC4">
        <w:rPr>
          <w:lang w:val="sr-Cyrl-CS"/>
        </w:rPr>
        <w:t xml:space="preserve"> </w:t>
      </w:r>
      <w:r>
        <w:rPr>
          <w:lang w:val="sr-Cyrl-CS"/>
        </w:rPr>
        <w:t>efektima</w:t>
      </w:r>
      <w:r w:rsidR="0099638C" w:rsidRPr="00E95BC4">
        <w:rPr>
          <w:lang w:val="sr-Cyrl-CS"/>
        </w:rPr>
        <w:t xml:space="preserve"> </w:t>
      </w:r>
      <w:r>
        <w:rPr>
          <w:lang w:val="sr-Cyrl-CS"/>
        </w:rPr>
        <w:t>i</w:t>
      </w:r>
      <w:r w:rsidR="0099638C" w:rsidRPr="00E95BC4">
        <w:rPr>
          <w:lang w:val="sr-Cyrl-CS"/>
        </w:rPr>
        <w:t xml:space="preserve"> </w:t>
      </w:r>
      <w:r>
        <w:rPr>
          <w:lang w:val="sr-Cyrl-CS"/>
        </w:rPr>
        <w:t>koristima</w:t>
      </w:r>
      <w:r w:rsidR="0099638C" w:rsidRPr="00E95BC4">
        <w:rPr>
          <w:lang w:val="sr-Cyrl-CS"/>
        </w:rPr>
        <w:t xml:space="preserve"> </w:t>
      </w:r>
      <w:r>
        <w:rPr>
          <w:lang w:val="sr-Cyrl-CS"/>
        </w:rPr>
        <w:t>od</w:t>
      </w:r>
      <w:r w:rsidR="0099638C" w:rsidRPr="00E95BC4">
        <w:rPr>
          <w:lang w:val="sr-Cyrl-CS"/>
        </w:rPr>
        <w:t xml:space="preserve"> </w:t>
      </w:r>
      <w:r>
        <w:rPr>
          <w:lang w:val="sr-Cyrl-CS"/>
        </w:rPr>
        <w:t>finansijske</w:t>
      </w:r>
      <w:r w:rsidR="0099638C" w:rsidRPr="00E95BC4">
        <w:rPr>
          <w:lang w:val="sr-Cyrl-CS"/>
        </w:rPr>
        <w:t xml:space="preserve"> </w:t>
      </w:r>
      <w:r>
        <w:rPr>
          <w:lang w:val="sr-Cyrl-CS"/>
        </w:rPr>
        <w:t>liberalizacije</w:t>
      </w:r>
      <w:r w:rsidR="00F2688F" w:rsidRPr="00E95BC4">
        <w:rPr>
          <w:lang w:val="sr-Cyrl-CS"/>
        </w:rPr>
        <w:t xml:space="preserve"> </w:t>
      </w:r>
      <w:r>
        <w:rPr>
          <w:lang w:val="sr-Cyrl-CS"/>
        </w:rPr>
        <w:t>i</w:t>
      </w:r>
      <w:r w:rsidR="00F2688F" w:rsidRPr="00E95BC4">
        <w:rPr>
          <w:lang w:val="sr-Cyrl-CS"/>
        </w:rPr>
        <w:t xml:space="preserve"> </w:t>
      </w:r>
      <w:r>
        <w:rPr>
          <w:lang w:val="sr-Cyrl-CS"/>
        </w:rPr>
        <w:t>sistem</w:t>
      </w:r>
      <w:r w:rsidR="00F2688F" w:rsidRPr="00E95BC4">
        <w:rPr>
          <w:lang w:val="sr-Cyrl-CS"/>
        </w:rPr>
        <w:t xml:space="preserve"> </w:t>
      </w:r>
      <w:r>
        <w:rPr>
          <w:lang w:val="sr-Cyrl-CS"/>
        </w:rPr>
        <w:t>se</w:t>
      </w:r>
      <w:r w:rsidR="00F2688F" w:rsidRPr="00E95BC4">
        <w:rPr>
          <w:lang w:val="sr-Cyrl-CS"/>
        </w:rPr>
        <w:t xml:space="preserve"> </w:t>
      </w:r>
      <w:r>
        <w:rPr>
          <w:lang w:val="sr-Cyrl-CS"/>
        </w:rPr>
        <w:t>čini</w:t>
      </w:r>
      <w:r w:rsidR="00F2688F" w:rsidRPr="00E95BC4">
        <w:rPr>
          <w:lang w:val="sr-Cyrl-CS"/>
        </w:rPr>
        <w:t xml:space="preserve"> </w:t>
      </w:r>
      <w:r>
        <w:rPr>
          <w:lang w:val="sr-Cyrl-CS"/>
        </w:rPr>
        <w:t>ranjivim</w:t>
      </w:r>
      <w:r w:rsidR="00F2688F" w:rsidRPr="00E95BC4">
        <w:rPr>
          <w:lang w:val="sr-Cyrl-CS"/>
        </w:rPr>
        <w:t xml:space="preserve"> </w:t>
      </w:r>
      <w:r>
        <w:rPr>
          <w:lang w:val="sr-Cyrl-CS"/>
        </w:rPr>
        <w:t>na</w:t>
      </w:r>
      <w:r w:rsidR="00F2688F" w:rsidRPr="00E95BC4">
        <w:rPr>
          <w:lang w:val="sr-Cyrl-CS"/>
        </w:rPr>
        <w:t xml:space="preserve"> </w:t>
      </w:r>
      <w:r>
        <w:rPr>
          <w:lang w:val="sr-Cyrl-CS"/>
        </w:rPr>
        <w:t>pranje</w:t>
      </w:r>
      <w:r w:rsidR="00F2688F" w:rsidRPr="00E95BC4">
        <w:rPr>
          <w:lang w:val="sr-Cyrl-CS"/>
        </w:rPr>
        <w:t xml:space="preserve"> </w:t>
      </w:r>
      <w:r>
        <w:rPr>
          <w:lang w:val="sr-Cyrl-CS"/>
        </w:rPr>
        <w:t>novca</w:t>
      </w:r>
      <w:r w:rsidR="00F2688F" w:rsidRPr="00E95BC4">
        <w:rPr>
          <w:lang w:val="sr-Cyrl-CS"/>
        </w:rPr>
        <w:t xml:space="preserve"> </w:t>
      </w:r>
      <w:r>
        <w:rPr>
          <w:lang w:val="sr-Cyrl-CS"/>
        </w:rPr>
        <w:t>i</w:t>
      </w:r>
      <w:r w:rsidR="00F2688F" w:rsidRPr="00E95BC4">
        <w:rPr>
          <w:lang w:val="sr-Cyrl-CS"/>
        </w:rPr>
        <w:t xml:space="preserve"> </w:t>
      </w:r>
      <w:r>
        <w:rPr>
          <w:lang w:val="sr-Cyrl-CS"/>
        </w:rPr>
        <w:t>finansiranje</w:t>
      </w:r>
      <w:r w:rsidR="00F2688F" w:rsidRPr="00E95BC4">
        <w:rPr>
          <w:lang w:val="sr-Cyrl-CS"/>
        </w:rPr>
        <w:t xml:space="preserve"> </w:t>
      </w:r>
      <w:r>
        <w:rPr>
          <w:lang w:val="sr-Cyrl-CS"/>
        </w:rPr>
        <w:t>terorizma</w:t>
      </w:r>
      <w:r w:rsidR="00F2688F" w:rsidRPr="00E95BC4">
        <w:rPr>
          <w:lang w:val="sr-Cyrl-CS"/>
        </w:rPr>
        <w:t>.</w:t>
      </w:r>
    </w:p>
    <w:p w:rsidR="002E071E" w:rsidRPr="00E95BC4" w:rsidRDefault="005818C0" w:rsidP="00AA6D60">
      <w:pPr>
        <w:ind w:firstLine="720"/>
        <w:jc w:val="both"/>
        <w:rPr>
          <w:lang w:val="sr-Cyrl-CS"/>
        </w:rPr>
      </w:pPr>
      <w:r>
        <w:rPr>
          <w:lang w:val="sr-Cyrl-CS"/>
        </w:rPr>
        <w:t>U</w:t>
      </w:r>
      <w:r w:rsidR="002E071E" w:rsidRPr="00E95BC4">
        <w:rPr>
          <w:lang w:val="sr-Cyrl-CS"/>
        </w:rPr>
        <w:t xml:space="preserve"> </w:t>
      </w:r>
      <w:r>
        <w:rPr>
          <w:lang w:val="sr-Cyrl-CS"/>
        </w:rPr>
        <w:t>pogledu</w:t>
      </w:r>
      <w:r w:rsidR="002E071E" w:rsidRPr="00E95BC4">
        <w:rPr>
          <w:lang w:val="sr-Cyrl-CS"/>
        </w:rPr>
        <w:t xml:space="preserve"> </w:t>
      </w:r>
      <w:r>
        <w:rPr>
          <w:lang w:val="sr-Cyrl-CS"/>
        </w:rPr>
        <w:t>ispunjavanja</w:t>
      </w:r>
      <w:r w:rsidR="002E071E" w:rsidRPr="00E95BC4">
        <w:rPr>
          <w:lang w:val="sr-Cyrl-CS"/>
        </w:rPr>
        <w:t xml:space="preserve"> </w:t>
      </w:r>
      <w:r>
        <w:rPr>
          <w:lang w:val="sr-Cyrl-CS"/>
        </w:rPr>
        <w:t>međunarodnih</w:t>
      </w:r>
      <w:r w:rsidR="002E071E" w:rsidRPr="00E95BC4">
        <w:rPr>
          <w:lang w:val="sr-Cyrl-CS"/>
        </w:rPr>
        <w:t xml:space="preserve"> </w:t>
      </w:r>
      <w:r>
        <w:rPr>
          <w:lang w:val="sr-Cyrl-CS"/>
        </w:rPr>
        <w:t>standarda</w:t>
      </w:r>
      <w:r w:rsidR="00254C7E" w:rsidRPr="00E95BC4">
        <w:rPr>
          <w:lang w:val="sr-Cyrl-CS"/>
        </w:rPr>
        <w:t xml:space="preserve"> </w:t>
      </w:r>
      <w:r>
        <w:rPr>
          <w:lang w:val="sr-Cyrl-CS"/>
        </w:rPr>
        <w:t>i</w:t>
      </w:r>
      <w:r w:rsidR="00254C7E" w:rsidRPr="00E95BC4">
        <w:rPr>
          <w:lang w:val="sr-Cyrl-CS"/>
        </w:rPr>
        <w:t xml:space="preserve"> </w:t>
      </w:r>
      <w:r>
        <w:rPr>
          <w:lang w:val="sr-Cyrl-CS"/>
        </w:rPr>
        <w:t>odgovarajućih</w:t>
      </w:r>
      <w:r w:rsidR="00254C7E" w:rsidRPr="00E95BC4">
        <w:rPr>
          <w:lang w:val="sr-Cyrl-CS"/>
        </w:rPr>
        <w:t xml:space="preserve"> </w:t>
      </w:r>
      <w:r>
        <w:rPr>
          <w:lang w:val="sr-Cyrl-CS"/>
        </w:rPr>
        <w:t>evaluacija</w:t>
      </w:r>
      <w:r w:rsidR="002E071E" w:rsidRPr="00E95BC4">
        <w:rPr>
          <w:lang w:val="sr-Cyrl-CS"/>
        </w:rPr>
        <w:t xml:space="preserve">, </w:t>
      </w:r>
      <w:r>
        <w:rPr>
          <w:lang w:val="sr-Cyrl-CS"/>
        </w:rPr>
        <w:t>ukoliko</w:t>
      </w:r>
      <w:r w:rsidR="002E071E" w:rsidRPr="00E95BC4">
        <w:rPr>
          <w:lang w:val="sr-Cyrl-CS"/>
        </w:rPr>
        <w:t xml:space="preserve"> </w:t>
      </w:r>
      <w:r>
        <w:rPr>
          <w:lang w:val="sr-Cyrl-CS"/>
        </w:rPr>
        <w:t>preventivni</w:t>
      </w:r>
      <w:r w:rsidR="002E071E" w:rsidRPr="00E95BC4">
        <w:rPr>
          <w:lang w:val="sr-Cyrl-CS"/>
        </w:rPr>
        <w:t xml:space="preserve"> </w:t>
      </w:r>
      <w:r>
        <w:rPr>
          <w:lang w:val="sr-Cyrl-CS"/>
        </w:rPr>
        <w:t>sistem</w:t>
      </w:r>
      <w:r w:rsidR="002E071E" w:rsidRPr="00E95BC4">
        <w:rPr>
          <w:lang w:val="sr-Cyrl-CS"/>
        </w:rPr>
        <w:t xml:space="preserve"> </w:t>
      </w:r>
      <w:r>
        <w:rPr>
          <w:lang w:val="sr-Cyrl-CS"/>
        </w:rPr>
        <w:t>ne</w:t>
      </w:r>
      <w:r w:rsidR="002E071E" w:rsidRPr="00E95BC4">
        <w:rPr>
          <w:lang w:val="sr-Cyrl-CS"/>
        </w:rPr>
        <w:t xml:space="preserve"> </w:t>
      </w:r>
      <w:r>
        <w:rPr>
          <w:lang w:val="sr-Cyrl-CS"/>
        </w:rPr>
        <w:t>funkcioniše</w:t>
      </w:r>
      <w:r w:rsidR="002E071E" w:rsidRPr="00E95BC4">
        <w:rPr>
          <w:lang w:val="sr-Cyrl-CS"/>
        </w:rPr>
        <w:t xml:space="preserve"> </w:t>
      </w:r>
      <w:r>
        <w:rPr>
          <w:lang w:val="sr-Cyrl-CS"/>
        </w:rPr>
        <w:t>adekvatno</w:t>
      </w:r>
      <w:r w:rsidR="002E071E" w:rsidRPr="00E95BC4">
        <w:rPr>
          <w:lang w:val="sr-Cyrl-CS"/>
        </w:rPr>
        <w:t xml:space="preserve">, </w:t>
      </w:r>
      <w:r>
        <w:rPr>
          <w:lang w:val="sr-Cyrl-CS"/>
        </w:rPr>
        <w:t>država</w:t>
      </w:r>
      <w:r w:rsidR="002E071E" w:rsidRPr="00E95BC4">
        <w:rPr>
          <w:lang w:val="sr-Cyrl-CS"/>
        </w:rPr>
        <w:t xml:space="preserve"> </w:t>
      </w:r>
      <w:r>
        <w:rPr>
          <w:lang w:val="sr-Cyrl-CS"/>
        </w:rPr>
        <w:t>može</w:t>
      </w:r>
      <w:r w:rsidR="002E071E" w:rsidRPr="00E95BC4">
        <w:rPr>
          <w:lang w:val="sr-Cyrl-CS"/>
        </w:rPr>
        <w:t xml:space="preserve"> </w:t>
      </w:r>
      <w:r>
        <w:rPr>
          <w:lang w:val="sr-Cyrl-CS"/>
        </w:rPr>
        <w:t>biti</w:t>
      </w:r>
      <w:r w:rsidR="002E071E" w:rsidRPr="00E95BC4">
        <w:rPr>
          <w:lang w:val="sr-Cyrl-CS"/>
        </w:rPr>
        <w:t xml:space="preserve"> </w:t>
      </w:r>
      <w:r>
        <w:rPr>
          <w:lang w:val="sr-Cyrl-CS"/>
        </w:rPr>
        <w:t>izložena</w:t>
      </w:r>
      <w:r w:rsidR="00806E9B" w:rsidRPr="00E95BC4">
        <w:rPr>
          <w:lang w:val="sr-Cyrl-CS"/>
        </w:rPr>
        <w:t xml:space="preserve"> </w:t>
      </w:r>
      <w:r>
        <w:rPr>
          <w:lang w:val="sr-Cyrl-CS"/>
        </w:rPr>
        <w:t>i</w:t>
      </w:r>
      <w:r w:rsidR="002E071E" w:rsidRPr="00E95BC4">
        <w:rPr>
          <w:lang w:val="sr-Cyrl-CS"/>
        </w:rPr>
        <w:t xml:space="preserve"> </w:t>
      </w:r>
      <w:r>
        <w:rPr>
          <w:lang w:val="sr-Cyrl-CS"/>
        </w:rPr>
        <w:t>riziku</w:t>
      </w:r>
      <w:r w:rsidR="002E071E" w:rsidRPr="00E95BC4">
        <w:rPr>
          <w:lang w:val="sr-Cyrl-CS"/>
        </w:rPr>
        <w:t xml:space="preserve"> </w:t>
      </w:r>
      <w:r>
        <w:rPr>
          <w:lang w:val="sr-Cyrl-CS"/>
        </w:rPr>
        <w:t>negativnih</w:t>
      </w:r>
      <w:r w:rsidR="002E071E" w:rsidRPr="00E95BC4">
        <w:rPr>
          <w:lang w:val="sr-Cyrl-CS"/>
        </w:rPr>
        <w:t xml:space="preserve"> </w:t>
      </w:r>
      <w:r>
        <w:rPr>
          <w:lang w:val="sr-Cyrl-CS"/>
        </w:rPr>
        <w:t>ocena</w:t>
      </w:r>
      <w:r w:rsidR="002E071E" w:rsidRPr="00E95BC4">
        <w:rPr>
          <w:lang w:val="sr-Cyrl-CS"/>
        </w:rPr>
        <w:t xml:space="preserve"> </w:t>
      </w:r>
      <w:r>
        <w:rPr>
          <w:lang w:val="sr-Cyrl-CS"/>
        </w:rPr>
        <w:t>od</w:t>
      </w:r>
      <w:r w:rsidR="002E071E" w:rsidRPr="00E95BC4">
        <w:rPr>
          <w:lang w:val="sr-Cyrl-CS"/>
        </w:rPr>
        <w:t xml:space="preserve"> </w:t>
      </w:r>
      <w:r>
        <w:rPr>
          <w:lang w:val="sr-Cyrl-CS"/>
        </w:rPr>
        <w:t>strane</w:t>
      </w:r>
      <w:r w:rsidR="002E071E" w:rsidRPr="00E95BC4">
        <w:rPr>
          <w:lang w:val="sr-Cyrl-CS"/>
        </w:rPr>
        <w:t xml:space="preserve"> </w:t>
      </w:r>
      <w:r>
        <w:rPr>
          <w:lang w:val="sr-Cyrl-CS"/>
        </w:rPr>
        <w:t>međunarodnih</w:t>
      </w:r>
      <w:r w:rsidR="002E071E" w:rsidRPr="00E95BC4">
        <w:rPr>
          <w:lang w:val="sr-Cyrl-CS"/>
        </w:rPr>
        <w:t xml:space="preserve"> </w:t>
      </w:r>
      <w:r>
        <w:rPr>
          <w:lang w:val="sr-Cyrl-CS"/>
        </w:rPr>
        <w:t>evaluacionih</w:t>
      </w:r>
      <w:r w:rsidR="002E071E" w:rsidRPr="00E95BC4">
        <w:rPr>
          <w:lang w:val="sr-Cyrl-CS"/>
        </w:rPr>
        <w:t xml:space="preserve"> </w:t>
      </w:r>
      <w:r>
        <w:rPr>
          <w:lang w:val="sr-Cyrl-CS"/>
        </w:rPr>
        <w:t>tela</w:t>
      </w:r>
      <w:r w:rsidR="002E071E" w:rsidRPr="00E95BC4">
        <w:rPr>
          <w:lang w:val="sr-Cyrl-CS"/>
        </w:rPr>
        <w:t xml:space="preserve"> (</w:t>
      </w:r>
      <w:r>
        <w:rPr>
          <w:lang w:val="sr-Cyrl-CS"/>
        </w:rPr>
        <w:t>npr</w:t>
      </w:r>
      <w:r w:rsidR="002E071E" w:rsidRPr="00E95BC4">
        <w:rPr>
          <w:lang w:val="sr-Cyrl-CS"/>
        </w:rPr>
        <w:t xml:space="preserve">. </w:t>
      </w:r>
      <w:r>
        <w:rPr>
          <w:lang w:val="sr-Cyrl-CS"/>
        </w:rPr>
        <w:t>Manival</w:t>
      </w:r>
      <w:r w:rsidR="002E071E" w:rsidRPr="00E95BC4">
        <w:rPr>
          <w:lang w:val="sr-Cyrl-CS"/>
        </w:rPr>
        <w:t xml:space="preserve">) </w:t>
      </w:r>
      <w:r>
        <w:rPr>
          <w:lang w:val="sr-Cyrl-CS"/>
        </w:rPr>
        <w:t>i</w:t>
      </w:r>
      <w:r w:rsidR="002E071E" w:rsidRPr="00E95BC4">
        <w:rPr>
          <w:lang w:val="sr-Cyrl-CS"/>
        </w:rPr>
        <w:t xml:space="preserve"> </w:t>
      </w:r>
      <w:r>
        <w:rPr>
          <w:lang w:val="sr-Cyrl-CS"/>
        </w:rPr>
        <w:t>u</w:t>
      </w:r>
      <w:r w:rsidR="002E071E" w:rsidRPr="00E95BC4">
        <w:rPr>
          <w:lang w:val="sr-Cyrl-CS"/>
        </w:rPr>
        <w:t xml:space="preserve"> </w:t>
      </w:r>
      <w:r>
        <w:rPr>
          <w:lang w:val="sr-Cyrl-CS"/>
        </w:rPr>
        <w:t>ekstremnim</w:t>
      </w:r>
      <w:r w:rsidR="002E071E" w:rsidRPr="00E95BC4">
        <w:rPr>
          <w:lang w:val="sr-Cyrl-CS"/>
        </w:rPr>
        <w:t xml:space="preserve"> </w:t>
      </w:r>
      <w:r>
        <w:rPr>
          <w:lang w:val="sr-Cyrl-CS"/>
        </w:rPr>
        <w:t>slučajevima</w:t>
      </w:r>
      <w:r w:rsidR="002E071E" w:rsidRPr="00E95BC4">
        <w:rPr>
          <w:lang w:val="sr-Cyrl-CS"/>
        </w:rPr>
        <w:t xml:space="preserve"> </w:t>
      </w:r>
      <w:r>
        <w:rPr>
          <w:lang w:val="sr-Cyrl-CS"/>
        </w:rPr>
        <w:t>dospeti</w:t>
      </w:r>
      <w:r w:rsidR="002E071E" w:rsidRPr="00E95BC4">
        <w:rPr>
          <w:lang w:val="sr-Cyrl-CS"/>
        </w:rPr>
        <w:t xml:space="preserve"> </w:t>
      </w:r>
      <w:r>
        <w:rPr>
          <w:lang w:val="sr-Cyrl-CS"/>
        </w:rPr>
        <w:t>pod</w:t>
      </w:r>
      <w:r w:rsidR="002E071E" w:rsidRPr="00E95BC4">
        <w:rPr>
          <w:lang w:val="sr-Cyrl-CS"/>
        </w:rPr>
        <w:t xml:space="preserve"> </w:t>
      </w:r>
      <w:r>
        <w:rPr>
          <w:lang w:val="sr-Cyrl-CS"/>
        </w:rPr>
        <w:t>poseban</w:t>
      </w:r>
      <w:r w:rsidR="002E071E" w:rsidRPr="00E95BC4">
        <w:rPr>
          <w:lang w:val="sr-Cyrl-CS"/>
        </w:rPr>
        <w:t xml:space="preserve"> </w:t>
      </w:r>
      <w:r>
        <w:rPr>
          <w:lang w:val="sr-Cyrl-CS"/>
        </w:rPr>
        <w:t>monitoring</w:t>
      </w:r>
      <w:r w:rsidR="002E071E" w:rsidRPr="00E95BC4">
        <w:rPr>
          <w:lang w:val="sr-Cyrl-CS"/>
        </w:rPr>
        <w:t xml:space="preserve"> </w:t>
      </w:r>
      <w:r>
        <w:rPr>
          <w:lang w:val="sr-Cyrl-CS"/>
        </w:rPr>
        <w:t>Manivala</w:t>
      </w:r>
      <w:r w:rsidR="002E071E" w:rsidRPr="00E95BC4">
        <w:rPr>
          <w:lang w:val="sr-Cyrl-CS"/>
        </w:rPr>
        <w:t xml:space="preserve"> </w:t>
      </w:r>
      <w:r>
        <w:rPr>
          <w:lang w:val="sr-Cyrl-CS"/>
        </w:rPr>
        <w:t>ili</w:t>
      </w:r>
      <w:r w:rsidR="002E071E" w:rsidRPr="00E95BC4">
        <w:rPr>
          <w:lang w:val="sr-Cyrl-CS"/>
        </w:rPr>
        <w:t xml:space="preserve"> </w:t>
      </w:r>
      <w:r>
        <w:rPr>
          <w:lang w:val="sr-Cyrl-CS"/>
        </w:rPr>
        <w:t>FATF</w:t>
      </w:r>
      <w:r w:rsidR="002E071E" w:rsidRPr="00E95BC4">
        <w:rPr>
          <w:lang w:val="sr-Cyrl-CS"/>
        </w:rPr>
        <w:t>.</w:t>
      </w:r>
    </w:p>
    <w:p w:rsidR="001A655F" w:rsidRPr="00E95BC4" w:rsidRDefault="00F2688F" w:rsidP="001A655F">
      <w:pPr>
        <w:ind w:firstLine="720"/>
        <w:jc w:val="both"/>
        <w:rPr>
          <w:lang w:val="sr-Cyrl-CS"/>
        </w:rPr>
      </w:pPr>
      <w:r w:rsidRPr="00E95BC4">
        <w:rPr>
          <w:lang w:val="sr-Cyrl-CS"/>
        </w:rPr>
        <w:t xml:space="preserve"> </w:t>
      </w:r>
      <w:r w:rsidR="005818C0">
        <w:rPr>
          <w:b/>
          <w:lang w:val="sr-Cyrl-CS"/>
        </w:rPr>
        <w:t>Problem</w:t>
      </w:r>
      <w:r w:rsidR="008D7FBA" w:rsidRPr="00E95BC4">
        <w:rPr>
          <w:b/>
          <w:lang w:val="sr-Cyrl-CS"/>
        </w:rPr>
        <w:t xml:space="preserve"> 3</w:t>
      </w:r>
      <w:r w:rsidR="00C57A83">
        <w:rPr>
          <w:b/>
          <w:lang w:val="sr-Cyrl-CS"/>
        </w:rPr>
        <w:t xml:space="preserve"> –</w:t>
      </w:r>
      <w:r w:rsidR="008D7FBA" w:rsidRPr="00E95BC4">
        <w:rPr>
          <w:b/>
          <w:lang w:val="sr-Cyrl-CS"/>
        </w:rPr>
        <w:t xml:space="preserve"> </w:t>
      </w:r>
      <w:r w:rsidR="005818C0">
        <w:rPr>
          <w:b/>
          <w:lang w:val="sr-Cyrl-CS"/>
        </w:rPr>
        <w:t>Istrage</w:t>
      </w:r>
      <w:r w:rsidR="00E459C1" w:rsidRPr="00E95BC4">
        <w:rPr>
          <w:b/>
          <w:lang w:val="sr-Cyrl-CS"/>
        </w:rPr>
        <w:t xml:space="preserve"> </w:t>
      </w:r>
      <w:r w:rsidR="005818C0">
        <w:rPr>
          <w:b/>
          <w:lang w:val="sr-Cyrl-CS"/>
        </w:rPr>
        <w:t>i</w:t>
      </w:r>
      <w:r w:rsidR="00E459C1" w:rsidRPr="00E95BC4">
        <w:rPr>
          <w:b/>
          <w:lang w:val="sr-Cyrl-CS"/>
        </w:rPr>
        <w:t xml:space="preserve"> </w:t>
      </w:r>
      <w:r w:rsidR="005818C0">
        <w:rPr>
          <w:b/>
          <w:lang w:val="sr-Cyrl-CS"/>
        </w:rPr>
        <w:t>postupci</w:t>
      </w:r>
      <w:r w:rsidR="00E459C1" w:rsidRPr="00E95BC4">
        <w:rPr>
          <w:b/>
          <w:lang w:val="sr-Cyrl-CS"/>
        </w:rPr>
        <w:t xml:space="preserve"> </w:t>
      </w:r>
      <w:r w:rsidR="005818C0">
        <w:rPr>
          <w:b/>
          <w:lang w:val="sr-Cyrl-CS"/>
        </w:rPr>
        <w:t>za</w:t>
      </w:r>
      <w:r w:rsidR="00E459C1" w:rsidRPr="00E95BC4">
        <w:rPr>
          <w:b/>
          <w:lang w:val="sr-Cyrl-CS"/>
        </w:rPr>
        <w:t xml:space="preserve"> </w:t>
      </w:r>
      <w:r w:rsidR="005818C0">
        <w:rPr>
          <w:b/>
          <w:lang w:val="sr-Cyrl-CS"/>
        </w:rPr>
        <w:t>pranje</w:t>
      </w:r>
      <w:r w:rsidR="00E459C1" w:rsidRPr="00E95BC4">
        <w:rPr>
          <w:b/>
          <w:lang w:val="sr-Cyrl-CS"/>
        </w:rPr>
        <w:t xml:space="preserve"> </w:t>
      </w:r>
      <w:r w:rsidR="005818C0">
        <w:rPr>
          <w:b/>
          <w:lang w:val="sr-Cyrl-CS"/>
        </w:rPr>
        <w:t>novca</w:t>
      </w:r>
      <w:r w:rsidR="000B5F1D" w:rsidRPr="00E95BC4">
        <w:rPr>
          <w:b/>
          <w:lang w:val="sr-Cyrl-CS"/>
        </w:rPr>
        <w:t xml:space="preserve"> </w:t>
      </w:r>
      <w:r w:rsidR="005818C0">
        <w:rPr>
          <w:b/>
          <w:lang w:val="sr-Cyrl-CS"/>
        </w:rPr>
        <w:t>i</w:t>
      </w:r>
      <w:r w:rsidR="000B5F1D" w:rsidRPr="00E95BC4">
        <w:rPr>
          <w:b/>
          <w:lang w:val="sr-Cyrl-CS"/>
        </w:rPr>
        <w:t xml:space="preserve"> </w:t>
      </w:r>
      <w:r w:rsidR="005818C0">
        <w:rPr>
          <w:b/>
          <w:lang w:val="sr-Cyrl-CS"/>
        </w:rPr>
        <w:t>oduzimanje</w:t>
      </w:r>
      <w:r w:rsidR="000B5F1D" w:rsidRPr="00E95BC4">
        <w:rPr>
          <w:b/>
          <w:lang w:val="sr-Cyrl-CS"/>
        </w:rPr>
        <w:t xml:space="preserve"> </w:t>
      </w:r>
      <w:r w:rsidR="005818C0">
        <w:rPr>
          <w:b/>
          <w:lang w:val="sr-Cyrl-CS"/>
        </w:rPr>
        <w:t>imovine</w:t>
      </w:r>
      <w:r w:rsidR="00E459C1" w:rsidRPr="00E95BC4">
        <w:rPr>
          <w:b/>
          <w:lang w:val="sr-Cyrl-CS"/>
        </w:rPr>
        <w:t xml:space="preserve">. </w:t>
      </w:r>
      <w:r w:rsidR="005818C0">
        <w:rPr>
          <w:lang w:val="sr-Cyrl-CS"/>
        </w:rPr>
        <w:t>Osnovni</w:t>
      </w:r>
      <w:r w:rsidR="000B5F1D" w:rsidRPr="00E95BC4">
        <w:rPr>
          <w:lang w:val="sr-Cyrl-CS"/>
        </w:rPr>
        <w:t xml:space="preserve"> </w:t>
      </w:r>
      <w:r w:rsidR="005818C0">
        <w:rPr>
          <w:lang w:val="sr-Cyrl-CS"/>
        </w:rPr>
        <w:t>cilj</w:t>
      </w:r>
      <w:r w:rsidR="000B5F1D" w:rsidRPr="00E95BC4">
        <w:rPr>
          <w:lang w:val="sr-Cyrl-CS"/>
        </w:rPr>
        <w:t xml:space="preserve"> </w:t>
      </w:r>
      <w:r w:rsidR="005818C0">
        <w:rPr>
          <w:lang w:val="sr-Cyrl-CS"/>
        </w:rPr>
        <w:t>sistema</w:t>
      </w:r>
      <w:r w:rsidR="000B5F1D" w:rsidRPr="00E95BC4">
        <w:rPr>
          <w:lang w:val="sr-Cyrl-CS"/>
        </w:rPr>
        <w:t xml:space="preserve"> </w:t>
      </w:r>
      <w:r w:rsidR="005818C0">
        <w:rPr>
          <w:lang w:val="sr-Cyrl-CS"/>
        </w:rPr>
        <w:t>za</w:t>
      </w:r>
      <w:r w:rsidR="000B5F1D" w:rsidRPr="00E95BC4">
        <w:rPr>
          <w:lang w:val="sr-Cyrl-CS"/>
        </w:rPr>
        <w:t xml:space="preserve"> </w:t>
      </w:r>
      <w:r w:rsidR="005818C0">
        <w:rPr>
          <w:lang w:val="sr-Cyrl-CS"/>
        </w:rPr>
        <w:t>borbu</w:t>
      </w:r>
      <w:r w:rsidR="000B5F1D" w:rsidRPr="00E95BC4">
        <w:rPr>
          <w:lang w:val="sr-Cyrl-CS"/>
        </w:rPr>
        <w:t xml:space="preserve"> </w:t>
      </w:r>
      <w:r w:rsidR="005818C0">
        <w:rPr>
          <w:lang w:val="sr-Cyrl-CS"/>
        </w:rPr>
        <w:t>protiv</w:t>
      </w:r>
      <w:r w:rsidR="000B5F1D" w:rsidRPr="00E95BC4">
        <w:rPr>
          <w:lang w:val="sr-Cyrl-CS"/>
        </w:rPr>
        <w:t xml:space="preserve"> </w:t>
      </w:r>
      <w:r w:rsidR="005818C0">
        <w:rPr>
          <w:lang w:val="sr-Cyrl-CS"/>
        </w:rPr>
        <w:t>pranja</w:t>
      </w:r>
      <w:r w:rsidR="000B5F1D" w:rsidRPr="00E95BC4">
        <w:rPr>
          <w:lang w:val="sr-Cyrl-CS"/>
        </w:rPr>
        <w:t xml:space="preserve"> </w:t>
      </w:r>
      <w:r w:rsidR="005818C0">
        <w:rPr>
          <w:lang w:val="sr-Cyrl-CS"/>
        </w:rPr>
        <w:t>novca</w:t>
      </w:r>
      <w:r w:rsidR="000B5F1D" w:rsidRPr="00E95BC4">
        <w:rPr>
          <w:lang w:val="sr-Cyrl-CS"/>
        </w:rPr>
        <w:t xml:space="preserve"> </w:t>
      </w:r>
      <w:r w:rsidR="005818C0">
        <w:rPr>
          <w:lang w:val="sr-Cyrl-CS"/>
        </w:rPr>
        <w:t>i</w:t>
      </w:r>
      <w:r w:rsidR="000B5F1D" w:rsidRPr="00E95BC4">
        <w:rPr>
          <w:lang w:val="sr-Cyrl-CS"/>
        </w:rPr>
        <w:t xml:space="preserve"> </w:t>
      </w:r>
      <w:r w:rsidR="005818C0">
        <w:rPr>
          <w:lang w:val="sr-Cyrl-CS"/>
        </w:rPr>
        <w:t>finansiranja</w:t>
      </w:r>
      <w:r w:rsidR="000B5F1D" w:rsidRPr="00E95BC4">
        <w:rPr>
          <w:lang w:val="sr-Cyrl-CS"/>
        </w:rPr>
        <w:t xml:space="preserve"> </w:t>
      </w:r>
      <w:r w:rsidR="005818C0">
        <w:rPr>
          <w:lang w:val="sr-Cyrl-CS"/>
        </w:rPr>
        <w:t>terorizma</w:t>
      </w:r>
      <w:r w:rsidR="000B5F1D" w:rsidRPr="00E95BC4">
        <w:rPr>
          <w:lang w:val="sr-Cyrl-CS"/>
        </w:rPr>
        <w:t xml:space="preserve"> </w:t>
      </w:r>
      <w:r w:rsidR="005818C0">
        <w:rPr>
          <w:lang w:val="sr-Cyrl-CS"/>
        </w:rPr>
        <w:t>u</w:t>
      </w:r>
      <w:r w:rsidR="000B5F1D" w:rsidRPr="00E95BC4">
        <w:rPr>
          <w:lang w:val="sr-Cyrl-CS"/>
        </w:rPr>
        <w:t xml:space="preserve"> </w:t>
      </w:r>
      <w:r w:rsidR="005818C0">
        <w:rPr>
          <w:lang w:val="sr-Cyrl-CS"/>
        </w:rPr>
        <w:t>ovoj</w:t>
      </w:r>
      <w:r w:rsidR="000B5F1D" w:rsidRPr="00E95BC4">
        <w:rPr>
          <w:lang w:val="sr-Cyrl-CS"/>
        </w:rPr>
        <w:t xml:space="preserve"> </w:t>
      </w:r>
      <w:r w:rsidR="005818C0">
        <w:rPr>
          <w:lang w:val="sr-Cyrl-CS"/>
        </w:rPr>
        <w:t>oblasti</w:t>
      </w:r>
      <w:r w:rsidR="000B5F1D" w:rsidRPr="00E95BC4">
        <w:rPr>
          <w:lang w:val="sr-Cyrl-CS"/>
        </w:rPr>
        <w:t xml:space="preserve"> </w:t>
      </w:r>
      <w:r w:rsidR="005818C0">
        <w:rPr>
          <w:lang w:val="sr-Cyrl-CS"/>
        </w:rPr>
        <w:t>jeste</w:t>
      </w:r>
      <w:r w:rsidR="000B5F1D" w:rsidRPr="00E95BC4">
        <w:rPr>
          <w:lang w:val="sr-Cyrl-CS"/>
        </w:rPr>
        <w:t xml:space="preserve"> </w:t>
      </w:r>
      <w:r w:rsidR="005818C0">
        <w:rPr>
          <w:lang w:val="sr-Cyrl-CS"/>
        </w:rPr>
        <w:t>efikasno</w:t>
      </w:r>
      <w:r w:rsidR="000B5F1D" w:rsidRPr="00E95BC4">
        <w:rPr>
          <w:lang w:val="sr-Cyrl-CS"/>
        </w:rPr>
        <w:t xml:space="preserve"> </w:t>
      </w:r>
      <w:r w:rsidR="005818C0">
        <w:rPr>
          <w:lang w:val="sr-Cyrl-CS"/>
        </w:rPr>
        <w:t>vođenje</w:t>
      </w:r>
      <w:r w:rsidR="000B5F1D" w:rsidRPr="00E95BC4">
        <w:rPr>
          <w:lang w:val="sr-Cyrl-CS"/>
        </w:rPr>
        <w:t xml:space="preserve"> </w:t>
      </w:r>
      <w:r w:rsidR="005818C0">
        <w:rPr>
          <w:lang w:val="sr-Cyrl-CS"/>
        </w:rPr>
        <w:t>istraga</w:t>
      </w:r>
      <w:r w:rsidR="000B5F1D" w:rsidRPr="00E95BC4">
        <w:rPr>
          <w:lang w:val="sr-Cyrl-CS"/>
        </w:rPr>
        <w:t xml:space="preserve"> </w:t>
      </w:r>
      <w:r w:rsidR="005818C0">
        <w:rPr>
          <w:lang w:val="sr-Cyrl-CS"/>
        </w:rPr>
        <w:t>i</w:t>
      </w:r>
      <w:r w:rsidR="000B5F1D" w:rsidRPr="00E95BC4">
        <w:rPr>
          <w:lang w:val="sr-Cyrl-CS"/>
        </w:rPr>
        <w:t xml:space="preserve"> </w:t>
      </w:r>
      <w:r w:rsidR="005818C0">
        <w:rPr>
          <w:lang w:val="sr-Cyrl-CS"/>
        </w:rPr>
        <w:t>postupaka</w:t>
      </w:r>
      <w:r w:rsidR="000B5F1D" w:rsidRPr="00E95BC4">
        <w:rPr>
          <w:lang w:val="sr-Cyrl-CS"/>
        </w:rPr>
        <w:t xml:space="preserve"> </w:t>
      </w:r>
      <w:r w:rsidR="005818C0">
        <w:rPr>
          <w:lang w:val="sr-Cyrl-CS"/>
        </w:rPr>
        <w:t>u</w:t>
      </w:r>
      <w:r w:rsidR="000B5F1D" w:rsidRPr="00E95BC4">
        <w:rPr>
          <w:lang w:val="sr-Cyrl-CS"/>
        </w:rPr>
        <w:t xml:space="preserve"> </w:t>
      </w:r>
      <w:r w:rsidR="005818C0">
        <w:rPr>
          <w:lang w:val="sr-Cyrl-CS"/>
        </w:rPr>
        <w:t>vezi</w:t>
      </w:r>
      <w:r w:rsidR="000B5F1D" w:rsidRPr="00E95BC4">
        <w:rPr>
          <w:lang w:val="sr-Cyrl-CS"/>
        </w:rPr>
        <w:t xml:space="preserve"> </w:t>
      </w:r>
      <w:r w:rsidR="005818C0">
        <w:rPr>
          <w:lang w:val="sr-Cyrl-CS"/>
        </w:rPr>
        <w:t>sa</w:t>
      </w:r>
      <w:r w:rsidR="000B5F1D" w:rsidRPr="00E95BC4">
        <w:rPr>
          <w:lang w:val="sr-Cyrl-CS"/>
        </w:rPr>
        <w:t xml:space="preserve"> </w:t>
      </w:r>
      <w:r w:rsidR="005818C0">
        <w:rPr>
          <w:lang w:val="sr-Cyrl-CS"/>
        </w:rPr>
        <w:t>krivičnim</w:t>
      </w:r>
      <w:r w:rsidR="00E459C1" w:rsidRPr="00E95BC4">
        <w:rPr>
          <w:lang w:val="sr-Cyrl-CS"/>
        </w:rPr>
        <w:t xml:space="preserve"> </w:t>
      </w:r>
      <w:r w:rsidR="005818C0">
        <w:rPr>
          <w:lang w:val="sr-Cyrl-CS"/>
        </w:rPr>
        <w:t>delima</w:t>
      </w:r>
      <w:r w:rsidR="00E459C1" w:rsidRPr="00E95BC4">
        <w:rPr>
          <w:lang w:val="sr-Cyrl-CS"/>
        </w:rPr>
        <w:t xml:space="preserve"> </w:t>
      </w:r>
      <w:r w:rsidR="005818C0">
        <w:rPr>
          <w:lang w:val="sr-Cyrl-CS"/>
        </w:rPr>
        <w:t>i</w:t>
      </w:r>
      <w:r w:rsidR="00E459C1" w:rsidRPr="00E95BC4">
        <w:rPr>
          <w:lang w:val="sr-Cyrl-CS"/>
        </w:rPr>
        <w:t xml:space="preserve"> </w:t>
      </w:r>
      <w:r w:rsidR="005818C0">
        <w:rPr>
          <w:lang w:val="sr-Cyrl-CS"/>
        </w:rPr>
        <w:t>aktivnostima</w:t>
      </w:r>
      <w:r w:rsidR="00E459C1" w:rsidRPr="00E95BC4">
        <w:rPr>
          <w:lang w:val="sr-Cyrl-CS"/>
        </w:rPr>
        <w:t xml:space="preserve"> </w:t>
      </w:r>
      <w:r w:rsidR="005818C0">
        <w:rPr>
          <w:lang w:val="sr-Cyrl-CS"/>
        </w:rPr>
        <w:t>pranja</w:t>
      </w:r>
      <w:r w:rsidR="00E459C1" w:rsidRPr="00E95BC4">
        <w:rPr>
          <w:lang w:val="sr-Cyrl-CS"/>
        </w:rPr>
        <w:t xml:space="preserve"> </w:t>
      </w:r>
      <w:r w:rsidR="005818C0">
        <w:rPr>
          <w:lang w:val="sr-Cyrl-CS"/>
        </w:rPr>
        <w:t>novca</w:t>
      </w:r>
      <w:r w:rsidR="00E459C1" w:rsidRPr="00E95BC4">
        <w:rPr>
          <w:lang w:val="sr-Cyrl-CS"/>
        </w:rPr>
        <w:t xml:space="preserve">, </w:t>
      </w:r>
      <w:r w:rsidR="005818C0">
        <w:rPr>
          <w:lang w:val="sr-Cyrl-CS"/>
        </w:rPr>
        <w:t>i</w:t>
      </w:r>
      <w:r w:rsidR="000B5F1D" w:rsidRPr="00E95BC4">
        <w:rPr>
          <w:lang w:val="sr-Cyrl-CS"/>
        </w:rPr>
        <w:t xml:space="preserve"> </w:t>
      </w:r>
      <w:r w:rsidR="005818C0">
        <w:rPr>
          <w:lang w:val="sr-Cyrl-CS"/>
        </w:rPr>
        <w:t>izricanje</w:t>
      </w:r>
      <w:r w:rsidR="000B5F1D" w:rsidRPr="00E95BC4">
        <w:rPr>
          <w:lang w:val="sr-Cyrl-CS"/>
        </w:rPr>
        <w:t xml:space="preserve"> </w:t>
      </w:r>
      <w:r w:rsidR="005818C0">
        <w:rPr>
          <w:lang w:val="sr-Cyrl-CS"/>
        </w:rPr>
        <w:t>delotvornih</w:t>
      </w:r>
      <w:r w:rsidR="000B5F1D" w:rsidRPr="00E95BC4">
        <w:rPr>
          <w:lang w:val="sr-Cyrl-CS"/>
        </w:rPr>
        <w:t xml:space="preserve">, </w:t>
      </w:r>
      <w:r w:rsidR="005818C0">
        <w:rPr>
          <w:lang w:val="sr-Cyrl-CS"/>
        </w:rPr>
        <w:t>srazmernih</w:t>
      </w:r>
      <w:r w:rsidR="000B5F1D" w:rsidRPr="00E95BC4">
        <w:rPr>
          <w:lang w:val="sr-Cyrl-CS"/>
        </w:rPr>
        <w:t xml:space="preserve"> </w:t>
      </w:r>
      <w:r w:rsidR="005818C0">
        <w:rPr>
          <w:lang w:val="sr-Cyrl-CS"/>
        </w:rPr>
        <w:t>i</w:t>
      </w:r>
      <w:r w:rsidR="000B5F1D" w:rsidRPr="00E95BC4">
        <w:rPr>
          <w:lang w:val="sr-Cyrl-CS"/>
        </w:rPr>
        <w:t xml:space="preserve"> </w:t>
      </w:r>
      <w:r w:rsidR="005818C0">
        <w:rPr>
          <w:lang w:val="sr-Cyrl-CS"/>
        </w:rPr>
        <w:t>odvraćajućih</w:t>
      </w:r>
      <w:r w:rsidR="00E459C1" w:rsidRPr="00E95BC4">
        <w:rPr>
          <w:lang w:val="sr-Cyrl-CS"/>
        </w:rPr>
        <w:t xml:space="preserve"> </w:t>
      </w:r>
      <w:r w:rsidR="005818C0">
        <w:rPr>
          <w:lang w:val="sr-Cyrl-CS"/>
        </w:rPr>
        <w:t>sankcija</w:t>
      </w:r>
      <w:r w:rsidR="000B5F1D" w:rsidRPr="00E95BC4">
        <w:rPr>
          <w:lang w:val="sr-Cyrl-CS"/>
        </w:rPr>
        <w:t xml:space="preserve"> </w:t>
      </w:r>
      <w:r w:rsidR="005818C0">
        <w:rPr>
          <w:lang w:val="sr-Cyrl-CS"/>
        </w:rPr>
        <w:t>protiv</w:t>
      </w:r>
      <w:r w:rsidR="000B5F1D" w:rsidRPr="00E95BC4">
        <w:rPr>
          <w:lang w:val="sr-Cyrl-CS"/>
        </w:rPr>
        <w:t xml:space="preserve"> </w:t>
      </w:r>
      <w:r w:rsidR="005818C0">
        <w:rPr>
          <w:lang w:val="sr-Cyrl-CS"/>
        </w:rPr>
        <w:t>počinilaca</w:t>
      </w:r>
      <w:r w:rsidR="000B5F1D" w:rsidRPr="00E95BC4">
        <w:rPr>
          <w:lang w:val="sr-Cyrl-CS"/>
        </w:rPr>
        <w:t xml:space="preserve"> </w:t>
      </w:r>
      <w:r w:rsidR="005818C0">
        <w:rPr>
          <w:lang w:val="sr-Cyrl-CS"/>
        </w:rPr>
        <w:t>kao</w:t>
      </w:r>
      <w:r w:rsidR="000B5F1D" w:rsidRPr="00E95BC4">
        <w:rPr>
          <w:lang w:val="sr-Cyrl-CS"/>
        </w:rPr>
        <w:t xml:space="preserve"> </w:t>
      </w:r>
      <w:r w:rsidR="005818C0">
        <w:rPr>
          <w:lang w:val="sr-Cyrl-CS"/>
        </w:rPr>
        <w:t>i</w:t>
      </w:r>
      <w:r w:rsidR="000B5F1D" w:rsidRPr="00E95BC4">
        <w:rPr>
          <w:lang w:val="sr-Cyrl-CS"/>
        </w:rPr>
        <w:t xml:space="preserve"> </w:t>
      </w:r>
      <w:r w:rsidR="005818C0">
        <w:rPr>
          <w:lang w:val="sr-Cyrl-CS"/>
        </w:rPr>
        <w:t>trajno</w:t>
      </w:r>
      <w:r w:rsidR="000B5F1D" w:rsidRPr="00E95BC4">
        <w:rPr>
          <w:lang w:val="sr-Cyrl-CS"/>
        </w:rPr>
        <w:t xml:space="preserve"> </w:t>
      </w:r>
      <w:r w:rsidR="005818C0">
        <w:rPr>
          <w:lang w:val="sr-Cyrl-CS"/>
        </w:rPr>
        <w:t>oduzimanje</w:t>
      </w:r>
      <w:r w:rsidR="000B5F1D" w:rsidRPr="00E95BC4">
        <w:rPr>
          <w:lang w:val="sr-Cyrl-CS"/>
        </w:rPr>
        <w:t xml:space="preserve"> </w:t>
      </w:r>
      <w:r w:rsidR="005818C0">
        <w:rPr>
          <w:lang w:val="sr-Cyrl-CS"/>
        </w:rPr>
        <w:t>imovine</w:t>
      </w:r>
      <w:r w:rsidR="00E459C1" w:rsidRPr="00E95BC4">
        <w:rPr>
          <w:lang w:val="sr-Cyrl-CS"/>
        </w:rPr>
        <w:t xml:space="preserve">. </w:t>
      </w:r>
    </w:p>
    <w:p w:rsidR="001A655F" w:rsidRPr="00E95BC4" w:rsidRDefault="005818C0" w:rsidP="001A655F">
      <w:pPr>
        <w:ind w:firstLine="720"/>
        <w:jc w:val="both"/>
        <w:rPr>
          <w:lang w:val="sr-Cyrl-CS"/>
        </w:rPr>
      </w:pPr>
      <w:r>
        <w:rPr>
          <w:lang w:val="sr-Cyrl-CS"/>
        </w:rPr>
        <w:t>U</w:t>
      </w:r>
      <w:r w:rsidR="000B5F1D" w:rsidRPr="00E95BC4">
        <w:rPr>
          <w:lang w:val="sr-Cyrl-CS"/>
        </w:rPr>
        <w:t xml:space="preserve"> </w:t>
      </w:r>
      <w:r>
        <w:rPr>
          <w:lang w:val="sr-Cyrl-CS"/>
        </w:rPr>
        <w:t>kontekstu</w:t>
      </w:r>
      <w:r w:rsidR="000B5F1D" w:rsidRPr="00E95BC4">
        <w:rPr>
          <w:lang w:val="sr-Cyrl-CS"/>
        </w:rPr>
        <w:t xml:space="preserve"> </w:t>
      </w:r>
      <w:r>
        <w:rPr>
          <w:lang w:val="sr-Cyrl-CS"/>
        </w:rPr>
        <w:t>Republike</w:t>
      </w:r>
      <w:r w:rsidR="000B5F1D" w:rsidRPr="00E95BC4">
        <w:rPr>
          <w:lang w:val="sr-Cyrl-CS"/>
        </w:rPr>
        <w:t xml:space="preserve"> </w:t>
      </w:r>
      <w:r>
        <w:rPr>
          <w:lang w:val="sr-Cyrl-CS"/>
        </w:rPr>
        <w:t>Srbije</w:t>
      </w:r>
      <w:r w:rsidR="000B5F1D" w:rsidRPr="00E95BC4">
        <w:rPr>
          <w:lang w:val="sr-Cyrl-CS"/>
        </w:rPr>
        <w:t xml:space="preserve">, </w:t>
      </w:r>
      <w:r>
        <w:rPr>
          <w:lang w:val="sr-Cyrl-CS"/>
        </w:rPr>
        <w:t>Manival</w:t>
      </w:r>
      <w:r w:rsidR="001A655F" w:rsidRPr="00E95BC4">
        <w:rPr>
          <w:lang w:val="sr-Cyrl-CS"/>
        </w:rPr>
        <w:t xml:space="preserve"> </w:t>
      </w:r>
      <w:r>
        <w:rPr>
          <w:lang w:val="sr-Cyrl-CS"/>
        </w:rPr>
        <w:t>je</w:t>
      </w:r>
      <w:r w:rsidR="001A655F" w:rsidRPr="00E95BC4">
        <w:rPr>
          <w:lang w:val="sr-Cyrl-CS"/>
        </w:rPr>
        <w:t xml:space="preserve"> 2016. </w:t>
      </w:r>
      <w:r>
        <w:rPr>
          <w:lang w:val="sr-Cyrl-CS"/>
        </w:rPr>
        <w:t>godine</w:t>
      </w:r>
      <w:r w:rsidR="001A655F" w:rsidRPr="00E95BC4">
        <w:rPr>
          <w:lang w:val="sr-Cyrl-CS"/>
        </w:rPr>
        <w:t xml:space="preserve"> </w:t>
      </w:r>
      <w:r>
        <w:rPr>
          <w:lang w:val="sr-Cyrl-CS"/>
        </w:rPr>
        <w:t>izdvojio</w:t>
      </w:r>
      <w:r w:rsidR="001A655F" w:rsidRPr="00E95BC4">
        <w:rPr>
          <w:lang w:val="sr-Cyrl-CS"/>
        </w:rPr>
        <w:t xml:space="preserve"> </w:t>
      </w:r>
      <w:r>
        <w:rPr>
          <w:lang w:val="sr-Cyrl-CS"/>
        </w:rPr>
        <w:t>probleme</w:t>
      </w:r>
      <w:r w:rsidR="001A655F" w:rsidRPr="00E95BC4">
        <w:rPr>
          <w:lang w:val="sr-Cyrl-CS"/>
        </w:rPr>
        <w:t xml:space="preserve"> </w:t>
      </w:r>
      <w:r>
        <w:rPr>
          <w:lang w:val="sr-Cyrl-CS"/>
        </w:rPr>
        <w:t>vođenja</w:t>
      </w:r>
      <w:r w:rsidR="000B5F1D" w:rsidRPr="00E95BC4">
        <w:rPr>
          <w:lang w:val="sr-Cyrl-CS"/>
        </w:rPr>
        <w:t xml:space="preserve"> </w:t>
      </w:r>
      <w:r>
        <w:rPr>
          <w:lang w:val="sr-Cyrl-CS"/>
        </w:rPr>
        <w:t>postupaka</w:t>
      </w:r>
      <w:r w:rsidR="000B5F1D" w:rsidRPr="00E95BC4">
        <w:rPr>
          <w:lang w:val="sr-Cyrl-CS"/>
        </w:rPr>
        <w:t xml:space="preserve"> </w:t>
      </w:r>
      <w:r>
        <w:rPr>
          <w:lang w:val="sr-Cyrl-CS"/>
        </w:rPr>
        <w:t>za</w:t>
      </w:r>
      <w:r w:rsidR="000B5F1D" w:rsidRPr="00E95BC4">
        <w:rPr>
          <w:lang w:val="sr-Cyrl-CS"/>
        </w:rPr>
        <w:t xml:space="preserve"> </w:t>
      </w:r>
      <w:r>
        <w:rPr>
          <w:lang w:val="sr-Cyrl-CS"/>
        </w:rPr>
        <w:t>pranje</w:t>
      </w:r>
      <w:r w:rsidR="000B5F1D" w:rsidRPr="00E95BC4">
        <w:rPr>
          <w:lang w:val="sr-Cyrl-CS"/>
        </w:rPr>
        <w:t xml:space="preserve"> </w:t>
      </w:r>
      <w:r>
        <w:rPr>
          <w:lang w:val="sr-Cyrl-CS"/>
        </w:rPr>
        <w:t>novca</w:t>
      </w:r>
      <w:r w:rsidR="000B5F1D" w:rsidRPr="00E95BC4">
        <w:rPr>
          <w:lang w:val="sr-Cyrl-CS"/>
        </w:rPr>
        <w:t xml:space="preserve"> </w:t>
      </w:r>
      <w:r>
        <w:rPr>
          <w:lang w:val="sr-Cyrl-CS"/>
        </w:rPr>
        <w:t>za</w:t>
      </w:r>
      <w:r w:rsidR="000B5F1D" w:rsidRPr="00E95BC4">
        <w:rPr>
          <w:lang w:val="sr-Cyrl-CS"/>
        </w:rPr>
        <w:t xml:space="preserve"> </w:t>
      </w:r>
      <w:r>
        <w:rPr>
          <w:lang w:val="sr-Cyrl-CS"/>
        </w:rPr>
        <w:t>treća</w:t>
      </w:r>
      <w:r w:rsidR="000B5F1D" w:rsidRPr="00E95BC4">
        <w:rPr>
          <w:lang w:val="sr-Cyrl-CS"/>
        </w:rPr>
        <w:t xml:space="preserve"> </w:t>
      </w:r>
      <w:r>
        <w:rPr>
          <w:lang w:val="sr-Cyrl-CS"/>
        </w:rPr>
        <w:t>lica</w:t>
      </w:r>
      <w:r w:rsidR="000B5F1D" w:rsidRPr="00E95BC4">
        <w:rPr>
          <w:lang w:val="sr-Cyrl-CS"/>
        </w:rPr>
        <w:t xml:space="preserve"> (</w:t>
      </w:r>
      <w:r>
        <w:rPr>
          <w:lang w:val="sr-Cyrl-CS"/>
        </w:rPr>
        <w:t>profesionalno</w:t>
      </w:r>
      <w:r w:rsidR="000B5F1D" w:rsidRPr="00E95BC4">
        <w:rPr>
          <w:lang w:val="sr-Cyrl-CS"/>
        </w:rPr>
        <w:t xml:space="preserve"> </w:t>
      </w:r>
      <w:r>
        <w:rPr>
          <w:lang w:val="sr-Cyrl-CS"/>
        </w:rPr>
        <w:t>pranje</w:t>
      </w:r>
      <w:r w:rsidR="000B5F1D" w:rsidRPr="00E95BC4">
        <w:rPr>
          <w:lang w:val="sr-Cyrl-CS"/>
        </w:rPr>
        <w:t xml:space="preserve"> </w:t>
      </w:r>
      <w:r>
        <w:rPr>
          <w:lang w:val="sr-Cyrl-CS"/>
        </w:rPr>
        <w:t>novca</w:t>
      </w:r>
      <w:r w:rsidR="000B5F1D" w:rsidRPr="00E95BC4">
        <w:rPr>
          <w:lang w:val="sr-Cyrl-CS"/>
        </w:rPr>
        <w:t xml:space="preserve">) </w:t>
      </w:r>
      <w:r>
        <w:rPr>
          <w:lang w:val="sr-Cyrl-CS"/>
        </w:rPr>
        <w:t>i</w:t>
      </w:r>
      <w:r w:rsidR="000B5F1D" w:rsidRPr="00E95BC4">
        <w:rPr>
          <w:lang w:val="sr-Cyrl-CS"/>
        </w:rPr>
        <w:t xml:space="preserve"> </w:t>
      </w:r>
      <w:r>
        <w:rPr>
          <w:lang w:val="sr-Cyrl-CS"/>
        </w:rPr>
        <w:t>za</w:t>
      </w:r>
      <w:r w:rsidR="000B5F1D" w:rsidRPr="00E95BC4">
        <w:rPr>
          <w:lang w:val="sr-Cyrl-CS"/>
        </w:rPr>
        <w:t xml:space="preserve"> </w:t>
      </w:r>
      <w:r>
        <w:rPr>
          <w:lang w:val="sr-Cyrl-CS"/>
        </w:rPr>
        <w:t>tzv</w:t>
      </w:r>
      <w:r w:rsidR="000B5F1D" w:rsidRPr="00E95BC4">
        <w:rPr>
          <w:lang w:val="sr-Cyrl-CS"/>
        </w:rPr>
        <w:t xml:space="preserve">. </w:t>
      </w:r>
      <w:r>
        <w:rPr>
          <w:lang w:val="sr-Cyrl-CS"/>
        </w:rPr>
        <w:t>samostalno</w:t>
      </w:r>
      <w:r w:rsidR="000B5F1D" w:rsidRPr="00E95BC4">
        <w:rPr>
          <w:lang w:val="sr-Cyrl-CS"/>
        </w:rPr>
        <w:t xml:space="preserve"> </w:t>
      </w:r>
      <w:r>
        <w:rPr>
          <w:lang w:val="sr-Cyrl-CS"/>
        </w:rPr>
        <w:t>pranje</w:t>
      </w:r>
      <w:r w:rsidR="000B5F1D" w:rsidRPr="00E95BC4">
        <w:rPr>
          <w:lang w:val="sr-Cyrl-CS"/>
        </w:rPr>
        <w:t xml:space="preserve"> </w:t>
      </w:r>
      <w:r>
        <w:rPr>
          <w:lang w:val="sr-Cyrl-CS"/>
        </w:rPr>
        <w:t>novca</w:t>
      </w:r>
      <w:r w:rsidR="000B5F1D" w:rsidRPr="00E95BC4">
        <w:rPr>
          <w:lang w:val="sr-Cyrl-CS"/>
        </w:rPr>
        <w:t xml:space="preserve"> (</w:t>
      </w:r>
      <w:r>
        <w:rPr>
          <w:lang w:val="sr-Cyrl-CS"/>
        </w:rPr>
        <w:t>engl</w:t>
      </w:r>
      <w:r w:rsidR="00B769C5" w:rsidRPr="00E95BC4">
        <w:rPr>
          <w:lang w:val="sr-Cyrl-CS"/>
        </w:rPr>
        <w:t xml:space="preserve">. </w:t>
      </w:r>
      <w:r w:rsidR="000B5F1D" w:rsidRPr="00E95BC4">
        <w:rPr>
          <w:i/>
          <w:lang w:val="sr-Cyrl-CS"/>
        </w:rPr>
        <w:t>stand-alone</w:t>
      </w:r>
      <w:r w:rsidR="000B5F1D" w:rsidRPr="00E95BC4">
        <w:rPr>
          <w:lang w:val="sr-Cyrl-CS"/>
        </w:rPr>
        <w:t xml:space="preserve">). </w:t>
      </w:r>
    </w:p>
    <w:p w:rsidR="007606A2" w:rsidRPr="00E95BC4" w:rsidRDefault="005818C0" w:rsidP="007606A2">
      <w:pPr>
        <w:ind w:firstLine="720"/>
        <w:jc w:val="both"/>
        <w:rPr>
          <w:lang w:val="sr-Cyrl-CS"/>
        </w:rPr>
      </w:pPr>
      <w:r>
        <w:rPr>
          <w:lang w:val="sr-Cyrl-CS"/>
        </w:rPr>
        <w:t>Od</w:t>
      </w:r>
      <w:r w:rsidR="001A655F" w:rsidRPr="00E95BC4">
        <w:rPr>
          <w:lang w:val="sr-Cyrl-CS"/>
        </w:rPr>
        <w:t xml:space="preserve"> </w:t>
      </w:r>
      <w:r>
        <w:rPr>
          <w:lang w:val="sr-Cyrl-CS"/>
        </w:rPr>
        <w:t>tada</w:t>
      </w:r>
      <w:r w:rsidR="001A655F" w:rsidRPr="00E95BC4">
        <w:rPr>
          <w:lang w:val="sr-Cyrl-CS"/>
        </w:rPr>
        <w:t xml:space="preserve">, </w:t>
      </w:r>
      <w:r>
        <w:rPr>
          <w:lang w:val="sr-Cyrl-CS"/>
        </w:rPr>
        <w:t>Republičko</w:t>
      </w:r>
      <w:r w:rsidR="000B5F1D" w:rsidRPr="00E95BC4">
        <w:rPr>
          <w:lang w:val="sr-Cyrl-CS"/>
        </w:rPr>
        <w:t xml:space="preserve"> </w:t>
      </w:r>
      <w:r>
        <w:rPr>
          <w:lang w:val="sr-Cyrl-CS"/>
        </w:rPr>
        <w:t>javno</w:t>
      </w:r>
      <w:r w:rsidR="000B5F1D" w:rsidRPr="00E95BC4">
        <w:rPr>
          <w:lang w:val="sr-Cyrl-CS"/>
        </w:rPr>
        <w:t xml:space="preserve"> </w:t>
      </w:r>
      <w:r>
        <w:rPr>
          <w:lang w:val="sr-Cyrl-CS"/>
        </w:rPr>
        <w:t>tužilaštvo</w:t>
      </w:r>
      <w:r w:rsidR="000B5F1D" w:rsidRPr="00E95BC4">
        <w:rPr>
          <w:lang w:val="sr-Cyrl-CS"/>
        </w:rPr>
        <w:t xml:space="preserve"> </w:t>
      </w:r>
      <w:r>
        <w:rPr>
          <w:lang w:val="sr-Cyrl-CS"/>
        </w:rPr>
        <w:t>je</w:t>
      </w:r>
      <w:r w:rsidR="000B5F1D" w:rsidRPr="00E95BC4">
        <w:rPr>
          <w:lang w:val="sr-Cyrl-CS"/>
        </w:rPr>
        <w:t xml:space="preserve"> </w:t>
      </w:r>
      <w:r>
        <w:rPr>
          <w:lang w:val="sr-Cyrl-CS"/>
        </w:rPr>
        <w:t>izdalo</w:t>
      </w:r>
      <w:r w:rsidR="000B5F1D" w:rsidRPr="00E95BC4">
        <w:rPr>
          <w:lang w:val="sr-Cyrl-CS"/>
        </w:rPr>
        <w:t xml:space="preserve"> </w:t>
      </w:r>
      <w:r>
        <w:rPr>
          <w:lang w:val="sr-Cyrl-CS"/>
        </w:rPr>
        <w:t>više</w:t>
      </w:r>
      <w:r w:rsidR="000B5F1D" w:rsidRPr="00E95BC4">
        <w:rPr>
          <w:lang w:val="sr-Cyrl-CS"/>
        </w:rPr>
        <w:t xml:space="preserve"> </w:t>
      </w:r>
      <w:r>
        <w:rPr>
          <w:lang w:val="sr-Cyrl-CS"/>
        </w:rPr>
        <w:t>obavezujućih</w:t>
      </w:r>
      <w:r w:rsidR="000B5F1D" w:rsidRPr="00E95BC4">
        <w:rPr>
          <w:lang w:val="sr-Cyrl-CS"/>
        </w:rPr>
        <w:t xml:space="preserve"> </w:t>
      </w:r>
      <w:r>
        <w:rPr>
          <w:lang w:val="sr-Cyrl-CS"/>
        </w:rPr>
        <w:t>uputstava</w:t>
      </w:r>
      <w:r w:rsidR="000B5F1D" w:rsidRPr="00E95BC4">
        <w:rPr>
          <w:lang w:val="sr-Cyrl-CS"/>
        </w:rPr>
        <w:t xml:space="preserve"> </w:t>
      </w:r>
      <w:r>
        <w:rPr>
          <w:lang w:val="sr-Cyrl-CS"/>
        </w:rPr>
        <w:t>kojima</w:t>
      </w:r>
      <w:r w:rsidR="000B5F1D" w:rsidRPr="00E95BC4">
        <w:rPr>
          <w:lang w:val="sr-Cyrl-CS"/>
        </w:rPr>
        <w:t xml:space="preserve"> </w:t>
      </w:r>
      <w:r>
        <w:rPr>
          <w:lang w:val="sr-Cyrl-CS"/>
        </w:rPr>
        <w:t>se</w:t>
      </w:r>
      <w:r w:rsidR="000B5F1D" w:rsidRPr="00E95BC4">
        <w:rPr>
          <w:lang w:val="sr-Cyrl-CS"/>
        </w:rPr>
        <w:t xml:space="preserve"> </w:t>
      </w:r>
      <w:r>
        <w:rPr>
          <w:lang w:val="sr-Cyrl-CS"/>
        </w:rPr>
        <w:t>unapređuje</w:t>
      </w:r>
      <w:r w:rsidR="000B5F1D" w:rsidRPr="00E95BC4">
        <w:rPr>
          <w:lang w:val="sr-Cyrl-CS"/>
        </w:rPr>
        <w:t xml:space="preserve"> </w:t>
      </w:r>
      <w:r>
        <w:rPr>
          <w:lang w:val="sr-Cyrl-CS"/>
        </w:rPr>
        <w:t>politika</w:t>
      </w:r>
      <w:r w:rsidR="00806E9B" w:rsidRPr="00E95BC4">
        <w:rPr>
          <w:lang w:val="sr-Cyrl-CS"/>
        </w:rPr>
        <w:t xml:space="preserve"> </w:t>
      </w:r>
      <w:r>
        <w:rPr>
          <w:lang w:val="sr-Cyrl-CS"/>
        </w:rPr>
        <w:t>u</w:t>
      </w:r>
      <w:r w:rsidR="00806E9B" w:rsidRPr="00E95BC4">
        <w:rPr>
          <w:lang w:val="sr-Cyrl-CS"/>
        </w:rPr>
        <w:t xml:space="preserve"> </w:t>
      </w:r>
      <w:r>
        <w:rPr>
          <w:lang w:val="sr-Cyrl-CS"/>
        </w:rPr>
        <w:t>ovoj</w:t>
      </w:r>
      <w:r w:rsidR="00806E9B" w:rsidRPr="00E95BC4">
        <w:rPr>
          <w:lang w:val="sr-Cyrl-CS"/>
        </w:rPr>
        <w:t xml:space="preserve"> </w:t>
      </w:r>
      <w:r>
        <w:rPr>
          <w:lang w:val="sr-Cyrl-CS"/>
        </w:rPr>
        <w:t>oblasti</w:t>
      </w:r>
      <w:r w:rsidR="007606A2" w:rsidRPr="00E95BC4">
        <w:rPr>
          <w:lang w:val="sr-Cyrl-CS"/>
        </w:rPr>
        <w:t xml:space="preserve">. </w:t>
      </w:r>
      <w:r>
        <w:rPr>
          <w:lang w:val="sr-Cyrl-CS"/>
        </w:rPr>
        <w:t>Naime</w:t>
      </w:r>
      <w:r w:rsidR="007606A2" w:rsidRPr="00E95BC4">
        <w:rPr>
          <w:lang w:val="sr-Cyrl-CS"/>
        </w:rPr>
        <w:t xml:space="preserve">, </w:t>
      </w:r>
      <w:r>
        <w:rPr>
          <w:lang w:val="sr-Cyrl-CS"/>
        </w:rPr>
        <w:t>Republički</w:t>
      </w:r>
      <w:r w:rsidR="007606A2" w:rsidRPr="00E95BC4">
        <w:rPr>
          <w:lang w:val="sr-Cyrl-CS"/>
        </w:rPr>
        <w:t xml:space="preserve"> </w:t>
      </w:r>
      <w:r>
        <w:rPr>
          <w:lang w:val="sr-Cyrl-CS"/>
        </w:rPr>
        <w:t>javni</w:t>
      </w:r>
      <w:r w:rsidR="007606A2" w:rsidRPr="00E95BC4">
        <w:rPr>
          <w:lang w:val="sr-Cyrl-CS"/>
        </w:rPr>
        <w:t xml:space="preserve"> </w:t>
      </w:r>
      <w:r>
        <w:rPr>
          <w:lang w:val="sr-Cyrl-CS"/>
        </w:rPr>
        <w:t>tužilac</w:t>
      </w:r>
      <w:r w:rsidR="007606A2" w:rsidRPr="00E95BC4">
        <w:rPr>
          <w:lang w:val="sr-Cyrl-CS"/>
        </w:rPr>
        <w:t xml:space="preserve"> </w:t>
      </w:r>
      <w:r>
        <w:rPr>
          <w:lang w:val="sr-Cyrl-CS"/>
        </w:rPr>
        <w:t>je</w:t>
      </w:r>
      <w:r w:rsidR="007606A2" w:rsidRPr="00E95BC4">
        <w:rPr>
          <w:lang w:val="sr-Cyrl-CS"/>
        </w:rPr>
        <w:t xml:space="preserve"> 20. </w:t>
      </w:r>
      <w:r>
        <w:rPr>
          <w:lang w:val="sr-Cyrl-CS"/>
        </w:rPr>
        <w:t>septembra</w:t>
      </w:r>
      <w:r w:rsidR="007606A2" w:rsidRPr="00E95BC4">
        <w:rPr>
          <w:lang w:val="sr-Cyrl-CS"/>
        </w:rPr>
        <w:t xml:space="preserve"> 2017. </w:t>
      </w:r>
      <w:r>
        <w:rPr>
          <w:lang w:val="sr-Cyrl-CS"/>
        </w:rPr>
        <w:t>godine</w:t>
      </w:r>
      <w:r w:rsidR="007606A2" w:rsidRPr="00E95BC4">
        <w:rPr>
          <w:lang w:val="sr-Cyrl-CS"/>
        </w:rPr>
        <w:t xml:space="preserve"> </w:t>
      </w:r>
      <w:r>
        <w:rPr>
          <w:lang w:val="sr-Cyrl-CS"/>
        </w:rPr>
        <w:t>izdao</w:t>
      </w:r>
      <w:r w:rsidR="007606A2" w:rsidRPr="00E95BC4">
        <w:rPr>
          <w:lang w:val="sr-Cyrl-CS"/>
        </w:rPr>
        <w:t xml:space="preserve"> </w:t>
      </w:r>
      <w:r>
        <w:rPr>
          <w:i/>
          <w:lang w:val="sr-Cyrl-CS"/>
        </w:rPr>
        <w:t>Opšte</w:t>
      </w:r>
      <w:r w:rsidR="007606A2" w:rsidRPr="00E95BC4">
        <w:rPr>
          <w:i/>
          <w:lang w:val="sr-Cyrl-CS"/>
        </w:rPr>
        <w:t xml:space="preserve"> </w:t>
      </w:r>
      <w:r>
        <w:rPr>
          <w:i/>
          <w:lang w:val="sr-Cyrl-CS"/>
        </w:rPr>
        <w:t>obavezno</w:t>
      </w:r>
      <w:r w:rsidR="007606A2" w:rsidRPr="00E95BC4">
        <w:rPr>
          <w:i/>
          <w:lang w:val="sr-Cyrl-CS"/>
        </w:rPr>
        <w:t xml:space="preserve"> </w:t>
      </w:r>
      <w:r>
        <w:rPr>
          <w:i/>
          <w:lang w:val="sr-Cyrl-CS"/>
        </w:rPr>
        <w:t>uputstvo</w:t>
      </w:r>
      <w:r w:rsidR="007606A2" w:rsidRPr="00E95BC4">
        <w:rPr>
          <w:i/>
          <w:lang w:val="sr-Cyrl-CS"/>
        </w:rPr>
        <w:t xml:space="preserve"> </w:t>
      </w:r>
      <w:r>
        <w:rPr>
          <w:i/>
          <w:lang w:val="sr-Cyrl-CS"/>
        </w:rPr>
        <w:t>o</w:t>
      </w:r>
      <w:r w:rsidR="007606A2" w:rsidRPr="00E95BC4">
        <w:rPr>
          <w:i/>
          <w:lang w:val="sr-Cyrl-CS"/>
        </w:rPr>
        <w:t xml:space="preserve"> </w:t>
      </w:r>
      <w:r>
        <w:rPr>
          <w:i/>
          <w:lang w:val="sr-Cyrl-CS"/>
        </w:rPr>
        <w:t>korišćenju</w:t>
      </w:r>
      <w:r w:rsidR="007606A2" w:rsidRPr="00E95BC4">
        <w:rPr>
          <w:i/>
          <w:lang w:val="sr-Cyrl-CS"/>
        </w:rPr>
        <w:t xml:space="preserve"> </w:t>
      </w:r>
      <w:r>
        <w:rPr>
          <w:i/>
          <w:lang w:val="sr-Cyrl-CS"/>
        </w:rPr>
        <w:t>finansijsko</w:t>
      </w:r>
      <w:r w:rsidR="007606A2" w:rsidRPr="00E95BC4">
        <w:rPr>
          <w:i/>
          <w:lang w:val="sr-Cyrl-CS"/>
        </w:rPr>
        <w:t>-</w:t>
      </w:r>
      <w:r>
        <w:rPr>
          <w:i/>
          <w:lang w:val="sr-Cyrl-CS"/>
        </w:rPr>
        <w:t>obaveštajnih</w:t>
      </w:r>
      <w:r w:rsidR="007606A2" w:rsidRPr="00E95BC4">
        <w:rPr>
          <w:i/>
          <w:lang w:val="sr-Cyrl-CS"/>
        </w:rPr>
        <w:t xml:space="preserve"> </w:t>
      </w:r>
      <w:r>
        <w:rPr>
          <w:i/>
          <w:lang w:val="sr-Cyrl-CS"/>
        </w:rPr>
        <w:t>podataka</w:t>
      </w:r>
      <w:r w:rsidR="007606A2" w:rsidRPr="00E95BC4">
        <w:rPr>
          <w:i/>
          <w:lang w:val="sr-Cyrl-CS"/>
        </w:rPr>
        <w:t xml:space="preserve"> </w:t>
      </w:r>
      <w:r>
        <w:rPr>
          <w:i/>
          <w:lang w:val="sr-Cyrl-CS"/>
        </w:rPr>
        <w:t>za</w:t>
      </w:r>
      <w:r w:rsidR="007606A2" w:rsidRPr="00E95BC4">
        <w:rPr>
          <w:i/>
          <w:lang w:val="sr-Cyrl-CS"/>
        </w:rPr>
        <w:t xml:space="preserve"> </w:t>
      </w:r>
      <w:r>
        <w:rPr>
          <w:i/>
          <w:lang w:val="sr-Cyrl-CS"/>
        </w:rPr>
        <w:t>pokretanje</w:t>
      </w:r>
      <w:r w:rsidR="007606A2" w:rsidRPr="00E95BC4">
        <w:rPr>
          <w:i/>
          <w:lang w:val="sr-Cyrl-CS"/>
        </w:rPr>
        <w:t xml:space="preserve"> </w:t>
      </w:r>
      <w:r>
        <w:rPr>
          <w:i/>
          <w:lang w:val="sr-Cyrl-CS"/>
        </w:rPr>
        <w:lastRenderedPageBreak/>
        <w:t>postupka</w:t>
      </w:r>
      <w:r w:rsidR="007606A2" w:rsidRPr="00E95BC4">
        <w:rPr>
          <w:i/>
          <w:lang w:val="sr-Cyrl-CS"/>
        </w:rPr>
        <w:t xml:space="preserve"> </w:t>
      </w:r>
      <w:r>
        <w:rPr>
          <w:i/>
          <w:lang w:val="sr-Cyrl-CS"/>
        </w:rPr>
        <w:t>zbog</w:t>
      </w:r>
      <w:r w:rsidR="007606A2" w:rsidRPr="00E95BC4">
        <w:rPr>
          <w:i/>
          <w:lang w:val="sr-Cyrl-CS"/>
        </w:rPr>
        <w:t xml:space="preserve"> </w:t>
      </w:r>
      <w:r>
        <w:rPr>
          <w:i/>
          <w:lang w:val="sr-Cyrl-CS"/>
        </w:rPr>
        <w:t>krivičnog</w:t>
      </w:r>
      <w:r w:rsidR="007606A2" w:rsidRPr="00E95BC4">
        <w:rPr>
          <w:i/>
          <w:lang w:val="sr-Cyrl-CS"/>
        </w:rPr>
        <w:t xml:space="preserve"> </w:t>
      </w:r>
      <w:r>
        <w:rPr>
          <w:i/>
          <w:lang w:val="sr-Cyrl-CS"/>
        </w:rPr>
        <w:t>dela</w:t>
      </w:r>
      <w:r w:rsidR="007606A2" w:rsidRPr="00E95BC4">
        <w:rPr>
          <w:i/>
          <w:lang w:val="sr-Cyrl-CS"/>
        </w:rPr>
        <w:t xml:space="preserve"> </w:t>
      </w:r>
      <w:r>
        <w:rPr>
          <w:i/>
          <w:lang w:val="sr-Cyrl-CS"/>
        </w:rPr>
        <w:t>pranje</w:t>
      </w:r>
      <w:r w:rsidR="007606A2" w:rsidRPr="00E95BC4">
        <w:rPr>
          <w:i/>
          <w:lang w:val="sr-Cyrl-CS"/>
        </w:rPr>
        <w:t xml:space="preserve"> </w:t>
      </w:r>
      <w:r>
        <w:rPr>
          <w:i/>
          <w:lang w:val="sr-Cyrl-CS"/>
        </w:rPr>
        <w:t>novca</w:t>
      </w:r>
      <w:r w:rsidR="007606A2" w:rsidRPr="00E95BC4">
        <w:rPr>
          <w:i/>
          <w:lang w:val="sr-Cyrl-CS"/>
        </w:rPr>
        <w:t xml:space="preserve"> </w:t>
      </w:r>
      <w:r>
        <w:rPr>
          <w:i/>
          <w:lang w:val="sr-Cyrl-CS"/>
        </w:rPr>
        <w:t>i</w:t>
      </w:r>
      <w:r w:rsidR="007606A2" w:rsidRPr="00E95BC4">
        <w:rPr>
          <w:i/>
          <w:lang w:val="sr-Cyrl-CS"/>
        </w:rPr>
        <w:t xml:space="preserve"> </w:t>
      </w:r>
      <w:r>
        <w:rPr>
          <w:i/>
          <w:lang w:val="sr-Cyrl-CS"/>
        </w:rPr>
        <w:t>finansiranje</w:t>
      </w:r>
      <w:r w:rsidR="007606A2" w:rsidRPr="00E95BC4">
        <w:rPr>
          <w:i/>
          <w:lang w:val="sr-Cyrl-CS"/>
        </w:rPr>
        <w:t xml:space="preserve"> </w:t>
      </w:r>
      <w:r>
        <w:rPr>
          <w:i/>
          <w:lang w:val="sr-Cyrl-CS"/>
        </w:rPr>
        <w:t>terorizma</w:t>
      </w:r>
      <w:r w:rsidR="007606A2" w:rsidRPr="00E95BC4">
        <w:rPr>
          <w:lang w:val="sr-Cyrl-CS"/>
        </w:rPr>
        <w:t xml:space="preserve"> </w:t>
      </w:r>
      <w:r>
        <w:rPr>
          <w:lang w:val="sr-Cyrl-CS"/>
        </w:rPr>
        <w:t>A</w:t>
      </w:r>
      <w:r w:rsidR="007606A2" w:rsidRPr="00E95BC4">
        <w:rPr>
          <w:lang w:val="sr-Cyrl-CS"/>
        </w:rPr>
        <w:t xml:space="preserve"> </w:t>
      </w:r>
      <w:r>
        <w:rPr>
          <w:lang w:val="sr-Cyrl-CS"/>
        </w:rPr>
        <w:t>broj</w:t>
      </w:r>
      <w:r w:rsidR="007606A2" w:rsidRPr="00E95BC4">
        <w:rPr>
          <w:lang w:val="sr-Cyrl-CS"/>
        </w:rPr>
        <w:t xml:space="preserve"> 688/17 </w:t>
      </w:r>
      <w:r>
        <w:rPr>
          <w:lang w:val="sr-Cyrl-CS"/>
        </w:rPr>
        <w:t>kojim</w:t>
      </w:r>
      <w:r w:rsidR="007606A2" w:rsidRPr="00E95BC4">
        <w:rPr>
          <w:lang w:val="sr-Cyrl-CS"/>
        </w:rPr>
        <w:t xml:space="preserve"> </w:t>
      </w:r>
      <w:r>
        <w:rPr>
          <w:lang w:val="sr-Cyrl-CS"/>
        </w:rPr>
        <w:t>je</w:t>
      </w:r>
      <w:r w:rsidR="007606A2" w:rsidRPr="00E95BC4">
        <w:rPr>
          <w:lang w:val="sr-Cyrl-CS"/>
        </w:rPr>
        <w:t xml:space="preserve"> </w:t>
      </w:r>
      <w:r>
        <w:rPr>
          <w:lang w:val="sr-Cyrl-CS"/>
        </w:rPr>
        <w:t>obavezao</w:t>
      </w:r>
      <w:r w:rsidR="007606A2" w:rsidRPr="00E95BC4">
        <w:rPr>
          <w:lang w:val="sr-Cyrl-CS"/>
        </w:rPr>
        <w:t xml:space="preserve"> </w:t>
      </w:r>
      <w:r>
        <w:rPr>
          <w:lang w:val="sr-Cyrl-CS"/>
        </w:rPr>
        <w:t>sva</w:t>
      </w:r>
      <w:r w:rsidR="007606A2" w:rsidRPr="00E95BC4">
        <w:rPr>
          <w:lang w:val="sr-Cyrl-CS"/>
        </w:rPr>
        <w:t xml:space="preserve"> </w:t>
      </w:r>
      <w:r>
        <w:rPr>
          <w:lang w:val="sr-Cyrl-CS"/>
        </w:rPr>
        <w:t>nadležna</w:t>
      </w:r>
      <w:r w:rsidR="007606A2" w:rsidRPr="00E95BC4">
        <w:rPr>
          <w:lang w:val="sr-Cyrl-CS"/>
        </w:rPr>
        <w:t xml:space="preserve"> </w:t>
      </w:r>
      <w:r>
        <w:rPr>
          <w:lang w:val="sr-Cyrl-CS"/>
        </w:rPr>
        <w:t>tužilaštva</w:t>
      </w:r>
      <w:r w:rsidR="007606A2" w:rsidRPr="00E95BC4">
        <w:rPr>
          <w:lang w:val="sr-Cyrl-CS"/>
        </w:rPr>
        <w:t xml:space="preserve"> </w:t>
      </w:r>
      <w:r>
        <w:rPr>
          <w:lang w:val="sr-Cyrl-CS"/>
        </w:rPr>
        <w:t>da</w:t>
      </w:r>
      <w:r w:rsidR="007606A2" w:rsidRPr="00E95BC4">
        <w:rPr>
          <w:lang w:val="sr-Cyrl-CS"/>
        </w:rPr>
        <w:t xml:space="preserve"> </w:t>
      </w:r>
      <w:r>
        <w:rPr>
          <w:lang w:val="sr-Cyrl-CS"/>
        </w:rPr>
        <w:t>povodom</w:t>
      </w:r>
      <w:r w:rsidR="007606A2" w:rsidRPr="00E95BC4">
        <w:rPr>
          <w:lang w:val="sr-Cyrl-CS"/>
        </w:rPr>
        <w:t xml:space="preserve"> </w:t>
      </w:r>
      <w:r>
        <w:rPr>
          <w:lang w:val="sr-Cyrl-CS"/>
        </w:rPr>
        <w:t>informacija</w:t>
      </w:r>
      <w:r w:rsidR="007606A2" w:rsidRPr="00E95BC4">
        <w:rPr>
          <w:lang w:val="sr-Cyrl-CS"/>
        </w:rPr>
        <w:t xml:space="preserve"> </w:t>
      </w:r>
      <w:r>
        <w:rPr>
          <w:lang w:val="sr-Cyrl-CS"/>
        </w:rPr>
        <w:t>Uprave</w:t>
      </w:r>
      <w:r w:rsidR="007606A2" w:rsidRPr="00E95BC4">
        <w:rPr>
          <w:lang w:val="sr-Cyrl-CS"/>
        </w:rPr>
        <w:t xml:space="preserve"> </w:t>
      </w:r>
      <w:r>
        <w:rPr>
          <w:lang w:val="sr-Cyrl-CS"/>
        </w:rPr>
        <w:t>za</w:t>
      </w:r>
      <w:r w:rsidR="007606A2" w:rsidRPr="00E95BC4">
        <w:rPr>
          <w:lang w:val="sr-Cyrl-CS"/>
        </w:rPr>
        <w:t xml:space="preserve"> </w:t>
      </w:r>
      <w:r>
        <w:rPr>
          <w:lang w:val="sr-Cyrl-CS"/>
        </w:rPr>
        <w:t>sprečavanje</w:t>
      </w:r>
      <w:r w:rsidR="007606A2" w:rsidRPr="00E95BC4">
        <w:rPr>
          <w:lang w:val="sr-Cyrl-CS"/>
        </w:rPr>
        <w:t xml:space="preserve"> </w:t>
      </w:r>
      <w:r>
        <w:rPr>
          <w:lang w:val="sr-Cyrl-CS"/>
        </w:rPr>
        <w:t>pranja</w:t>
      </w:r>
      <w:r w:rsidR="007606A2" w:rsidRPr="00E95BC4">
        <w:rPr>
          <w:lang w:val="sr-Cyrl-CS"/>
        </w:rPr>
        <w:t xml:space="preserve"> </w:t>
      </w:r>
      <w:r>
        <w:rPr>
          <w:lang w:val="sr-Cyrl-CS"/>
        </w:rPr>
        <w:t>novca</w:t>
      </w:r>
      <w:r w:rsidR="007606A2" w:rsidRPr="00E95BC4">
        <w:rPr>
          <w:lang w:val="sr-Cyrl-CS"/>
        </w:rPr>
        <w:t xml:space="preserve"> </w:t>
      </w:r>
      <w:r>
        <w:rPr>
          <w:lang w:val="sr-Cyrl-CS"/>
        </w:rPr>
        <w:t>o</w:t>
      </w:r>
      <w:r w:rsidR="007606A2" w:rsidRPr="00E95BC4">
        <w:rPr>
          <w:lang w:val="sr-Cyrl-CS"/>
        </w:rPr>
        <w:t xml:space="preserve"> </w:t>
      </w:r>
      <w:r>
        <w:rPr>
          <w:lang w:val="sr-Cyrl-CS"/>
        </w:rPr>
        <w:t>transakcijama</w:t>
      </w:r>
      <w:r w:rsidR="007606A2" w:rsidRPr="00E95BC4">
        <w:rPr>
          <w:lang w:val="sr-Cyrl-CS"/>
        </w:rPr>
        <w:t xml:space="preserve"> </w:t>
      </w:r>
      <w:r>
        <w:rPr>
          <w:lang w:val="sr-Cyrl-CS"/>
        </w:rPr>
        <w:t>i</w:t>
      </w:r>
      <w:r w:rsidR="007606A2" w:rsidRPr="00E95BC4">
        <w:rPr>
          <w:lang w:val="sr-Cyrl-CS"/>
        </w:rPr>
        <w:t xml:space="preserve"> </w:t>
      </w:r>
      <w:r>
        <w:rPr>
          <w:lang w:val="sr-Cyrl-CS"/>
        </w:rPr>
        <w:t>licima</w:t>
      </w:r>
      <w:r w:rsidR="007606A2" w:rsidRPr="00E95BC4">
        <w:rPr>
          <w:lang w:val="sr-Cyrl-CS"/>
        </w:rPr>
        <w:t xml:space="preserve"> </w:t>
      </w:r>
      <w:r>
        <w:rPr>
          <w:lang w:val="sr-Cyrl-CS"/>
        </w:rPr>
        <w:t>za</w:t>
      </w:r>
      <w:r w:rsidR="007606A2" w:rsidRPr="00E95BC4">
        <w:rPr>
          <w:lang w:val="sr-Cyrl-CS"/>
        </w:rPr>
        <w:t xml:space="preserve"> </w:t>
      </w:r>
      <w:r>
        <w:rPr>
          <w:lang w:val="sr-Cyrl-CS"/>
        </w:rPr>
        <w:t>koja</w:t>
      </w:r>
      <w:r w:rsidR="007606A2" w:rsidRPr="00E95BC4">
        <w:rPr>
          <w:lang w:val="sr-Cyrl-CS"/>
        </w:rPr>
        <w:t xml:space="preserve"> </w:t>
      </w:r>
      <w:r>
        <w:rPr>
          <w:lang w:val="sr-Cyrl-CS"/>
        </w:rPr>
        <w:t>postoji</w:t>
      </w:r>
      <w:r w:rsidR="007606A2" w:rsidRPr="00E95BC4">
        <w:rPr>
          <w:lang w:val="sr-Cyrl-CS"/>
        </w:rPr>
        <w:t xml:space="preserve"> </w:t>
      </w:r>
      <w:r>
        <w:rPr>
          <w:lang w:val="sr-Cyrl-CS"/>
        </w:rPr>
        <w:t>sumnja</w:t>
      </w:r>
      <w:r w:rsidR="007606A2" w:rsidRPr="00E95BC4">
        <w:rPr>
          <w:lang w:val="sr-Cyrl-CS"/>
        </w:rPr>
        <w:t xml:space="preserve"> </w:t>
      </w:r>
      <w:r>
        <w:rPr>
          <w:lang w:val="sr-Cyrl-CS"/>
        </w:rPr>
        <w:t>da</w:t>
      </w:r>
      <w:r w:rsidR="007606A2" w:rsidRPr="00E95BC4">
        <w:rPr>
          <w:lang w:val="sr-Cyrl-CS"/>
        </w:rPr>
        <w:t xml:space="preserve"> </w:t>
      </w:r>
      <w:r>
        <w:rPr>
          <w:lang w:val="sr-Cyrl-CS"/>
        </w:rPr>
        <w:t>su</w:t>
      </w:r>
      <w:r w:rsidR="007606A2" w:rsidRPr="00E95BC4">
        <w:rPr>
          <w:lang w:val="sr-Cyrl-CS"/>
        </w:rPr>
        <w:t xml:space="preserve"> </w:t>
      </w:r>
      <w:r>
        <w:rPr>
          <w:lang w:val="sr-Cyrl-CS"/>
        </w:rPr>
        <w:t>povezane</w:t>
      </w:r>
      <w:r w:rsidR="007606A2" w:rsidRPr="00E95BC4">
        <w:rPr>
          <w:lang w:val="sr-Cyrl-CS"/>
        </w:rPr>
        <w:t xml:space="preserve"> </w:t>
      </w:r>
      <w:r>
        <w:rPr>
          <w:lang w:val="sr-Cyrl-CS"/>
        </w:rPr>
        <w:t>sa</w:t>
      </w:r>
      <w:r w:rsidR="007606A2" w:rsidRPr="00E95BC4">
        <w:rPr>
          <w:lang w:val="sr-Cyrl-CS"/>
        </w:rPr>
        <w:t xml:space="preserve"> </w:t>
      </w:r>
      <w:r>
        <w:rPr>
          <w:lang w:val="sr-Cyrl-CS"/>
        </w:rPr>
        <w:t>pranjem</w:t>
      </w:r>
      <w:r w:rsidR="007606A2" w:rsidRPr="00E95BC4">
        <w:rPr>
          <w:lang w:val="sr-Cyrl-CS"/>
        </w:rPr>
        <w:t xml:space="preserve"> </w:t>
      </w:r>
      <w:r>
        <w:rPr>
          <w:lang w:val="sr-Cyrl-CS"/>
        </w:rPr>
        <w:t>novca</w:t>
      </w:r>
      <w:r w:rsidR="007606A2" w:rsidRPr="00E95BC4">
        <w:rPr>
          <w:lang w:val="sr-Cyrl-CS"/>
        </w:rPr>
        <w:t xml:space="preserve"> </w:t>
      </w:r>
      <w:r>
        <w:rPr>
          <w:lang w:val="sr-Cyrl-CS"/>
        </w:rPr>
        <w:t>ili</w:t>
      </w:r>
      <w:r w:rsidR="007606A2" w:rsidRPr="00E95BC4">
        <w:rPr>
          <w:lang w:val="sr-Cyrl-CS"/>
        </w:rPr>
        <w:t xml:space="preserve"> </w:t>
      </w:r>
      <w:r>
        <w:rPr>
          <w:lang w:val="sr-Cyrl-CS"/>
        </w:rPr>
        <w:t>kada</w:t>
      </w:r>
      <w:r w:rsidR="007606A2" w:rsidRPr="00E95BC4">
        <w:rPr>
          <w:lang w:val="sr-Cyrl-CS"/>
        </w:rPr>
        <w:t xml:space="preserve"> </w:t>
      </w:r>
      <w:r>
        <w:rPr>
          <w:lang w:val="sr-Cyrl-CS"/>
        </w:rPr>
        <w:t>na</w:t>
      </w:r>
      <w:r w:rsidR="007606A2" w:rsidRPr="00E95BC4">
        <w:rPr>
          <w:lang w:val="sr-Cyrl-CS"/>
        </w:rPr>
        <w:t xml:space="preserve"> </w:t>
      </w:r>
      <w:r>
        <w:rPr>
          <w:lang w:val="sr-Cyrl-CS"/>
        </w:rPr>
        <w:t>drugi</w:t>
      </w:r>
      <w:r w:rsidR="007606A2" w:rsidRPr="00E95BC4">
        <w:rPr>
          <w:lang w:val="sr-Cyrl-CS"/>
        </w:rPr>
        <w:t xml:space="preserve"> </w:t>
      </w:r>
      <w:r>
        <w:rPr>
          <w:lang w:val="sr-Cyrl-CS"/>
        </w:rPr>
        <w:t>način</w:t>
      </w:r>
      <w:r w:rsidR="007606A2" w:rsidRPr="00E95BC4">
        <w:rPr>
          <w:lang w:val="sr-Cyrl-CS"/>
        </w:rPr>
        <w:t xml:space="preserve"> </w:t>
      </w:r>
      <w:r>
        <w:rPr>
          <w:lang w:val="sr-Cyrl-CS"/>
        </w:rPr>
        <w:t>dođu</w:t>
      </w:r>
      <w:r w:rsidR="007606A2" w:rsidRPr="00E95BC4">
        <w:rPr>
          <w:lang w:val="sr-Cyrl-CS"/>
        </w:rPr>
        <w:t xml:space="preserve"> </w:t>
      </w:r>
      <w:r>
        <w:rPr>
          <w:lang w:val="sr-Cyrl-CS"/>
        </w:rPr>
        <w:t>do</w:t>
      </w:r>
      <w:r w:rsidR="007606A2" w:rsidRPr="00E95BC4">
        <w:rPr>
          <w:lang w:val="sr-Cyrl-CS"/>
        </w:rPr>
        <w:t xml:space="preserve"> </w:t>
      </w:r>
      <w:r>
        <w:rPr>
          <w:lang w:val="sr-Cyrl-CS"/>
        </w:rPr>
        <w:t>podataka</w:t>
      </w:r>
      <w:r w:rsidR="007606A2" w:rsidRPr="00E95BC4">
        <w:rPr>
          <w:lang w:val="sr-Cyrl-CS"/>
        </w:rPr>
        <w:t xml:space="preserve"> </w:t>
      </w:r>
      <w:r>
        <w:rPr>
          <w:lang w:val="sr-Cyrl-CS"/>
        </w:rPr>
        <w:t>o</w:t>
      </w:r>
      <w:r w:rsidR="007606A2" w:rsidRPr="00E95BC4">
        <w:rPr>
          <w:lang w:val="sr-Cyrl-CS"/>
        </w:rPr>
        <w:t xml:space="preserve"> </w:t>
      </w:r>
      <w:r>
        <w:rPr>
          <w:lang w:val="sr-Cyrl-CS"/>
        </w:rPr>
        <w:t>sumnji</w:t>
      </w:r>
      <w:r w:rsidR="007606A2" w:rsidRPr="00E95BC4">
        <w:rPr>
          <w:lang w:val="sr-Cyrl-CS"/>
        </w:rPr>
        <w:t xml:space="preserve"> </w:t>
      </w:r>
      <w:r>
        <w:rPr>
          <w:lang w:val="sr-Cyrl-CS"/>
        </w:rPr>
        <w:t>da</w:t>
      </w:r>
      <w:r w:rsidR="007606A2" w:rsidRPr="00E95BC4">
        <w:rPr>
          <w:lang w:val="sr-Cyrl-CS"/>
        </w:rPr>
        <w:t xml:space="preserve"> </w:t>
      </w:r>
      <w:r>
        <w:rPr>
          <w:lang w:val="sr-Cyrl-CS"/>
        </w:rPr>
        <w:t>se</w:t>
      </w:r>
      <w:r w:rsidR="007606A2" w:rsidRPr="00E95BC4">
        <w:rPr>
          <w:lang w:val="sr-Cyrl-CS"/>
        </w:rPr>
        <w:t xml:space="preserve"> </w:t>
      </w:r>
      <w:r>
        <w:rPr>
          <w:lang w:val="sr-Cyrl-CS"/>
        </w:rPr>
        <w:t>priprema</w:t>
      </w:r>
      <w:r w:rsidR="007606A2" w:rsidRPr="00E95BC4">
        <w:rPr>
          <w:lang w:val="sr-Cyrl-CS"/>
        </w:rPr>
        <w:t xml:space="preserve"> </w:t>
      </w:r>
      <w:r>
        <w:rPr>
          <w:lang w:val="sr-Cyrl-CS"/>
        </w:rPr>
        <w:t>ili</w:t>
      </w:r>
      <w:r w:rsidR="007606A2" w:rsidRPr="00E95BC4">
        <w:rPr>
          <w:lang w:val="sr-Cyrl-CS"/>
        </w:rPr>
        <w:t xml:space="preserve"> </w:t>
      </w:r>
      <w:r>
        <w:rPr>
          <w:lang w:val="sr-Cyrl-CS"/>
        </w:rPr>
        <w:t>je</w:t>
      </w:r>
      <w:r w:rsidR="007606A2" w:rsidRPr="00E95BC4">
        <w:rPr>
          <w:lang w:val="sr-Cyrl-CS"/>
        </w:rPr>
        <w:t xml:space="preserve"> </w:t>
      </w:r>
      <w:r>
        <w:rPr>
          <w:lang w:val="sr-Cyrl-CS"/>
        </w:rPr>
        <w:t>učinjeno</w:t>
      </w:r>
      <w:r w:rsidR="007606A2" w:rsidRPr="00E95BC4">
        <w:rPr>
          <w:lang w:val="sr-Cyrl-CS"/>
        </w:rPr>
        <w:t xml:space="preserve"> </w:t>
      </w:r>
      <w:r>
        <w:rPr>
          <w:lang w:val="sr-Cyrl-CS"/>
        </w:rPr>
        <w:t>krivično</w:t>
      </w:r>
      <w:r w:rsidR="007606A2" w:rsidRPr="00E95BC4">
        <w:rPr>
          <w:lang w:val="sr-Cyrl-CS"/>
        </w:rPr>
        <w:t xml:space="preserve"> </w:t>
      </w:r>
      <w:r>
        <w:rPr>
          <w:lang w:val="sr-Cyrl-CS"/>
        </w:rPr>
        <w:t>delo</w:t>
      </w:r>
      <w:r w:rsidR="007606A2" w:rsidRPr="00E95BC4">
        <w:rPr>
          <w:lang w:val="sr-Cyrl-CS"/>
        </w:rPr>
        <w:t xml:space="preserve"> </w:t>
      </w:r>
      <w:r>
        <w:rPr>
          <w:lang w:val="sr-Cyrl-CS"/>
        </w:rPr>
        <w:t>pranje</w:t>
      </w:r>
      <w:r w:rsidR="007606A2" w:rsidRPr="00E95BC4">
        <w:rPr>
          <w:lang w:val="sr-Cyrl-CS"/>
        </w:rPr>
        <w:t xml:space="preserve"> </w:t>
      </w:r>
      <w:r>
        <w:rPr>
          <w:lang w:val="sr-Cyrl-CS"/>
        </w:rPr>
        <w:t>novca</w:t>
      </w:r>
      <w:r w:rsidR="007606A2" w:rsidRPr="00E95BC4">
        <w:rPr>
          <w:lang w:val="sr-Cyrl-CS"/>
        </w:rPr>
        <w:t xml:space="preserve"> </w:t>
      </w:r>
      <w:r>
        <w:rPr>
          <w:lang w:val="sr-Cyrl-CS"/>
        </w:rPr>
        <w:t>ili</w:t>
      </w:r>
      <w:r w:rsidR="007606A2" w:rsidRPr="00E95BC4">
        <w:rPr>
          <w:lang w:val="sr-Cyrl-CS"/>
        </w:rPr>
        <w:t xml:space="preserve"> </w:t>
      </w:r>
      <w:r>
        <w:rPr>
          <w:lang w:val="sr-Cyrl-CS"/>
        </w:rPr>
        <w:t>finansiranje</w:t>
      </w:r>
      <w:r w:rsidR="007606A2" w:rsidRPr="00E95BC4">
        <w:rPr>
          <w:lang w:val="sr-Cyrl-CS"/>
        </w:rPr>
        <w:t xml:space="preserve"> </w:t>
      </w:r>
      <w:r>
        <w:rPr>
          <w:lang w:val="sr-Cyrl-CS"/>
        </w:rPr>
        <w:t>terorizma</w:t>
      </w:r>
      <w:r w:rsidR="007606A2" w:rsidRPr="00E95BC4">
        <w:rPr>
          <w:lang w:val="sr-Cyrl-CS"/>
        </w:rPr>
        <w:t xml:space="preserve">, </w:t>
      </w:r>
      <w:r>
        <w:rPr>
          <w:lang w:val="sr-Cyrl-CS"/>
        </w:rPr>
        <w:t>proaktivno</w:t>
      </w:r>
      <w:r w:rsidR="007606A2" w:rsidRPr="00E95BC4">
        <w:rPr>
          <w:lang w:val="sr-Cyrl-CS"/>
        </w:rPr>
        <w:t xml:space="preserve"> </w:t>
      </w:r>
      <w:r>
        <w:rPr>
          <w:lang w:val="sr-Cyrl-CS"/>
        </w:rPr>
        <w:t>postupaju</w:t>
      </w:r>
      <w:r w:rsidR="007606A2" w:rsidRPr="00E95BC4">
        <w:rPr>
          <w:lang w:val="sr-Cyrl-CS"/>
        </w:rPr>
        <w:t xml:space="preserve"> </w:t>
      </w:r>
      <w:r>
        <w:rPr>
          <w:lang w:val="sr-Cyrl-CS"/>
        </w:rPr>
        <w:t>i</w:t>
      </w:r>
      <w:r w:rsidR="007606A2" w:rsidRPr="00E95BC4">
        <w:rPr>
          <w:lang w:val="sr-Cyrl-CS"/>
        </w:rPr>
        <w:t xml:space="preserve"> </w:t>
      </w:r>
      <w:r>
        <w:rPr>
          <w:lang w:val="sr-Cyrl-CS"/>
        </w:rPr>
        <w:t>da</w:t>
      </w:r>
      <w:r w:rsidR="007606A2" w:rsidRPr="00E95BC4">
        <w:rPr>
          <w:lang w:val="sr-Cyrl-CS"/>
        </w:rPr>
        <w:t xml:space="preserve"> </w:t>
      </w:r>
      <w:r>
        <w:rPr>
          <w:lang w:val="sr-Cyrl-CS"/>
        </w:rPr>
        <w:t>su</w:t>
      </w:r>
      <w:r w:rsidR="007606A2" w:rsidRPr="00E95BC4">
        <w:rPr>
          <w:lang w:val="sr-Cyrl-CS"/>
        </w:rPr>
        <w:t xml:space="preserve"> </w:t>
      </w:r>
      <w:r>
        <w:rPr>
          <w:lang w:val="sr-Cyrl-CS"/>
        </w:rPr>
        <w:t>u</w:t>
      </w:r>
      <w:r w:rsidR="007606A2" w:rsidRPr="00E95BC4">
        <w:rPr>
          <w:lang w:val="sr-Cyrl-CS"/>
        </w:rPr>
        <w:t xml:space="preserve"> </w:t>
      </w:r>
      <w:r>
        <w:rPr>
          <w:lang w:val="sr-Cyrl-CS"/>
        </w:rPr>
        <w:t>obavezi</w:t>
      </w:r>
      <w:r w:rsidR="007606A2" w:rsidRPr="00E95BC4">
        <w:rPr>
          <w:lang w:val="sr-Cyrl-CS"/>
        </w:rPr>
        <w:t xml:space="preserve"> </w:t>
      </w:r>
      <w:r>
        <w:rPr>
          <w:lang w:val="sr-Cyrl-CS"/>
        </w:rPr>
        <w:t>da</w:t>
      </w:r>
      <w:r w:rsidR="007606A2" w:rsidRPr="00E95BC4">
        <w:rPr>
          <w:lang w:val="sr-Cyrl-CS"/>
        </w:rPr>
        <w:t xml:space="preserve"> </w:t>
      </w:r>
      <w:r>
        <w:rPr>
          <w:lang w:val="sr-Cyrl-CS"/>
        </w:rPr>
        <w:t>pokrenu</w:t>
      </w:r>
      <w:r w:rsidR="007606A2" w:rsidRPr="00E95BC4">
        <w:rPr>
          <w:lang w:val="sr-Cyrl-CS"/>
        </w:rPr>
        <w:t xml:space="preserve"> </w:t>
      </w:r>
      <w:r>
        <w:rPr>
          <w:lang w:val="sr-Cyrl-CS"/>
        </w:rPr>
        <w:t>predistražni</w:t>
      </w:r>
      <w:r w:rsidR="007606A2" w:rsidRPr="00E95BC4">
        <w:rPr>
          <w:lang w:val="sr-Cyrl-CS"/>
        </w:rPr>
        <w:t xml:space="preserve"> </w:t>
      </w:r>
      <w:r>
        <w:rPr>
          <w:lang w:val="sr-Cyrl-CS"/>
        </w:rPr>
        <w:t>postupak</w:t>
      </w:r>
      <w:r w:rsidR="007606A2" w:rsidRPr="00E95BC4">
        <w:rPr>
          <w:lang w:val="sr-Cyrl-CS"/>
        </w:rPr>
        <w:t xml:space="preserve"> </w:t>
      </w:r>
      <w:r>
        <w:rPr>
          <w:lang w:val="sr-Cyrl-CS"/>
        </w:rPr>
        <w:t>za</w:t>
      </w:r>
      <w:r w:rsidR="007606A2" w:rsidRPr="00E95BC4">
        <w:rPr>
          <w:lang w:val="sr-Cyrl-CS"/>
        </w:rPr>
        <w:t xml:space="preserve"> </w:t>
      </w:r>
      <w:r>
        <w:rPr>
          <w:lang w:val="sr-Cyrl-CS"/>
        </w:rPr>
        <w:t>pranje</w:t>
      </w:r>
      <w:r w:rsidR="007606A2" w:rsidRPr="00E95BC4">
        <w:rPr>
          <w:lang w:val="sr-Cyrl-CS"/>
        </w:rPr>
        <w:t xml:space="preserve"> </w:t>
      </w:r>
      <w:r>
        <w:rPr>
          <w:lang w:val="sr-Cyrl-CS"/>
        </w:rPr>
        <w:t>novca</w:t>
      </w:r>
      <w:r w:rsidR="007606A2" w:rsidRPr="00E95BC4">
        <w:rPr>
          <w:lang w:val="sr-Cyrl-CS"/>
        </w:rPr>
        <w:t xml:space="preserve"> </w:t>
      </w:r>
      <w:r>
        <w:rPr>
          <w:lang w:val="sr-Cyrl-CS"/>
        </w:rPr>
        <w:t>bez</w:t>
      </w:r>
      <w:r w:rsidR="007606A2" w:rsidRPr="00E95BC4">
        <w:rPr>
          <w:lang w:val="sr-Cyrl-CS"/>
        </w:rPr>
        <w:t xml:space="preserve"> </w:t>
      </w:r>
      <w:r>
        <w:rPr>
          <w:lang w:val="sr-Cyrl-CS"/>
        </w:rPr>
        <w:t>obzira</w:t>
      </w:r>
      <w:r w:rsidR="007606A2" w:rsidRPr="00E95BC4">
        <w:rPr>
          <w:lang w:val="sr-Cyrl-CS"/>
        </w:rPr>
        <w:t xml:space="preserve"> </w:t>
      </w:r>
      <w:r>
        <w:rPr>
          <w:lang w:val="sr-Cyrl-CS"/>
        </w:rPr>
        <w:t>na</w:t>
      </w:r>
      <w:r w:rsidR="007606A2" w:rsidRPr="00E95BC4">
        <w:rPr>
          <w:lang w:val="sr-Cyrl-CS"/>
        </w:rPr>
        <w:t xml:space="preserve"> </w:t>
      </w:r>
      <w:r>
        <w:rPr>
          <w:lang w:val="sr-Cyrl-CS"/>
        </w:rPr>
        <w:t>to</w:t>
      </w:r>
      <w:r w:rsidR="007606A2" w:rsidRPr="00E95BC4">
        <w:rPr>
          <w:lang w:val="sr-Cyrl-CS"/>
        </w:rPr>
        <w:t xml:space="preserve"> </w:t>
      </w:r>
      <w:r>
        <w:rPr>
          <w:lang w:val="sr-Cyrl-CS"/>
        </w:rPr>
        <w:t>da</w:t>
      </w:r>
      <w:r w:rsidR="007606A2" w:rsidRPr="00E95BC4">
        <w:rPr>
          <w:lang w:val="sr-Cyrl-CS"/>
        </w:rPr>
        <w:t xml:space="preserve"> </w:t>
      </w:r>
      <w:r>
        <w:rPr>
          <w:lang w:val="sr-Cyrl-CS"/>
        </w:rPr>
        <w:t>li</w:t>
      </w:r>
      <w:r w:rsidR="007606A2" w:rsidRPr="00E95BC4">
        <w:rPr>
          <w:lang w:val="sr-Cyrl-CS"/>
        </w:rPr>
        <w:t xml:space="preserve"> </w:t>
      </w:r>
      <w:r>
        <w:rPr>
          <w:lang w:val="sr-Cyrl-CS"/>
        </w:rPr>
        <w:t>se</w:t>
      </w:r>
      <w:r w:rsidR="007606A2" w:rsidRPr="00E95BC4">
        <w:rPr>
          <w:lang w:val="sr-Cyrl-CS"/>
        </w:rPr>
        <w:t xml:space="preserve"> </w:t>
      </w:r>
      <w:r>
        <w:rPr>
          <w:lang w:val="sr-Cyrl-CS"/>
        </w:rPr>
        <w:t>raspolaže</w:t>
      </w:r>
      <w:r w:rsidR="007606A2" w:rsidRPr="00E95BC4">
        <w:rPr>
          <w:lang w:val="sr-Cyrl-CS"/>
        </w:rPr>
        <w:t xml:space="preserve"> </w:t>
      </w:r>
      <w:r>
        <w:rPr>
          <w:lang w:val="sr-Cyrl-CS"/>
        </w:rPr>
        <w:t>podacima</w:t>
      </w:r>
      <w:r w:rsidR="007606A2" w:rsidRPr="00E95BC4">
        <w:rPr>
          <w:lang w:val="sr-Cyrl-CS"/>
        </w:rPr>
        <w:t xml:space="preserve"> </w:t>
      </w:r>
      <w:r>
        <w:rPr>
          <w:lang w:val="sr-Cyrl-CS"/>
        </w:rPr>
        <w:t>o</w:t>
      </w:r>
      <w:r w:rsidR="007606A2" w:rsidRPr="00E95BC4">
        <w:rPr>
          <w:lang w:val="sr-Cyrl-CS"/>
        </w:rPr>
        <w:t xml:space="preserve"> </w:t>
      </w:r>
      <w:r>
        <w:rPr>
          <w:lang w:val="sr-Cyrl-CS"/>
        </w:rPr>
        <w:t>predikatnom</w:t>
      </w:r>
      <w:r w:rsidR="007606A2" w:rsidRPr="00E95BC4">
        <w:rPr>
          <w:lang w:val="sr-Cyrl-CS"/>
        </w:rPr>
        <w:t xml:space="preserve"> </w:t>
      </w:r>
      <w:r>
        <w:rPr>
          <w:lang w:val="sr-Cyrl-CS"/>
        </w:rPr>
        <w:t>krivičnom</w:t>
      </w:r>
      <w:r w:rsidR="007606A2" w:rsidRPr="00E95BC4">
        <w:rPr>
          <w:lang w:val="sr-Cyrl-CS"/>
        </w:rPr>
        <w:t xml:space="preserve"> </w:t>
      </w:r>
      <w:r>
        <w:rPr>
          <w:lang w:val="sr-Cyrl-CS"/>
        </w:rPr>
        <w:t>delu</w:t>
      </w:r>
      <w:r w:rsidR="007606A2" w:rsidRPr="00E95BC4">
        <w:rPr>
          <w:lang w:val="sr-Cyrl-CS"/>
        </w:rPr>
        <w:t xml:space="preserve">. </w:t>
      </w:r>
      <w:r>
        <w:rPr>
          <w:lang w:val="sr-Cyrl-CS"/>
        </w:rPr>
        <w:t>U</w:t>
      </w:r>
      <w:r w:rsidR="007606A2" w:rsidRPr="00E95BC4">
        <w:rPr>
          <w:lang w:val="sr-Cyrl-CS"/>
        </w:rPr>
        <w:t xml:space="preserve"> </w:t>
      </w:r>
      <w:r>
        <w:rPr>
          <w:lang w:val="sr-Cyrl-CS"/>
        </w:rPr>
        <w:t>toku</w:t>
      </w:r>
      <w:r w:rsidR="007606A2" w:rsidRPr="00E95BC4">
        <w:rPr>
          <w:lang w:val="sr-Cyrl-CS"/>
        </w:rPr>
        <w:t xml:space="preserve"> 2018. </w:t>
      </w:r>
      <w:bookmarkStart w:id="4" w:name="_GoBack"/>
      <w:bookmarkEnd w:id="4"/>
      <w:r>
        <w:rPr>
          <w:lang w:val="sr-Cyrl-CS"/>
        </w:rPr>
        <w:t>i</w:t>
      </w:r>
      <w:r w:rsidR="007606A2" w:rsidRPr="00E95BC4">
        <w:rPr>
          <w:lang w:val="sr-Cyrl-CS"/>
        </w:rPr>
        <w:t xml:space="preserve"> 2019. </w:t>
      </w:r>
      <w:r>
        <w:rPr>
          <w:lang w:val="sr-Cyrl-CS"/>
        </w:rPr>
        <w:t>godine</w:t>
      </w:r>
      <w:r w:rsidR="007606A2" w:rsidRPr="00E95BC4">
        <w:rPr>
          <w:lang w:val="sr-Cyrl-CS"/>
        </w:rPr>
        <w:t xml:space="preserve"> </w:t>
      </w:r>
      <w:r>
        <w:rPr>
          <w:lang w:val="sr-Cyrl-CS"/>
        </w:rPr>
        <w:t>javni</w:t>
      </w:r>
      <w:r w:rsidR="007606A2" w:rsidRPr="00E95BC4">
        <w:rPr>
          <w:lang w:val="sr-Cyrl-CS"/>
        </w:rPr>
        <w:t xml:space="preserve"> </w:t>
      </w:r>
      <w:r>
        <w:rPr>
          <w:lang w:val="sr-Cyrl-CS"/>
        </w:rPr>
        <w:t>tužioci</w:t>
      </w:r>
      <w:r w:rsidR="007606A2" w:rsidRPr="00E95BC4">
        <w:rPr>
          <w:lang w:val="sr-Cyrl-CS"/>
        </w:rPr>
        <w:t xml:space="preserve">, </w:t>
      </w:r>
      <w:r>
        <w:rPr>
          <w:lang w:val="sr-Cyrl-CS"/>
        </w:rPr>
        <w:t>sudije</w:t>
      </w:r>
      <w:r w:rsidR="007606A2" w:rsidRPr="00E95BC4">
        <w:rPr>
          <w:lang w:val="sr-Cyrl-CS"/>
        </w:rPr>
        <w:t xml:space="preserve">, </w:t>
      </w:r>
      <w:r>
        <w:rPr>
          <w:lang w:val="sr-Cyrl-CS"/>
        </w:rPr>
        <w:t>policijski</w:t>
      </w:r>
      <w:r w:rsidR="007606A2" w:rsidRPr="00E95BC4">
        <w:rPr>
          <w:lang w:val="sr-Cyrl-CS"/>
        </w:rPr>
        <w:t xml:space="preserve"> </w:t>
      </w:r>
      <w:r>
        <w:rPr>
          <w:lang w:val="sr-Cyrl-CS"/>
        </w:rPr>
        <w:t>službenici</w:t>
      </w:r>
      <w:r w:rsidR="007606A2" w:rsidRPr="00E95BC4">
        <w:rPr>
          <w:lang w:val="sr-Cyrl-CS"/>
        </w:rPr>
        <w:t xml:space="preserve">, </w:t>
      </w:r>
      <w:r>
        <w:rPr>
          <w:lang w:val="sr-Cyrl-CS"/>
        </w:rPr>
        <w:t>državni</w:t>
      </w:r>
      <w:r w:rsidR="007606A2" w:rsidRPr="00E95BC4">
        <w:rPr>
          <w:lang w:val="sr-Cyrl-CS"/>
        </w:rPr>
        <w:t xml:space="preserve"> </w:t>
      </w:r>
      <w:r>
        <w:rPr>
          <w:lang w:val="sr-Cyrl-CS"/>
        </w:rPr>
        <w:t>službenici</w:t>
      </w:r>
      <w:r w:rsidR="007606A2" w:rsidRPr="00E95BC4">
        <w:rPr>
          <w:lang w:val="sr-Cyrl-CS"/>
        </w:rPr>
        <w:t xml:space="preserve"> </w:t>
      </w:r>
      <w:r>
        <w:rPr>
          <w:lang w:val="sr-Cyrl-CS"/>
        </w:rPr>
        <w:t>iz</w:t>
      </w:r>
      <w:r w:rsidR="007606A2" w:rsidRPr="00E95BC4">
        <w:rPr>
          <w:lang w:val="sr-Cyrl-CS"/>
        </w:rPr>
        <w:t xml:space="preserve"> </w:t>
      </w:r>
      <w:r>
        <w:rPr>
          <w:lang w:val="sr-Cyrl-CS"/>
        </w:rPr>
        <w:t>Uprave</w:t>
      </w:r>
      <w:r w:rsidR="007606A2" w:rsidRPr="00E95BC4">
        <w:rPr>
          <w:lang w:val="sr-Cyrl-CS"/>
        </w:rPr>
        <w:t xml:space="preserve"> </w:t>
      </w:r>
      <w:r>
        <w:rPr>
          <w:lang w:val="sr-Cyrl-CS"/>
        </w:rPr>
        <w:t>za</w:t>
      </w:r>
      <w:r w:rsidR="007606A2" w:rsidRPr="00E95BC4">
        <w:rPr>
          <w:lang w:val="sr-Cyrl-CS"/>
        </w:rPr>
        <w:t xml:space="preserve"> </w:t>
      </w:r>
      <w:r>
        <w:rPr>
          <w:lang w:val="sr-Cyrl-CS"/>
        </w:rPr>
        <w:t>sprečavanje</w:t>
      </w:r>
      <w:r w:rsidR="007606A2" w:rsidRPr="00E95BC4">
        <w:rPr>
          <w:lang w:val="sr-Cyrl-CS"/>
        </w:rPr>
        <w:t xml:space="preserve"> </w:t>
      </w:r>
      <w:r>
        <w:rPr>
          <w:lang w:val="sr-Cyrl-CS"/>
        </w:rPr>
        <w:t>pranja</w:t>
      </w:r>
      <w:r w:rsidR="007606A2" w:rsidRPr="00E95BC4">
        <w:rPr>
          <w:lang w:val="sr-Cyrl-CS"/>
        </w:rPr>
        <w:t xml:space="preserve"> </w:t>
      </w:r>
      <w:r>
        <w:rPr>
          <w:lang w:val="sr-Cyrl-CS"/>
        </w:rPr>
        <w:t>novca</w:t>
      </w:r>
      <w:r w:rsidR="007606A2" w:rsidRPr="00E95BC4">
        <w:rPr>
          <w:lang w:val="sr-Cyrl-CS"/>
        </w:rPr>
        <w:t xml:space="preserve">, </w:t>
      </w:r>
      <w:r>
        <w:rPr>
          <w:lang w:val="sr-Cyrl-CS"/>
        </w:rPr>
        <w:t>Poreske</w:t>
      </w:r>
      <w:r w:rsidR="007606A2" w:rsidRPr="00E95BC4">
        <w:rPr>
          <w:lang w:val="sr-Cyrl-CS"/>
        </w:rPr>
        <w:t xml:space="preserve"> </w:t>
      </w:r>
      <w:r>
        <w:rPr>
          <w:lang w:val="sr-Cyrl-CS"/>
        </w:rPr>
        <w:t>policije</w:t>
      </w:r>
      <w:r w:rsidR="007606A2" w:rsidRPr="00E95BC4">
        <w:rPr>
          <w:lang w:val="sr-Cyrl-CS"/>
        </w:rPr>
        <w:t xml:space="preserve">, </w:t>
      </w:r>
      <w:r>
        <w:rPr>
          <w:lang w:val="sr-Cyrl-CS"/>
        </w:rPr>
        <w:t>Uprave</w:t>
      </w:r>
      <w:r w:rsidR="007606A2" w:rsidRPr="00E95BC4">
        <w:rPr>
          <w:lang w:val="sr-Cyrl-CS"/>
        </w:rPr>
        <w:t xml:space="preserve"> </w:t>
      </w:r>
      <w:r>
        <w:rPr>
          <w:lang w:val="sr-Cyrl-CS"/>
        </w:rPr>
        <w:t>za</w:t>
      </w:r>
      <w:r w:rsidR="007606A2" w:rsidRPr="00E95BC4">
        <w:rPr>
          <w:lang w:val="sr-Cyrl-CS"/>
        </w:rPr>
        <w:t xml:space="preserve"> </w:t>
      </w:r>
      <w:r>
        <w:rPr>
          <w:lang w:val="sr-Cyrl-CS"/>
        </w:rPr>
        <w:t>javne</w:t>
      </w:r>
      <w:r w:rsidR="007606A2" w:rsidRPr="00E95BC4">
        <w:rPr>
          <w:lang w:val="sr-Cyrl-CS"/>
        </w:rPr>
        <w:t xml:space="preserve"> </w:t>
      </w:r>
      <w:r>
        <w:rPr>
          <w:lang w:val="sr-Cyrl-CS"/>
        </w:rPr>
        <w:t>nabavke</w:t>
      </w:r>
      <w:r w:rsidR="007606A2" w:rsidRPr="00E95BC4">
        <w:rPr>
          <w:lang w:val="sr-Cyrl-CS"/>
        </w:rPr>
        <w:t xml:space="preserve"> </w:t>
      </w:r>
      <w:r>
        <w:rPr>
          <w:lang w:val="sr-Cyrl-CS"/>
        </w:rPr>
        <w:t>i</w:t>
      </w:r>
      <w:r w:rsidR="007606A2" w:rsidRPr="00E95BC4">
        <w:rPr>
          <w:lang w:val="sr-Cyrl-CS"/>
        </w:rPr>
        <w:t xml:space="preserve"> </w:t>
      </w:r>
      <w:r>
        <w:rPr>
          <w:lang w:val="sr-Cyrl-CS"/>
        </w:rPr>
        <w:t>još</w:t>
      </w:r>
      <w:r w:rsidR="007606A2" w:rsidRPr="00E95BC4">
        <w:rPr>
          <w:lang w:val="sr-Cyrl-CS"/>
        </w:rPr>
        <w:t xml:space="preserve"> 10 </w:t>
      </w:r>
      <w:r>
        <w:rPr>
          <w:lang w:val="sr-Cyrl-CS"/>
        </w:rPr>
        <w:t>državnih</w:t>
      </w:r>
      <w:r w:rsidR="007606A2" w:rsidRPr="00E95BC4">
        <w:rPr>
          <w:lang w:val="sr-Cyrl-CS"/>
        </w:rPr>
        <w:t xml:space="preserve"> </w:t>
      </w:r>
      <w:r>
        <w:rPr>
          <w:lang w:val="sr-Cyrl-CS"/>
        </w:rPr>
        <w:t>institucija</w:t>
      </w:r>
      <w:r w:rsidR="007606A2" w:rsidRPr="00E95BC4">
        <w:rPr>
          <w:lang w:val="sr-Cyrl-CS"/>
        </w:rPr>
        <w:t xml:space="preserve"> </w:t>
      </w:r>
      <w:r>
        <w:rPr>
          <w:lang w:val="sr-Cyrl-CS"/>
        </w:rPr>
        <w:t>koje</w:t>
      </w:r>
      <w:r w:rsidR="007606A2" w:rsidRPr="00E95BC4">
        <w:rPr>
          <w:lang w:val="sr-Cyrl-CS"/>
        </w:rPr>
        <w:t xml:space="preserve"> </w:t>
      </w:r>
      <w:r>
        <w:rPr>
          <w:lang w:val="sr-Cyrl-CS"/>
        </w:rPr>
        <w:t>imenuju</w:t>
      </w:r>
      <w:r w:rsidR="007606A2" w:rsidRPr="00E95BC4">
        <w:rPr>
          <w:lang w:val="sr-Cyrl-CS"/>
        </w:rPr>
        <w:t xml:space="preserve"> </w:t>
      </w:r>
      <w:r>
        <w:rPr>
          <w:lang w:val="sr-Cyrl-CS"/>
        </w:rPr>
        <w:t>službenike</w:t>
      </w:r>
      <w:r w:rsidR="007606A2" w:rsidRPr="00E95BC4">
        <w:rPr>
          <w:lang w:val="sr-Cyrl-CS"/>
        </w:rPr>
        <w:t xml:space="preserve"> </w:t>
      </w:r>
      <w:r>
        <w:rPr>
          <w:lang w:val="sr-Cyrl-CS"/>
        </w:rPr>
        <w:t>za</w:t>
      </w:r>
      <w:r w:rsidR="007606A2" w:rsidRPr="00E95BC4">
        <w:rPr>
          <w:lang w:val="sr-Cyrl-CS"/>
        </w:rPr>
        <w:t xml:space="preserve"> </w:t>
      </w:r>
      <w:r>
        <w:rPr>
          <w:lang w:val="sr-Cyrl-CS"/>
        </w:rPr>
        <w:t>vezu</w:t>
      </w:r>
      <w:r w:rsidR="007606A2" w:rsidRPr="00E95BC4">
        <w:rPr>
          <w:lang w:val="sr-Cyrl-CS"/>
        </w:rPr>
        <w:t xml:space="preserve"> </w:t>
      </w:r>
      <w:r>
        <w:rPr>
          <w:lang w:val="sr-Cyrl-CS"/>
        </w:rPr>
        <w:t>bili</w:t>
      </w:r>
      <w:r w:rsidR="007606A2" w:rsidRPr="00E95BC4">
        <w:rPr>
          <w:lang w:val="sr-Cyrl-CS"/>
        </w:rPr>
        <w:t xml:space="preserve"> </w:t>
      </w:r>
      <w:r>
        <w:rPr>
          <w:lang w:val="sr-Cyrl-CS"/>
        </w:rPr>
        <w:t>su</w:t>
      </w:r>
      <w:r w:rsidR="007606A2" w:rsidRPr="00E95BC4">
        <w:rPr>
          <w:lang w:val="sr-Cyrl-CS"/>
        </w:rPr>
        <w:t xml:space="preserve"> </w:t>
      </w:r>
      <w:r>
        <w:rPr>
          <w:lang w:val="sr-Cyrl-CS"/>
        </w:rPr>
        <w:t>polaznici</w:t>
      </w:r>
      <w:r w:rsidR="007606A2" w:rsidRPr="00E95BC4">
        <w:rPr>
          <w:lang w:val="sr-Cyrl-CS"/>
        </w:rPr>
        <w:t xml:space="preserve"> </w:t>
      </w:r>
      <w:r>
        <w:rPr>
          <w:lang w:val="sr-Cyrl-CS"/>
        </w:rPr>
        <w:t>brojnih</w:t>
      </w:r>
      <w:r w:rsidR="007606A2" w:rsidRPr="00E95BC4">
        <w:rPr>
          <w:lang w:val="sr-Cyrl-CS"/>
        </w:rPr>
        <w:t xml:space="preserve"> </w:t>
      </w:r>
      <w:r>
        <w:rPr>
          <w:lang w:val="sr-Cyrl-CS"/>
        </w:rPr>
        <w:t>obuka</w:t>
      </w:r>
      <w:r w:rsidR="007606A2" w:rsidRPr="00E95BC4">
        <w:rPr>
          <w:lang w:val="sr-Cyrl-CS"/>
        </w:rPr>
        <w:t xml:space="preserve">, </w:t>
      </w:r>
      <w:r>
        <w:rPr>
          <w:lang w:val="sr-Cyrl-CS"/>
        </w:rPr>
        <w:t>radionica</w:t>
      </w:r>
      <w:r w:rsidR="007606A2" w:rsidRPr="00E95BC4">
        <w:rPr>
          <w:lang w:val="sr-Cyrl-CS"/>
        </w:rPr>
        <w:t xml:space="preserve">, </w:t>
      </w:r>
      <w:r>
        <w:rPr>
          <w:lang w:val="sr-Cyrl-CS"/>
        </w:rPr>
        <w:t>treninga</w:t>
      </w:r>
      <w:r w:rsidR="007606A2" w:rsidRPr="00E95BC4">
        <w:rPr>
          <w:lang w:val="sr-Cyrl-CS"/>
        </w:rPr>
        <w:t xml:space="preserve"> </w:t>
      </w:r>
      <w:r>
        <w:rPr>
          <w:lang w:val="sr-Cyrl-CS"/>
        </w:rPr>
        <w:t>na</w:t>
      </w:r>
      <w:r w:rsidR="007606A2" w:rsidRPr="00E95BC4">
        <w:rPr>
          <w:lang w:val="sr-Cyrl-CS"/>
        </w:rPr>
        <w:t xml:space="preserve"> </w:t>
      </w:r>
      <w:r>
        <w:rPr>
          <w:lang w:val="sr-Cyrl-CS"/>
        </w:rPr>
        <w:t>kojima</w:t>
      </w:r>
      <w:r w:rsidR="007606A2" w:rsidRPr="00E95BC4">
        <w:rPr>
          <w:lang w:val="sr-Cyrl-CS"/>
        </w:rPr>
        <w:t xml:space="preserve"> </w:t>
      </w:r>
      <w:r>
        <w:rPr>
          <w:lang w:val="sr-Cyrl-CS"/>
        </w:rPr>
        <w:t>su</w:t>
      </w:r>
      <w:r w:rsidR="007606A2" w:rsidRPr="00E95BC4">
        <w:rPr>
          <w:lang w:val="sr-Cyrl-CS"/>
        </w:rPr>
        <w:t xml:space="preserve"> </w:t>
      </w:r>
      <w:r>
        <w:rPr>
          <w:lang w:val="sr-Cyrl-CS"/>
        </w:rPr>
        <w:t>obrađivane</w:t>
      </w:r>
      <w:r w:rsidR="007606A2" w:rsidRPr="00E95BC4">
        <w:rPr>
          <w:lang w:val="sr-Cyrl-CS"/>
        </w:rPr>
        <w:t xml:space="preserve"> </w:t>
      </w:r>
      <w:r>
        <w:rPr>
          <w:lang w:val="sr-Cyrl-CS"/>
        </w:rPr>
        <w:t>teme</w:t>
      </w:r>
      <w:r w:rsidR="007606A2" w:rsidRPr="00E95BC4">
        <w:rPr>
          <w:lang w:val="sr-Cyrl-CS"/>
        </w:rPr>
        <w:t xml:space="preserve"> </w:t>
      </w:r>
      <w:r>
        <w:rPr>
          <w:lang w:val="sr-Cyrl-CS"/>
        </w:rPr>
        <w:t>o</w:t>
      </w:r>
      <w:r w:rsidR="007606A2" w:rsidRPr="00E95BC4">
        <w:rPr>
          <w:lang w:val="sr-Cyrl-CS"/>
        </w:rPr>
        <w:t xml:space="preserve"> </w:t>
      </w:r>
      <w:r>
        <w:rPr>
          <w:lang w:val="sr-Cyrl-CS"/>
        </w:rPr>
        <w:t>proaktivnim</w:t>
      </w:r>
      <w:r w:rsidR="007606A2" w:rsidRPr="00E95BC4">
        <w:rPr>
          <w:lang w:val="sr-Cyrl-CS"/>
        </w:rPr>
        <w:t xml:space="preserve"> </w:t>
      </w:r>
      <w:r>
        <w:rPr>
          <w:lang w:val="sr-Cyrl-CS"/>
        </w:rPr>
        <w:t>finansijskim</w:t>
      </w:r>
      <w:r w:rsidR="007606A2" w:rsidRPr="00E95BC4">
        <w:rPr>
          <w:lang w:val="sr-Cyrl-CS"/>
        </w:rPr>
        <w:t xml:space="preserve"> </w:t>
      </w:r>
      <w:r>
        <w:rPr>
          <w:lang w:val="sr-Cyrl-CS"/>
        </w:rPr>
        <w:t>istragama</w:t>
      </w:r>
      <w:r w:rsidR="007606A2" w:rsidRPr="00E95BC4">
        <w:rPr>
          <w:lang w:val="sr-Cyrl-CS"/>
        </w:rPr>
        <w:t xml:space="preserve">, </w:t>
      </w:r>
      <w:r>
        <w:rPr>
          <w:lang w:val="sr-Cyrl-CS"/>
        </w:rPr>
        <w:t>zloupotrebama</w:t>
      </w:r>
      <w:r w:rsidR="007606A2" w:rsidRPr="00E95BC4">
        <w:rPr>
          <w:lang w:val="sr-Cyrl-CS"/>
        </w:rPr>
        <w:t xml:space="preserve"> </w:t>
      </w:r>
      <w:r>
        <w:rPr>
          <w:lang w:val="sr-Cyrl-CS"/>
        </w:rPr>
        <w:t>u</w:t>
      </w:r>
      <w:r w:rsidR="007606A2" w:rsidRPr="00E95BC4">
        <w:rPr>
          <w:lang w:val="sr-Cyrl-CS"/>
        </w:rPr>
        <w:t xml:space="preserve"> </w:t>
      </w:r>
      <w:r>
        <w:rPr>
          <w:lang w:val="sr-Cyrl-CS"/>
        </w:rPr>
        <w:t>postupku</w:t>
      </w:r>
      <w:r w:rsidR="007606A2" w:rsidRPr="00E95BC4">
        <w:rPr>
          <w:lang w:val="sr-Cyrl-CS"/>
        </w:rPr>
        <w:t xml:space="preserve"> </w:t>
      </w:r>
      <w:r>
        <w:rPr>
          <w:lang w:val="sr-Cyrl-CS"/>
        </w:rPr>
        <w:t>javnih</w:t>
      </w:r>
      <w:r w:rsidR="007606A2" w:rsidRPr="00E95BC4">
        <w:rPr>
          <w:lang w:val="sr-Cyrl-CS"/>
        </w:rPr>
        <w:t xml:space="preserve"> </w:t>
      </w:r>
      <w:r>
        <w:rPr>
          <w:lang w:val="sr-Cyrl-CS"/>
        </w:rPr>
        <w:t>nabavki</w:t>
      </w:r>
      <w:r w:rsidR="007606A2" w:rsidRPr="00E95BC4">
        <w:rPr>
          <w:lang w:val="sr-Cyrl-CS"/>
        </w:rPr>
        <w:t xml:space="preserve"> </w:t>
      </w:r>
      <w:r>
        <w:rPr>
          <w:lang w:val="sr-Cyrl-CS"/>
        </w:rPr>
        <w:t>i</w:t>
      </w:r>
      <w:r w:rsidR="007606A2" w:rsidRPr="00E95BC4">
        <w:rPr>
          <w:lang w:val="sr-Cyrl-CS"/>
        </w:rPr>
        <w:t xml:space="preserve"> </w:t>
      </w:r>
      <w:r>
        <w:rPr>
          <w:lang w:val="sr-Cyrl-CS"/>
        </w:rPr>
        <w:t>pranju</w:t>
      </w:r>
      <w:r w:rsidR="007606A2" w:rsidRPr="00E95BC4">
        <w:rPr>
          <w:lang w:val="sr-Cyrl-CS"/>
        </w:rPr>
        <w:t xml:space="preserve"> </w:t>
      </w:r>
      <w:r>
        <w:rPr>
          <w:lang w:val="sr-Cyrl-CS"/>
        </w:rPr>
        <w:t>novca</w:t>
      </w:r>
      <w:r w:rsidR="007606A2" w:rsidRPr="00E95BC4">
        <w:rPr>
          <w:lang w:val="sr-Cyrl-CS"/>
        </w:rPr>
        <w:t xml:space="preserve">. </w:t>
      </w:r>
    </w:p>
    <w:p w:rsidR="007606A2" w:rsidRPr="00E95BC4" w:rsidRDefault="007606A2" w:rsidP="007606A2">
      <w:pPr>
        <w:jc w:val="both"/>
        <w:rPr>
          <w:lang w:val="sr-Cyrl-CS"/>
        </w:rPr>
      </w:pPr>
      <w:r w:rsidRPr="00E95BC4">
        <w:rPr>
          <w:lang w:val="sr-Cyrl-CS"/>
        </w:rPr>
        <w:tab/>
      </w:r>
      <w:r w:rsidR="005818C0">
        <w:rPr>
          <w:lang w:val="sr-Cyrl-CS"/>
        </w:rPr>
        <w:t>U</w:t>
      </w:r>
      <w:r w:rsidRPr="00E95BC4">
        <w:rPr>
          <w:lang w:val="sr-Cyrl-CS"/>
        </w:rPr>
        <w:t xml:space="preserve"> </w:t>
      </w:r>
      <w:r w:rsidR="005818C0">
        <w:rPr>
          <w:lang w:val="sr-Cyrl-CS"/>
        </w:rPr>
        <w:t>nastojanju</w:t>
      </w:r>
      <w:r w:rsidRPr="00E95BC4">
        <w:rPr>
          <w:lang w:val="sr-Cyrl-CS"/>
        </w:rPr>
        <w:t xml:space="preserve"> </w:t>
      </w:r>
      <w:r w:rsidR="005818C0">
        <w:rPr>
          <w:lang w:val="sr-Cyrl-CS"/>
        </w:rPr>
        <w:t>da</w:t>
      </w:r>
      <w:r w:rsidRPr="00E95BC4">
        <w:rPr>
          <w:lang w:val="sr-Cyrl-CS"/>
        </w:rPr>
        <w:t xml:space="preserve"> </w:t>
      </w:r>
      <w:r w:rsidR="005818C0">
        <w:rPr>
          <w:lang w:val="sr-Cyrl-CS"/>
        </w:rPr>
        <w:t>se</w:t>
      </w:r>
      <w:r w:rsidRPr="00E95BC4">
        <w:rPr>
          <w:lang w:val="sr-Cyrl-CS"/>
        </w:rPr>
        <w:t xml:space="preserve"> </w:t>
      </w:r>
      <w:r w:rsidR="005818C0">
        <w:rPr>
          <w:lang w:val="sr-Cyrl-CS"/>
        </w:rPr>
        <w:t>popravi</w:t>
      </w:r>
      <w:r w:rsidRPr="00E95BC4">
        <w:rPr>
          <w:lang w:val="sr-Cyrl-CS"/>
        </w:rPr>
        <w:t xml:space="preserve"> </w:t>
      </w:r>
      <w:r w:rsidR="005818C0">
        <w:rPr>
          <w:i/>
          <w:lang w:val="sr-Cyrl-CS"/>
        </w:rPr>
        <w:t>kaznena</w:t>
      </w:r>
      <w:r w:rsidRPr="00E95BC4">
        <w:rPr>
          <w:i/>
          <w:lang w:val="sr-Cyrl-CS"/>
        </w:rPr>
        <w:t xml:space="preserve"> </w:t>
      </w:r>
      <w:r w:rsidR="005818C0">
        <w:rPr>
          <w:i/>
          <w:lang w:val="sr-Cyrl-CS"/>
        </w:rPr>
        <w:t>politika</w:t>
      </w:r>
      <w:r w:rsidR="003A648B" w:rsidRPr="00E95BC4">
        <w:rPr>
          <w:lang w:val="sr-Cyrl-CS"/>
        </w:rPr>
        <w:t xml:space="preserve"> </w:t>
      </w:r>
      <w:r w:rsidR="005818C0">
        <w:rPr>
          <w:lang w:val="sr-Cyrl-CS"/>
        </w:rPr>
        <w:t>u</w:t>
      </w:r>
      <w:r w:rsidR="003A648B" w:rsidRPr="00E95BC4">
        <w:rPr>
          <w:lang w:val="sr-Cyrl-CS"/>
        </w:rPr>
        <w:t xml:space="preserve"> </w:t>
      </w:r>
      <w:r w:rsidR="005818C0">
        <w:rPr>
          <w:lang w:val="sr-Cyrl-CS"/>
        </w:rPr>
        <w:t>vezi</w:t>
      </w:r>
      <w:r w:rsidR="003A648B" w:rsidRPr="00E95BC4">
        <w:rPr>
          <w:lang w:val="sr-Cyrl-CS"/>
        </w:rPr>
        <w:t xml:space="preserve"> </w:t>
      </w:r>
      <w:r w:rsidR="005818C0">
        <w:rPr>
          <w:lang w:val="sr-Cyrl-CS"/>
        </w:rPr>
        <w:t>sa</w:t>
      </w:r>
      <w:r w:rsidRPr="00E95BC4">
        <w:rPr>
          <w:lang w:val="sr-Cyrl-CS"/>
        </w:rPr>
        <w:t xml:space="preserve"> </w:t>
      </w:r>
      <w:r w:rsidR="005818C0">
        <w:rPr>
          <w:lang w:val="sr-Cyrl-CS"/>
        </w:rPr>
        <w:t>krivičnim</w:t>
      </w:r>
      <w:r w:rsidRPr="00E95BC4">
        <w:rPr>
          <w:lang w:val="sr-Cyrl-CS"/>
        </w:rPr>
        <w:t xml:space="preserve"> </w:t>
      </w:r>
      <w:r w:rsidR="005818C0">
        <w:rPr>
          <w:lang w:val="sr-Cyrl-CS"/>
        </w:rPr>
        <w:t>delom</w:t>
      </w:r>
      <w:r w:rsidRPr="00E95BC4">
        <w:rPr>
          <w:lang w:val="sr-Cyrl-CS"/>
        </w:rPr>
        <w:t xml:space="preserve"> </w:t>
      </w:r>
      <w:r w:rsidR="005818C0">
        <w:rPr>
          <w:lang w:val="sr-Cyrl-CS"/>
        </w:rPr>
        <w:t>pranje</w:t>
      </w:r>
      <w:r w:rsidRPr="00E95BC4">
        <w:rPr>
          <w:lang w:val="sr-Cyrl-CS"/>
        </w:rPr>
        <w:t xml:space="preserve"> </w:t>
      </w:r>
      <w:r w:rsidR="005818C0">
        <w:rPr>
          <w:lang w:val="sr-Cyrl-CS"/>
        </w:rPr>
        <w:t>novca</w:t>
      </w:r>
      <w:r w:rsidRPr="00E95BC4">
        <w:rPr>
          <w:lang w:val="sr-Cyrl-CS"/>
        </w:rPr>
        <w:t xml:space="preserve">, </w:t>
      </w:r>
      <w:r w:rsidR="005818C0">
        <w:rPr>
          <w:lang w:val="sr-Cyrl-CS"/>
        </w:rPr>
        <w:t>Republički</w:t>
      </w:r>
      <w:r w:rsidRPr="00E95BC4">
        <w:rPr>
          <w:lang w:val="sr-Cyrl-CS"/>
        </w:rPr>
        <w:t xml:space="preserve"> </w:t>
      </w:r>
      <w:r w:rsidR="005818C0">
        <w:rPr>
          <w:lang w:val="sr-Cyrl-CS"/>
        </w:rPr>
        <w:t>javni</w:t>
      </w:r>
      <w:r w:rsidRPr="00E95BC4">
        <w:rPr>
          <w:lang w:val="sr-Cyrl-CS"/>
        </w:rPr>
        <w:t xml:space="preserve"> </w:t>
      </w:r>
      <w:r w:rsidR="005818C0">
        <w:rPr>
          <w:lang w:val="sr-Cyrl-CS"/>
        </w:rPr>
        <w:t>tužilac</w:t>
      </w:r>
      <w:r w:rsidRPr="00E95BC4">
        <w:rPr>
          <w:lang w:val="sr-Cyrl-CS"/>
        </w:rPr>
        <w:t xml:space="preserve"> </w:t>
      </w:r>
      <w:r w:rsidR="005818C0">
        <w:rPr>
          <w:lang w:val="sr-Cyrl-CS"/>
        </w:rPr>
        <w:t>je</w:t>
      </w:r>
      <w:r w:rsidRPr="00E95BC4">
        <w:rPr>
          <w:lang w:val="sr-Cyrl-CS"/>
        </w:rPr>
        <w:t xml:space="preserve"> </w:t>
      </w:r>
      <w:r w:rsidR="005818C0">
        <w:rPr>
          <w:lang w:val="sr-Cyrl-CS"/>
        </w:rPr>
        <w:t>izdao</w:t>
      </w:r>
      <w:r w:rsidR="001E55D5" w:rsidRPr="00E95BC4">
        <w:rPr>
          <w:lang w:val="sr-Cyrl-CS"/>
        </w:rPr>
        <w:t xml:space="preserve"> </w:t>
      </w:r>
      <w:r w:rsidR="005818C0">
        <w:rPr>
          <w:lang w:val="sr-Cyrl-CS"/>
        </w:rPr>
        <w:t>dopunu</w:t>
      </w:r>
      <w:r w:rsidR="001E55D5" w:rsidRPr="00E95BC4">
        <w:rPr>
          <w:lang w:val="sr-Cyrl-CS"/>
        </w:rPr>
        <w:t xml:space="preserve"> </w:t>
      </w:r>
      <w:r w:rsidR="005818C0">
        <w:rPr>
          <w:lang w:val="sr-Cyrl-CS"/>
        </w:rPr>
        <w:t>Opšteg</w:t>
      </w:r>
      <w:r w:rsidR="001E55D5" w:rsidRPr="00E95BC4">
        <w:rPr>
          <w:lang w:val="sr-Cyrl-CS"/>
        </w:rPr>
        <w:t xml:space="preserve"> </w:t>
      </w:r>
      <w:r w:rsidR="005818C0">
        <w:rPr>
          <w:lang w:val="sr-Cyrl-CS"/>
        </w:rPr>
        <w:t>obaveznog</w:t>
      </w:r>
      <w:r w:rsidR="001E55D5" w:rsidRPr="00E95BC4">
        <w:rPr>
          <w:lang w:val="sr-Cyrl-CS"/>
        </w:rPr>
        <w:t xml:space="preserve"> </w:t>
      </w:r>
      <w:r w:rsidR="005818C0">
        <w:rPr>
          <w:lang w:val="sr-Cyrl-CS"/>
        </w:rPr>
        <w:t>uputstva</w:t>
      </w:r>
      <w:r w:rsidR="00AD531F">
        <w:rPr>
          <w:lang w:val="sr-Cyrl-CS"/>
        </w:rPr>
        <w:t xml:space="preserve"> </w:t>
      </w:r>
      <w:r w:rsidR="005818C0">
        <w:rPr>
          <w:lang w:val="sr-Cyrl-CS"/>
        </w:rPr>
        <w:t>o</w:t>
      </w:r>
      <w:r w:rsidR="00AD531F">
        <w:rPr>
          <w:lang w:val="sr-Cyrl-CS"/>
        </w:rPr>
        <w:t xml:space="preserve"> </w:t>
      </w:r>
      <w:r w:rsidR="005818C0">
        <w:rPr>
          <w:lang w:val="sr-Cyrl-CS"/>
        </w:rPr>
        <w:t>korišćenju</w:t>
      </w:r>
      <w:r w:rsidRPr="00E95BC4">
        <w:rPr>
          <w:lang w:val="sr-Cyrl-CS"/>
        </w:rPr>
        <w:t xml:space="preserve"> </w:t>
      </w:r>
      <w:r w:rsidR="005818C0">
        <w:rPr>
          <w:lang w:val="sr-Cyrl-CS"/>
        </w:rPr>
        <w:t>finansijsko</w:t>
      </w:r>
      <w:r w:rsidRPr="00E95BC4">
        <w:rPr>
          <w:lang w:val="sr-Cyrl-CS"/>
        </w:rPr>
        <w:t>-</w:t>
      </w:r>
      <w:r w:rsidR="005818C0">
        <w:rPr>
          <w:lang w:val="sr-Cyrl-CS"/>
        </w:rPr>
        <w:t>obaveštajnih</w:t>
      </w:r>
      <w:r w:rsidRPr="00E95BC4">
        <w:rPr>
          <w:lang w:val="sr-Cyrl-CS"/>
        </w:rPr>
        <w:t xml:space="preserve"> </w:t>
      </w:r>
      <w:r w:rsidR="005818C0">
        <w:rPr>
          <w:lang w:val="sr-Cyrl-CS"/>
        </w:rPr>
        <w:t>podataka</w:t>
      </w:r>
      <w:r w:rsidRPr="00E95BC4">
        <w:rPr>
          <w:lang w:val="sr-Cyrl-CS"/>
        </w:rPr>
        <w:t xml:space="preserve"> </w:t>
      </w:r>
      <w:r w:rsidR="005818C0">
        <w:rPr>
          <w:lang w:val="sr-Cyrl-CS"/>
        </w:rPr>
        <w:t>za</w:t>
      </w:r>
      <w:r w:rsidRPr="00E95BC4">
        <w:rPr>
          <w:lang w:val="sr-Cyrl-CS"/>
        </w:rPr>
        <w:t xml:space="preserve"> </w:t>
      </w:r>
      <w:r w:rsidR="005818C0">
        <w:rPr>
          <w:lang w:val="sr-Cyrl-CS"/>
        </w:rPr>
        <w:t>pokretanje</w:t>
      </w:r>
      <w:r w:rsidRPr="00E95BC4">
        <w:rPr>
          <w:lang w:val="sr-Cyrl-CS"/>
        </w:rPr>
        <w:t xml:space="preserve"> </w:t>
      </w:r>
      <w:r w:rsidR="005818C0">
        <w:rPr>
          <w:lang w:val="sr-Cyrl-CS"/>
        </w:rPr>
        <w:t>postupka</w:t>
      </w:r>
      <w:r w:rsidRPr="00E95BC4">
        <w:rPr>
          <w:lang w:val="sr-Cyrl-CS"/>
        </w:rPr>
        <w:t xml:space="preserve"> </w:t>
      </w:r>
      <w:r w:rsidR="005818C0">
        <w:rPr>
          <w:lang w:val="sr-Cyrl-CS"/>
        </w:rPr>
        <w:t>zbog</w:t>
      </w:r>
      <w:r w:rsidRPr="00E95BC4">
        <w:rPr>
          <w:lang w:val="sr-Cyrl-CS"/>
        </w:rPr>
        <w:t xml:space="preserve"> </w:t>
      </w:r>
      <w:r w:rsidR="005818C0">
        <w:rPr>
          <w:lang w:val="sr-Cyrl-CS"/>
        </w:rPr>
        <w:t>krivičnog</w:t>
      </w:r>
      <w:r w:rsidRPr="00E95BC4">
        <w:rPr>
          <w:lang w:val="sr-Cyrl-CS"/>
        </w:rPr>
        <w:t xml:space="preserve"> </w:t>
      </w:r>
      <w:r w:rsidR="005818C0">
        <w:rPr>
          <w:lang w:val="sr-Cyrl-CS"/>
        </w:rPr>
        <w:t>dela</w:t>
      </w:r>
      <w:r w:rsidRPr="00E95BC4">
        <w:rPr>
          <w:lang w:val="sr-Cyrl-CS"/>
        </w:rPr>
        <w:t xml:space="preserve"> </w:t>
      </w:r>
      <w:r w:rsidR="005818C0">
        <w:rPr>
          <w:lang w:val="sr-Cyrl-CS"/>
        </w:rPr>
        <w:t>pranje</w:t>
      </w:r>
      <w:r w:rsidRPr="00E95BC4">
        <w:rPr>
          <w:lang w:val="sr-Cyrl-CS"/>
        </w:rPr>
        <w:t xml:space="preserve"> </w:t>
      </w:r>
      <w:r w:rsidR="005818C0">
        <w:rPr>
          <w:lang w:val="sr-Cyrl-CS"/>
        </w:rPr>
        <w:t>novca</w:t>
      </w:r>
      <w:r w:rsidRPr="00E95BC4">
        <w:rPr>
          <w:lang w:val="sr-Cyrl-CS"/>
        </w:rPr>
        <w:t xml:space="preserve"> </w:t>
      </w:r>
      <w:r w:rsidR="005818C0">
        <w:rPr>
          <w:lang w:val="sr-Cyrl-CS"/>
        </w:rPr>
        <w:t>i</w:t>
      </w:r>
      <w:r w:rsidRPr="00E95BC4">
        <w:rPr>
          <w:lang w:val="sr-Cyrl-CS"/>
        </w:rPr>
        <w:t xml:space="preserve"> </w:t>
      </w:r>
      <w:r w:rsidR="005818C0">
        <w:rPr>
          <w:lang w:val="sr-Cyrl-CS"/>
        </w:rPr>
        <w:t>finansiranje</w:t>
      </w:r>
      <w:r w:rsidRPr="00E95BC4">
        <w:rPr>
          <w:lang w:val="sr-Cyrl-CS"/>
        </w:rPr>
        <w:t xml:space="preserve"> </w:t>
      </w:r>
      <w:r w:rsidR="005818C0">
        <w:rPr>
          <w:lang w:val="sr-Cyrl-CS"/>
        </w:rPr>
        <w:t>terorizma</w:t>
      </w:r>
      <w:r w:rsidRPr="00E95BC4">
        <w:rPr>
          <w:lang w:val="sr-Cyrl-CS"/>
        </w:rPr>
        <w:t xml:space="preserve"> </w:t>
      </w:r>
      <w:r w:rsidR="005818C0">
        <w:rPr>
          <w:lang w:val="sr-Cyrl-CS"/>
        </w:rPr>
        <w:t>A</w:t>
      </w:r>
      <w:r w:rsidRPr="00E95BC4">
        <w:rPr>
          <w:lang w:val="sr-Cyrl-CS"/>
        </w:rPr>
        <w:t xml:space="preserve"> </w:t>
      </w:r>
      <w:r w:rsidR="005818C0">
        <w:rPr>
          <w:lang w:val="sr-Cyrl-CS"/>
        </w:rPr>
        <w:t>broj</w:t>
      </w:r>
      <w:r w:rsidRPr="00E95BC4">
        <w:rPr>
          <w:lang w:val="sr-Cyrl-CS"/>
        </w:rPr>
        <w:t xml:space="preserve"> 668/17 </w:t>
      </w:r>
      <w:r w:rsidR="005818C0">
        <w:rPr>
          <w:lang w:val="sr-Cyrl-CS"/>
        </w:rPr>
        <w:t>od</w:t>
      </w:r>
      <w:r w:rsidRPr="00E95BC4">
        <w:rPr>
          <w:lang w:val="sr-Cyrl-CS"/>
        </w:rPr>
        <w:t xml:space="preserve"> 18. </w:t>
      </w:r>
      <w:r w:rsidR="005818C0">
        <w:rPr>
          <w:lang w:val="sr-Cyrl-CS"/>
        </w:rPr>
        <w:t>aprila</w:t>
      </w:r>
      <w:r w:rsidRPr="00E95BC4">
        <w:rPr>
          <w:lang w:val="sr-Cyrl-CS"/>
        </w:rPr>
        <w:t xml:space="preserve"> 2018. </w:t>
      </w:r>
      <w:r w:rsidR="005818C0">
        <w:rPr>
          <w:lang w:val="sr-Cyrl-CS"/>
        </w:rPr>
        <w:t>godine</w:t>
      </w:r>
      <w:r w:rsidRPr="00E95BC4">
        <w:rPr>
          <w:lang w:val="sr-Cyrl-CS"/>
        </w:rPr>
        <w:t xml:space="preserve"> </w:t>
      </w:r>
      <w:r w:rsidR="005818C0">
        <w:rPr>
          <w:lang w:val="sr-Cyrl-CS"/>
        </w:rPr>
        <w:t>za</w:t>
      </w:r>
      <w:r w:rsidRPr="00E95BC4">
        <w:rPr>
          <w:lang w:val="sr-Cyrl-CS"/>
        </w:rPr>
        <w:t xml:space="preserve"> </w:t>
      </w:r>
      <w:r w:rsidR="005818C0">
        <w:rPr>
          <w:lang w:val="sr-Cyrl-CS"/>
        </w:rPr>
        <w:t>postupanje</w:t>
      </w:r>
      <w:r w:rsidRPr="00E95BC4">
        <w:rPr>
          <w:lang w:val="sr-Cyrl-CS"/>
        </w:rPr>
        <w:t xml:space="preserve"> </w:t>
      </w:r>
      <w:r w:rsidR="005818C0">
        <w:rPr>
          <w:lang w:val="sr-Cyrl-CS"/>
        </w:rPr>
        <w:t>javnih</w:t>
      </w:r>
      <w:r w:rsidRPr="00E95BC4">
        <w:rPr>
          <w:lang w:val="sr-Cyrl-CS"/>
        </w:rPr>
        <w:t xml:space="preserve"> </w:t>
      </w:r>
      <w:r w:rsidR="005818C0">
        <w:rPr>
          <w:lang w:val="sr-Cyrl-CS"/>
        </w:rPr>
        <w:t>tužilaca</w:t>
      </w:r>
      <w:r w:rsidRPr="00E95BC4">
        <w:rPr>
          <w:lang w:val="sr-Cyrl-CS"/>
        </w:rPr>
        <w:t xml:space="preserve"> </w:t>
      </w:r>
      <w:r w:rsidR="005818C0">
        <w:rPr>
          <w:lang w:val="sr-Cyrl-CS"/>
        </w:rPr>
        <w:t>prilikom</w:t>
      </w:r>
      <w:r w:rsidRPr="00E95BC4">
        <w:rPr>
          <w:lang w:val="sr-Cyrl-CS"/>
        </w:rPr>
        <w:t xml:space="preserve"> </w:t>
      </w:r>
      <w:r w:rsidR="005818C0">
        <w:rPr>
          <w:lang w:val="sr-Cyrl-CS"/>
        </w:rPr>
        <w:t>predlaganja</w:t>
      </w:r>
      <w:r w:rsidRPr="00E95BC4">
        <w:rPr>
          <w:lang w:val="sr-Cyrl-CS"/>
        </w:rPr>
        <w:t xml:space="preserve"> </w:t>
      </w:r>
      <w:r w:rsidR="005818C0">
        <w:rPr>
          <w:lang w:val="sr-Cyrl-CS"/>
        </w:rPr>
        <w:t>kazne</w:t>
      </w:r>
      <w:r w:rsidRPr="00E95BC4">
        <w:rPr>
          <w:lang w:val="sr-Cyrl-CS"/>
        </w:rPr>
        <w:t xml:space="preserve"> </w:t>
      </w:r>
      <w:r w:rsidR="005818C0">
        <w:rPr>
          <w:lang w:val="sr-Cyrl-CS"/>
        </w:rPr>
        <w:t>u</w:t>
      </w:r>
      <w:r w:rsidRPr="00E95BC4">
        <w:rPr>
          <w:lang w:val="sr-Cyrl-CS"/>
        </w:rPr>
        <w:t xml:space="preserve"> </w:t>
      </w:r>
      <w:r w:rsidR="005818C0">
        <w:rPr>
          <w:lang w:val="sr-Cyrl-CS"/>
        </w:rPr>
        <w:t>završnoj</w:t>
      </w:r>
      <w:r w:rsidRPr="00E95BC4">
        <w:rPr>
          <w:lang w:val="sr-Cyrl-CS"/>
        </w:rPr>
        <w:t xml:space="preserve"> </w:t>
      </w:r>
      <w:r w:rsidR="005818C0">
        <w:rPr>
          <w:lang w:val="sr-Cyrl-CS"/>
        </w:rPr>
        <w:t>reči</w:t>
      </w:r>
      <w:r w:rsidRPr="00E95BC4">
        <w:rPr>
          <w:lang w:val="sr-Cyrl-CS"/>
        </w:rPr>
        <w:t xml:space="preserve">, </w:t>
      </w:r>
      <w:r w:rsidR="005818C0">
        <w:rPr>
          <w:lang w:val="sr-Cyrl-CS"/>
        </w:rPr>
        <w:t>pregovaranja</w:t>
      </w:r>
      <w:r w:rsidRPr="00E95BC4">
        <w:rPr>
          <w:lang w:val="sr-Cyrl-CS"/>
        </w:rPr>
        <w:t xml:space="preserve"> </w:t>
      </w:r>
      <w:r w:rsidR="005818C0">
        <w:rPr>
          <w:lang w:val="sr-Cyrl-CS"/>
        </w:rPr>
        <w:t>i</w:t>
      </w:r>
      <w:r w:rsidRPr="00E95BC4">
        <w:rPr>
          <w:lang w:val="sr-Cyrl-CS"/>
        </w:rPr>
        <w:t xml:space="preserve"> </w:t>
      </w:r>
      <w:r w:rsidR="005818C0">
        <w:rPr>
          <w:lang w:val="sr-Cyrl-CS"/>
        </w:rPr>
        <w:t>zaključenja</w:t>
      </w:r>
      <w:r w:rsidRPr="00E95BC4">
        <w:rPr>
          <w:lang w:val="sr-Cyrl-CS"/>
        </w:rPr>
        <w:t xml:space="preserve"> </w:t>
      </w:r>
      <w:r w:rsidR="005818C0">
        <w:rPr>
          <w:lang w:val="sr-Cyrl-CS"/>
        </w:rPr>
        <w:t>sporazuma</w:t>
      </w:r>
      <w:r w:rsidRPr="00E95BC4">
        <w:rPr>
          <w:lang w:val="sr-Cyrl-CS"/>
        </w:rPr>
        <w:t xml:space="preserve"> </w:t>
      </w:r>
      <w:r w:rsidR="005818C0">
        <w:rPr>
          <w:lang w:val="sr-Cyrl-CS"/>
        </w:rPr>
        <w:t>o</w:t>
      </w:r>
      <w:r w:rsidRPr="00E95BC4">
        <w:rPr>
          <w:lang w:val="sr-Cyrl-CS"/>
        </w:rPr>
        <w:t xml:space="preserve"> </w:t>
      </w:r>
      <w:r w:rsidR="005818C0">
        <w:rPr>
          <w:lang w:val="sr-Cyrl-CS"/>
        </w:rPr>
        <w:t>priznanju</w:t>
      </w:r>
      <w:r w:rsidRPr="00E95BC4">
        <w:rPr>
          <w:lang w:val="sr-Cyrl-CS"/>
        </w:rPr>
        <w:t xml:space="preserve"> </w:t>
      </w:r>
      <w:r w:rsidR="005818C0">
        <w:rPr>
          <w:lang w:val="sr-Cyrl-CS"/>
        </w:rPr>
        <w:t>krivičnog</w:t>
      </w:r>
      <w:r w:rsidRPr="00E95BC4">
        <w:rPr>
          <w:lang w:val="sr-Cyrl-CS"/>
        </w:rPr>
        <w:t xml:space="preserve"> </w:t>
      </w:r>
      <w:r w:rsidR="005818C0">
        <w:rPr>
          <w:lang w:val="sr-Cyrl-CS"/>
        </w:rPr>
        <w:t>dela</w:t>
      </w:r>
      <w:r w:rsidRPr="00E95BC4">
        <w:rPr>
          <w:lang w:val="sr-Cyrl-CS"/>
        </w:rPr>
        <w:t xml:space="preserve"> </w:t>
      </w:r>
      <w:r w:rsidR="005818C0">
        <w:rPr>
          <w:lang w:val="sr-Cyrl-CS"/>
        </w:rPr>
        <w:t>i</w:t>
      </w:r>
      <w:r w:rsidRPr="00E95BC4">
        <w:rPr>
          <w:lang w:val="sr-Cyrl-CS"/>
        </w:rPr>
        <w:t xml:space="preserve"> </w:t>
      </w:r>
      <w:r w:rsidR="005818C0">
        <w:rPr>
          <w:lang w:val="sr-Cyrl-CS"/>
        </w:rPr>
        <w:t>izjavljivanja</w:t>
      </w:r>
      <w:r w:rsidRPr="00E95BC4">
        <w:rPr>
          <w:lang w:val="sr-Cyrl-CS"/>
        </w:rPr>
        <w:t xml:space="preserve"> </w:t>
      </w:r>
      <w:r w:rsidR="005818C0">
        <w:rPr>
          <w:lang w:val="sr-Cyrl-CS"/>
        </w:rPr>
        <w:t>žalbi</w:t>
      </w:r>
      <w:r w:rsidRPr="00E95BC4">
        <w:rPr>
          <w:lang w:val="sr-Cyrl-CS"/>
        </w:rPr>
        <w:t xml:space="preserve"> </w:t>
      </w:r>
      <w:r w:rsidR="005818C0">
        <w:rPr>
          <w:lang w:val="sr-Cyrl-CS"/>
        </w:rPr>
        <w:t>u</w:t>
      </w:r>
      <w:r w:rsidRPr="00E95BC4">
        <w:rPr>
          <w:lang w:val="sr-Cyrl-CS"/>
        </w:rPr>
        <w:t xml:space="preserve"> </w:t>
      </w:r>
      <w:r w:rsidR="005818C0">
        <w:rPr>
          <w:lang w:val="sr-Cyrl-CS"/>
        </w:rPr>
        <w:t>krivičnim</w:t>
      </w:r>
      <w:r w:rsidRPr="00E95BC4">
        <w:rPr>
          <w:lang w:val="sr-Cyrl-CS"/>
        </w:rPr>
        <w:t xml:space="preserve"> </w:t>
      </w:r>
      <w:r w:rsidR="005818C0">
        <w:rPr>
          <w:lang w:val="sr-Cyrl-CS"/>
        </w:rPr>
        <w:t>postupcima</w:t>
      </w:r>
      <w:r w:rsidRPr="00E95BC4">
        <w:rPr>
          <w:lang w:val="sr-Cyrl-CS"/>
        </w:rPr>
        <w:t xml:space="preserve"> </w:t>
      </w:r>
      <w:r w:rsidR="005818C0">
        <w:rPr>
          <w:lang w:val="sr-Cyrl-CS"/>
        </w:rPr>
        <w:t>za</w:t>
      </w:r>
      <w:r w:rsidRPr="00E95BC4">
        <w:rPr>
          <w:lang w:val="sr-Cyrl-CS"/>
        </w:rPr>
        <w:t xml:space="preserve"> </w:t>
      </w:r>
      <w:r w:rsidR="005818C0">
        <w:rPr>
          <w:lang w:val="sr-Cyrl-CS"/>
        </w:rPr>
        <w:t>pomenuto</w:t>
      </w:r>
      <w:r w:rsidRPr="00E95BC4">
        <w:rPr>
          <w:lang w:val="sr-Cyrl-CS"/>
        </w:rPr>
        <w:t xml:space="preserve"> </w:t>
      </w:r>
      <w:r w:rsidR="005818C0">
        <w:rPr>
          <w:lang w:val="sr-Cyrl-CS"/>
        </w:rPr>
        <w:t>krivično</w:t>
      </w:r>
      <w:r w:rsidRPr="00E95BC4">
        <w:rPr>
          <w:lang w:val="sr-Cyrl-CS"/>
        </w:rPr>
        <w:t xml:space="preserve"> </w:t>
      </w:r>
      <w:r w:rsidR="005818C0">
        <w:rPr>
          <w:lang w:val="sr-Cyrl-CS"/>
        </w:rPr>
        <w:t>delo</w:t>
      </w:r>
      <w:r w:rsidRPr="00E95BC4">
        <w:rPr>
          <w:lang w:val="sr-Cyrl-CS"/>
        </w:rPr>
        <w:t xml:space="preserve">. </w:t>
      </w:r>
      <w:r w:rsidR="005818C0">
        <w:rPr>
          <w:lang w:val="sr-Cyrl-CS"/>
        </w:rPr>
        <w:t>Svrha</w:t>
      </w:r>
      <w:r w:rsidRPr="00E95BC4">
        <w:rPr>
          <w:lang w:val="sr-Cyrl-CS"/>
        </w:rPr>
        <w:t xml:space="preserve"> </w:t>
      </w:r>
      <w:r w:rsidR="005818C0">
        <w:rPr>
          <w:lang w:val="sr-Cyrl-CS"/>
        </w:rPr>
        <w:t>obaveznog</w:t>
      </w:r>
      <w:r w:rsidRPr="00E95BC4">
        <w:rPr>
          <w:lang w:val="sr-Cyrl-CS"/>
        </w:rPr>
        <w:t xml:space="preserve"> </w:t>
      </w:r>
      <w:r w:rsidR="005818C0">
        <w:rPr>
          <w:lang w:val="sr-Cyrl-CS"/>
        </w:rPr>
        <w:t>uputstva</w:t>
      </w:r>
      <w:r w:rsidRPr="00E95BC4">
        <w:rPr>
          <w:lang w:val="sr-Cyrl-CS"/>
        </w:rPr>
        <w:t xml:space="preserve"> </w:t>
      </w:r>
      <w:r w:rsidR="005818C0">
        <w:rPr>
          <w:lang w:val="sr-Cyrl-CS"/>
        </w:rPr>
        <w:t>je</w:t>
      </w:r>
      <w:r w:rsidRPr="00E95BC4">
        <w:rPr>
          <w:lang w:val="sr-Cyrl-CS"/>
        </w:rPr>
        <w:t xml:space="preserve"> </w:t>
      </w:r>
      <w:r w:rsidR="005818C0">
        <w:rPr>
          <w:lang w:val="sr-Cyrl-CS"/>
        </w:rPr>
        <w:t>da</w:t>
      </w:r>
      <w:r w:rsidRPr="00E95BC4">
        <w:rPr>
          <w:lang w:val="sr-Cyrl-CS"/>
        </w:rPr>
        <w:t xml:space="preserve"> </w:t>
      </w:r>
      <w:r w:rsidR="005818C0">
        <w:rPr>
          <w:lang w:val="sr-Cyrl-CS"/>
        </w:rPr>
        <w:t>izrečene</w:t>
      </w:r>
      <w:r w:rsidRPr="00E95BC4">
        <w:rPr>
          <w:lang w:val="sr-Cyrl-CS"/>
        </w:rPr>
        <w:t xml:space="preserve"> </w:t>
      </w:r>
      <w:r w:rsidR="005818C0">
        <w:rPr>
          <w:lang w:val="sr-Cyrl-CS"/>
        </w:rPr>
        <w:t>sankcije</w:t>
      </w:r>
      <w:r w:rsidRPr="00E95BC4">
        <w:rPr>
          <w:lang w:val="sr-Cyrl-CS"/>
        </w:rPr>
        <w:t xml:space="preserve"> </w:t>
      </w:r>
      <w:r w:rsidR="005818C0">
        <w:rPr>
          <w:lang w:val="sr-Cyrl-CS"/>
        </w:rPr>
        <w:t>učiniocima</w:t>
      </w:r>
      <w:r w:rsidRPr="00E95BC4">
        <w:rPr>
          <w:lang w:val="sr-Cyrl-CS"/>
        </w:rPr>
        <w:t xml:space="preserve"> </w:t>
      </w:r>
      <w:r w:rsidR="005818C0">
        <w:rPr>
          <w:lang w:val="sr-Cyrl-CS"/>
        </w:rPr>
        <w:t>krivičnog</w:t>
      </w:r>
      <w:r w:rsidRPr="00E95BC4">
        <w:rPr>
          <w:lang w:val="sr-Cyrl-CS"/>
        </w:rPr>
        <w:t xml:space="preserve"> </w:t>
      </w:r>
      <w:r w:rsidR="005818C0">
        <w:rPr>
          <w:lang w:val="sr-Cyrl-CS"/>
        </w:rPr>
        <w:t>dela</w:t>
      </w:r>
      <w:r w:rsidRPr="00E95BC4">
        <w:rPr>
          <w:lang w:val="sr-Cyrl-CS"/>
        </w:rPr>
        <w:t xml:space="preserve"> </w:t>
      </w:r>
      <w:r w:rsidR="005818C0">
        <w:rPr>
          <w:lang w:val="sr-Cyrl-CS"/>
        </w:rPr>
        <w:t>pranje</w:t>
      </w:r>
      <w:r w:rsidRPr="00E95BC4">
        <w:rPr>
          <w:lang w:val="sr-Cyrl-CS"/>
        </w:rPr>
        <w:t xml:space="preserve"> </w:t>
      </w:r>
      <w:r w:rsidR="005818C0">
        <w:rPr>
          <w:lang w:val="sr-Cyrl-CS"/>
        </w:rPr>
        <w:t>novca</w:t>
      </w:r>
      <w:r w:rsidRPr="00E95BC4">
        <w:rPr>
          <w:lang w:val="sr-Cyrl-CS"/>
        </w:rPr>
        <w:t xml:space="preserve"> </w:t>
      </w:r>
      <w:r w:rsidR="005818C0">
        <w:rPr>
          <w:lang w:val="sr-Cyrl-CS"/>
        </w:rPr>
        <w:t>učini</w:t>
      </w:r>
      <w:r w:rsidRPr="00E95BC4">
        <w:rPr>
          <w:lang w:val="sr-Cyrl-CS"/>
        </w:rPr>
        <w:t xml:space="preserve"> </w:t>
      </w:r>
      <w:r w:rsidR="005818C0">
        <w:rPr>
          <w:lang w:val="sr-Cyrl-CS"/>
        </w:rPr>
        <w:t>efikasnijim</w:t>
      </w:r>
      <w:r w:rsidRPr="00E95BC4">
        <w:rPr>
          <w:lang w:val="sr-Cyrl-CS"/>
        </w:rPr>
        <w:t xml:space="preserve">, </w:t>
      </w:r>
      <w:r w:rsidR="005818C0">
        <w:rPr>
          <w:lang w:val="sr-Cyrl-CS"/>
        </w:rPr>
        <w:t>delotvornijim</w:t>
      </w:r>
      <w:r w:rsidRPr="00E95BC4">
        <w:rPr>
          <w:lang w:val="sr-Cyrl-CS"/>
        </w:rPr>
        <w:t xml:space="preserve"> </w:t>
      </w:r>
      <w:r w:rsidR="005818C0">
        <w:rPr>
          <w:lang w:val="sr-Cyrl-CS"/>
        </w:rPr>
        <w:t>i</w:t>
      </w:r>
      <w:r w:rsidRPr="00E95BC4">
        <w:rPr>
          <w:lang w:val="sr-Cyrl-CS"/>
        </w:rPr>
        <w:t xml:space="preserve"> </w:t>
      </w:r>
      <w:r w:rsidR="005818C0">
        <w:rPr>
          <w:lang w:val="sr-Cyrl-CS"/>
        </w:rPr>
        <w:t>odvraćajućim</w:t>
      </w:r>
      <w:r w:rsidRPr="00E95BC4">
        <w:rPr>
          <w:lang w:val="sr-Cyrl-CS"/>
        </w:rPr>
        <w:t xml:space="preserve"> </w:t>
      </w:r>
      <w:r w:rsidR="005818C0">
        <w:rPr>
          <w:lang w:val="sr-Cyrl-CS"/>
        </w:rPr>
        <w:t>za</w:t>
      </w:r>
      <w:r w:rsidRPr="00E95BC4">
        <w:rPr>
          <w:lang w:val="sr-Cyrl-CS"/>
        </w:rPr>
        <w:t xml:space="preserve"> </w:t>
      </w:r>
      <w:r w:rsidR="005818C0">
        <w:rPr>
          <w:lang w:val="sr-Cyrl-CS"/>
        </w:rPr>
        <w:t>potencijalne</w:t>
      </w:r>
      <w:r w:rsidRPr="00E95BC4">
        <w:rPr>
          <w:lang w:val="sr-Cyrl-CS"/>
        </w:rPr>
        <w:t xml:space="preserve"> </w:t>
      </w:r>
      <w:r w:rsidR="005818C0">
        <w:rPr>
          <w:lang w:val="sr-Cyrl-CS"/>
        </w:rPr>
        <w:t>izvršioce</w:t>
      </w:r>
      <w:r w:rsidRPr="00E95BC4">
        <w:rPr>
          <w:lang w:val="sr-Cyrl-CS"/>
        </w:rPr>
        <w:t xml:space="preserve"> </w:t>
      </w:r>
      <w:r w:rsidR="005818C0">
        <w:rPr>
          <w:lang w:val="sr-Cyrl-CS"/>
        </w:rPr>
        <w:t>pominjanog</w:t>
      </w:r>
      <w:r w:rsidRPr="00E95BC4">
        <w:rPr>
          <w:lang w:val="sr-Cyrl-CS"/>
        </w:rPr>
        <w:t xml:space="preserve"> </w:t>
      </w:r>
      <w:r w:rsidR="005818C0">
        <w:rPr>
          <w:lang w:val="sr-Cyrl-CS"/>
        </w:rPr>
        <w:t>krivičnog</w:t>
      </w:r>
      <w:r w:rsidRPr="00E95BC4">
        <w:rPr>
          <w:lang w:val="sr-Cyrl-CS"/>
        </w:rPr>
        <w:t xml:space="preserve"> </w:t>
      </w:r>
      <w:r w:rsidR="005818C0">
        <w:rPr>
          <w:lang w:val="sr-Cyrl-CS"/>
        </w:rPr>
        <w:t>dela</w:t>
      </w:r>
      <w:r w:rsidRPr="00E95BC4">
        <w:rPr>
          <w:lang w:val="sr-Cyrl-CS"/>
        </w:rPr>
        <w:t>.</w:t>
      </w:r>
    </w:p>
    <w:p w:rsidR="007606A2" w:rsidRPr="00E95BC4" w:rsidRDefault="007606A2" w:rsidP="007606A2">
      <w:pPr>
        <w:jc w:val="both"/>
        <w:rPr>
          <w:lang w:val="sr-Cyrl-CS"/>
        </w:rPr>
      </w:pPr>
      <w:r w:rsidRPr="00E95BC4">
        <w:rPr>
          <w:lang w:val="sr-Cyrl-CS"/>
        </w:rPr>
        <w:tab/>
      </w:r>
      <w:r w:rsidR="005818C0">
        <w:rPr>
          <w:i/>
          <w:lang w:val="sr-Cyrl-CS"/>
        </w:rPr>
        <w:t>Saradnja</w:t>
      </w:r>
      <w:r w:rsidRPr="00E95BC4">
        <w:rPr>
          <w:i/>
          <w:lang w:val="sr-Cyrl-CS"/>
        </w:rPr>
        <w:t xml:space="preserve"> </w:t>
      </w:r>
      <w:r w:rsidR="005818C0">
        <w:rPr>
          <w:i/>
          <w:lang w:val="sr-Cyrl-CS"/>
        </w:rPr>
        <w:t>Uprave</w:t>
      </w:r>
      <w:r w:rsidRPr="00E95BC4">
        <w:rPr>
          <w:i/>
          <w:lang w:val="sr-Cyrl-CS"/>
        </w:rPr>
        <w:t xml:space="preserve"> </w:t>
      </w:r>
      <w:r w:rsidR="005818C0">
        <w:rPr>
          <w:i/>
          <w:lang w:val="sr-Cyrl-CS"/>
        </w:rPr>
        <w:t>za</w:t>
      </w:r>
      <w:r w:rsidRPr="00E95BC4">
        <w:rPr>
          <w:i/>
          <w:lang w:val="sr-Cyrl-CS"/>
        </w:rPr>
        <w:t xml:space="preserve"> </w:t>
      </w:r>
      <w:r w:rsidR="005818C0">
        <w:rPr>
          <w:i/>
          <w:lang w:val="sr-Cyrl-CS"/>
        </w:rPr>
        <w:t>sprečavanje</w:t>
      </w:r>
      <w:r w:rsidRPr="00E95BC4">
        <w:rPr>
          <w:i/>
          <w:lang w:val="sr-Cyrl-CS"/>
        </w:rPr>
        <w:t xml:space="preserve"> </w:t>
      </w:r>
      <w:r w:rsidR="005818C0">
        <w:rPr>
          <w:i/>
          <w:lang w:val="sr-Cyrl-CS"/>
        </w:rPr>
        <w:t>pranja</w:t>
      </w:r>
      <w:r w:rsidRPr="00E95BC4">
        <w:rPr>
          <w:i/>
          <w:lang w:val="sr-Cyrl-CS"/>
        </w:rPr>
        <w:t xml:space="preserve"> </w:t>
      </w:r>
      <w:r w:rsidR="005818C0">
        <w:rPr>
          <w:i/>
          <w:lang w:val="sr-Cyrl-CS"/>
        </w:rPr>
        <w:t>novca</w:t>
      </w:r>
      <w:r w:rsidRPr="00E95BC4">
        <w:rPr>
          <w:i/>
          <w:lang w:val="sr-Cyrl-CS"/>
        </w:rPr>
        <w:t xml:space="preserve"> </w:t>
      </w:r>
      <w:r w:rsidR="005818C0">
        <w:rPr>
          <w:i/>
          <w:lang w:val="sr-Cyrl-CS"/>
        </w:rPr>
        <w:t>i</w:t>
      </w:r>
      <w:r w:rsidRPr="00E95BC4">
        <w:rPr>
          <w:i/>
          <w:lang w:val="sr-Cyrl-CS"/>
        </w:rPr>
        <w:t xml:space="preserve"> </w:t>
      </w:r>
      <w:r w:rsidR="005818C0">
        <w:rPr>
          <w:i/>
          <w:lang w:val="sr-Cyrl-CS"/>
        </w:rPr>
        <w:t>Republičkog</w:t>
      </w:r>
      <w:r w:rsidRPr="00E95BC4">
        <w:rPr>
          <w:i/>
          <w:lang w:val="sr-Cyrl-CS"/>
        </w:rPr>
        <w:t xml:space="preserve"> </w:t>
      </w:r>
      <w:r w:rsidR="005818C0">
        <w:rPr>
          <w:i/>
          <w:lang w:val="sr-Cyrl-CS"/>
        </w:rPr>
        <w:t>javnog</w:t>
      </w:r>
      <w:r w:rsidRPr="00E95BC4">
        <w:rPr>
          <w:i/>
          <w:lang w:val="sr-Cyrl-CS"/>
        </w:rPr>
        <w:t xml:space="preserve"> </w:t>
      </w:r>
      <w:r w:rsidR="005818C0">
        <w:rPr>
          <w:i/>
          <w:lang w:val="sr-Cyrl-CS"/>
        </w:rPr>
        <w:t>tužilaštva</w:t>
      </w:r>
      <w:r w:rsidRPr="00E95BC4">
        <w:rPr>
          <w:lang w:val="sr-Cyrl-CS"/>
        </w:rPr>
        <w:t xml:space="preserve"> </w:t>
      </w:r>
      <w:r w:rsidR="005818C0">
        <w:rPr>
          <w:lang w:val="sr-Cyrl-CS"/>
        </w:rPr>
        <w:t>se</w:t>
      </w:r>
      <w:r w:rsidRPr="00E95BC4">
        <w:rPr>
          <w:lang w:val="sr-Cyrl-CS"/>
        </w:rPr>
        <w:t xml:space="preserve"> </w:t>
      </w:r>
      <w:r w:rsidR="005818C0">
        <w:rPr>
          <w:lang w:val="sr-Cyrl-CS"/>
        </w:rPr>
        <w:t>odvija</w:t>
      </w:r>
      <w:r w:rsidRPr="00E95BC4">
        <w:rPr>
          <w:lang w:val="sr-Cyrl-CS"/>
        </w:rPr>
        <w:t xml:space="preserve"> </w:t>
      </w:r>
      <w:r w:rsidR="005818C0">
        <w:rPr>
          <w:lang w:val="sr-Cyrl-CS"/>
        </w:rPr>
        <w:t>u</w:t>
      </w:r>
      <w:r w:rsidRPr="00E95BC4">
        <w:rPr>
          <w:lang w:val="sr-Cyrl-CS"/>
        </w:rPr>
        <w:t xml:space="preserve"> </w:t>
      </w:r>
      <w:r w:rsidR="005818C0">
        <w:rPr>
          <w:lang w:val="sr-Cyrl-CS"/>
        </w:rPr>
        <w:t>okviru</w:t>
      </w:r>
      <w:r w:rsidRPr="00E95BC4">
        <w:rPr>
          <w:lang w:val="sr-Cyrl-CS"/>
        </w:rPr>
        <w:t xml:space="preserve"> </w:t>
      </w:r>
      <w:r w:rsidR="005818C0">
        <w:rPr>
          <w:lang w:val="sr-Cyrl-CS"/>
        </w:rPr>
        <w:t>njihovih</w:t>
      </w:r>
      <w:r w:rsidRPr="00E95BC4">
        <w:rPr>
          <w:lang w:val="sr-Cyrl-CS"/>
        </w:rPr>
        <w:t xml:space="preserve"> </w:t>
      </w:r>
      <w:r w:rsidR="005818C0">
        <w:rPr>
          <w:lang w:val="sr-Cyrl-CS"/>
        </w:rPr>
        <w:t>zakonom</w:t>
      </w:r>
      <w:r w:rsidRPr="00E95BC4">
        <w:rPr>
          <w:lang w:val="sr-Cyrl-CS"/>
        </w:rPr>
        <w:t xml:space="preserve"> </w:t>
      </w:r>
      <w:r w:rsidR="005818C0">
        <w:rPr>
          <w:lang w:val="sr-Cyrl-CS"/>
        </w:rPr>
        <w:t>propisanih</w:t>
      </w:r>
      <w:r w:rsidRPr="00E95BC4">
        <w:rPr>
          <w:lang w:val="sr-Cyrl-CS"/>
        </w:rPr>
        <w:t xml:space="preserve"> </w:t>
      </w:r>
      <w:r w:rsidR="005818C0">
        <w:rPr>
          <w:lang w:val="sr-Cyrl-CS"/>
        </w:rPr>
        <w:t>nadležnosti</w:t>
      </w:r>
      <w:r w:rsidRPr="00E95BC4">
        <w:rPr>
          <w:lang w:val="sr-Cyrl-CS"/>
        </w:rPr>
        <w:t xml:space="preserve"> </w:t>
      </w:r>
      <w:r w:rsidR="005818C0">
        <w:rPr>
          <w:lang w:val="sr-Cyrl-CS"/>
        </w:rPr>
        <w:t>i</w:t>
      </w:r>
      <w:r w:rsidRPr="00E95BC4">
        <w:rPr>
          <w:lang w:val="sr-Cyrl-CS"/>
        </w:rPr>
        <w:t xml:space="preserve"> </w:t>
      </w:r>
      <w:r w:rsidR="005818C0">
        <w:rPr>
          <w:lang w:val="sr-Cyrl-CS"/>
        </w:rPr>
        <w:t>uz</w:t>
      </w:r>
      <w:r w:rsidRPr="00E95BC4">
        <w:rPr>
          <w:lang w:val="sr-Cyrl-CS"/>
        </w:rPr>
        <w:t xml:space="preserve"> </w:t>
      </w:r>
      <w:r w:rsidR="005818C0">
        <w:rPr>
          <w:lang w:val="sr-Cyrl-CS"/>
        </w:rPr>
        <w:t>poštovanje</w:t>
      </w:r>
      <w:r w:rsidRPr="00E95BC4">
        <w:rPr>
          <w:lang w:val="sr-Cyrl-CS"/>
        </w:rPr>
        <w:t xml:space="preserve"> </w:t>
      </w:r>
      <w:r w:rsidR="005818C0">
        <w:rPr>
          <w:lang w:val="sr-Cyrl-CS"/>
        </w:rPr>
        <w:t>međusobne</w:t>
      </w:r>
      <w:r w:rsidRPr="00E95BC4">
        <w:rPr>
          <w:lang w:val="sr-Cyrl-CS"/>
        </w:rPr>
        <w:t xml:space="preserve"> </w:t>
      </w:r>
      <w:r w:rsidR="005818C0">
        <w:rPr>
          <w:lang w:val="sr-Cyrl-CS"/>
        </w:rPr>
        <w:t>nezavisnosti</w:t>
      </w:r>
      <w:r w:rsidRPr="00E95BC4">
        <w:rPr>
          <w:lang w:val="sr-Cyrl-CS"/>
        </w:rPr>
        <w:t xml:space="preserve"> </w:t>
      </w:r>
      <w:r w:rsidR="005818C0">
        <w:rPr>
          <w:lang w:val="sr-Cyrl-CS"/>
        </w:rPr>
        <w:t>ovih</w:t>
      </w:r>
      <w:r w:rsidRPr="00E95BC4">
        <w:rPr>
          <w:lang w:val="sr-Cyrl-CS"/>
        </w:rPr>
        <w:t xml:space="preserve"> </w:t>
      </w:r>
      <w:r w:rsidR="005818C0">
        <w:rPr>
          <w:lang w:val="sr-Cyrl-CS"/>
        </w:rPr>
        <w:t>institucija</w:t>
      </w:r>
      <w:r w:rsidRPr="00E95BC4">
        <w:rPr>
          <w:lang w:val="sr-Cyrl-CS"/>
        </w:rPr>
        <w:t xml:space="preserve">. </w:t>
      </w:r>
      <w:r w:rsidR="005818C0">
        <w:rPr>
          <w:lang w:val="sr-Cyrl-CS"/>
        </w:rPr>
        <w:t>Osnov</w:t>
      </w:r>
      <w:r w:rsidRPr="00E95BC4">
        <w:rPr>
          <w:lang w:val="sr-Cyrl-CS"/>
        </w:rPr>
        <w:t xml:space="preserve"> </w:t>
      </w:r>
      <w:r w:rsidR="005818C0">
        <w:rPr>
          <w:lang w:val="sr-Cyrl-CS"/>
        </w:rPr>
        <w:t>njihove</w:t>
      </w:r>
      <w:r w:rsidRPr="00E95BC4">
        <w:rPr>
          <w:lang w:val="sr-Cyrl-CS"/>
        </w:rPr>
        <w:t xml:space="preserve"> </w:t>
      </w:r>
      <w:r w:rsidR="005818C0">
        <w:rPr>
          <w:lang w:val="sr-Cyrl-CS"/>
        </w:rPr>
        <w:t>saradnje</w:t>
      </w:r>
      <w:r w:rsidRPr="00E95BC4">
        <w:rPr>
          <w:lang w:val="sr-Cyrl-CS"/>
        </w:rPr>
        <w:t xml:space="preserve"> </w:t>
      </w:r>
      <w:r w:rsidR="005818C0">
        <w:rPr>
          <w:lang w:val="sr-Cyrl-CS"/>
        </w:rPr>
        <w:t>su</w:t>
      </w:r>
      <w:r w:rsidRPr="00E95BC4">
        <w:rPr>
          <w:lang w:val="sr-Cyrl-CS"/>
        </w:rPr>
        <w:t xml:space="preserve"> </w:t>
      </w:r>
      <w:r w:rsidR="005818C0">
        <w:rPr>
          <w:lang w:val="sr-Cyrl-CS"/>
        </w:rPr>
        <w:t>Zakon</w:t>
      </w:r>
      <w:r w:rsidRPr="00E95BC4">
        <w:rPr>
          <w:lang w:val="sr-Cyrl-CS"/>
        </w:rPr>
        <w:t xml:space="preserve"> </w:t>
      </w:r>
      <w:r w:rsidR="005818C0">
        <w:rPr>
          <w:lang w:val="sr-Cyrl-CS"/>
        </w:rPr>
        <w:t>o</w:t>
      </w:r>
      <w:r w:rsidRPr="00E95BC4">
        <w:rPr>
          <w:lang w:val="sr-Cyrl-CS"/>
        </w:rPr>
        <w:t xml:space="preserve"> </w:t>
      </w:r>
      <w:r w:rsidR="005818C0">
        <w:rPr>
          <w:lang w:val="sr-Cyrl-CS"/>
        </w:rPr>
        <w:t>sprečavanju</w:t>
      </w:r>
      <w:r w:rsidRPr="00E95BC4">
        <w:rPr>
          <w:lang w:val="sr-Cyrl-CS"/>
        </w:rPr>
        <w:t xml:space="preserve"> </w:t>
      </w:r>
      <w:r w:rsidR="005818C0">
        <w:rPr>
          <w:lang w:val="sr-Cyrl-CS"/>
        </w:rPr>
        <w:t>pranja</w:t>
      </w:r>
      <w:r w:rsidRPr="00E95BC4">
        <w:rPr>
          <w:lang w:val="sr-Cyrl-CS"/>
        </w:rPr>
        <w:t xml:space="preserve"> </w:t>
      </w:r>
      <w:r w:rsidR="005818C0">
        <w:rPr>
          <w:lang w:val="sr-Cyrl-CS"/>
        </w:rPr>
        <w:t>novca</w:t>
      </w:r>
      <w:r w:rsidRPr="00E95BC4">
        <w:rPr>
          <w:lang w:val="sr-Cyrl-CS"/>
        </w:rPr>
        <w:t xml:space="preserve">, </w:t>
      </w:r>
      <w:r w:rsidR="005818C0">
        <w:rPr>
          <w:lang w:val="sr-Cyrl-CS"/>
        </w:rPr>
        <w:t>Zakonik</w:t>
      </w:r>
      <w:r w:rsidRPr="00E95BC4">
        <w:rPr>
          <w:lang w:val="sr-Cyrl-CS"/>
        </w:rPr>
        <w:t xml:space="preserve"> </w:t>
      </w:r>
      <w:r w:rsidR="005818C0">
        <w:rPr>
          <w:lang w:val="sr-Cyrl-CS"/>
        </w:rPr>
        <w:t>o</w:t>
      </w:r>
      <w:r w:rsidRPr="00E95BC4">
        <w:rPr>
          <w:lang w:val="sr-Cyrl-CS"/>
        </w:rPr>
        <w:t xml:space="preserve"> </w:t>
      </w:r>
      <w:r w:rsidR="005818C0">
        <w:rPr>
          <w:lang w:val="sr-Cyrl-CS"/>
        </w:rPr>
        <w:t>krivičnom</w:t>
      </w:r>
      <w:r w:rsidRPr="00E95BC4">
        <w:rPr>
          <w:lang w:val="sr-Cyrl-CS"/>
        </w:rPr>
        <w:t xml:space="preserve"> </w:t>
      </w:r>
      <w:r w:rsidR="005818C0">
        <w:rPr>
          <w:lang w:val="sr-Cyrl-CS"/>
        </w:rPr>
        <w:t>postupku</w:t>
      </w:r>
      <w:r w:rsidRPr="00E95BC4">
        <w:rPr>
          <w:lang w:val="sr-Cyrl-CS"/>
        </w:rPr>
        <w:t xml:space="preserve"> </w:t>
      </w:r>
      <w:r w:rsidR="005818C0">
        <w:rPr>
          <w:lang w:val="sr-Cyrl-CS"/>
        </w:rPr>
        <w:t>i</w:t>
      </w:r>
      <w:r w:rsidRPr="00E95BC4">
        <w:rPr>
          <w:lang w:val="sr-Cyrl-CS"/>
        </w:rPr>
        <w:t xml:space="preserve"> </w:t>
      </w:r>
      <w:r w:rsidR="005818C0">
        <w:rPr>
          <w:lang w:val="sr-Cyrl-CS"/>
        </w:rPr>
        <w:t>podzakonski</w:t>
      </w:r>
      <w:r w:rsidRPr="00E95BC4">
        <w:rPr>
          <w:lang w:val="sr-Cyrl-CS"/>
        </w:rPr>
        <w:t xml:space="preserve"> </w:t>
      </w:r>
      <w:r w:rsidR="005818C0">
        <w:rPr>
          <w:lang w:val="sr-Cyrl-CS"/>
        </w:rPr>
        <w:t>akti</w:t>
      </w:r>
      <w:r w:rsidRPr="00E95BC4">
        <w:rPr>
          <w:lang w:val="sr-Cyrl-CS"/>
        </w:rPr>
        <w:t xml:space="preserve">. </w:t>
      </w:r>
      <w:r w:rsidR="005818C0">
        <w:rPr>
          <w:lang w:val="sr-Cyrl-CS"/>
        </w:rPr>
        <w:t>Važan</w:t>
      </w:r>
      <w:r w:rsidRPr="00E95BC4">
        <w:rPr>
          <w:lang w:val="sr-Cyrl-CS"/>
        </w:rPr>
        <w:t xml:space="preserve"> </w:t>
      </w:r>
      <w:r w:rsidR="005818C0">
        <w:rPr>
          <w:lang w:val="sr-Cyrl-CS"/>
        </w:rPr>
        <w:t>dokument</w:t>
      </w:r>
      <w:r w:rsidRPr="00E95BC4">
        <w:rPr>
          <w:lang w:val="sr-Cyrl-CS"/>
        </w:rPr>
        <w:t xml:space="preserve"> </w:t>
      </w:r>
      <w:r w:rsidR="005818C0">
        <w:rPr>
          <w:lang w:val="sr-Cyrl-CS"/>
        </w:rPr>
        <w:t>od</w:t>
      </w:r>
      <w:r w:rsidRPr="00E95BC4">
        <w:rPr>
          <w:lang w:val="sr-Cyrl-CS"/>
        </w:rPr>
        <w:t xml:space="preserve"> </w:t>
      </w:r>
      <w:r w:rsidR="005818C0">
        <w:rPr>
          <w:lang w:val="sr-Cyrl-CS"/>
        </w:rPr>
        <w:t>značaja</w:t>
      </w:r>
      <w:r w:rsidRPr="00E95BC4">
        <w:rPr>
          <w:lang w:val="sr-Cyrl-CS"/>
        </w:rPr>
        <w:t xml:space="preserve"> </w:t>
      </w:r>
      <w:r w:rsidR="005818C0">
        <w:rPr>
          <w:lang w:val="sr-Cyrl-CS"/>
        </w:rPr>
        <w:t>za</w:t>
      </w:r>
      <w:r w:rsidRPr="00E95BC4">
        <w:rPr>
          <w:lang w:val="sr-Cyrl-CS"/>
        </w:rPr>
        <w:t xml:space="preserve"> </w:t>
      </w:r>
      <w:r w:rsidR="005818C0">
        <w:rPr>
          <w:lang w:val="sr-Cyrl-CS"/>
        </w:rPr>
        <w:t>saradnju</w:t>
      </w:r>
      <w:r w:rsidRPr="00E95BC4">
        <w:rPr>
          <w:lang w:val="sr-Cyrl-CS"/>
        </w:rPr>
        <w:t xml:space="preserve"> </w:t>
      </w:r>
      <w:r w:rsidR="005818C0">
        <w:rPr>
          <w:lang w:val="sr-Cyrl-CS"/>
        </w:rPr>
        <w:t>Uprave</w:t>
      </w:r>
      <w:r w:rsidRPr="00E95BC4">
        <w:rPr>
          <w:lang w:val="sr-Cyrl-CS"/>
        </w:rPr>
        <w:t xml:space="preserve"> </w:t>
      </w:r>
      <w:r w:rsidR="005818C0">
        <w:rPr>
          <w:lang w:val="sr-Cyrl-CS"/>
        </w:rPr>
        <w:t>za</w:t>
      </w:r>
      <w:r w:rsidRPr="00E95BC4">
        <w:rPr>
          <w:lang w:val="sr-Cyrl-CS"/>
        </w:rPr>
        <w:t xml:space="preserve"> </w:t>
      </w:r>
      <w:r w:rsidR="005818C0">
        <w:rPr>
          <w:lang w:val="sr-Cyrl-CS"/>
        </w:rPr>
        <w:t>sprečavanje</w:t>
      </w:r>
      <w:r w:rsidRPr="00E95BC4">
        <w:rPr>
          <w:lang w:val="sr-Cyrl-CS"/>
        </w:rPr>
        <w:t xml:space="preserve"> </w:t>
      </w:r>
      <w:r w:rsidR="005818C0">
        <w:rPr>
          <w:lang w:val="sr-Cyrl-CS"/>
        </w:rPr>
        <w:t>pranja</w:t>
      </w:r>
      <w:r w:rsidRPr="00E95BC4">
        <w:rPr>
          <w:lang w:val="sr-Cyrl-CS"/>
        </w:rPr>
        <w:t xml:space="preserve"> </w:t>
      </w:r>
      <w:r w:rsidR="005818C0">
        <w:rPr>
          <w:lang w:val="sr-Cyrl-CS"/>
        </w:rPr>
        <w:t>novca</w:t>
      </w:r>
      <w:r w:rsidRPr="00E95BC4">
        <w:rPr>
          <w:lang w:val="sr-Cyrl-CS"/>
        </w:rPr>
        <w:t xml:space="preserve"> </w:t>
      </w:r>
      <w:r w:rsidR="005818C0">
        <w:rPr>
          <w:lang w:val="sr-Cyrl-CS"/>
        </w:rPr>
        <w:t>i</w:t>
      </w:r>
      <w:r w:rsidRPr="00E95BC4">
        <w:rPr>
          <w:lang w:val="sr-Cyrl-CS"/>
        </w:rPr>
        <w:t xml:space="preserve"> </w:t>
      </w:r>
      <w:r w:rsidR="005818C0">
        <w:rPr>
          <w:lang w:val="sr-Cyrl-CS"/>
        </w:rPr>
        <w:t>javnih</w:t>
      </w:r>
      <w:r w:rsidRPr="00E95BC4">
        <w:rPr>
          <w:lang w:val="sr-Cyrl-CS"/>
        </w:rPr>
        <w:t xml:space="preserve"> </w:t>
      </w:r>
      <w:r w:rsidR="005818C0">
        <w:rPr>
          <w:lang w:val="sr-Cyrl-CS"/>
        </w:rPr>
        <w:t>tužilaštava</w:t>
      </w:r>
      <w:r w:rsidRPr="00E95BC4">
        <w:rPr>
          <w:lang w:val="sr-Cyrl-CS"/>
        </w:rPr>
        <w:t xml:space="preserve"> </w:t>
      </w:r>
      <w:r w:rsidR="005818C0">
        <w:rPr>
          <w:lang w:val="sr-Cyrl-CS"/>
        </w:rPr>
        <w:t>je</w:t>
      </w:r>
      <w:r w:rsidRPr="00E95BC4">
        <w:rPr>
          <w:lang w:val="sr-Cyrl-CS"/>
        </w:rPr>
        <w:t xml:space="preserve"> </w:t>
      </w:r>
      <w:r w:rsidR="005818C0">
        <w:rPr>
          <w:lang w:val="sr-Cyrl-CS"/>
        </w:rPr>
        <w:t>i</w:t>
      </w:r>
      <w:r w:rsidRPr="00E95BC4">
        <w:rPr>
          <w:lang w:val="sr-Cyrl-CS"/>
        </w:rPr>
        <w:t xml:space="preserve"> </w:t>
      </w:r>
      <w:r w:rsidR="005818C0">
        <w:rPr>
          <w:lang w:val="sr-Cyrl-CS"/>
        </w:rPr>
        <w:t>Opšte</w:t>
      </w:r>
      <w:r w:rsidRPr="00E95BC4">
        <w:rPr>
          <w:lang w:val="sr-Cyrl-CS"/>
        </w:rPr>
        <w:t xml:space="preserve"> </w:t>
      </w:r>
      <w:r w:rsidR="005818C0">
        <w:rPr>
          <w:lang w:val="sr-Cyrl-CS"/>
        </w:rPr>
        <w:t>obavezno</w:t>
      </w:r>
      <w:r w:rsidRPr="00E95BC4">
        <w:rPr>
          <w:lang w:val="sr-Cyrl-CS"/>
        </w:rPr>
        <w:t xml:space="preserve"> </w:t>
      </w:r>
      <w:r w:rsidR="005818C0">
        <w:rPr>
          <w:lang w:val="sr-Cyrl-CS"/>
        </w:rPr>
        <w:t>uputstvo</w:t>
      </w:r>
      <w:r w:rsidRPr="00E95BC4">
        <w:rPr>
          <w:lang w:val="sr-Cyrl-CS"/>
        </w:rPr>
        <w:t xml:space="preserve"> </w:t>
      </w:r>
      <w:r w:rsidR="005818C0">
        <w:rPr>
          <w:lang w:val="sr-Cyrl-CS"/>
        </w:rPr>
        <w:t>Republičkog</w:t>
      </w:r>
      <w:r w:rsidRPr="00E95BC4">
        <w:rPr>
          <w:lang w:val="sr-Cyrl-CS"/>
        </w:rPr>
        <w:t xml:space="preserve"> </w:t>
      </w:r>
      <w:r w:rsidR="005818C0">
        <w:rPr>
          <w:lang w:val="sr-Cyrl-CS"/>
        </w:rPr>
        <w:t>javnog</w:t>
      </w:r>
      <w:r w:rsidR="003A648B" w:rsidRPr="00E95BC4">
        <w:rPr>
          <w:lang w:val="sr-Cyrl-CS"/>
        </w:rPr>
        <w:t xml:space="preserve"> </w:t>
      </w:r>
      <w:r w:rsidR="005818C0">
        <w:rPr>
          <w:lang w:val="sr-Cyrl-CS"/>
        </w:rPr>
        <w:t>tužioca</w:t>
      </w:r>
      <w:r w:rsidR="001E55D5" w:rsidRPr="00E95BC4">
        <w:rPr>
          <w:lang w:val="sr-Cyrl-CS"/>
        </w:rPr>
        <w:t xml:space="preserve"> </w:t>
      </w:r>
      <w:r w:rsidR="005818C0">
        <w:rPr>
          <w:lang w:val="sr-Cyrl-CS"/>
        </w:rPr>
        <w:t>A</w:t>
      </w:r>
      <w:r w:rsidR="001E55D5" w:rsidRPr="00E95BC4">
        <w:rPr>
          <w:lang w:val="sr-Cyrl-CS"/>
        </w:rPr>
        <w:t xml:space="preserve"> 668/17 </w:t>
      </w:r>
      <w:r w:rsidR="005818C0">
        <w:rPr>
          <w:lang w:val="sr-Cyrl-CS"/>
        </w:rPr>
        <w:t>od</w:t>
      </w:r>
      <w:r w:rsidR="001E55D5" w:rsidRPr="00E95BC4">
        <w:rPr>
          <w:lang w:val="sr-Cyrl-CS"/>
        </w:rPr>
        <w:t xml:space="preserve"> 20. </w:t>
      </w:r>
      <w:r w:rsidR="005818C0">
        <w:rPr>
          <w:lang w:val="sr-Cyrl-CS"/>
        </w:rPr>
        <w:t>septembra</w:t>
      </w:r>
      <w:r w:rsidRPr="00E95BC4">
        <w:rPr>
          <w:lang w:val="sr-Cyrl-CS"/>
        </w:rPr>
        <w:t xml:space="preserve"> 2017.</w:t>
      </w:r>
      <w:r w:rsidR="001E55D5" w:rsidRPr="00E95BC4">
        <w:rPr>
          <w:lang w:val="sr-Cyrl-CS"/>
        </w:rPr>
        <w:t xml:space="preserve"> </w:t>
      </w:r>
      <w:r w:rsidR="005818C0">
        <w:rPr>
          <w:lang w:val="sr-Cyrl-CS"/>
        </w:rPr>
        <w:t>godine</w:t>
      </w:r>
      <w:r w:rsidRPr="00E95BC4">
        <w:rPr>
          <w:lang w:val="sr-Cyrl-CS"/>
        </w:rPr>
        <w:t xml:space="preserve">. </w:t>
      </w:r>
    </w:p>
    <w:p w:rsidR="007606A2" w:rsidRPr="00E95BC4" w:rsidRDefault="007606A2" w:rsidP="007606A2">
      <w:pPr>
        <w:jc w:val="both"/>
        <w:rPr>
          <w:lang w:val="sr-Cyrl-CS"/>
        </w:rPr>
      </w:pPr>
      <w:r w:rsidRPr="00E95BC4">
        <w:rPr>
          <w:lang w:val="sr-Cyrl-CS"/>
        </w:rPr>
        <w:tab/>
      </w:r>
      <w:r w:rsidR="005818C0">
        <w:rPr>
          <w:lang w:val="sr-Cyrl-CS"/>
        </w:rPr>
        <w:t>Republički</w:t>
      </w:r>
      <w:r w:rsidRPr="00E95BC4">
        <w:rPr>
          <w:lang w:val="sr-Cyrl-CS"/>
        </w:rPr>
        <w:t xml:space="preserve"> </w:t>
      </w:r>
      <w:r w:rsidR="005818C0">
        <w:rPr>
          <w:lang w:val="sr-Cyrl-CS"/>
        </w:rPr>
        <w:t>javni</w:t>
      </w:r>
      <w:r w:rsidRPr="00E95BC4">
        <w:rPr>
          <w:lang w:val="sr-Cyrl-CS"/>
        </w:rPr>
        <w:t xml:space="preserve"> </w:t>
      </w:r>
      <w:r w:rsidR="005818C0">
        <w:rPr>
          <w:lang w:val="sr-Cyrl-CS"/>
        </w:rPr>
        <w:t>tužilac</w:t>
      </w:r>
      <w:r w:rsidRPr="00E95BC4">
        <w:rPr>
          <w:lang w:val="sr-Cyrl-CS"/>
        </w:rPr>
        <w:t xml:space="preserve"> </w:t>
      </w:r>
      <w:r w:rsidR="005818C0">
        <w:rPr>
          <w:lang w:val="sr-Cyrl-CS"/>
        </w:rPr>
        <w:t>i</w:t>
      </w:r>
      <w:r w:rsidRPr="00E95BC4">
        <w:rPr>
          <w:lang w:val="sr-Cyrl-CS"/>
        </w:rPr>
        <w:t xml:space="preserve"> </w:t>
      </w:r>
      <w:r w:rsidR="005818C0">
        <w:rPr>
          <w:lang w:val="sr-Cyrl-CS"/>
        </w:rPr>
        <w:t>direktor</w:t>
      </w:r>
      <w:r w:rsidRPr="00E95BC4">
        <w:rPr>
          <w:lang w:val="sr-Cyrl-CS"/>
        </w:rPr>
        <w:t xml:space="preserve"> </w:t>
      </w:r>
      <w:r w:rsidR="005818C0">
        <w:rPr>
          <w:lang w:val="sr-Cyrl-CS"/>
        </w:rPr>
        <w:t>Uprave</w:t>
      </w:r>
      <w:r w:rsidRPr="00E95BC4">
        <w:rPr>
          <w:lang w:val="sr-Cyrl-CS"/>
        </w:rPr>
        <w:t xml:space="preserve"> </w:t>
      </w:r>
      <w:r w:rsidR="005818C0">
        <w:rPr>
          <w:lang w:val="sr-Cyrl-CS"/>
        </w:rPr>
        <w:t>za</w:t>
      </w:r>
      <w:r w:rsidRPr="00E95BC4">
        <w:rPr>
          <w:lang w:val="sr-Cyrl-CS"/>
        </w:rPr>
        <w:t xml:space="preserve"> </w:t>
      </w:r>
      <w:r w:rsidR="005818C0">
        <w:rPr>
          <w:lang w:val="sr-Cyrl-CS"/>
        </w:rPr>
        <w:t>sprečavanje</w:t>
      </w:r>
      <w:r w:rsidRPr="00E95BC4">
        <w:rPr>
          <w:lang w:val="sr-Cyrl-CS"/>
        </w:rPr>
        <w:t xml:space="preserve"> </w:t>
      </w:r>
      <w:r w:rsidR="005818C0">
        <w:rPr>
          <w:lang w:val="sr-Cyrl-CS"/>
        </w:rPr>
        <w:t>pranja</w:t>
      </w:r>
      <w:r w:rsidRPr="00E95BC4">
        <w:rPr>
          <w:lang w:val="sr-Cyrl-CS"/>
        </w:rPr>
        <w:t xml:space="preserve"> </w:t>
      </w:r>
      <w:r w:rsidR="005818C0">
        <w:rPr>
          <w:lang w:val="sr-Cyrl-CS"/>
        </w:rPr>
        <w:t>novca</w:t>
      </w:r>
      <w:r w:rsidRPr="00E95BC4">
        <w:rPr>
          <w:lang w:val="sr-Cyrl-CS"/>
        </w:rPr>
        <w:t xml:space="preserve"> </w:t>
      </w:r>
      <w:r w:rsidR="005818C0">
        <w:rPr>
          <w:lang w:val="sr-Cyrl-CS"/>
        </w:rPr>
        <w:t>zaključili</w:t>
      </w:r>
      <w:r w:rsidRPr="00E95BC4">
        <w:rPr>
          <w:lang w:val="sr-Cyrl-CS"/>
        </w:rPr>
        <w:t xml:space="preserve"> </w:t>
      </w:r>
      <w:r w:rsidR="005818C0">
        <w:rPr>
          <w:lang w:val="sr-Cyrl-CS"/>
        </w:rPr>
        <w:t>su</w:t>
      </w:r>
      <w:r w:rsidRPr="00E95BC4">
        <w:rPr>
          <w:lang w:val="sr-Cyrl-CS"/>
        </w:rPr>
        <w:t xml:space="preserve"> 26. </w:t>
      </w:r>
      <w:r w:rsidR="005818C0">
        <w:rPr>
          <w:lang w:val="sr-Cyrl-CS"/>
        </w:rPr>
        <w:t>aprila</w:t>
      </w:r>
      <w:r w:rsidRPr="00E95BC4">
        <w:rPr>
          <w:lang w:val="sr-Cyrl-CS"/>
        </w:rPr>
        <w:t xml:space="preserve"> 2017. </w:t>
      </w:r>
      <w:r w:rsidR="005818C0">
        <w:rPr>
          <w:lang w:val="sr-Cyrl-CS"/>
        </w:rPr>
        <w:t>godine</w:t>
      </w:r>
      <w:r w:rsidRPr="00E95BC4">
        <w:rPr>
          <w:lang w:val="sr-Cyrl-CS"/>
        </w:rPr>
        <w:t xml:space="preserve"> </w:t>
      </w:r>
      <w:r w:rsidR="005818C0">
        <w:rPr>
          <w:lang w:val="sr-Cyrl-CS"/>
        </w:rPr>
        <w:t>Sporazum</w:t>
      </w:r>
      <w:r w:rsidRPr="00E95BC4">
        <w:rPr>
          <w:lang w:val="sr-Cyrl-CS"/>
        </w:rPr>
        <w:t xml:space="preserve"> </w:t>
      </w:r>
      <w:r w:rsidR="005818C0">
        <w:rPr>
          <w:lang w:val="sr-Cyrl-CS"/>
        </w:rPr>
        <w:t>o</w:t>
      </w:r>
      <w:r w:rsidRPr="00E95BC4">
        <w:rPr>
          <w:lang w:val="sr-Cyrl-CS"/>
        </w:rPr>
        <w:t xml:space="preserve"> </w:t>
      </w:r>
      <w:r w:rsidR="005818C0">
        <w:rPr>
          <w:lang w:val="sr-Cyrl-CS"/>
        </w:rPr>
        <w:t>saradnji</w:t>
      </w:r>
      <w:r w:rsidRPr="00E95BC4">
        <w:rPr>
          <w:lang w:val="sr-Cyrl-CS"/>
        </w:rPr>
        <w:t xml:space="preserve"> </w:t>
      </w:r>
      <w:r w:rsidR="005818C0">
        <w:rPr>
          <w:lang w:val="sr-Cyrl-CS"/>
        </w:rPr>
        <w:t>u</w:t>
      </w:r>
      <w:r w:rsidRPr="00E95BC4">
        <w:rPr>
          <w:lang w:val="sr-Cyrl-CS"/>
        </w:rPr>
        <w:t xml:space="preserve"> </w:t>
      </w:r>
      <w:r w:rsidR="005818C0">
        <w:rPr>
          <w:lang w:val="sr-Cyrl-CS"/>
        </w:rPr>
        <w:t>oblasti</w:t>
      </w:r>
      <w:r w:rsidRPr="00E95BC4">
        <w:rPr>
          <w:lang w:val="sr-Cyrl-CS"/>
        </w:rPr>
        <w:t xml:space="preserve"> </w:t>
      </w:r>
      <w:r w:rsidR="005818C0">
        <w:rPr>
          <w:lang w:val="sr-Cyrl-CS"/>
        </w:rPr>
        <w:t>sprečavanja</w:t>
      </w:r>
      <w:r w:rsidRPr="00E95BC4">
        <w:rPr>
          <w:lang w:val="sr-Cyrl-CS"/>
        </w:rPr>
        <w:t xml:space="preserve"> </w:t>
      </w:r>
      <w:r w:rsidR="005818C0">
        <w:rPr>
          <w:lang w:val="sr-Cyrl-CS"/>
        </w:rPr>
        <w:t>i</w:t>
      </w:r>
      <w:r w:rsidRPr="00E95BC4">
        <w:rPr>
          <w:lang w:val="sr-Cyrl-CS"/>
        </w:rPr>
        <w:t xml:space="preserve"> </w:t>
      </w:r>
      <w:r w:rsidR="005818C0">
        <w:rPr>
          <w:lang w:val="sr-Cyrl-CS"/>
        </w:rPr>
        <w:t>otkrivanja</w:t>
      </w:r>
      <w:r w:rsidRPr="00E95BC4">
        <w:rPr>
          <w:lang w:val="sr-Cyrl-CS"/>
        </w:rPr>
        <w:t xml:space="preserve"> </w:t>
      </w:r>
      <w:r w:rsidR="005818C0">
        <w:rPr>
          <w:lang w:val="sr-Cyrl-CS"/>
        </w:rPr>
        <w:t>pranja</w:t>
      </w:r>
      <w:r w:rsidRPr="00E95BC4">
        <w:rPr>
          <w:lang w:val="sr-Cyrl-CS"/>
        </w:rPr>
        <w:t xml:space="preserve"> </w:t>
      </w:r>
      <w:r w:rsidR="005818C0">
        <w:rPr>
          <w:lang w:val="sr-Cyrl-CS"/>
        </w:rPr>
        <w:t>novca</w:t>
      </w:r>
      <w:r w:rsidRPr="00E95BC4">
        <w:rPr>
          <w:lang w:val="sr-Cyrl-CS"/>
        </w:rPr>
        <w:t xml:space="preserve"> </w:t>
      </w:r>
      <w:r w:rsidR="005818C0">
        <w:rPr>
          <w:lang w:val="sr-Cyrl-CS"/>
        </w:rPr>
        <w:t>i</w:t>
      </w:r>
      <w:r w:rsidRPr="00E95BC4">
        <w:rPr>
          <w:lang w:val="sr-Cyrl-CS"/>
        </w:rPr>
        <w:t xml:space="preserve"> </w:t>
      </w:r>
      <w:r w:rsidR="005818C0">
        <w:rPr>
          <w:lang w:val="sr-Cyrl-CS"/>
        </w:rPr>
        <w:t>finansiranja</w:t>
      </w:r>
      <w:r w:rsidRPr="00E95BC4">
        <w:rPr>
          <w:lang w:val="sr-Cyrl-CS"/>
        </w:rPr>
        <w:t xml:space="preserve"> </w:t>
      </w:r>
      <w:r w:rsidR="005818C0">
        <w:rPr>
          <w:lang w:val="sr-Cyrl-CS"/>
        </w:rPr>
        <w:t>terorizma</w:t>
      </w:r>
      <w:r w:rsidRPr="00E95BC4">
        <w:rPr>
          <w:lang w:val="sr-Cyrl-CS"/>
        </w:rPr>
        <w:t xml:space="preserve">, </w:t>
      </w:r>
      <w:r w:rsidR="005818C0">
        <w:rPr>
          <w:lang w:val="sr-Cyrl-CS"/>
        </w:rPr>
        <w:t>kojim</w:t>
      </w:r>
      <w:r w:rsidRPr="00E95BC4">
        <w:rPr>
          <w:lang w:val="sr-Cyrl-CS"/>
        </w:rPr>
        <w:t xml:space="preserve"> </w:t>
      </w:r>
      <w:r w:rsidR="005818C0">
        <w:rPr>
          <w:lang w:val="sr-Cyrl-CS"/>
        </w:rPr>
        <w:t>su</w:t>
      </w:r>
      <w:r w:rsidRPr="00E95BC4">
        <w:rPr>
          <w:lang w:val="sr-Cyrl-CS"/>
        </w:rPr>
        <w:t xml:space="preserve"> </w:t>
      </w:r>
      <w:r w:rsidR="005818C0">
        <w:rPr>
          <w:lang w:val="sr-Cyrl-CS"/>
        </w:rPr>
        <w:t>bliže</w:t>
      </w:r>
      <w:r w:rsidRPr="00E95BC4">
        <w:rPr>
          <w:lang w:val="sr-Cyrl-CS"/>
        </w:rPr>
        <w:t xml:space="preserve"> </w:t>
      </w:r>
      <w:r w:rsidR="005818C0">
        <w:rPr>
          <w:lang w:val="sr-Cyrl-CS"/>
        </w:rPr>
        <w:t>uredili</w:t>
      </w:r>
      <w:r w:rsidRPr="00E95BC4">
        <w:rPr>
          <w:lang w:val="sr-Cyrl-CS"/>
        </w:rPr>
        <w:t xml:space="preserve"> </w:t>
      </w:r>
      <w:r w:rsidR="005818C0">
        <w:rPr>
          <w:lang w:val="sr-Cyrl-CS"/>
        </w:rPr>
        <w:t>postupanja</w:t>
      </w:r>
      <w:r w:rsidRPr="00E95BC4">
        <w:rPr>
          <w:lang w:val="sr-Cyrl-CS"/>
        </w:rPr>
        <w:t xml:space="preserve"> </w:t>
      </w:r>
      <w:r w:rsidR="005818C0">
        <w:rPr>
          <w:lang w:val="sr-Cyrl-CS"/>
        </w:rPr>
        <w:t>Republičkog</w:t>
      </w:r>
      <w:r w:rsidRPr="00E95BC4">
        <w:rPr>
          <w:lang w:val="sr-Cyrl-CS"/>
        </w:rPr>
        <w:t xml:space="preserve"> </w:t>
      </w:r>
      <w:r w:rsidR="005818C0">
        <w:rPr>
          <w:lang w:val="sr-Cyrl-CS"/>
        </w:rPr>
        <w:t>javnog</w:t>
      </w:r>
      <w:r w:rsidRPr="00E95BC4">
        <w:rPr>
          <w:lang w:val="sr-Cyrl-CS"/>
        </w:rPr>
        <w:t xml:space="preserve"> </w:t>
      </w:r>
      <w:r w:rsidR="005818C0">
        <w:rPr>
          <w:lang w:val="sr-Cyrl-CS"/>
        </w:rPr>
        <w:t>tužilaštva</w:t>
      </w:r>
      <w:r w:rsidRPr="00E95BC4">
        <w:rPr>
          <w:lang w:val="sr-Cyrl-CS"/>
        </w:rPr>
        <w:t xml:space="preserve"> </w:t>
      </w:r>
      <w:r w:rsidR="005818C0">
        <w:rPr>
          <w:lang w:val="sr-Cyrl-CS"/>
        </w:rPr>
        <w:t>i</w:t>
      </w:r>
      <w:r w:rsidRPr="00E95BC4">
        <w:rPr>
          <w:lang w:val="sr-Cyrl-CS"/>
        </w:rPr>
        <w:t xml:space="preserve"> </w:t>
      </w:r>
      <w:r w:rsidR="005818C0">
        <w:rPr>
          <w:lang w:val="sr-Cyrl-CS"/>
        </w:rPr>
        <w:t>Uprave</w:t>
      </w:r>
      <w:r w:rsidRPr="00E95BC4">
        <w:rPr>
          <w:lang w:val="sr-Cyrl-CS"/>
        </w:rPr>
        <w:t xml:space="preserve"> </w:t>
      </w:r>
      <w:r w:rsidR="005818C0">
        <w:rPr>
          <w:lang w:val="sr-Cyrl-CS"/>
        </w:rPr>
        <w:t>u</w:t>
      </w:r>
      <w:r w:rsidRPr="00E95BC4">
        <w:rPr>
          <w:lang w:val="sr-Cyrl-CS"/>
        </w:rPr>
        <w:t xml:space="preserve"> </w:t>
      </w:r>
      <w:r w:rsidR="005818C0">
        <w:rPr>
          <w:lang w:val="sr-Cyrl-CS"/>
        </w:rPr>
        <w:t>oblasti</w:t>
      </w:r>
      <w:r w:rsidRPr="00E95BC4">
        <w:rPr>
          <w:lang w:val="sr-Cyrl-CS"/>
        </w:rPr>
        <w:t xml:space="preserve"> </w:t>
      </w:r>
      <w:r w:rsidR="005818C0">
        <w:rPr>
          <w:lang w:val="sr-Cyrl-CS"/>
        </w:rPr>
        <w:t>sprečavanja</w:t>
      </w:r>
      <w:r w:rsidRPr="00E95BC4">
        <w:rPr>
          <w:lang w:val="sr-Cyrl-CS"/>
        </w:rPr>
        <w:t xml:space="preserve"> </w:t>
      </w:r>
      <w:r w:rsidR="005818C0">
        <w:rPr>
          <w:lang w:val="sr-Cyrl-CS"/>
        </w:rPr>
        <w:t>pranja</w:t>
      </w:r>
      <w:r w:rsidRPr="00E95BC4">
        <w:rPr>
          <w:lang w:val="sr-Cyrl-CS"/>
        </w:rPr>
        <w:t xml:space="preserve"> </w:t>
      </w:r>
      <w:r w:rsidR="005818C0">
        <w:rPr>
          <w:lang w:val="sr-Cyrl-CS"/>
        </w:rPr>
        <w:t>novca</w:t>
      </w:r>
      <w:r w:rsidRPr="00E95BC4">
        <w:rPr>
          <w:lang w:val="sr-Cyrl-CS"/>
        </w:rPr>
        <w:t xml:space="preserve"> </w:t>
      </w:r>
      <w:r w:rsidR="005818C0">
        <w:rPr>
          <w:lang w:val="sr-Cyrl-CS"/>
        </w:rPr>
        <w:t>i</w:t>
      </w:r>
      <w:r w:rsidRPr="00E95BC4">
        <w:rPr>
          <w:lang w:val="sr-Cyrl-CS"/>
        </w:rPr>
        <w:t xml:space="preserve"> </w:t>
      </w:r>
      <w:r w:rsidR="005818C0">
        <w:rPr>
          <w:lang w:val="sr-Cyrl-CS"/>
        </w:rPr>
        <w:t>finansiranja</w:t>
      </w:r>
      <w:r w:rsidRPr="00E95BC4">
        <w:rPr>
          <w:lang w:val="sr-Cyrl-CS"/>
        </w:rPr>
        <w:t xml:space="preserve"> </w:t>
      </w:r>
      <w:r w:rsidR="005818C0">
        <w:rPr>
          <w:lang w:val="sr-Cyrl-CS"/>
        </w:rPr>
        <w:t>terorizma</w:t>
      </w:r>
      <w:r w:rsidRPr="00E95BC4">
        <w:rPr>
          <w:lang w:val="sr-Cyrl-CS"/>
        </w:rPr>
        <w:t xml:space="preserve">. </w:t>
      </w:r>
      <w:r w:rsidR="005818C0">
        <w:rPr>
          <w:lang w:val="sr-Cyrl-CS"/>
        </w:rPr>
        <w:t>Radi</w:t>
      </w:r>
      <w:r w:rsidRPr="00E95BC4">
        <w:rPr>
          <w:lang w:val="sr-Cyrl-CS"/>
        </w:rPr>
        <w:t xml:space="preserve"> </w:t>
      </w:r>
      <w:r w:rsidR="005818C0">
        <w:rPr>
          <w:lang w:val="sr-Cyrl-CS"/>
        </w:rPr>
        <w:t>praćenja</w:t>
      </w:r>
      <w:r w:rsidRPr="00E95BC4">
        <w:rPr>
          <w:lang w:val="sr-Cyrl-CS"/>
        </w:rPr>
        <w:t xml:space="preserve"> </w:t>
      </w:r>
      <w:r w:rsidR="005818C0">
        <w:rPr>
          <w:lang w:val="sr-Cyrl-CS"/>
        </w:rPr>
        <w:t>sprovođenja</w:t>
      </w:r>
      <w:r w:rsidRPr="00E95BC4">
        <w:rPr>
          <w:lang w:val="sr-Cyrl-CS"/>
        </w:rPr>
        <w:t xml:space="preserve"> </w:t>
      </w:r>
      <w:r w:rsidR="005818C0">
        <w:rPr>
          <w:lang w:val="sr-Cyrl-CS"/>
        </w:rPr>
        <w:t>sporazuma</w:t>
      </w:r>
      <w:r w:rsidRPr="00E95BC4">
        <w:rPr>
          <w:lang w:val="sr-Cyrl-CS"/>
        </w:rPr>
        <w:t xml:space="preserve"> </w:t>
      </w:r>
      <w:r w:rsidR="005818C0">
        <w:rPr>
          <w:lang w:val="sr-Cyrl-CS"/>
        </w:rPr>
        <w:t>obrazovana</w:t>
      </w:r>
      <w:r w:rsidRPr="00E95BC4">
        <w:rPr>
          <w:lang w:val="sr-Cyrl-CS"/>
        </w:rPr>
        <w:t xml:space="preserve"> </w:t>
      </w:r>
      <w:r w:rsidR="005818C0">
        <w:rPr>
          <w:lang w:val="sr-Cyrl-CS"/>
        </w:rPr>
        <w:t>je</w:t>
      </w:r>
      <w:r w:rsidRPr="00E95BC4">
        <w:rPr>
          <w:lang w:val="sr-Cyrl-CS"/>
        </w:rPr>
        <w:t xml:space="preserve"> </w:t>
      </w:r>
      <w:r w:rsidR="005818C0">
        <w:rPr>
          <w:lang w:val="sr-Cyrl-CS"/>
        </w:rPr>
        <w:t>Stalna</w:t>
      </w:r>
      <w:r w:rsidRPr="00E95BC4">
        <w:rPr>
          <w:lang w:val="sr-Cyrl-CS"/>
        </w:rPr>
        <w:t xml:space="preserve"> </w:t>
      </w:r>
      <w:r w:rsidR="005818C0">
        <w:rPr>
          <w:lang w:val="sr-Cyrl-CS"/>
        </w:rPr>
        <w:t>radna</w:t>
      </w:r>
      <w:r w:rsidRPr="00E95BC4">
        <w:rPr>
          <w:lang w:val="sr-Cyrl-CS"/>
        </w:rPr>
        <w:t xml:space="preserve"> </w:t>
      </w:r>
      <w:r w:rsidR="005818C0">
        <w:rPr>
          <w:lang w:val="sr-Cyrl-CS"/>
        </w:rPr>
        <w:t>grupa</w:t>
      </w:r>
      <w:r w:rsidRPr="00E95BC4">
        <w:rPr>
          <w:lang w:val="sr-Cyrl-CS"/>
        </w:rPr>
        <w:t xml:space="preserve"> </w:t>
      </w:r>
      <w:r w:rsidR="005818C0">
        <w:rPr>
          <w:lang w:val="sr-Cyrl-CS"/>
        </w:rPr>
        <w:t>koju</w:t>
      </w:r>
      <w:r w:rsidRPr="00E95BC4">
        <w:rPr>
          <w:lang w:val="sr-Cyrl-CS"/>
        </w:rPr>
        <w:t xml:space="preserve"> </w:t>
      </w:r>
      <w:r w:rsidR="005818C0">
        <w:rPr>
          <w:lang w:val="sr-Cyrl-CS"/>
        </w:rPr>
        <w:t>čine</w:t>
      </w:r>
      <w:r w:rsidRPr="00E95BC4">
        <w:rPr>
          <w:lang w:val="sr-Cyrl-CS"/>
        </w:rPr>
        <w:t xml:space="preserve"> </w:t>
      </w:r>
      <w:r w:rsidR="005818C0">
        <w:rPr>
          <w:lang w:val="sr-Cyrl-CS"/>
        </w:rPr>
        <w:t>predstavnici</w:t>
      </w:r>
      <w:r w:rsidRPr="00E95BC4">
        <w:rPr>
          <w:lang w:val="sr-Cyrl-CS"/>
        </w:rPr>
        <w:t xml:space="preserve"> </w:t>
      </w:r>
      <w:r w:rsidR="005818C0">
        <w:rPr>
          <w:lang w:val="sr-Cyrl-CS"/>
        </w:rPr>
        <w:t>Republičkog</w:t>
      </w:r>
      <w:r w:rsidRPr="00E95BC4">
        <w:rPr>
          <w:lang w:val="sr-Cyrl-CS"/>
        </w:rPr>
        <w:t xml:space="preserve"> </w:t>
      </w:r>
      <w:r w:rsidR="005818C0">
        <w:rPr>
          <w:lang w:val="sr-Cyrl-CS"/>
        </w:rPr>
        <w:t>javnog</w:t>
      </w:r>
      <w:r w:rsidRPr="00E95BC4">
        <w:rPr>
          <w:lang w:val="sr-Cyrl-CS"/>
        </w:rPr>
        <w:t xml:space="preserve"> </w:t>
      </w:r>
      <w:r w:rsidR="005818C0">
        <w:rPr>
          <w:lang w:val="sr-Cyrl-CS"/>
        </w:rPr>
        <w:t>tužilaštva</w:t>
      </w:r>
      <w:r w:rsidRPr="00E95BC4">
        <w:rPr>
          <w:lang w:val="sr-Cyrl-CS"/>
        </w:rPr>
        <w:t xml:space="preserve"> </w:t>
      </w:r>
      <w:r w:rsidR="005818C0">
        <w:rPr>
          <w:lang w:val="sr-Cyrl-CS"/>
        </w:rPr>
        <w:t>i</w:t>
      </w:r>
      <w:r w:rsidRPr="00E95BC4">
        <w:rPr>
          <w:lang w:val="sr-Cyrl-CS"/>
        </w:rPr>
        <w:t xml:space="preserve"> </w:t>
      </w:r>
      <w:r w:rsidR="005818C0">
        <w:rPr>
          <w:lang w:val="sr-Cyrl-CS"/>
        </w:rPr>
        <w:t>Uprave</w:t>
      </w:r>
      <w:r w:rsidRPr="00E95BC4">
        <w:rPr>
          <w:lang w:val="sr-Cyrl-CS"/>
        </w:rPr>
        <w:t>.</w:t>
      </w:r>
    </w:p>
    <w:p w:rsidR="007606A2" w:rsidRPr="00E95BC4" w:rsidRDefault="005818C0" w:rsidP="007606A2">
      <w:pPr>
        <w:ind w:firstLine="708"/>
        <w:jc w:val="both"/>
        <w:rPr>
          <w:lang w:val="sr-Cyrl-CS"/>
        </w:rPr>
      </w:pPr>
      <w:r>
        <w:rPr>
          <w:lang w:val="sr-Cyrl-CS"/>
        </w:rPr>
        <w:t>Reagujući</w:t>
      </w:r>
      <w:r w:rsidR="007606A2" w:rsidRPr="00E95BC4">
        <w:rPr>
          <w:lang w:val="sr-Cyrl-CS"/>
        </w:rPr>
        <w:t xml:space="preserve"> </w:t>
      </w:r>
      <w:r>
        <w:rPr>
          <w:lang w:val="sr-Cyrl-CS"/>
        </w:rPr>
        <w:t>na</w:t>
      </w:r>
      <w:r w:rsidR="007606A2" w:rsidRPr="00E95BC4">
        <w:rPr>
          <w:lang w:val="sr-Cyrl-CS"/>
        </w:rPr>
        <w:t xml:space="preserve"> </w:t>
      </w:r>
      <w:r>
        <w:rPr>
          <w:lang w:val="sr-Cyrl-CS"/>
        </w:rPr>
        <w:t>zaključke</w:t>
      </w:r>
      <w:r w:rsidR="007606A2" w:rsidRPr="00E95BC4">
        <w:rPr>
          <w:lang w:val="sr-Cyrl-CS"/>
        </w:rPr>
        <w:t xml:space="preserve"> </w:t>
      </w:r>
      <w:r>
        <w:rPr>
          <w:lang w:val="sr-Cyrl-CS"/>
        </w:rPr>
        <w:t>Nacionalne</w:t>
      </w:r>
      <w:r w:rsidR="007606A2" w:rsidRPr="00E95BC4">
        <w:rPr>
          <w:lang w:val="sr-Cyrl-CS"/>
        </w:rPr>
        <w:t xml:space="preserve"> </w:t>
      </w:r>
      <w:r>
        <w:rPr>
          <w:lang w:val="sr-Cyrl-CS"/>
        </w:rPr>
        <w:t>procene</w:t>
      </w:r>
      <w:r w:rsidR="007606A2" w:rsidRPr="00E95BC4">
        <w:rPr>
          <w:lang w:val="sr-Cyrl-CS"/>
        </w:rPr>
        <w:t xml:space="preserve"> </w:t>
      </w:r>
      <w:r>
        <w:rPr>
          <w:lang w:val="sr-Cyrl-CS"/>
        </w:rPr>
        <w:t>rizika</w:t>
      </w:r>
      <w:r w:rsidR="007606A2" w:rsidRPr="00E95BC4">
        <w:rPr>
          <w:lang w:val="sr-Cyrl-CS"/>
        </w:rPr>
        <w:t xml:space="preserve"> </w:t>
      </w:r>
      <w:r>
        <w:rPr>
          <w:lang w:val="sr-Cyrl-CS"/>
        </w:rPr>
        <w:t>od</w:t>
      </w:r>
      <w:r w:rsidR="007606A2" w:rsidRPr="00E95BC4">
        <w:rPr>
          <w:lang w:val="sr-Cyrl-CS"/>
        </w:rPr>
        <w:t xml:space="preserve"> </w:t>
      </w:r>
      <w:r>
        <w:rPr>
          <w:lang w:val="sr-Cyrl-CS"/>
        </w:rPr>
        <w:t>pranja</w:t>
      </w:r>
      <w:r w:rsidR="007606A2" w:rsidRPr="00E95BC4">
        <w:rPr>
          <w:lang w:val="sr-Cyrl-CS"/>
        </w:rPr>
        <w:t xml:space="preserve"> </w:t>
      </w:r>
      <w:r>
        <w:rPr>
          <w:lang w:val="sr-Cyrl-CS"/>
        </w:rPr>
        <w:t>novca</w:t>
      </w:r>
      <w:r w:rsidR="007606A2" w:rsidRPr="00E95BC4">
        <w:rPr>
          <w:lang w:val="sr-Cyrl-CS"/>
        </w:rPr>
        <w:t xml:space="preserve"> </w:t>
      </w:r>
      <w:r>
        <w:rPr>
          <w:lang w:val="sr-Cyrl-CS"/>
        </w:rPr>
        <w:t>i</w:t>
      </w:r>
      <w:r w:rsidR="007606A2" w:rsidRPr="00E95BC4">
        <w:rPr>
          <w:lang w:val="sr-Cyrl-CS"/>
        </w:rPr>
        <w:t xml:space="preserve"> </w:t>
      </w:r>
      <w:r>
        <w:rPr>
          <w:lang w:val="sr-Cyrl-CS"/>
        </w:rPr>
        <w:t>procene</w:t>
      </w:r>
      <w:r w:rsidR="007606A2" w:rsidRPr="00E95BC4">
        <w:rPr>
          <w:lang w:val="sr-Cyrl-CS"/>
        </w:rPr>
        <w:t xml:space="preserve"> </w:t>
      </w:r>
      <w:r>
        <w:rPr>
          <w:lang w:val="sr-Cyrl-CS"/>
        </w:rPr>
        <w:t>rizika</w:t>
      </w:r>
      <w:r w:rsidR="007606A2" w:rsidRPr="00E95BC4">
        <w:rPr>
          <w:lang w:val="sr-Cyrl-CS"/>
        </w:rPr>
        <w:t xml:space="preserve"> </w:t>
      </w:r>
      <w:r>
        <w:rPr>
          <w:lang w:val="sr-Cyrl-CS"/>
        </w:rPr>
        <w:t>od</w:t>
      </w:r>
      <w:r w:rsidR="007606A2" w:rsidRPr="00E95BC4">
        <w:rPr>
          <w:lang w:val="sr-Cyrl-CS"/>
        </w:rPr>
        <w:t xml:space="preserve"> </w:t>
      </w:r>
      <w:r>
        <w:rPr>
          <w:lang w:val="sr-Cyrl-CS"/>
        </w:rPr>
        <w:t>finansiranja</w:t>
      </w:r>
      <w:r w:rsidR="007606A2" w:rsidRPr="00E95BC4">
        <w:rPr>
          <w:lang w:val="sr-Cyrl-CS"/>
        </w:rPr>
        <w:t xml:space="preserve"> </w:t>
      </w:r>
      <w:r>
        <w:rPr>
          <w:lang w:val="sr-Cyrl-CS"/>
        </w:rPr>
        <w:t>terorizma</w:t>
      </w:r>
      <w:r w:rsidR="007606A2" w:rsidRPr="00E95BC4">
        <w:rPr>
          <w:lang w:val="sr-Cyrl-CS"/>
        </w:rPr>
        <w:t xml:space="preserve">, </w:t>
      </w:r>
      <w:r>
        <w:rPr>
          <w:lang w:val="sr-Cyrl-CS"/>
        </w:rPr>
        <w:t>Republički</w:t>
      </w:r>
      <w:r w:rsidR="00842D2B" w:rsidRPr="00E95BC4">
        <w:rPr>
          <w:lang w:val="sr-Cyrl-CS"/>
        </w:rPr>
        <w:t xml:space="preserve"> </w:t>
      </w:r>
      <w:r>
        <w:rPr>
          <w:lang w:val="sr-Cyrl-CS"/>
        </w:rPr>
        <w:t>javni</w:t>
      </w:r>
      <w:r w:rsidR="00842D2B" w:rsidRPr="00E95BC4">
        <w:rPr>
          <w:lang w:val="sr-Cyrl-CS"/>
        </w:rPr>
        <w:t xml:space="preserve"> </w:t>
      </w:r>
      <w:r>
        <w:rPr>
          <w:lang w:val="sr-Cyrl-CS"/>
        </w:rPr>
        <w:t>tužilac</w:t>
      </w:r>
      <w:r w:rsidR="00842D2B" w:rsidRPr="00E95BC4">
        <w:rPr>
          <w:lang w:val="sr-Cyrl-CS"/>
        </w:rPr>
        <w:t xml:space="preserve"> </w:t>
      </w:r>
      <w:r>
        <w:rPr>
          <w:lang w:val="sr-Cyrl-CS"/>
        </w:rPr>
        <w:t>je</w:t>
      </w:r>
      <w:r w:rsidR="00842D2B" w:rsidRPr="00E95BC4">
        <w:rPr>
          <w:lang w:val="sr-Cyrl-CS"/>
        </w:rPr>
        <w:t xml:space="preserve"> </w:t>
      </w:r>
      <w:r>
        <w:rPr>
          <w:lang w:val="sr-Cyrl-CS"/>
        </w:rPr>
        <w:t>dana</w:t>
      </w:r>
      <w:r w:rsidR="00842D2B" w:rsidRPr="00E95BC4">
        <w:rPr>
          <w:lang w:val="sr-Cyrl-CS"/>
        </w:rPr>
        <w:t xml:space="preserve"> 4. </w:t>
      </w:r>
      <w:r>
        <w:rPr>
          <w:lang w:val="sr-Cyrl-CS"/>
        </w:rPr>
        <w:t>marta</w:t>
      </w:r>
      <w:r w:rsidR="007606A2" w:rsidRPr="00E95BC4">
        <w:rPr>
          <w:lang w:val="sr-Cyrl-CS"/>
        </w:rPr>
        <w:t xml:space="preserve"> 2019. </w:t>
      </w:r>
      <w:r>
        <w:rPr>
          <w:lang w:val="sr-Cyrl-CS"/>
        </w:rPr>
        <w:t>godine</w:t>
      </w:r>
      <w:r w:rsidR="007606A2" w:rsidRPr="00E95BC4">
        <w:rPr>
          <w:lang w:val="sr-Cyrl-CS"/>
        </w:rPr>
        <w:t xml:space="preserve"> </w:t>
      </w:r>
      <w:r>
        <w:rPr>
          <w:lang w:val="sr-Cyrl-CS"/>
        </w:rPr>
        <w:t>izdao</w:t>
      </w:r>
      <w:r w:rsidR="007606A2" w:rsidRPr="00E95BC4">
        <w:rPr>
          <w:lang w:val="sr-Cyrl-CS"/>
        </w:rPr>
        <w:t xml:space="preserve"> </w:t>
      </w:r>
      <w:r>
        <w:rPr>
          <w:lang w:val="sr-Cyrl-CS"/>
        </w:rPr>
        <w:t>uputstvo</w:t>
      </w:r>
      <w:r w:rsidR="007606A2" w:rsidRPr="00E95BC4">
        <w:rPr>
          <w:lang w:val="sr-Cyrl-CS"/>
        </w:rPr>
        <w:t xml:space="preserve"> </w:t>
      </w:r>
      <w:r>
        <w:rPr>
          <w:lang w:val="sr-Cyrl-CS"/>
        </w:rPr>
        <w:t>za</w:t>
      </w:r>
      <w:r w:rsidR="007606A2" w:rsidRPr="00E95BC4">
        <w:rPr>
          <w:lang w:val="sr-Cyrl-CS"/>
        </w:rPr>
        <w:t xml:space="preserve"> </w:t>
      </w:r>
      <w:r>
        <w:rPr>
          <w:lang w:val="sr-Cyrl-CS"/>
        </w:rPr>
        <w:t>postupanje</w:t>
      </w:r>
      <w:r w:rsidR="007606A2" w:rsidRPr="00E95BC4">
        <w:rPr>
          <w:lang w:val="sr-Cyrl-CS"/>
        </w:rPr>
        <w:t xml:space="preserve"> </w:t>
      </w:r>
      <w:r>
        <w:rPr>
          <w:lang w:val="sr-Cyrl-CS"/>
        </w:rPr>
        <w:t>u</w:t>
      </w:r>
      <w:r w:rsidR="007606A2" w:rsidRPr="00E95BC4">
        <w:rPr>
          <w:lang w:val="sr-Cyrl-CS"/>
        </w:rPr>
        <w:t xml:space="preserve"> </w:t>
      </w:r>
      <w:r>
        <w:rPr>
          <w:lang w:val="sr-Cyrl-CS"/>
        </w:rPr>
        <w:t>predmetima</w:t>
      </w:r>
      <w:r w:rsidR="007606A2" w:rsidRPr="00E95BC4">
        <w:rPr>
          <w:lang w:val="sr-Cyrl-CS"/>
        </w:rPr>
        <w:t xml:space="preserve"> </w:t>
      </w:r>
      <w:r>
        <w:rPr>
          <w:lang w:val="sr-Cyrl-CS"/>
        </w:rPr>
        <w:t>pranja</w:t>
      </w:r>
      <w:r w:rsidR="007606A2" w:rsidRPr="00E95BC4">
        <w:rPr>
          <w:lang w:val="sr-Cyrl-CS"/>
        </w:rPr>
        <w:t xml:space="preserve"> </w:t>
      </w:r>
      <w:r>
        <w:rPr>
          <w:lang w:val="sr-Cyrl-CS"/>
        </w:rPr>
        <w:t>novca</w:t>
      </w:r>
      <w:r w:rsidR="007606A2" w:rsidRPr="00E95BC4">
        <w:rPr>
          <w:lang w:val="sr-Cyrl-CS"/>
        </w:rPr>
        <w:t xml:space="preserve"> </w:t>
      </w:r>
      <w:r>
        <w:rPr>
          <w:lang w:val="sr-Cyrl-CS"/>
        </w:rPr>
        <w:t>u</w:t>
      </w:r>
      <w:r w:rsidR="007606A2" w:rsidRPr="00E95BC4">
        <w:rPr>
          <w:lang w:val="sr-Cyrl-CS"/>
        </w:rPr>
        <w:t xml:space="preserve"> </w:t>
      </w:r>
      <w:r>
        <w:rPr>
          <w:lang w:val="sr-Cyrl-CS"/>
        </w:rPr>
        <w:t>kojima</w:t>
      </w:r>
      <w:r w:rsidR="007606A2" w:rsidRPr="00E95BC4">
        <w:rPr>
          <w:lang w:val="sr-Cyrl-CS"/>
        </w:rPr>
        <w:t xml:space="preserve"> </w:t>
      </w:r>
      <w:r>
        <w:rPr>
          <w:lang w:val="sr-Cyrl-CS"/>
        </w:rPr>
        <w:t>je</w:t>
      </w:r>
      <w:r w:rsidR="007606A2" w:rsidRPr="00E95BC4">
        <w:rPr>
          <w:lang w:val="sr-Cyrl-CS"/>
        </w:rPr>
        <w:t xml:space="preserve"> </w:t>
      </w:r>
      <w:r>
        <w:rPr>
          <w:lang w:val="sr-Cyrl-CS"/>
        </w:rPr>
        <w:t>učinilac</w:t>
      </w:r>
      <w:r w:rsidR="007606A2" w:rsidRPr="00E95BC4">
        <w:rPr>
          <w:lang w:val="sr-Cyrl-CS"/>
        </w:rPr>
        <w:t xml:space="preserve"> </w:t>
      </w:r>
      <w:r>
        <w:rPr>
          <w:lang w:val="sr-Cyrl-CS"/>
        </w:rPr>
        <w:t>krivičnog</w:t>
      </w:r>
      <w:r w:rsidR="007606A2" w:rsidRPr="00E95BC4">
        <w:rPr>
          <w:lang w:val="sr-Cyrl-CS"/>
        </w:rPr>
        <w:t xml:space="preserve"> </w:t>
      </w:r>
      <w:r>
        <w:rPr>
          <w:lang w:val="sr-Cyrl-CS"/>
        </w:rPr>
        <w:t>dela</w:t>
      </w:r>
      <w:r w:rsidR="007606A2" w:rsidRPr="00E95BC4">
        <w:rPr>
          <w:lang w:val="sr-Cyrl-CS"/>
        </w:rPr>
        <w:t xml:space="preserve"> </w:t>
      </w:r>
      <w:r>
        <w:rPr>
          <w:lang w:val="sr-Cyrl-CS"/>
        </w:rPr>
        <w:t>odgovorno</w:t>
      </w:r>
      <w:r w:rsidR="007606A2" w:rsidRPr="00E95BC4">
        <w:rPr>
          <w:lang w:val="sr-Cyrl-CS"/>
        </w:rPr>
        <w:t xml:space="preserve"> </w:t>
      </w:r>
      <w:r>
        <w:rPr>
          <w:lang w:val="sr-Cyrl-CS"/>
        </w:rPr>
        <w:t>lice</w:t>
      </w:r>
      <w:r w:rsidR="007606A2" w:rsidRPr="00E95BC4">
        <w:rPr>
          <w:lang w:val="sr-Cyrl-CS"/>
        </w:rPr>
        <w:t xml:space="preserve"> </w:t>
      </w:r>
      <w:r>
        <w:rPr>
          <w:lang w:val="sr-Cyrl-CS"/>
        </w:rPr>
        <w:t>u</w:t>
      </w:r>
      <w:r w:rsidR="007606A2" w:rsidRPr="00E95BC4">
        <w:rPr>
          <w:lang w:val="sr-Cyrl-CS"/>
        </w:rPr>
        <w:t xml:space="preserve"> </w:t>
      </w:r>
      <w:r>
        <w:rPr>
          <w:lang w:val="sr-Cyrl-CS"/>
        </w:rPr>
        <w:t>pravnom</w:t>
      </w:r>
      <w:r w:rsidR="007606A2" w:rsidRPr="00E95BC4">
        <w:rPr>
          <w:lang w:val="sr-Cyrl-CS"/>
        </w:rPr>
        <w:t xml:space="preserve"> </w:t>
      </w:r>
      <w:r>
        <w:rPr>
          <w:lang w:val="sr-Cyrl-CS"/>
        </w:rPr>
        <w:t>licu</w:t>
      </w:r>
      <w:r w:rsidR="007606A2" w:rsidRPr="00E95BC4">
        <w:rPr>
          <w:lang w:val="sr-Cyrl-CS"/>
        </w:rPr>
        <w:t xml:space="preserve">. </w:t>
      </w:r>
      <w:r>
        <w:rPr>
          <w:lang w:val="sr-Cyrl-CS"/>
        </w:rPr>
        <w:t>Ono</w:t>
      </w:r>
      <w:r w:rsidR="007606A2" w:rsidRPr="00E95BC4">
        <w:rPr>
          <w:lang w:val="sr-Cyrl-CS"/>
        </w:rPr>
        <w:t xml:space="preserve"> </w:t>
      </w:r>
      <w:r>
        <w:rPr>
          <w:lang w:val="sr-Cyrl-CS"/>
        </w:rPr>
        <w:t>je</w:t>
      </w:r>
      <w:r w:rsidR="007606A2" w:rsidRPr="00E95BC4">
        <w:rPr>
          <w:lang w:val="sr-Cyrl-CS"/>
        </w:rPr>
        <w:t xml:space="preserve"> </w:t>
      </w:r>
      <w:r>
        <w:rPr>
          <w:lang w:val="sr-Cyrl-CS"/>
        </w:rPr>
        <w:t>doneto</w:t>
      </w:r>
      <w:r w:rsidR="007606A2" w:rsidRPr="00E95BC4">
        <w:rPr>
          <w:lang w:val="sr-Cyrl-CS"/>
        </w:rPr>
        <w:t xml:space="preserve"> </w:t>
      </w:r>
      <w:r>
        <w:rPr>
          <w:lang w:val="sr-Cyrl-CS"/>
        </w:rPr>
        <w:t>i</w:t>
      </w:r>
      <w:r w:rsidR="007606A2" w:rsidRPr="00E95BC4">
        <w:rPr>
          <w:lang w:val="sr-Cyrl-CS"/>
        </w:rPr>
        <w:t xml:space="preserve"> </w:t>
      </w:r>
      <w:r>
        <w:rPr>
          <w:lang w:val="sr-Cyrl-CS"/>
        </w:rPr>
        <w:t>u</w:t>
      </w:r>
      <w:r w:rsidR="007606A2" w:rsidRPr="00E95BC4">
        <w:rPr>
          <w:lang w:val="sr-Cyrl-CS"/>
        </w:rPr>
        <w:t xml:space="preserve"> </w:t>
      </w:r>
      <w:r>
        <w:rPr>
          <w:lang w:val="sr-Cyrl-CS"/>
        </w:rPr>
        <w:t>cilju</w:t>
      </w:r>
      <w:r w:rsidR="007606A2" w:rsidRPr="00E95BC4">
        <w:rPr>
          <w:lang w:val="sr-Cyrl-CS"/>
        </w:rPr>
        <w:t xml:space="preserve"> </w:t>
      </w:r>
      <w:r>
        <w:rPr>
          <w:lang w:val="sr-Cyrl-CS"/>
        </w:rPr>
        <w:t>realizacije</w:t>
      </w:r>
      <w:r w:rsidR="007606A2" w:rsidRPr="00E95BC4">
        <w:rPr>
          <w:lang w:val="sr-Cyrl-CS"/>
        </w:rPr>
        <w:t xml:space="preserve"> </w:t>
      </w:r>
      <w:r>
        <w:rPr>
          <w:lang w:val="sr-Cyrl-CS"/>
        </w:rPr>
        <w:t>aktivnosti</w:t>
      </w:r>
      <w:r w:rsidR="007606A2" w:rsidRPr="00E95BC4">
        <w:rPr>
          <w:lang w:val="sr-Cyrl-CS"/>
        </w:rPr>
        <w:t xml:space="preserve"> </w:t>
      </w:r>
      <w:r>
        <w:rPr>
          <w:lang w:val="sr-Cyrl-CS"/>
        </w:rPr>
        <w:t>predviđenih</w:t>
      </w:r>
      <w:r w:rsidR="007606A2" w:rsidRPr="00E95BC4">
        <w:rPr>
          <w:lang w:val="sr-Cyrl-CS"/>
        </w:rPr>
        <w:t xml:space="preserve"> </w:t>
      </w:r>
      <w:r>
        <w:rPr>
          <w:lang w:val="sr-Cyrl-CS"/>
        </w:rPr>
        <w:t>Akcionim</w:t>
      </w:r>
      <w:r w:rsidR="007606A2" w:rsidRPr="00E95BC4">
        <w:rPr>
          <w:lang w:val="sr-Cyrl-CS"/>
        </w:rPr>
        <w:t xml:space="preserve"> </w:t>
      </w:r>
      <w:r>
        <w:rPr>
          <w:lang w:val="sr-Cyrl-CS"/>
        </w:rPr>
        <w:t>planom</w:t>
      </w:r>
      <w:r w:rsidR="007606A2" w:rsidRPr="00E95BC4">
        <w:rPr>
          <w:lang w:val="sr-Cyrl-CS"/>
        </w:rPr>
        <w:t xml:space="preserve"> </w:t>
      </w:r>
      <w:r>
        <w:rPr>
          <w:lang w:val="sr-Cyrl-CS"/>
        </w:rPr>
        <w:t>za</w:t>
      </w:r>
      <w:r w:rsidR="007606A2" w:rsidRPr="00E95BC4">
        <w:rPr>
          <w:lang w:val="sr-Cyrl-CS"/>
        </w:rPr>
        <w:t xml:space="preserve"> </w:t>
      </w:r>
      <w:r>
        <w:rPr>
          <w:lang w:val="sr-Cyrl-CS"/>
        </w:rPr>
        <w:t>sprovođenje</w:t>
      </w:r>
      <w:r w:rsidR="007606A2" w:rsidRPr="00E95BC4">
        <w:rPr>
          <w:lang w:val="sr-Cyrl-CS"/>
        </w:rPr>
        <w:t xml:space="preserve"> </w:t>
      </w:r>
      <w:r>
        <w:rPr>
          <w:lang w:val="sr-Cyrl-CS"/>
        </w:rPr>
        <w:t>preporuka</w:t>
      </w:r>
      <w:r w:rsidR="007606A2" w:rsidRPr="00E95BC4">
        <w:rPr>
          <w:lang w:val="sr-Cyrl-CS"/>
        </w:rPr>
        <w:t xml:space="preserve"> </w:t>
      </w:r>
      <w:r>
        <w:rPr>
          <w:lang w:val="sr-Cyrl-CS"/>
        </w:rPr>
        <w:t>iz</w:t>
      </w:r>
      <w:r w:rsidR="007606A2" w:rsidRPr="00E95BC4">
        <w:rPr>
          <w:lang w:val="sr-Cyrl-CS"/>
        </w:rPr>
        <w:t xml:space="preserve"> </w:t>
      </w:r>
      <w:r>
        <w:rPr>
          <w:lang w:val="sr-Cyrl-CS"/>
        </w:rPr>
        <w:t>procene</w:t>
      </w:r>
      <w:r w:rsidR="007606A2" w:rsidRPr="00E95BC4">
        <w:rPr>
          <w:lang w:val="sr-Cyrl-CS"/>
        </w:rPr>
        <w:t xml:space="preserve"> </w:t>
      </w:r>
      <w:r>
        <w:rPr>
          <w:lang w:val="sr-Cyrl-CS"/>
        </w:rPr>
        <w:t>rizika</w:t>
      </w:r>
      <w:r w:rsidR="007606A2" w:rsidRPr="00E95BC4">
        <w:rPr>
          <w:lang w:val="sr-Cyrl-CS"/>
        </w:rPr>
        <w:t xml:space="preserve"> </w:t>
      </w:r>
      <w:r>
        <w:rPr>
          <w:lang w:val="sr-Cyrl-CS"/>
        </w:rPr>
        <w:t>za</w:t>
      </w:r>
      <w:r w:rsidR="007606A2" w:rsidRPr="00E95BC4">
        <w:rPr>
          <w:lang w:val="sr-Cyrl-CS"/>
        </w:rPr>
        <w:t xml:space="preserve"> </w:t>
      </w:r>
      <w:r>
        <w:rPr>
          <w:lang w:val="sr-Cyrl-CS"/>
        </w:rPr>
        <w:t>pranje</w:t>
      </w:r>
      <w:r w:rsidR="007606A2" w:rsidRPr="00E95BC4">
        <w:rPr>
          <w:lang w:val="sr-Cyrl-CS"/>
        </w:rPr>
        <w:t xml:space="preserve"> </w:t>
      </w:r>
      <w:r>
        <w:rPr>
          <w:lang w:val="sr-Cyrl-CS"/>
        </w:rPr>
        <w:t>novca</w:t>
      </w:r>
      <w:r w:rsidR="007606A2" w:rsidRPr="00E95BC4">
        <w:rPr>
          <w:lang w:val="sr-Cyrl-CS"/>
        </w:rPr>
        <w:t xml:space="preserve"> </w:t>
      </w:r>
      <w:r>
        <w:rPr>
          <w:lang w:val="sr-Cyrl-CS"/>
        </w:rPr>
        <w:t>i</w:t>
      </w:r>
      <w:r w:rsidR="007606A2" w:rsidRPr="00E95BC4">
        <w:rPr>
          <w:lang w:val="sr-Cyrl-CS"/>
        </w:rPr>
        <w:t xml:space="preserve"> </w:t>
      </w:r>
      <w:r>
        <w:rPr>
          <w:lang w:val="sr-Cyrl-CS"/>
        </w:rPr>
        <w:t>finansiranje</w:t>
      </w:r>
      <w:r w:rsidR="007606A2" w:rsidRPr="00E95BC4">
        <w:rPr>
          <w:lang w:val="sr-Cyrl-CS"/>
        </w:rPr>
        <w:t xml:space="preserve"> </w:t>
      </w:r>
      <w:r>
        <w:rPr>
          <w:lang w:val="sr-Cyrl-CS"/>
        </w:rPr>
        <w:t>terorizma</w:t>
      </w:r>
      <w:r w:rsidR="007606A2" w:rsidRPr="00E95BC4">
        <w:rPr>
          <w:lang w:val="sr-Cyrl-CS"/>
        </w:rPr>
        <w:t xml:space="preserve"> (</w:t>
      </w:r>
      <w:r w:rsidR="00842D2B" w:rsidRPr="00E95BC4">
        <w:rPr>
          <w:lang w:val="sr-Cyrl-CS"/>
        </w:rPr>
        <w:t>„</w:t>
      </w:r>
      <w:r>
        <w:rPr>
          <w:lang w:val="sr-Cyrl-CS"/>
        </w:rPr>
        <w:t>Službeni</w:t>
      </w:r>
      <w:r w:rsidR="007606A2" w:rsidRPr="00E95BC4">
        <w:rPr>
          <w:lang w:val="sr-Cyrl-CS"/>
        </w:rPr>
        <w:t xml:space="preserve"> </w:t>
      </w:r>
      <w:r>
        <w:rPr>
          <w:lang w:val="sr-Cyrl-CS"/>
        </w:rPr>
        <w:t>glasnik</w:t>
      </w:r>
      <w:r w:rsidR="007606A2" w:rsidRPr="00E95BC4">
        <w:rPr>
          <w:lang w:val="sr-Cyrl-CS"/>
        </w:rPr>
        <w:t xml:space="preserve"> </w:t>
      </w:r>
      <w:r>
        <w:rPr>
          <w:lang w:val="sr-Cyrl-CS"/>
        </w:rPr>
        <w:t>RS</w:t>
      </w:r>
      <w:r w:rsidR="00842D2B" w:rsidRPr="00E95BC4">
        <w:rPr>
          <w:lang w:val="sr-Cyrl-CS"/>
        </w:rPr>
        <w:t>”,</w:t>
      </w:r>
      <w:r w:rsidR="007606A2" w:rsidRPr="00E95BC4">
        <w:rPr>
          <w:lang w:val="sr-Cyrl-CS"/>
        </w:rPr>
        <w:t xml:space="preserve"> </w:t>
      </w:r>
      <w:r>
        <w:rPr>
          <w:lang w:val="sr-Cyrl-CS"/>
        </w:rPr>
        <w:t>broj</w:t>
      </w:r>
      <w:r w:rsidR="00842D2B" w:rsidRPr="00E95BC4">
        <w:rPr>
          <w:lang w:val="sr-Cyrl-CS"/>
        </w:rPr>
        <w:t xml:space="preserve"> 55/18</w:t>
      </w:r>
      <w:r w:rsidR="007606A2" w:rsidRPr="00E95BC4">
        <w:rPr>
          <w:lang w:val="sr-Cyrl-CS"/>
        </w:rPr>
        <w:t xml:space="preserve">). </w:t>
      </w:r>
      <w:r>
        <w:rPr>
          <w:lang w:val="sr-Cyrl-CS"/>
        </w:rPr>
        <w:t>Akt</w:t>
      </w:r>
      <w:r w:rsidR="007606A2" w:rsidRPr="00E95BC4">
        <w:rPr>
          <w:lang w:val="sr-Cyrl-CS"/>
        </w:rPr>
        <w:t xml:space="preserve"> </w:t>
      </w:r>
      <w:r>
        <w:rPr>
          <w:lang w:val="sr-Cyrl-CS"/>
        </w:rPr>
        <w:t>je</w:t>
      </w:r>
      <w:r w:rsidR="007606A2" w:rsidRPr="00E95BC4">
        <w:rPr>
          <w:lang w:val="sr-Cyrl-CS"/>
        </w:rPr>
        <w:t xml:space="preserve"> </w:t>
      </w:r>
      <w:r>
        <w:rPr>
          <w:lang w:val="sr-Cyrl-CS"/>
        </w:rPr>
        <w:t>donet</w:t>
      </w:r>
      <w:r w:rsidR="007606A2" w:rsidRPr="00E95BC4">
        <w:rPr>
          <w:lang w:val="sr-Cyrl-CS"/>
        </w:rPr>
        <w:t xml:space="preserve"> </w:t>
      </w:r>
      <w:r>
        <w:rPr>
          <w:lang w:val="sr-Cyrl-CS"/>
        </w:rPr>
        <w:t>radi</w:t>
      </w:r>
      <w:r w:rsidR="007606A2" w:rsidRPr="00E95BC4">
        <w:rPr>
          <w:lang w:val="sr-Cyrl-CS"/>
        </w:rPr>
        <w:t xml:space="preserve"> </w:t>
      </w:r>
      <w:r>
        <w:rPr>
          <w:lang w:val="sr-Cyrl-CS"/>
        </w:rPr>
        <w:t>doslednijeg</w:t>
      </w:r>
      <w:r w:rsidR="007606A2" w:rsidRPr="00E95BC4">
        <w:rPr>
          <w:lang w:val="sr-Cyrl-CS"/>
        </w:rPr>
        <w:t xml:space="preserve"> </w:t>
      </w:r>
      <w:r>
        <w:rPr>
          <w:lang w:val="sr-Cyrl-CS"/>
        </w:rPr>
        <w:t>preduzimanja</w:t>
      </w:r>
      <w:r w:rsidR="007606A2" w:rsidRPr="00E95BC4">
        <w:rPr>
          <w:lang w:val="sr-Cyrl-CS"/>
        </w:rPr>
        <w:t xml:space="preserve"> </w:t>
      </w:r>
      <w:r>
        <w:rPr>
          <w:lang w:val="sr-Cyrl-CS"/>
        </w:rPr>
        <w:t>krivičnog</w:t>
      </w:r>
      <w:r w:rsidR="007606A2" w:rsidRPr="00E95BC4">
        <w:rPr>
          <w:lang w:val="sr-Cyrl-CS"/>
        </w:rPr>
        <w:t xml:space="preserve"> </w:t>
      </w:r>
      <w:r>
        <w:rPr>
          <w:lang w:val="sr-Cyrl-CS"/>
        </w:rPr>
        <w:t>gonjenja</w:t>
      </w:r>
      <w:r w:rsidR="007606A2" w:rsidRPr="00E95BC4">
        <w:rPr>
          <w:lang w:val="sr-Cyrl-CS"/>
        </w:rPr>
        <w:t xml:space="preserve"> </w:t>
      </w:r>
      <w:r>
        <w:rPr>
          <w:lang w:val="sr-Cyrl-CS"/>
        </w:rPr>
        <w:t>pravnih</w:t>
      </w:r>
      <w:r w:rsidR="007606A2" w:rsidRPr="00E95BC4">
        <w:rPr>
          <w:lang w:val="sr-Cyrl-CS"/>
        </w:rPr>
        <w:t xml:space="preserve"> </w:t>
      </w:r>
      <w:r>
        <w:rPr>
          <w:lang w:val="sr-Cyrl-CS"/>
        </w:rPr>
        <w:t>lica</w:t>
      </w:r>
      <w:r w:rsidR="007606A2" w:rsidRPr="00E95BC4">
        <w:rPr>
          <w:lang w:val="sr-Cyrl-CS"/>
        </w:rPr>
        <w:t xml:space="preserve"> </w:t>
      </w:r>
      <w:r>
        <w:rPr>
          <w:lang w:val="sr-Cyrl-CS"/>
        </w:rPr>
        <w:t>uključenih</w:t>
      </w:r>
      <w:r w:rsidR="007606A2" w:rsidRPr="00E95BC4">
        <w:rPr>
          <w:lang w:val="sr-Cyrl-CS"/>
        </w:rPr>
        <w:t xml:space="preserve"> </w:t>
      </w:r>
      <w:r>
        <w:rPr>
          <w:lang w:val="sr-Cyrl-CS"/>
        </w:rPr>
        <w:t>u</w:t>
      </w:r>
      <w:r w:rsidR="007606A2" w:rsidRPr="00E95BC4">
        <w:rPr>
          <w:lang w:val="sr-Cyrl-CS"/>
        </w:rPr>
        <w:t xml:space="preserve"> </w:t>
      </w:r>
      <w:r>
        <w:rPr>
          <w:lang w:val="sr-Cyrl-CS"/>
        </w:rPr>
        <w:t>vršenje</w:t>
      </w:r>
      <w:r w:rsidR="007606A2" w:rsidRPr="00E95BC4">
        <w:rPr>
          <w:lang w:val="sr-Cyrl-CS"/>
        </w:rPr>
        <w:t xml:space="preserve"> </w:t>
      </w:r>
      <w:r>
        <w:rPr>
          <w:lang w:val="sr-Cyrl-CS"/>
        </w:rPr>
        <w:t>krivičnih</w:t>
      </w:r>
      <w:r w:rsidR="007606A2" w:rsidRPr="00E95BC4">
        <w:rPr>
          <w:lang w:val="sr-Cyrl-CS"/>
        </w:rPr>
        <w:t xml:space="preserve"> </w:t>
      </w:r>
      <w:r>
        <w:rPr>
          <w:lang w:val="sr-Cyrl-CS"/>
        </w:rPr>
        <w:t>dela</w:t>
      </w:r>
      <w:r w:rsidR="007606A2" w:rsidRPr="00E95BC4">
        <w:rPr>
          <w:lang w:val="sr-Cyrl-CS"/>
        </w:rPr>
        <w:t xml:space="preserve"> </w:t>
      </w:r>
      <w:r>
        <w:rPr>
          <w:lang w:val="sr-Cyrl-CS"/>
        </w:rPr>
        <w:t>pranje</w:t>
      </w:r>
      <w:r w:rsidR="007606A2" w:rsidRPr="00E95BC4">
        <w:rPr>
          <w:lang w:val="sr-Cyrl-CS"/>
        </w:rPr>
        <w:t xml:space="preserve"> </w:t>
      </w:r>
      <w:r>
        <w:rPr>
          <w:lang w:val="sr-Cyrl-CS"/>
        </w:rPr>
        <w:t>novca</w:t>
      </w:r>
      <w:r w:rsidR="007606A2" w:rsidRPr="00E95BC4">
        <w:rPr>
          <w:lang w:val="sr-Cyrl-CS"/>
        </w:rPr>
        <w:t xml:space="preserve"> </w:t>
      </w:r>
      <w:r>
        <w:rPr>
          <w:lang w:val="sr-Cyrl-CS"/>
        </w:rPr>
        <w:t>i</w:t>
      </w:r>
      <w:r w:rsidR="007606A2" w:rsidRPr="00E95BC4">
        <w:rPr>
          <w:lang w:val="sr-Cyrl-CS"/>
        </w:rPr>
        <w:t xml:space="preserve"> </w:t>
      </w:r>
      <w:r>
        <w:rPr>
          <w:lang w:val="sr-Cyrl-CS"/>
        </w:rPr>
        <w:t>finansiranje</w:t>
      </w:r>
      <w:r w:rsidR="007606A2" w:rsidRPr="00E95BC4">
        <w:rPr>
          <w:lang w:val="sr-Cyrl-CS"/>
        </w:rPr>
        <w:t xml:space="preserve"> </w:t>
      </w:r>
      <w:r>
        <w:rPr>
          <w:lang w:val="sr-Cyrl-CS"/>
        </w:rPr>
        <w:t>terorizma</w:t>
      </w:r>
      <w:r w:rsidR="007606A2" w:rsidRPr="00E95BC4">
        <w:rPr>
          <w:lang w:val="sr-Cyrl-CS"/>
        </w:rPr>
        <w:t xml:space="preserve"> </w:t>
      </w:r>
      <w:r>
        <w:rPr>
          <w:lang w:val="sr-Cyrl-CS"/>
        </w:rPr>
        <w:t>i</w:t>
      </w:r>
      <w:r w:rsidR="007606A2" w:rsidRPr="00E95BC4">
        <w:rPr>
          <w:lang w:val="sr-Cyrl-CS"/>
        </w:rPr>
        <w:t xml:space="preserve"> </w:t>
      </w:r>
      <w:r>
        <w:rPr>
          <w:lang w:val="sr-Cyrl-CS"/>
        </w:rPr>
        <w:t>poštovanja</w:t>
      </w:r>
      <w:r w:rsidR="007606A2" w:rsidRPr="00E95BC4">
        <w:rPr>
          <w:lang w:val="sr-Cyrl-CS"/>
        </w:rPr>
        <w:t xml:space="preserve"> </w:t>
      </w:r>
      <w:r>
        <w:rPr>
          <w:lang w:val="sr-Cyrl-CS"/>
        </w:rPr>
        <w:t>principa</w:t>
      </w:r>
      <w:r w:rsidR="007606A2" w:rsidRPr="00E95BC4">
        <w:rPr>
          <w:lang w:val="sr-Cyrl-CS"/>
        </w:rPr>
        <w:t xml:space="preserve"> </w:t>
      </w:r>
      <w:r>
        <w:rPr>
          <w:lang w:val="sr-Cyrl-CS"/>
        </w:rPr>
        <w:t>legaliteta</w:t>
      </w:r>
      <w:r w:rsidR="007606A2" w:rsidRPr="00E95BC4">
        <w:rPr>
          <w:lang w:val="sr-Cyrl-CS"/>
        </w:rPr>
        <w:t xml:space="preserve"> </w:t>
      </w:r>
      <w:r>
        <w:rPr>
          <w:lang w:val="sr-Cyrl-CS"/>
        </w:rPr>
        <w:t>u</w:t>
      </w:r>
      <w:r w:rsidR="007606A2" w:rsidRPr="00E95BC4">
        <w:rPr>
          <w:lang w:val="sr-Cyrl-CS"/>
        </w:rPr>
        <w:t xml:space="preserve"> </w:t>
      </w:r>
      <w:r>
        <w:rPr>
          <w:lang w:val="sr-Cyrl-CS"/>
        </w:rPr>
        <w:t>krivičnom</w:t>
      </w:r>
      <w:r w:rsidR="007606A2" w:rsidRPr="00E95BC4">
        <w:rPr>
          <w:lang w:val="sr-Cyrl-CS"/>
        </w:rPr>
        <w:t xml:space="preserve"> </w:t>
      </w:r>
      <w:r>
        <w:rPr>
          <w:lang w:val="sr-Cyrl-CS"/>
        </w:rPr>
        <w:t>gonjenju</w:t>
      </w:r>
      <w:r w:rsidR="007606A2" w:rsidRPr="00E95BC4">
        <w:rPr>
          <w:lang w:val="sr-Cyrl-CS"/>
        </w:rPr>
        <w:t xml:space="preserve">. </w:t>
      </w:r>
      <w:r>
        <w:rPr>
          <w:lang w:val="sr-Cyrl-CS"/>
        </w:rPr>
        <w:t>Ovim</w:t>
      </w:r>
      <w:r w:rsidR="007606A2" w:rsidRPr="00E95BC4">
        <w:rPr>
          <w:lang w:val="sr-Cyrl-CS"/>
        </w:rPr>
        <w:t xml:space="preserve"> </w:t>
      </w:r>
      <w:r>
        <w:rPr>
          <w:lang w:val="sr-Cyrl-CS"/>
        </w:rPr>
        <w:t>uputstvom</w:t>
      </w:r>
      <w:r w:rsidR="007606A2" w:rsidRPr="00E95BC4">
        <w:rPr>
          <w:lang w:val="sr-Cyrl-CS"/>
        </w:rPr>
        <w:t xml:space="preserve"> </w:t>
      </w:r>
      <w:r>
        <w:rPr>
          <w:lang w:val="sr-Cyrl-CS"/>
        </w:rPr>
        <w:t>je</w:t>
      </w:r>
      <w:r w:rsidR="007606A2" w:rsidRPr="00E95BC4">
        <w:rPr>
          <w:lang w:val="sr-Cyrl-CS"/>
        </w:rPr>
        <w:t xml:space="preserve"> </w:t>
      </w:r>
      <w:r>
        <w:rPr>
          <w:lang w:val="sr-Cyrl-CS"/>
        </w:rPr>
        <w:t>naglašena</w:t>
      </w:r>
      <w:r w:rsidR="007606A2" w:rsidRPr="00E95BC4">
        <w:rPr>
          <w:lang w:val="sr-Cyrl-CS"/>
        </w:rPr>
        <w:t xml:space="preserve"> </w:t>
      </w:r>
      <w:r>
        <w:rPr>
          <w:lang w:val="sr-Cyrl-CS"/>
        </w:rPr>
        <w:t>obaveza</w:t>
      </w:r>
      <w:r w:rsidR="007606A2" w:rsidRPr="00E95BC4">
        <w:rPr>
          <w:lang w:val="sr-Cyrl-CS"/>
        </w:rPr>
        <w:t xml:space="preserve"> </w:t>
      </w:r>
      <w:r>
        <w:rPr>
          <w:lang w:val="sr-Cyrl-CS"/>
        </w:rPr>
        <w:t>da</w:t>
      </w:r>
      <w:r w:rsidR="007606A2" w:rsidRPr="00E95BC4">
        <w:rPr>
          <w:lang w:val="sr-Cyrl-CS"/>
        </w:rPr>
        <w:t xml:space="preserve"> </w:t>
      </w:r>
      <w:r>
        <w:rPr>
          <w:lang w:val="sr-Cyrl-CS"/>
        </w:rPr>
        <w:t>nadležna</w:t>
      </w:r>
      <w:r w:rsidR="007606A2" w:rsidRPr="00E95BC4">
        <w:rPr>
          <w:lang w:val="sr-Cyrl-CS"/>
        </w:rPr>
        <w:t xml:space="preserve"> </w:t>
      </w:r>
      <w:r>
        <w:rPr>
          <w:lang w:val="sr-Cyrl-CS"/>
        </w:rPr>
        <w:t>javna</w:t>
      </w:r>
      <w:r w:rsidR="007606A2" w:rsidRPr="00E95BC4">
        <w:rPr>
          <w:lang w:val="sr-Cyrl-CS"/>
        </w:rPr>
        <w:t xml:space="preserve"> </w:t>
      </w:r>
      <w:r>
        <w:rPr>
          <w:lang w:val="sr-Cyrl-CS"/>
        </w:rPr>
        <w:t>tužilaštva</w:t>
      </w:r>
      <w:r w:rsidR="007606A2" w:rsidRPr="00E95BC4">
        <w:rPr>
          <w:lang w:val="sr-Cyrl-CS"/>
        </w:rPr>
        <w:t xml:space="preserve"> </w:t>
      </w:r>
      <w:r>
        <w:rPr>
          <w:lang w:val="sr-Cyrl-CS"/>
        </w:rPr>
        <w:t>prilikom</w:t>
      </w:r>
      <w:r w:rsidR="007606A2" w:rsidRPr="00E95BC4">
        <w:rPr>
          <w:lang w:val="sr-Cyrl-CS"/>
        </w:rPr>
        <w:t xml:space="preserve"> </w:t>
      </w:r>
      <w:r>
        <w:rPr>
          <w:lang w:val="sr-Cyrl-CS"/>
        </w:rPr>
        <w:t>postupanja</w:t>
      </w:r>
      <w:r w:rsidR="007606A2" w:rsidRPr="00E95BC4">
        <w:rPr>
          <w:lang w:val="sr-Cyrl-CS"/>
        </w:rPr>
        <w:t xml:space="preserve"> </w:t>
      </w:r>
      <w:r>
        <w:rPr>
          <w:lang w:val="sr-Cyrl-CS"/>
        </w:rPr>
        <w:t>u</w:t>
      </w:r>
      <w:r w:rsidR="007606A2" w:rsidRPr="00E95BC4">
        <w:rPr>
          <w:lang w:val="sr-Cyrl-CS"/>
        </w:rPr>
        <w:t xml:space="preserve"> </w:t>
      </w:r>
      <w:r>
        <w:rPr>
          <w:lang w:val="sr-Cyrl-CS"/>
        </w:rPr>
        <w:t>vezi</w:t>
      </w:r>
      <w:r w:rsidR="007606A2" w:rsidRPr="00E95BC4">
        <w:rPr>
          <w:lang w:val="sr-Cyrl-CS"/>
        </w:rPr>
        <w:t xml:space="preserve"> </w:t>
      </w:r>
      <w:r>
        <w:rPr>
          <w:lang w:val="sr-Cyrl-CS"/>
        </w:rPr>
        <w:t>sa</w:t>
      </w:r>
      <w:r w:rsidR="007606A2" w:rsidRPr="00E95BC4">
        <w:rPr>
          <w:lang w:val="sr-Cyrl-CS"/>
        </w:rPr>
        <w:t xml:space="preserve"> </w:t>
      </w:r>
      <w:r>
        <w:rPr>
          <w:lang w:val="sr-Cyrl-CS"/>
        </w:rPr>
        <w:t>krivičnim</w:t>
      </w:r>
      <w:r w:rsidR="007606A2" w:rsidRPr="00E95BC4">
        <w:rPr>
          <w:lang w:val="sr-Cyrl-CS"/>
        </w:rPr>
        <w:t xml:space="preserve"> </w:t>
      </w:r>
      <w:r>
        <w:rPr>
          <w:lang w:val="sr-Cyrl-CS"/>
        </w:rPr>
        <w:t>delima</w:t>
      </w:r>
      <w:r w:rsidR="007606A2" w:rsidRPr="00E95BC4">
        <w:rPr>
          <w:lang w:val="sr-Cyrl-CS"/>
        </w:rPr>
        <w:t xml:space="preserve"> </w:t>
      </w:r>
      <w:r>
        <w:rPr>
          <w:lang w:val="sr-Cyrl-CS"/>
        </w:rPr>
        <w:t>pranje</w:t>
      </w:r>
      <w:r w:rsidR="007606A2" w:rsidRPr="00E95BC4">
        <w:rPr>
          <w:lang w:val="sr-Cyrl-CS"/>
        </w:rPr>
        <w:t xml:space="preserve"> </w:t>
      </w:r>
      <w:r>
        <w:rPr>
          <w:lang w:val="sr-Cyrl-CS"/>
        </w:rPr>
        <w:t>novca</w:t>
      </w:r>
      <w:r w:rsidR="007606A2" w:rsidRPr="00E95BC4">
        <w:rPr>
          <w:lang w:val="sr-Cyrl-CS"/>
        </w:rPr>
        <w:t xml:space="preserve"> </w:t>
      </w:r>
      <w:r>
        <w:rPr>
          <w:lang w:val="sr-Cyrl-CS"/>
        </w:rPr>
        <w:t>i</w:t>
      </w:r>
      <w:r w:rsidR="007606A2" w:rsidRPr="00E95BC4">
        <w:rPr>
          <w:lang w:val="sr-Cyrl-CS"/>
        </w:rPr>
        <w:t xml:space="preserve"> </w:t>
      </w:r>
      <w:r>
        <w:rPr>
          <w:lang w:val="sr-Cyrl-CS"/>
        </w:rPr>
        <w:t>finansiranje</w:t>
      </w:r>
      <w:r w:rsidR="007606A2" w:rsidRPr="00E95BC4">
        <w:rPr>
          <w:lang w:val="sr-Cyrl-CS"/>
        </w:rPr>
        <w:t xml:space="preserve"> </w:t>
      </w:r>
      <w:r>
        <w:rPr>
          <w:lang w:val="sr-Cyrl-CS"/>
        </w:rPr>
        <w:t>terorizma</w:t>
      </w:r>
      <w:r w:rsidR="007606A2" w:rsidRPr="00E95BC4">
        <w:rPr>
          <w:lang w:val="sr-Cyrl-CS"/>
        </w:rPr>
        <w:t xml:space="preserve"> </w:t>
      </w:r>
      <w:r>
        <w:rPr>
          <w:lang w:val="sr-Cyrl-CS"/>
        </w:rPr>
        <w:t>svaki</w:t>
      </w:r>
      <w:r w:rsidR="007606A2" w:rsidRPr="00E95BC4">
        <w:rPr>
          <w:lang w:val="sr-Cyrl-CS"/>
        </w:rPr>
        <w:t xml:space="preserve"> </w:t>
      </w:r>
      <w:r>
        <w:rPr>
          <w:lang w:val="sr-Cyrl-CS"/>
        </w:rPr>
        <w:t>put</w:t>
      </w:r>
      <w:r w:rsidR="007606A2" w:rsidRPr="00E95BC4">
        <w:rPr>
          <w:lang w:val="sr-Cyrl-CS"/>
        </w:rPr>
        <w:t xml:space="preserve"> </w:t>
      </w:r>
      <w:r>
        <w:rPr>
          <w:lang w:val="sr-Cyrl-CS"/>
        </w:rPr>
        <w:t>preispitaju</w:t>
      </w:r>
      <w:r w:rsidR="007606A2" w:rsidRPr="00E95BC4">
        <w:rPr>
          <w:lang w:val="sr-Cyrl-CS"/>
        </w:rPr>
        <w:t xml:space="preserve"> </w:t>
      </w:r>
      <w:r>
        <w:rPr>
          <w:lang w:val="sr-Cyrl-CS"/>
        </w:rPr>
        <w:t>da</w:t>
      </w:r>
      <w:r w:rsidR="007606A2" w:rsidRPr="00E95BC4">
        <w:rPr>
          <w:lang w:val="sr-Cyrl-CS"/>
        </w:rPr>
        <w:t xml:space="preserve"> </w:t>
      </w:r>
      <w:r>
        <w:rPr>
          <w:lang w:val="sr-Cyrl-CS"/>
        </w:rPr>
        <w:t>li</w:t>
      </w:r>
      <w:r w:rsidR="007606A2" w:rsidRPr="00E95BC4">
        <w:rPr>
          <w:lang w:val="sr-Cyrl-CS"/>
        </w:rPr>
        <w:t xml:space="preserve"> </w:t>
      </w:r>
      <w:r>
        <w:rPr>
          <w:lang w:val="sr-Cyrl-CS"/>
        </w:rPr>
        <w:t>ima</w:t>
      </w:r>
      <w:r w:rsidR="007606A2" w:rsidRPr="00E95BC4">
        <w:rPr>
          <w:lang w:val="sr-Cyrl-CS"/>
        </w:rPr>
        <w:t xml:space="preserve"> </w:t>
      </w:r>
      <w:r>
        <w:rPr>
          <w:lang w:val="sr-Cyrl-CS"/>
        </w:rPr>
        <w:t>osnova</w:t>
      </w:r>
      <w:r w:rsidR="007606A2" w:rsidRPr="00E95BC4">
        <w:rPr>
          <w:lang w:val="sr-Cyrl-CS"/>
        </w:rPr>
        <w:t xml:space="preserve"> </w:t>
      </w:r>
      <w:r>
        <w:rPr>
          <w:lang w:val="sr-Cyrl-CS"/>
        </w:rPr>
        <w:t>za</w:t>
      </w:r>
      <w:r w:rsidR="007606A2" w:rsidRPr="00E95BC4">
        <w:rPr>
          <w:lang w:val="sr-Cyrl-CS"/>
        </w:rPr>
        <w:t xml:space="preserve"> </w:t>
      </w:r>
      <w:r>
        <w:rPr>
          <w:lang w:val="sr-Cyrl-CS"/>
        </w:rPr>
        <w:t>pokretanje</w:t>
      </w:r>
      <w:r w:rsidR="007606A2" w:rsidRPr="00E95BC4">
        <w:rPr>
          <w:lang w:val="sr-Cyrl-CS"/>
        </w:rPr>
        <w:t xml:space="preserve"> </w:t>
      </w:r>
      <w:r>
        <w:rPr>
          <w:lang w:val="sr-Cyrl-CS"/>
        </w:rPr>
        <w:t>krivičnog</w:t>
      </w:r>
      <w:r w:rsidR="007606A2" w:rsidRPr="00E95BC4">
        <w:rPr>
          <w:lang w:val="sr-Cyrl-CS"/>
        </w:rPr>
        <w:t xml:space="preserve"> </w:t>
      </w:r>
      <w:r>
        <w:rPr>
          <w:lang w:val="sr-Cyrl-CS"/>
        </w:rPr>
        <w:t>postupka</w:t>
      </w:r>
      <w:r w:rsidR="007606A2" w:rsidRPr="00E95BC4">
        <w:rPr>
          <w:lang w:val="sr-Cyrl-CS"/>
        </w:rPr>
        <w:t xml:space="preserve"> </w:t>
      </w:r>
      <w:r>
        <w:rPr>
          <w:lang w:val="sr-Cyrl-CS"/>
        </w:rPr>
        <w:t>i</w:t>
      </w:r>
      <w:r w:rsidR="007606A2" w:rsidRPr="00E95BC4">
        <w:rPr>
          <w:lang w:val="sr-Cyrl-CS"/>
        </w:rPr>
        <w:t xml:space="preserve"> </w:t>
      </w:r>
      <w:r>
        <w:rPr>
          <w:lang w:val="sr-Cyrl-CS"/>
        </w:rPr>
        <w:t>protiv</w:t>
      </w:r>
      <w:r w:rsidR="007606A2" w:rsidRPr="00E95BC4">
        <w:rPr>
          <w:lang w:val="sr-Cyrl-CS"/>
        </w:rPr>
        <w:t xml:space="preserve"> </w:t>
      </w:r>
      <w:r>
        <w:rPr>
          <w:lang w:val="sr-Cyrl-CS"/>
        </w:rPr>
        <w:t>pravnog</w:t>
      </w:r>
      <w:r w:rsidR="007606A2" w:rsidRPr="00E95BC4">
        <w:rPr>
          <w:lang w:val="sr-Cyrl-CS"/>
        </w:rPr>
        <w:t xml:space="preserve"> </w:t>
      </w:r>
      <w:r>
        <w:rPr>
          <w:lang w:val="sr-Cyrl-CS"/>
        </w:rPr>
        <w:t>lica</w:t>
      </w:r>
      <w:r w:rsidR="007606A2" w:rsidRPr="00E95BC4">
        <w:rPr>
          <w:lang w:val="sr-Cyrl-CS"/>
        </w:rPr>
        <w:t xml:space="preserve"> </w:t>
      </w:r>
      <w:r>
        <w:rPr>
          <w:lang w:val="sr-Cyrl-CS"/>
        </w:rPr>
        <w:t>i</w:t>
      </w:r>
      <w:r w:rsidR="007606A2" w:rsidRPr="00E95BC4">
        <w:rPr>
          <w:lang w:val="sr-Cyrl-CS"/>
        </w:rPr>
        <w:t xml:space="preserve"> </w:t>
      </w:r>
      <w:r>
        <w:rPr>
          <w:lang w:val="sr-Cyrl-CS"/>
        </w:rPr>
        <w:t>da</w:t>
      </w:r>
      <w:r w:rsidR="007606A2" w:rsidRPr="00E95BC4">
        <w:rPr>
          <w:lang w:val="sr-Cyrl-CS"/>
        </w:rPr>
        <w:t xml:space="preserve"> </w:t>
      </w:r>
      <w:r>
        <w:rPr>
          <w:lang w:val="sr-Cyrl-CS"/>
        </w:rPr>
        <w:t>takve</w:t>
      </w:r>
      <w:r w:rsidR="007606A2" w:rsidRPr="00E95BC4">
        <w:rPr>
          <w:lang w:val="sr-Cyrl-CS"/>
        </w:rPr>
        <w:t xml:space="preserve"> </w:t>
      </w:r>
      <w:r>
        <w:rPr>
          <w:lang w:val="sr-Cyrl-CS"/>
        </w:rPr>
        <w:t>postupke</w:t>
      </w:r>
      <w:r w:rsidR="007606A2" w:rsidRPr="00E95BC4">
        <w:rPr>
          <w:lang w:val="sr-Cyrl-CS"/>
        </w:rPr>
        <w:t xml:space="preserve"> </w:t>
      </w:r>
      <w:r>
        <w:rPr>
          <w:lang w:val="sr-Cyrl-CS"/>
        </w:rPr>
        <w:t>pokreću</w:t>
      </w:r>
      <w:r w:rsidR="007606A2" w:rsidRPr="00E95BC4">
        <w:rPr>
          <w:lang w:val="sr-Cyrl-CS"/>
        </w:rPr>
        <w:t xml:space="preserve"> </w:t>
      </w:r>
      <w:r>
        <w:rPr>
          <w:lang w:val="sr-Cyrl-CS"/>
        </w:rPr>
        <w:t>u</w:t>
      </w:r>
      <w:r w:rsidR="007606A2" w:rsidRPr="00E95BC4">
        <w:rPr>
          <w:lang w:val="sr-Cyrl-CS"/>
        </w:rPr>
        <w:t xml:space="preserve"> </w:t>
      </w:r>
      <w:r>
        <w:rPr>
          <w:lang w:val="sr-Cyrl-CS"/>
        </w:rPr>
        <w:t>svim</w:t>
      </w:r>
      <w:r w:rsidR="007606A2" w:rsidRPr="00E95BC4">
        <w:rPr>
          <w:lang w:val="sr-Cyrl-CS"/>
        </w:rPr>
        <w:t xml:space="preserve"> </w:t>
      </w:r>
      <w:r>
        <w:rPr>
          <w:lang w:val="sr-Cyrl-CS"/>
        </w:rPr>
        <w:t>situacijama</w:t>
      </w:r>
      <w:r w:rsidR="007606A2" w:rsidRPr="00E95BC4">
        <w:rPr>
          <w:lang w:val="sr-Cyrl-CS"/>
        </w:rPr>
        <w:t xml:space="preserve"> </w:t>
      </w:r>
      <w:r>
        <w:rPr>
          <w:lang w:val="sr-Cyrl-CS"/>
        </w:rPr>
        <w:t>kada</w:t>
      </w:r>
      <w:r w:rsidR="007606A2" w:rsidRPr="00E95BC4">
        <w:rPr>
          <w:lang w:val="sr-Cyrl-CS"/>
        </w:rPr>
        <w:t xml:space="preserve"> </w:t>
      </w:r>
      <w:r>
        <w:rPr>
          <w:lang w:val="sr-Cyrl-CS"/>
        </w:rPr>
        <w:t>su</w:t>
      </w:r>
      <w:r w:rsidR="007606A2" w:rsidRPr="00E95BC4">
        <w:rPr>
          <w:lang w:val="sr-Cyrl-CS"/>
        </w:rPr>
        <w:t xml:space="preserve"> </w:t>
      </w:r>
      <w:r>
        <w:rPr>
          <w:lang w:val="sr-Cyrl-CS"/>
        </w:rPr>
        <w:t>za</w:t>
      </w:r>
      <w:r w:rsidR="007606A2" w:rsidRPr="00E95BC4">
        <w:rPr>
          <w:lang w:val="sr-Cyrl-CS"/>
        </w:rPr>
        <w:t xml:space="preserve"> </w:t>
      </w:r>
      <w:r>
        <w:rPr>
          <w:lang w:val="sr-Cyrl-CS"/>
        </w:rPr>
        <w:t>to</w:t>
      </w:r>
      <w:r w:rsidR="007606A2" w:rsidRPr="00E95BC4">
        <w:rPr>
          <w:lang w:val="sr-Cyrl-CS"/>
        </w:rPr>
        <w:t xml:space="preserve"> </w:t>
      </w:r>
      <w:r>
        <w:rPr>
          <w:lang w:val="sr-Cyrl-CS"/>
        </w:rPr>
        <w:t>ispunjeni</w:t>
      </w:r>
      <w:r w:rsidR="007606A2" w:rsidRPr="00E95BC4">
        <w:rPr>
          <w:lang w:val="sr-Cyrl-CS"/>
        </w:rPr>
        <w:t xml:space="preserve"> </w:t>
      </w:r>
      <w:r>
        <w:rPr>
          <w:lang w:val="sr-Cyrl-CS"/>
        </w:rPr>
        <w:t>uslovi</w:t>
      </w:r>
      <w:r w:rsidR="007606A2" w:rsidRPr="00E95BC4">
        <w:rPr>
          <w:lang w:val="sr-Cyrl-CS"/>
        </w:rPr>
        <w:t xml:space="preserve"> </w:t>
      </w:r>
      <w:r>
        <w:rPr>
          <w:lang w:val="sr-Cyrl-CS"/>
        </w:rPr>
        <w:t>iz</w:t>
      </w:r>
      <w:r w:rsidR="007606A2" w:rsidRPr="00E95BC4">
        <w:rPr>
          <w:lang w:val="sr-Cyrl-CS"/>
        </w:rPr>
        <w:t xml:space="preserve"> </w:t>
      </w:r>
      <w:r>
        <w:rPr>
          <w:lang w:val="sr-Cyrl-CS"/>
        </w:rPr>
        <w:t>Zakona</w:t>
      </w:r>
      <w:r w:rsidR="007606A2" w:rsidRPr="00E95BC4">
        <w:rPr>
          <w:lang w:val="sr-Cyrl-CS"/>
        </w:rPr>
        <w:t xml:space="preserve"> </w:t>
      </w:r>
      <w:r>
        <w:rPr>
          <w:lang w:val="sr-Cyrl-CS"/>
        </w:rPr>
        <w:t>o</w:t>
      </w:r>
      <w:r w:rsidR="007606A2" w:rsidRPr="00E95BC4">
        <w:rPr>
          <w:lang w:val="sr-Cyrl-CS"/>
        </w:rPr>
        <w:t xml:space="preserve"> </w:t>
      </w:r>
      <w:r>
        <w:rPr>
          <w:lang w:val="sr-Cyrl-CS"/>
        </w:rPr>
        <w:t>odgovornosti</w:t>
      </w:r>
      <w:r w:rsidR="007606A2" w:rsidRPr="00E95BC4">
        <w:rPr>
          <w:lang w:val="sr-Cyrl-CS"/>
        </w:rPr>
        <w:t xml:space="preserve"> </w:t>
      </w:r>
      <w:r>
        <w:rPr>
          <w:lang w:val="sr-Cyrl-CS"/>
        </w:rPr>
        <w:t>pravnih</w:t>
      </w:r>
      <w:r w:rsidR="007606A2" w:rsidRPr="00E95BC4">
        <w:rPr>
          <w:lang w:val="sr-Cyrl-CS"/>
        </w:rPr>
        <w:t xml:space="preserve"> </w:t>
      </w:r>
      <w:r>
        <w:rPr>
          <w:lang w:val="sr-Cyrl-CS"/>
        </w:rPr>
        <w:t>lica</w:t>
      </w:r>
      <w:r w:rsidR="007606A2" w:rsidRPr="00E95BC4">
        <w:rPr>
          <w:lang w:val="sr-Cyrl-CS"/>
        </w:rPr>
        <w:t xml:space="preserve"> </w:t>
      </w:r>
      <w:r>
        <w:rPr>
          <w:lang w:val="sr-Cyrl-CS"/>
        </w:rPr>
        <w:t>za</w:t>
      </w:r>
      <w:r w:rsidR="007606A2" w:rsidRPr="00E95BC4">
        <w:rPr>
          <w:lang w:val="sr-Cyrl-CS"/>
        </w:rPr>
        <w:t xml:space="preserve"> </w:t>
      </w:r>
      <w:r>
        <w:rPr>
          <w:lang w:val="sr-Cyrl-CS"/>
        </w:rPr>
        <w:t>krivična</w:t>
      </w:r>
      <w:r w:rsidR="007606A2" w:rsidRPr="00E95BC4">
        <w:rPr>
          <w:lang w:val="sr-Cyrl-CS"/>
        </w:rPr>
        <w:t xml:space="preserve"> </w:t>
      </w:r>
      <w:r>
        <w:rPr>
          <w:lang w:val="sr-Cyrl-CS"/>
        </w:rPr>
        <w:t>dela</w:t>
      </w:r>
      <w:r w:rsidR="007606A2" w:rsidRPr="00E95BC4">
        <w:rPr>
          <w:lang w:val="sr-Cyrl-CS"/>
        </w:rPr>
        <w:t xml:space="preserve">. </w:t>
      </w:r>
    </w:p>
    <w:p w:rsidR="00745C54" w:rsidRPr="00E95BC4" w:rsidRDefault="005818C0" w:rsidP="00745C54">
      <w:pPr>
        <w:ind w:firstLine="708"/>
        <w:jc w:val="both"/>
        <w:rPr>
          <w:lang w:val="sr-Cyrl-CS"/>
        </w:rPr>
      </w:pPr>
      <w:r>
        <w:rPr>
          <w:lang w:val="sr-Cyrl-CS"/>
        </w:rPr>
        <w:t>U</w:t>
      </w:r>
      <w:r w:rsidR="00745C54" w:rsidRPr="00E95BC4">
        <w:rPr>
          <w:lang w:val="sr-Cyrl-CS"/>
        </w:rPr>
        <w:t xml:space="preserve"> </w:t>
      </w:r>
      <w:r>
        <w:rPr>
          <w:lang w:val="sr-Cyrl-CS"/>
        </w:rPr>
        <w:t>Republici</w:t>
      </w:r>
      <w:r w:rsidR="00745C54" w:rsidRPr="00E95BC4">
        <w:rPr>
          <w:lang w:val="sr-Cyrl-CS"/>
        </w:rPr>
        <w:t xml:space="preserve"> </w:t>
      </w:r>
      <w:r>
        <w:rPr>
          <w:lang w:val="sr-Cyrl-CS"/>
        </w:rPr>
        <w:t>Srbiji</w:t>
      </w:r>
      <w:r w:rsidR="00745C54" w:rsidRPr="00E95BC4">
        <w:rPr>
          <w:lang w:val="sr-Cyrl-CS"/>
        </w:rPr>
        <w:t xml:space="preserve"> </w:t>
      </w:r>
      <w:r>
        <w:rPr>
          <w:i/>
          <w:lang w:val="sr-Cyrl-CS"/>
        </w:rPr>
        <w:t>oduzimanje</w:t>
      </w:r>
      <w:r w:rsidR="00745C54" w:rsidRPr="00E95BC4">
        <w:rPr>
          <w:i/>
          <w:lang w:val="sr-Cyrl-CS"/>
        </w:rPr>
        <w:t xml:space="preserve"> </w:t>
      </w:r>
      <w:r>
        <w:rPr>
          <w:i/>
          <w:lang w:val="sr-Cyrl-CS"/>
        </w:rPr>
        <w:t>imovine</w:t>
      </w:r>
      <w:r w:rsidR="00745C54" w:rsidRPr="00E95BC4">
        <w:rPr>
          <w:lang w:val="sr-Cyrl-CS"/>
        </w:rPr>
        <w:t xml:space="preserve"> </w:t>
      </w:r>
      <w:r>
        <w:rPr>
          <w:lang w:val="sr-Cyrl-CS"/>
        </w:rPr>
        <w:t>koja</w:t>
      </w:r>
      <w:r w:rsidR="00745C54" w:rsidRPr="00E95BC4">
        <w:rPr>
          <w:lang w:val="sr-Cyrl-CS"/>
        </w:rPr>
        <w:t xml:space="preserve"> </w:t>
      </w:r>
      <w:r>
        <w:rPr>
          <w:lang w:val="sr-Cyrl-CS"/>
        </w:rPr>
        <w:t>se</w:t>
      </w:r>
      <w:r w:rsidR="00745C54" w:rsidRPr="00E95BC4">
        <w:rPr>
          <w:lang w:val="sr-Cyrl-CS"/>
        </w:rPr>
        <w:t xml:space="preserve"> </w:t>
      </w:r>
      <w:r>
        <w:rPr>
          <w:lang w:val="sr-Cyrl-CS"/>
        </w:rPr>
        <w:t>dovodi</w:t>
      </w:r>
      <w:r w:rsidR="00745C54" w:rsidRPr="00E95BC4">
        <w:rPr>
          <w:lang w:val="sr-Cyrl-CS"/>
        </w:rPr>
        <w:t xml:space="preserve"> </w:t>
      </w:r>
      <w:r>
        <w:rPr>
          <w:lang w:val="sr-Cyrl-CS"/>
        </w:rPr>
        <w:t>u</w:t>
      </w:r>
      <w:r w:rsidR="00745C54" w:rsidRPr="00E95BC4">
        <w:rPr>
          <w:lang w:val="sr-Cyrl-CS"/>
        </w:rPr>
        <w:t xml:space="preserve"> </w:t>
      </w:r>
      <w:r>
        <w:rPr>
          <w:lang w:val="sr-Cyrl-CS"/>
        </w:rPr>
        <w:t>vezu</w:t>
      </w:r>
      <w:r w:rsidR="00745C54" w:rsidRPr="00E95BC4">
        <w:rPr>
          <w:lang w:val="sr-Cyrl-CS"/>
        </w:rPr>
        <w:t xml:space="preserve"> </w:t>
      </w:r>
      <w:r>
        <w:rPr>
          <w:lang w:val="sr-Cyrl-CS"/>
        </w:rPr>
        <w:t>sa</w:t>
      </w:r>
      <w:r w:rsidR="00745C54" w:rsidRPr="00E95BC4">
        <w:rPr>
          <w:lang w:val="sr-Cyrl-CS"/>
        </w:rPr>
        <w:t xml:space="preserve"> </w:t>
      </w:r>
      <w:r>
        <w:rPr>
          <w:lang w:val="sr-Cyrl-CS"/>
        </w:rPr>
        <w:t>krivičnim</w:t>
      </w:r>
      <w:r w:rsidR="00745C54" w:rsidRPr="00E95BC4">
        <w:rPr>
          <w:lang w:val="sr-Cyrl-CS"/>
        </w:rPr>
        <w:t xml:space="preserve"> </w:t>
      </w:r>
      <w:r>
        <w:rPr>
          <w:lang w:val="sr-Cyrl-CS"/>
        </w:rPr>
        <w:t>delima</w:t>
      </w:r>
      <w:r w:rsidR="00745C54" w:rsidRPr="00E95BC4">
        <w:rPr>
          <w:lang w:val="sr-Cyrl-CS"/>
        </w:rPr>
        <w:t xml:space="preserve"> </w:t>
      </w:r>
      <w:r>
        <w:rPr>
          <w:lang w:val="sr-Cyrl-CS"/>
        </w:rPr>
        <w:t>uređeno</w:t>
      </w:r>
      <w:r w:rsidR="00745C54" w:rsidRPr="00E95BC4">
        <w:rPr>
          <w:lang w:val="sr-Cyrl-CS"/>
        </w:rPr>
        <w:t xml:space="preserve"> </w:t>
      </w:r>
      <w:r>
        <w:rPr>
          <w:lang w:val="sr-Cyrl-CS"/>
        </w:rPr>
        <w:t>je</w:t>
      </w:r>
      <w:r w:rsidR="00745C54" w:rsidRPr="00E95BC4">
        <w:rPr>
          <w:lang w:val="sr-Cyrl-CS"/>
        </w:rPr>
        <w:t xml:space="preserve"> </w:t>
      </w:r>
      <w:r>
        <w:rPr>
          <w:i/>
          <w:lang w:val="sr-Cyrl-CS"/>
        </w:rPr>
        <w:t>Krivičnim</w:t>
      </w:r>
      <w:r w:rsidR="00745C54" w:rsidRPr="00E95BC4">
        <w:rPr>
          <w:i/>
          <w:lang w:val="sr-Cyrl-CS"/>
        </w:rPr>
        <w:t xml:space="preserve"> </w:t>
      </w:r>
      <w:r>
        <w:rPr>
          <w:i/>
          <w:lang w:val="sr-Cyrl-CS"/>
        </w:rPr>
        <w:t>zakonikom</w:t>
      </w:r>
      <w:r w:rsidR="00745C54" w:rsidRPr="00E95BC4">
        <w:rPr>
          <w:i/>
          <w:lang w:val="sr-Cyrl-CS"/>
        </w:rPr>
        <w:t xml:space="preserve">, </w:t>
      </w:r>
      <w:r>
        <w:rPr>
          <w:i/>
          <w:lang w:val="sr-Cyrl-CS"/>
        </w:rPr>
        <w:t>Zakonom</w:t>
      </w:r>
      <w:r w:rsidR="00745C54" w:rsidRPr="00E95BC4">
        <w:rPr>
          <w:i/>
          <w:lang w:val="sr-Cyrl-CS"/>
        </w:rPr>
        <w:t xml:space="preserve"> </w:t>
      </w:r>
      <w:r>
        <w:rPr>
          <w:i/>
          <w:lang w:val="sr-Cyrl-CS"/>
        </w:rPr>
        <w:t>o</w:t>
      </w:r>
      <w:r w:rsidR="00745C54" w:rsidRPr="00E95BC4">
        <w:rPr>
          <w:i/>
          <w:lang w:val="sr-Cyrl-CS"/>
        </w:rPr>
        <w:t xml:space="preserve"> </w:t>
      </w:r>
      <w:r>
        <w:rPr>
          <w:i/>
          <w:lang w:val="sr-Cyrl-CS"/>
        </w:rPr>
        <w:t>oduzimanju</w:t>
      </w:r>
      <w:r w:rsidR="00745C54" w:rsidRPr="00E95BC4">
        <w:rPr>
          <w:i/>
          <w:lang w:val="sr-Cyrl-CS"/>
        </w:rPr>
        <w:t xml:space="preserve"> </w:t>
      </w:r>
      <w:r>
        <w:rPr>
          <w:i/>
          <w:lang w:val="sr-Cyrl-CS"/>
        </w:rPr>
        <w:t>imovine</w:t>
      </w:r>
      <w:r w:rsidR="00745C54" w:rsidRPr="00E95BC4">
        <w:rPr>
          <w:i/>
          <w:lang w:val="sr-Cyrl-CS"/>
        </w:rPr>
        <w:t xml:space="preserve"> </w:t>
      </w:r>
      <w:r>
        <w:rPr>
          <w:i/>
          <w:lang w:val="sr-Cyrl-CS"/>
        </w:rPr>
        <w:t>proistekle</w:t>
      </w:r>
      <w:r w:rsidR="00745C54" w:rsidRPr="00E95BC4">
        <w:rPr>
          <w:i/>
          <w:lang w:val="sr-Cyrl-CS"/>
        </w:rPr>
        <w:t xml:space="preserve"> </w:t>
      </w:r>
      <w:r>
        <w:rPr>
          <w:i/>
          <w:lang w:val="sr-Cyrl-CS"/>
        </w:rPr>
        <w:t>iz</w:t>
      </w:r>
      <w:r w:rsidR="00745C54" w:rsidRPr="00E95BC4">
        <w:rPr>
          <w:i/>
          <w:lang w:val="sr-Cyrl-CS"/>
        </w:rPr>
        <w:t xml:space="preserve"> </w:t>
      </w:r>
      <w:r>
        <w:rPr>
          <w:i/>
          <w:lang w:val="sr-Cyrl-CS"/>
        </w:rPr>
        <w:t>krivičnog</w:t>
      </w:r>
      <w:r w:rsidR="00745C54" w:rsidRPr="00E95BC4">
        <w:rPr>
          <w:i/>
          <w:lang w:val="sr-Cyrl-CS"/>
        </w:rPr>
        <w:t xml:space="preserve"> </w:t>
      </w:r>
      <w:r>
        <w:rPr>
          <w:i/>
          <w:lang w:val="sr-Cyrl-CS"/>
        </w:rPr>
        <w:t>dela</w:t>
      </w:r>
      <w:r w:rsidR="00704045" w:rsidRPr="00E95BC4">
        <w:rPr>
          <w:lang w:val="sr-Cyrl-CS"/>
        </w:rPr>
        <w:t>,</w:t>
      </w:r>
      <w:r w:rsidR="00745C54" w:rsidRPr="00E95BC4">
        <w:rPr>
          <w:lang w:val="sr-Cyrl-CS"/>
        </w:rPr>
        <w:t xml:space="preserve"> </w:t>
      </w:r>
      <w:r>
        <w:rPr>
          <w:lang w:val="sr-Cyrl-CS"/>
        </w:rPr>
        <w:t>a</w:t>
      </w:r>
      <w:r w:rsidR="00745C54" w:rsidRPr="00E95BC4">
        <w:rPr>
          <w:lang w:val="sr-Cyrl-CS"/>
        </w:rPr>
        <w:t xml:space="preserve"> </w:t>
      </w:r>
      <w:r>
        <w:rPr>
          <w:lang w:val="sr-Cyrl-CS"/>
        </w:rPr>
        <w:t>procedura</w:t>
      </w:r>
      <w:r w:rsidR="00745C54" w:rsidRPr="00E95BC4">
        <w:rPr>
          <w:lang w:val="sr-Cyrl-CS"/>
        </w:rPr>
        <w:t xml:space="preserve"> </w:t>
      </w:r>
      <w:r>
        <w:rPr>
          <w:lang w:val="sr-Cyrl-CS"/>
        </w:rPr>
        <w:t>oduzimanja</w:t>
      </w:r>
      <w:r w:rsidR="00745C54" w:rsidRPr="00E95BC4">
        <w:rPr>
          <w:lang w:val="sr-Cyrl-CS"/>
        </w:rPr>
        <w:t xml:space="preserve"> </w:t>
      </w:r>
      <w:r>
        <w:rPr>
          <w:lang w:val="sr-Cyrl-CS"/>
        </w:rPr>
        <w:t>uređena</w:t>
      </w:r>
      <w:r w:rsidR="00745C54" w:rsidRPr="00E95BC4">
        <w:rPr>
          <w:lang w:val="sr-Cyrl-CS"/>
        </w:rPr>
        <w:t xml:space="preserve"> </w:t>
      </w:r>
      <w:r>
        <w:rPr>
          <w:lang w:val="sr-Cyrl-CS"/>
        </w:rPr>
        <w:t>je</w:t>
      </w:r>
      <w:r w:rsidR="00745C54" w:rsidRPr="00E95BC4">
        <w:rPr>
          <w:lang w:val="sr-Cyrl-CS"/>
        </w:rPr>
        <w:t xml:space="preserve"> </w:t>
      </w:r>
      <w:r>
        <w:rPr>
          <w:lang w:val="sr-Cyrl-CS"/>
        </w:rPr>
        <w:t>Zakonikom</w:t>
      </w:r>
      <w:r w:rsidR="00745C54" w:rsidRPr="00E95BC4">
        <w:rPr>
          <w:lang w:val="sr-Cyrl-CS"/>
        </w:rPr>
        <w:t xml:space="preserve"> </w:t>
      </w:r>
      <w:r>
        <w:rPr>
          <w:lang w:val="sr-Cyrl-CS"/>
        </w:rPr>
        <w:t>o</w:t>
      </w:r>
      <w:r w:rsidR="00745C54" w:rsidRPr="00E95BC4">
        <w:rPr>
          <w:lang w:val="sr-Cyrl-CS"/>
        </w:rPr>
        <w:t xml:space="preserve"> </w:t>
      </w:r>
      <w:r>
        <w:rPr>
          <w:lang w:val="sr-Cyrl-CS"/>
        </w:rPr>
        <w:t>krivičnom</w:t>
      </w:r>
      <w:r w:rsidR="00745C54" w:rsidRPr="00E95BC4">
        <w:rPr>
          <w:lang w:val="sr-Cyrl-CS"/>
        </w:rPr>
        <w:t xml:space="preserve"> </w:t>
      </w:r>
      <w:r>
        <w:rPr>
          <w:lang w:val="sr-Cyrl-CS"/>
        </w:rPr>
        <w:t>postupku</w:t>
      </w:r>
      <w:r w:rsidR="00745C54" w:rsidRPr="00E95BC4">
        <w:rPr>
          <w:lang w:val="sr-Cyrl-CS"/>
        </w:rPr>
        <w:t xml:space="preserve">. </w:t>
      </w:r>
      <w:r>
        <w:rPr>
          <w:lang w:val="sr-Cyrl-CS"/>
        </w:rPr>
        <w:t>Tradicionalni</w:t>
      </w:r>
      <w:r w:rsidR="00745C54" w:rsidRPr="00E95BC4">
        <w:rPr>
          <w:lang w:val="sr-Cyrl-CS"/>
        </w:rPr>
        <w:t xml:space="preserve"> </w:t>
      </w:r>
      <w:r>
        <w:rPr>
          <w:lang w:val="sr-Cyrl-CS"/>
        </w:rPr>
        <w:t>instituti</w:t>
      </w:r>
      <w:r w:rsidR="00745C54" w:rsidRPr="00E95BC4">
        <w:rPr>
          <w:lang w:val="sr-Cyrl-CS"/>
        </w:rPr>
        <w:t xml:space="preserve"> </w:t>
      </w:r>
      <w:r w:rsidR="00745C54" w:rsidRPr="00E95BC4">
        <w:rPr>
          <w:lang w:val="sr-Cyrl-CS"/>
        </w:rPr>
        <w:lastRenderedPageBreak/>
        <w:t>o</w:t>
      </w:r>
      <w:r>
        <w:rPr>
          <w:lang w:val="sr-Cyrl-CS"/>
        </w:rPr>
        <w:t>duzimanja</w:t>
      </w:r>
      <w:r w:rsidR="00745C54" w:rsidRPr="00E95BC4">
        <w:rPr>
          <w:lang w:val="sr-Cyrl-CS"/>
        </w:rPr>
        <w:t xml:space="preserve"> </w:t>
      </w:r>
      <w:r>
        <w:rPr>
          <w:lang w:val="sr-Cyrl-CS"/>
        </w:rPr>
        <w:t>kriminalnih</w:t>
      </w:r>
      <w:r w:rsidR="00745C54" w:rsidRPr="00E95BC4">
        <w:rPr>
          <w:lang w:val="sr-Cyrl-CS"/>
        </w:rPr>
        <w:t xml:space="preserve"> </w:t>
      </w:r>
      <w:r>
        <w:rPr>
          <w:lang w:val="sr-Cyrl-CS"/>
        </w:rPr>
        <w:t>prihoda</w:t>
      </w:r>
      <w:r w:rsidR="00745C54" w:rsidRPr="00E95BC4">
        <w:rPr>
          <w:lang w:val="sr-Cyrl-CS"/>
        </w:rPr>
        <w:t xml:space="preserve"> </w:t>
      </w:r>
      <w:r>
        <w:rPr>
          <w:lang w:val="sr-Cyrl-CS"/>
        </w:rPr>
        <w:t>i</w:t>
      </w:r>
      <w:r w:rsidR="00745C54" w:rsidRPr="00E95BC4">
        <w:rPr>
          <w:lang w:val="sr-Cyrl-CS"/>
        </w:rPr>
        <w:t xml:space="preserve"> </w:t>
      </w:r>
      <w:r>
        <w:rPr>
          <w:lang w:val="sr-Cyrl-CS"/>
        </w:rPr>
        <w:t>sredstava</w:t>
      </w:r>
      <w:r w:rsidR="00745C54" w:rsidRPr="00E95BC4">
        <w:rPr>
          <w:lang w:val="sr-Cyrl-CS"/>
        </w:rPr>
        <w:t xml:space="preserve"> </w:t>
      </w:r>
      <w:r>
        <w:rPr>
          <w:lang w:val="sr-Cyrl-CS"/>
        </w:rPr>
        <w:t>su</w:t>
      </w:r>
      <w:r w:rsidR="00745C54" w:rsidRPr="00E95BC4">
        <w:rPr>
          <w:lang w:val="sr-Cyrl-CS"/>
        </w:rPr>
        <w:t xml:space="preserve"> </w:t>
      </w:r>
      <w:r>
        <w:rPr>
          <w:lang w:val="sr-Cyrl-CS"/>
        </w:rPr>
        <w:t>mera</w:t>
      </w:r>
      <w:r w:rsidR="00745C54" w:rsidRPr="00E95BC4">
        <w:rPr>
          <w:lang w:val="sr-Cyrl-CS"/>
        </w:rPr>
        <w:t xml:space="preserve"> </w:t>
      </w:r>
      <w:r>
        <w:rPr>
          <w:lang w:val="sr-Cyrl-CS"/>
        </w:rPr>
        <w:t>bezbednosti</w:t>
      </w:r>
      <w:r w:rsidR="00745C54" w:rsidRPr="00E95BC4">
        <w:rPr>
          <w:lang w:val="sr-Cyrl-CS"/>
        </w:rPr>
        <w:t xml:space="preserve"> </w:t>
      </w:r>
      <w:r>
        <w:rPr>
          <w:lang w:val="sr-Cyrl-CS"/>
        </w:rPr>
        <w:t>oduzimanje</w:t>
      </w:r>
      <w:r w:rsidR="00745C54" w:rsidRPr="00E95BC4">
        <w:rPr>
          <w:lang w:val="sr-Cyrl-CS"/>
        </w:rPr>
        <w:t xml:space="preserve"> </w:t>
      </w:r>
      <w:r>
        <w:rPr>
          <w:lang w:val="sr-Cyrl-CS"/>
        </w:rPr>
        <w:t>predmeta</w:t>
      </w:r>
      <w:r w:rsidR="00745C54" w:rsidRPr="00E95BC4">
        <w:rPr>
          <w:lang w:val="sr-Cyrl-CS"/>
        </w:rPr>
        <w:t xml:space="preserve"> </w:t>
      </w:r>
      <w:r>
        <w:rPr>
          <w:lang w:val="sr-Cyrl-CS"/>
        </w:rPr>
        <w:t>i</w:t>
      </w:r>
      <w:r w:rsidR="00745C54" w:rsidRPr="00E95BC4">
        <w:rPr>
          <w:lang w:val="sr-Cyrl-CS"/>
        </w:rPr>
        <w:t xml:space="preserve"> </w:t>
      </w:r>
      <w:r>
        <w:rPr>
          <w:lang w:val="sr-Cyrl-CS"/>
        </w:rPr>
        <w:t>oduzimanje</w:t>
      </w:r>
      <w:r w:rsidR="00745C54" w:rsidRPr="00E95BC4">
        <w:rPr>
          <w:lang w:val="sr-Cyrl-CS"/>
        </w:rPr>
        <w:t xml:space="preserve"> </w:t>
      </w:r>
      <w:r>
        <w:rPr>
          <w:lang w:val="sr-Cyrl-CS"/>
        </w:rPr>
        <w:t>imovinske</w:t>
      </w:r>
      <w:r w:rsidR="00745C54" w:rsidRPr="00E95BC4">
        <w:rPr>
          <w:lang w:val="sr-Cyrl-CS"/>
        </w:rPr>
        <w:t xml:space="preserve"> </w:t>
      </w:r>
      <w:r>
        <w:rPr>
          <w:lang w:val="sr-Cyrl-CS"/>
        </w:rPr>
        <w:t>koristi</w:t>
      </w:r>
      <w:r w:rsidR="00745C54" w:rsidRPr="00E95BC4">
        <w:rPr>
          <w:lang w:val="sr-Cyrl-CS"/>
        </w:rPr>
        <w:t xml:space="preserve">, </w:t>
      </w:r>
      <w:r>
        <w:rPr>
          <w:lang w:val="sr-Cyrl-CS"/>
        </w:rPr>
        <w:t>dok</w:t>
      </w:r>
      <w:r w:rsidR="00745C54" w:rsidRPr="00E95BC4">
        <w:rPr>
          <w:lang w:val="sr-Cyrl-CS"/>
        </w:rPr>
        <w:t xml:space="preserve"> </w:t>
      </w:r>
      <w:r>
        <w:rPr>
          <w:lang w:val="sr-Cyrl-CS"/>
        </w:rPr>
        <w:t>je</w:t>
      </w:r>
      <w:r w:rsidR="00745C54" w:rsidRPr="00E95BC4">
        <w:rPr>
          <w:lang w:val="sr-Cyrl-CS"/>
        </w:rPr>
        <w:t xml:space="preserve"> </w:t>
      </w:r>
      <w:r>
        <w:rPr>
          <w:lang w:val="sr-Cyrl-CS"/>
        </w:rPr>
        <w:t>noviji</w:t>
      </w:r>
      <w:r w:rsidR="00745C54" w:rsidRPr="00E95BC4">
        <w:rPr>
          <w:lang w:val="sr-Cyrl-CS"/>
        </w:rPr>
        <w:t xml:space="preserve"> </w:t>
      </w:r>
      <w:r>
        <w:rPr>
          <w:lang w:val="sr-Cyrl-CS"/>
        </w:rPr>
        <w:t>institut</w:t>
      </w:r>
      <w:r w:rsidR="00745C54" w:rsidRPr="00E95BC4">
        <w:rPr>
          <w:lang w:val="sr-Cyrl-CS"/>
        </w:rPr>
        <w:t xml:space="preserve"> </w:t>
      </w:r>
      <w:r>
        <w:rPr>
          <w:lang w:val="sr-Cyrl-CS"/>
        </w:rPr>
        <w:t>tzv</w:t>
      </w:r>
      <w:r w:rsidR="00745C54" w:rsidRPr="00E95BC4">
        <w:rPr>
          <w:lang w:val="sr-Cyrl-CS"/>
        </w:rPr>
        <w:t xml:space="preserve">. </w:t>
      </w:r>
      <w:r>
        <w:rPr>
          <w:lang w:val="sr-Cyrl-CS"/>
        </w:rPr>
        <w:t>proširenog</w:t>
      </w:r>
      <w:r w:rsidR="00745C54" w:rsidRPr="00E95BC4">
        <w:rPr>
          <w:lang w:val="sr-Cyrl-CS"/>
        </w:rPr>
        <w:t xml:space="preserve"> </w:t>
      </w:r>
      <w:r>
        <w:rPr>
          <w:lang w:val="sr-Cyrl-CS"/>
        </w:rPr>
        <w:t>oduzimanja</w:t>
      </w:r>
      <w:r w:rsidR="00745C54" w:rsidRPr="00E95BC4">
        <w:rPr>
          <w:lang w:val="sr-Cyrl-CS"/>
        </w:rPr>
        <w:t xml:space="preserve"> </w:t>
      </w:r>
      <w:r>
        <w:rPr>
          <w:lang w:val="sr-Cyrl-CS"/>
        </w:rPr>
        <w:t>čijom</w:t>
      </w:r>
      <w:r w:rsidR="00745C54" w:rsidRPr="00E95BC4">
        <w:rPr>
          <w:lang w:val="sr-Cyrl-CS"/>
        </w:rPr>
        <w:t xml:space="preserve"> </w:t>
      </w:r>
      <w:r>
        <w:rPr>
          <w:lang w:val="sr-Cyrl-CS"/>
        </w:rPr>
        <w:t>primenom</w:t>
      </w:r>
      <w:r w:rsidR="00745C54" w:rsidRPr="00E95BC4">
        <w:rPr>
          <w:lang w:val="sr-Cyrl-CS"/>
        </w:rPr>
        <w:t xml:space="preserve"> </w:t>
      </w:r>
      <w:r>
        <w:rPr>
          <w:lang w:val="sr-Cyrl-CS"/>
        </w:rPr>
        <w:t>je</w:t>
      </w:r>
      <w:r w:rsidR="00745C54" w:rsidRPr="00E95BC4">
        <w:rPr>
          <w:lang w:val="sr-Cyrl-CS"/>
        </w:rPr>
        <w:t xml:space="preserve"> </w:t>
      </w:r>
      <w:r>
        <w:rPr>
          <w:lang w:val="sr-Cyrl-CS"/>
        </w:rPr>
        <w:t>omogućeno</w:t>
      </w:r>
      <w:r w:rsidR="00745C54" w:rsidRPr="00E95BC4">
        <w:rPr>
          <w:lang w:val="sr-Cyrl-CS"/>
        </w:rPr>
        <w:t xml:space="preserve"> </w:t>
      </w:r>
      <w:r>
        <w:rPr>
          <w:lang w:val="sr-Cyrl-CS"/>
        </w:rPr>
        <w:t>oduzimanje</w:t>
      </w:r>
      <w:r w:rsidR="00745C54" w:rsidRPr="00E95BC4">
        <w:rPr>
          <w:lang w:val="sr-Cyrl-CS"/>
        </w:rPr>
        <w:t xml:space="preserve"> </w:t>
      </w:r>
      <w:r>
        <w:rPr>
          <w:lang w:val="sr-Cyrl-CS"/>
        </w:rPr>
        <w:t>imovine</w:t>
      </w:r>
      <w:r w:rsidR="00745C54" w:rsidRPr="00E95BC4">
        <w:rPr>
          <w:lang w:val="sr-Cyrl-CS"/>
        </w:rPr>
        <w:t xml:space="preserve"> </w:t>
      </w:r>
      <w:r>
        <w:rPr>
          <w:lang w:val="sr-Cyrl-CS"/>
        </w:rPr>
        <w:t>proistekle</w:t>
      </w:r>
      <w:r w:rsidR="00745C54" w:rsidRPr="00E95BC4">
        <w:rPr>
          <w:lang w:val="sr-Cyrl-CS"/>
        </w:rPr>
        <w:t xml:space="preserve"> </w:t>
      </w:r>
      <w:r>
        <w:rPr>
          <w:lang w:val="sr-Cyrl-CS"/>
        </w:rPr>
        <w:t>iz</w:t>
      </w:r>
      <w:r w:rsidR="00DA7692" w:rsidRPr="00E95BC4">
        <w:rPr>
          <w:lang w:val="sr-Cyrl-CS"/>
        </w:rPr>
        <w:t xml:space="preserve"> </w:t>
      </w:r>
      <w:r>
        <w:rPr>
          <w:lang w:val="sr-Cyrl-CS"/>
        </w:rPr>
        <w:t>krivičnog</w:t>
      </w:r>
      <w:r w:rsidR="00DA7692" w:rsidRPr="00E95BC4">
        <w:rPr>
          <w:lang w:val="sr-Cyrl-CS"/>
        </w:rPr>
        <w:t xml:space="preserve"> </w:t>
      </w:r>
      <w:r>
        <w:rPr>
          <w:lang w:val="sr-Cyrl-CS"/>
        </w:rPr>
        <w:t>dela</w:t>
      </w:r>
      <w:r w:rsidR="00745C54" w:rsidRPr="00E95BC4">
        <w:rPr>
          <w:lang w:val="sr-Cyrl-CS"/>
        </w:rPr>
        <w:t>.</w:t>
      </w:r>
    </w:p>
    <w:p w:rsidR="00745C54" w:rsidRPr="00E95BC4" w:rsidRDefault="005818C0" w:rsidP="00745C54">
      <w:pPr>
        <w:ind w:firstLine="708"/>
        <w:jc w:val="both"/>
        <w:rPr>
          <w:lang w:val="sr-Cyrl-CS"/>
        </w:rPr>
      </w:pPr>
      <w:r>
        <w:rPr>
          <w:lang w:val="sr-Cyrl-CS"/>
        </w:rPr>
        <w:t>Kada</w:t>
      </w:r>
      <w:r w:rsidR="00745C54" w:rsidRPr="00E95BC4">
        <w:rPr>
          <w:lang w:val="sr-Cyrl-CS"/>
        </w:rPr>
        <w:t xml:space="preserve"> </w:t>
      </w:r>
      <w:r>
        <w:rPr>
          <w:lang w:val="sr-Cyrl-CS"/>
        </w:rPr>
        <w:t>je</w:t>
      </w:r>
      <w:r w:rsidR="00745C54" w:rsidRPr="00E95BC4">
        <w:rPr>
          <w:lang w:val="sr-Cyrl-CS"/>
        </w:rPr>
        <w:t xml:space="preserve"> </w:t>
      </w:r>
      <w:r>
        <w:rPr>
          <w:lang w:val="sr-Cyrl-CS"/>
        </w:rPr>
        <w:t>reč</w:t>
      </w:r>
      <w:r w:rsidR="00745C54" w:rsidRPr="00E95BC4">
        <w:rPr>
          <w:lang w:val="sr-Cyrl-CS"/>
        </w:rPr>
        <w:t xml:space="preserve"> </w:t>
      </w:r>
      <w:r>
        <w:rPr>
          <w:lang w:val="sr-Cyrl-CS"/>
        </w:rPr>
        <w:t>o</w:t>
      </w:r>
      <w:r w:rsidR="00745C54" w:rsidRPr="00E95BC4">
        <w:rPr>
          <w:lang w:val="sr-Cyrl-CS"/>
        </w:rPr>
        <w:t xml:space="preserve"> </w:t>
      </w:r>
      <w:r>
        <w:rPr>
          <w:lang w:val="sr-Cyrl-CS"/>
        </w:rPr>
        <w:t>oduzimanju</w:t>
      </w:r>
      <w:r w:rsidR="00745C54" w:rsidRPr="00E95BC4">
        <w:rPr>
          <w:lang w:val="sr-Cyrl-CS"/>
        </w:rPr>
        <w:t xml:space="preserve"> </w:t>
      </w:r>
      <w:r>
        <w:rPr>
          <w:lang w:val="sr-Cyrl-CS"/>
        </w:rPr>
        <w:t>imovinske</w:t>
      </w:r>
      <w:r w:rsidR="00745C54" w:rsidRPr="00E95BC4">
        <w:rPr>
          <w:lang w:val="sr-Cyrl-CS"/>
        </w:rPr>
        <w:t xml:space="preserve"> </w:t>
      </w:r>
      <w:r>
        <w:rPr>
          <w:lang w:val="sr-Cyrl-CS"/>
        </w:rPr>
        <w:t>koristi</w:t>
      </w:r>
      <w:r w:rsidR="00745C54" w:rsidRPr="00E95BC4">
        <w:rPr>
          <w:lang w:val="sr-Cyrl-CS"/>
        </w:rPr>
        <w:t xml:space="preserve"> </w:t>
      </w:r>
      <w:r>
        <w:rPr>
          <w:lang w:val="sr-Cyrl-CS"/>
        </w:rPr>
        <w:t>koja</w:t>
      </w:r>
      <w:r w:rsidR="00745C54" w:rsidRPr="00E95BC4">
        <w:rPr>
          <w:lang w:val="sr-Cyrl-CS"/>
        </w:rPr>
        <w:t xml:space="preserve"> </w:t>
      </w:r>
      <w:r>
        <w:rPr>
          <w:lang w:val="sr-Cyrl-CS"/>
        </w:rPr>
        <w:t>je</w:t>
      </w:r>
      <w:r w:rsidR="00745C54" w:rsidRPr="00E95BC4">
        <w:rPr>
          <w:lang w:val="sr-Cyrl-CS"/>
        </w:rPr>
        <w:t xml:space="preserve"> </w:t>
      </w:r>
      <w:r>
        <w:rPr>
          <w:lang w:val="sr-Cyrl-CS"/>
        </w:rPr>
        <w:t>pribavljena</w:t>
      </w:r>
      <w:r w:rsidR="00745C54" w:rsidRPr="00E95BC4">
        <w:rPr>
          <w:lang w:val="sr-Cyrl-CS"/>
        </w:rPr>
        <w:t xml:space="preserve"> </w:t>
      </w:r>
      <w:r>
        <w:rPr>
          <w:lang w:val="sr-Cyrl-CS"/>
        </w:rPr>
        <w:t>iz</w:t>
      </w:r>
      <w:r w:rsidR="00745C54" w:rsidRPr="00E95BC4">
        <w:rPr>
          <w:lang w:val="sr-Cyrl-CS"/>
        </w:rPr>
        <w:t xml:space="preserve"> </w:t>
      </w:r>
      <w:r>
        <w:rPr>
          <w:lang w:val="sr-Cyrl-CS"/>
        </w:rPr>
        <w:t>određenog</w:t>
      </w:r>
      <w:r w:rsidR="00745C54" w:rsidRPr="00E95BC4">
        <w:rPr>
          <w:lang w:val="sr-Cyrl-CS"/>
        </w:rPr>
        <w:t xml:space="preserve"> </w:t>
      </w:r>
      <w:r>
        <w:rPr>
          <w:lang w:val="sr-Cyrl-CS"/>
        </w:rPr>
        <w:t>krivičnog</w:t>
      </w:r>
      <w:r w:rsidR="00745C54" w:rsidRPr="00E95BC4">
        <w:rPr>
          <w:lang w:val="sr-Cyrl-CS"/>
        </w:rPr>
        <w:t xml:space="preserve"> </w:t>
      </w:r>
      <w:r>
        <w:rPr>
          <w:lang w:val="sr-Cyrl-CS"/>
        </w:rPr>
        <w:t>dela</w:t>
      </w:r>
      <w:r w:rsidR="00745C54" w:rsidRPr="00E95BC4">
        <w:rPr>
          <w:lang w:val="sr-Cyrl-CS"/>
        </w:rPr>
        <w:t xml:space="preserve">, </w:t>
      </w:r>
      <w:r>
        <w:rPr>
          <w:lang w:val="sr-Cyrl-CS"/>
        </w:rPr>
        <w:t>ona</w:t>
      </w:r>
      <w:r w:rsidR="00745C54" w:rsidRPr="00E95BC4">
        <w:rPr>
          <w:lang w:val="sr-Cyrl-CS"/>
        </w:rPr>
        <w:t xml:space="preserve"> </w:t>
      </w:r>
      <w:r>
        <w:rPr>
          <w:lang w:val="sr-Cyrl-CS"/>
        </w:rPr>
        <w:t>se</w:t>
      </w:r>
      <w:r w:rsidR="00745C54" w:rsidRPr="00E95BC4">
        <w:rPr>
          <w:lang w:val="sr-Cyrl-CS"/>
        </w:rPr>
        <w:t xml:space="preserve"> </w:t>
      </w:r>
      <w:r>
        <w:rPr>
          <w:lang w:val="sr-Cyrl-CS"/>
        </w:rPr>
        <w:t>u</w:t>
      </w:r>
      <w:r w:rsidR="00745C54" w:rsidRPr="00E95BC4">
        <w:rPr>
          <w:lang w:val="sr-Cyrl-CS"/>
        </w:rPr>
        <w:t xml:space="preserve"> </w:t>
      </w:r>
      <w:r>
        <w:rPr>
          <w:lang w:val="sr-Cyrl-CS"/>
        </w:rPr>
        <w:t>toku</w:t>
      </w:r>
      <w:r w:rsidR="00745C54" w:rsidRPr="00E95BC4">
        <w:rPr>
          <w:lang w:val="sr-Cyrl-CS"/>
        </w:rPr>
        <w:t xml:space="preserve"> </w:t>
      </w:r>
      <w:r>
        <w:rPr>
          <w:lang w:val="sr-Cyrl-CS"/>
        </w:rPr>
        <w:t>krivičnog</w:t>
      </w:r>
      <w:r w:rsidR="00745C54" w:rsidRPr="00E95BC4">
        <w:rPr>
          <w:lang w:val="sr-Cyrl-CS"/>
        </w:rPr>
        <w:t xml:space="preserve"> </w:t>
      </w:r>
      <w:r>
        <w:rPr>
          <w:lang w:val="sr-Cyrl-CS"/>
        </w:rPr>
        <w:t>postupka</w:t>
      </w:r>
      <w:r w:rsidR="00745C54" w:rsidRPr="00E95BC4">
        <w:rPr>
          <w:lang w:val="sr-Cyrl-CS"/>
        </w:rPr>
        <w:t xml:space="preserve"> </w:t>
      </w:r>
      <w:r>
        <w:rPr>
          <w:lang w:val="sr-Cyrl-CS"/>
        </w:rPr>
        <w:t>obezbeđuje</w:t>
      </w:r>
      <w:r w:rsidR="00745C54" w:rsidRPr="00E95BC4">
        <w:rPr>
          <w:lang w:val="sr-Cyrl-CS"/>
        </w:rPr>
        <w:t xml:space="preserve"> </w:t>
      </w:r>
      <w:r>
        <w:rPr>
          <w:lang w:val="sr-Cyrl-CS"/>
        </w:rPr>
        <w:t>primenom</w:t>
      </w:r>
      <w:r w:rsidR="00745C54" w:rsidRPr="00E95BC4">
        <w:rPr>
          <w:lang w:val="sr-Cyrl-CS"/>
        </w:rPr>
        <w:t xml:space="preserve"> </w:t>
      </w:r>
      <w:r>
        <w:rPr>
          <w:lang w:val="sr-Cyrl-CS"/>
        </w:rPr>
        <w:t>Privremenih</w:t>
      </w:r>
      <w:r w:rsidR="00745C54" w:rsidRPr="00E95BC4">
        <w:rPr>
          <w:lang w:val="sr-Cyrl-CS"/>
        </w:rPr>
        <w:t xml:space="preserve"> </w:t>
      </w:r>
      <w:r>
        <w:rPr>
          <w:lang w:val="sr-Cyrl-CS"/>
        </w:rPr>
        <w:t>mera</w:t>
      </w:r>
      <w:r w:rsidR="00745C54" w:rsidRPr="00E95BC4">
        <w:rPr>
          <w:lang w:val="sr-Cyrl-CS"/>
        </w:rPr>
        <w:t xml:space="preserve"> </w:t>
      </w:r>
      <w:r>
        <w:rPr>
          <w:lang w:val="sr-Cyrl-CS"/>
        </w:rPr>
        <w:t>obezbeđenja</w:t>
      </w:r>
      <w:r w:rsidR="00745C54" w:rsidRPr="00E95BC4">
        <w:rPr>
          <w:lang w:val="sr-Cyrl-CS"/>
        </w:rPr>
        <w:t xml:space="preserve">. </w:t>
      </w:r>
      <w:r>
        <w:rPr>
          <w:lang w:val="sr-Cyrl-CS"/>
        </w:rPr>
        <w:t>Njih</w:t>
      </w:r>
      <w:r w:rsidR="00745C54" w:rsidRPr="00E95BC4">
        <w:rPr>
          <w:lang w:val="sr-Cyrl-CS"/>
        </w:rPr>
        <w:t xml:space="preserve"> </w:t>
      </w:r>
      <w:r>
        <w:rPr>
          <w:lang w:val="sr-Cyrl-CS"/>
        </w:rPr>
        <w:t>po</w:t>
      </w:r>
      <w:r w:rsidR="00745C54" w:rsidRPr="00E95BC4">
        <w:rPr>
          <w:lang w:val="sr-Cyrl-CS"/>
        </w:rPr>
        <w:t xml:space="preserve"> </w:t>
      </w:r>
      <w:r>
        <w:rPr>
          <w:lang w:val="sr-Cyrl-CS"/>
        </w:rPr>
        <w:t>službenoj</w:t>
      </w:r>
      <w:r w:rsidR="00745C54" w:rsidRPr="00E95BC4">
        <w:rPr>
          <w:lang w:val="sr-Cyrl-CS"/>
        </w:rPr>
        <w:t xml:space="preserve"> </w:t>
      </w:r>
      <w:r>
        <w:rPr>
          <w:lang w:val="sr-Cyrl-CS"/>
        </w:rPr>
        <w:t>dužnosti</w:t>
      </w:r>
      <w:r w:rsidR="00745C54" w:rsidRPr="00E95BC4">
        <w:rPr>
          <w:lang w:val="sr-Cyrl-CS"/>
        </w:rPr>
        <w:t xml:space="preserve"> </w:t>
      </w:r>
      <w:r>
        <w:rPr>
          <w:lang w:val="sr-Cyrl-CS"/>
        </w:rPr>
        <w:t>određuje</w:t>
      </w:r>
      <w:r w:rsidR="00745C54" w:rsidRPr="00E95BC4">
        <w:rPr>
          <w:lang w:val="sr-Cyrl-CS"/>
        </w:rPr>
        <w:t xml:space="preserve"> </w:t>
      </w:r>
      <w:r>
        <w:rPr>
          <w:lang w:val="sr-Cyrl-CS"/>
        </w:rPr>
        <w:t>sud</w:t>
      </w:r>
      <w:r w:rsidR="00745C54" w:rsidRPr="00E95BC4">
        <w:rPr>
          <w:lang w:val="sr-Cyrl-CS"/>
        </w:rPr>
        <w:t xml:space="preserve"> </w:t>
      </w:r>
      <w:r>
        <w:rPr>
          <w:lang w:val="sr-Cyrl-CS"/>
        </w:rPr>
        <w:t>po</w:t>
      </w:r>
      <w:r w:rsidR="00745C54" w:rsidRPr="00E95BC4">
        <w:rPr>
          <w:lang w:val="sr-Cyrl-CS"/>
        </w:rPr>
        <w:t xml:space="preserve"> </w:t>
      </w:r>
      <w:r>
        <w:rPr>
          <w:lang w:val="sr-Cyrl-CS"/>
        </w:rPr>
        <w:t>odredbama</w:t>
      </w:r>
      <w:r w:rsidR="00745C54" w:rsidRPr="00E95BC4">
        <w:rPr>
          <w:lang w:val="sr-Cyrl-CS"/>
        </w:rPr>
        <w:t xml:space="preserve"> </w:t>
      </w:r>
      <w:r>
        <w:rPr>
          <w:lang w:val="sr-Cyrl-CS"/>
        </w:rPr>
        <w:t>zakona</w:t>
      </w:r>
      <w:r w:rsidR="00745C54" w:rsidRPr="00E95BC4">
        <w:rPr>
          <w:lang w:val="sr-Cyrl-CS"/>
        </w:rPr>
        <w:t xml:space="preserve"> </w:t>
      </w:r>
      <w:r>
        <w:rPr>
          <w:lang w:val="sr-Cyrl-CS"/>
        </w:rPr>
        <w:t>kojim</w:t>
      </w:r>
      <w:r w:rsidR="00745C54" w:rsidRPr="00E95BC4">
        <w:rPr>
          <w:lang w:val="sr-Cyrl-CS"/>
        </w:rPr>
        <w:t xml:space="preserve"> </w:t>
      </w:r>
      <w:r>
        <w:rPr>
          <w:lang w:val="sr-Cyrl-CS"/>
        </w:rPr>
        <w:t>se</w:t>
      </w:r>
      <w:r w:rsidR="00745C54" w:rsidRPr="00E95BC4">
        <w:rPr>
          <w:lang w:val="sr-Cyrl-CS"/>
        </w:rPr>
        <w:t xml:space="preserve"> </w:t>
      </w:r>
      <w:r>
        <w:rPr>
          <w:lang w:val="sr-Cyrl-CS"/>
        </w:rPr>
        <w:t>uređuje</w:t>
      </w:r>
      <w:r w:rsidR="00745C54" w:rsidRPr="00E95BC4">
        <w:rPr>
          <w:lang w:val="sr-Cyrl-CS"/>
        </w:rPr>
        <w:t xml:space="preserve"> </w:t>
      </w:r>
      <w:r>
        <w:rPr>
          <w:lang w:val="sr-Cyrl-CS"/>
        </w:rPr>
        <w:t>postupak</w:t>
      </w:r>
      <w:r w:rsidR="00745C54" w:rsidRPr="00E95BC4">
        <w:rPr>
          <w:lang w:val="sr-Cyrl-CS"/>
        </w:rPr>
        <w:t xml:space="preserve"> </w:t>
      </w:r>
      <w:r>
        <w:rPr>
          <w:lang w:val="sr-Cyrl-CS"/>
        </w:rPr>
        <w:t>izvršenja</w:t>
      </w:r>
      <w:r w:rsidR="00745C54" w:rsidRPr="00E95BC4">
        <w:rPr>
          <w:lang w:val="sr-Cyrl-CS"/>
        </w:rPr>
        <w:t xml:space="preserve"> </w:t>
      </w:r>
      <w:r>
        <w:rPr>
          <w:lang w:val="sr-Cyrl-CS"/>
        </w:rPr>
        <w:t>i</w:t>
      </w:r>
      <w:r w:rsidR="00745C54" w:rsidRPr="00E95BC4">
        <w:rPr>
          <w:lang w:val="sr-Cyrl-CS"/>
        </w:rPr>
        <w:t xml:space="preserve"> </w:t>
      </w:r>
      <w:r>
        <w:rPr>
          <w:lang w:val="sr-Cyrl-CS"/>
        </w:rPr>
        <w:t>obezbeđenja</w:t>
      </w:r>
      <w:r w:rsidR="00745C54" w:rsidRPr="00E95BC4">
        <w:rPr>
          <w:lang w:val="sr-Cyrl-CS"/>
        </w:rPr>
        <w:t xml:space="preserve">. </w:t>
      </w:r>
    </w:p>
    <w:p w:rsidR="00745C54" w:rsidRPr="00E95BC4" w:rsidRDefault="005818C0" w:rsidP="00745C54">
      <w:pPr>
        <w:ind w:firstLine="708"/>
        <w:jc w:val="both"/>
        <w:rPr>
          <w:lang w:val="sr-Cyrl-CS"/>
        </w:rPr>
      </w:pPr>
      <w:r>
        <w:rPr>
          <w:lang w:val="sr-Cyrl-CS"/>
        </w:rPr>
        <w:t>Republika</w:t>
      </w:r>
      <w:r w:rsidR="00745C54" w:rsidRPr="00E95BC4">
        <w:rPr>
          <w:lang w:val="sr-Cyrl-CS"/>
        </w:rPr>
        <w:t xml:space="preserve"> </w:t>
      </w:r>
      <w:r>
        <w:rPr>
          <w:lang w:val="sr-Cyrl-CS"/>
        </w:rPr>
        <w:t>Srbija</w:t>
      </w:r>
      <w:r w:rsidR="00745C54" w:rsidRPr="00E95BC4">
        <w:rPr>
          <w:lang w:val="sr-Cyrl-CS"/>
        </w:rPr>
        <w:t xml:space="preserve"> </w:t>
      </w:r>
      <w:r>
        <w:rPr>
          <w:lang w:val="sr-Cyrl-CS"/>
        </w:rPr>
        <w:t>je</w:t>
      </w:r>
      <w:r w:rsidR="00745C54" w:rsidRPr="00E95BC4">
        <w:rPr>
          <w:lang w:val="sr-Cyrl-CS"/>
        </w:rPr>
        <w:t xml:space="preserve"> </w:t>
      </w:r>
      <w:r>
        <w:rPr>
          <w:lang w:val="sr-Cyrl-CS"/>
        </w:rPr>
        <w:t>svoj</w:t>
      </w:r>
      <w:r w:rsidR="00745C54" w:rsidRPr="00E95BC4">
        <w:rPr>
          <w:lang w:val="sr-Cyrl-CS"/>
        </w:rPr>
        <w:t xml:space="preserve"> </w:t>
      </w:r>
      <w:r>
        <w:rPr>
          <w:lang w:val="sr-Cyrl-CS"/>
        </w:rPr>
        <w:t>prvi</w:t>
      </w:r>
      <w:r w:rsidR="00745C54" w:rsidRPr="00E95BC4">
        <w:rPr>
          <w:lang w:val="sr-Cyrl-CS"/>
        </w:rPr>
        <w:t xml:space="preserve"> </w:t>
      </w:r>
      <w:r>
        <w:rPr>
          <w:i/>
          <w:lang w:val="sr-Cyrl-CS"/>
        </w:rPr>
        <w:t>Zakon</w:t>
      </w:r>
      <w:r w:rsidR="00745C54" w:rsidRPr="00E95BC4">
        <w:rPr>
          <w:i/>
          <w:lang w:val="sr-Cyrl-CS"/>
        </w:rPr>
        <w:t xml:space="preserve"> </w:t>
      </w:r>
      <w:r>
        <w:rPr>
          <w:i/>
          <w:lang w:val="sr-Cyrl-CS"/>
        </w:rPr>
        <w:t>o</w:t>
      </w:r>
      <w:r w:rsidR="00745C54" w:rsidRPr="00E95BC4">
        <w:rPr>
          <w:i/>
          <w:lang w:val="sr-Cyrl-CS"/>
        </w:rPr>
        <w:t xml:space="preserve"> </w:t>
      </w:r>
      <w:r>
        <w:rPr>
          <w:i/>
          <w:lang w:val="sr-Cyrl-CS"/>
        </w:rPr>
        <w:t>oduzimanju</w:t>
      </w:r>
      <w:r w:rsidR="00745C54" w:rsidRPr="00E95BC4">
        <w:rPr>
          <w:i/>
          <w:lang w:val="sr-Cyrl-CS"/>
        </w:rPr>
        <w:t xml:space="preserve"> </w:t>
      </w:r>
      <w:r>
        <w:rPr>
          <w:i/>
          <w:lang w:val="sr-Cyrl-CS"/>
        </w:rPr>
        <w:t>imovine</w:t>
      </w:r>
      <w:r w:rsidR="00745C54" w:rsidRPr="00E95BC4">
        <w:rPr>
          <w:i/>
          <w:lang w:val="sr-Cyrl-CS"/>
        </w:rPr>
        <w:t xml:space="preserve"> </w:t>
      </w:r>
      <w:r>
        <w:rPr>
          <w:i/>
          <w:lang w:val="sr-Cyrl-CS"/>
        </w:rPr>
        <w:t>proistekle</w:t>
      </w:r>
      <w:r w:rsidR="00745C54" w:rsidRPr="00E95BC4">
        <w:rPr>
          <w:i/>
          <w:lang w:val="sr-Cyrl-CS"/>
        </w:rPr>
        <w:t xml:space="preserve"> </w:t>
      </w:r>
      <w:r>
        <w:rPr>
          <w:i/>
          <w:lang w:val="sr-Cyrl-CS"/>
        </w:rPr>
        <w:t>iz</w:t>
      </w:r>
      <w:r w:rsidR="00745C54" w:rsidRPr="00E95BC4">
        <w:rPr>
          <w:i/>
          <w:lang w:val="sr-Cyrl-CS"/>
        </w:rPr>
        <w:t xml:space="preserve"> </w:t>
      </w:r>
      <w:r>
        <w:rPr>
          <w:i/>
          <w:lang w:val="sr-Cyrl-CS"/>
        </w:rPr>
        <w:t>krivičnog</w:t>
      </w:r>
      <w:r w:rsidR="00745C54" w:rsidRPr="00E95BC4">
        <w:rPr>
          <w:i/>
          <w:lang w:val="sr-Cyrl-CS"/>
        </w:rPr>
        <w:t xml:space="preserve"> </w:t>
      </w:r>
      <w:r>
        <w:rPr>
          <w:i/>
          <w:lang w:val="sr-Cyrl-CS"/>
        </w:rPr>
        <w:t>dela</w:t>
      </w:r>
      <w:r w:rsidR="00745C54" w:rsidRPr="00E95BC4">
        <w:rPr>
          <w:lang w:val="sr-Cyrl-CS"/>
        </w:rPr>
        <w:t xml:space="preserve"> </w:t>
      </w:r>
      <w:r>
        <w:rPr>
          <w:lang w:val="sr-Cyrl-CS"/>
        </w:rPr>
        <w:t>donela</w:t>
      </w:r>
      <w:r w:rsidR="00745C54" w:rsidRPr="00E95BC4">
        <w:rPr>
          <w:lang w:val="sr-Cyrl-CS"/>
        </w:rPr>
        <w:t xml:space="preserve"> 2008. </w:t>
      </w:r>
      <w:r>
        <w:rPr>
          <w:lang w:val="sr-Cyrl-CS"/>
        </w:rPr>
        <w:t>godine</w:t>
      </w:r>
      <w:r w:rsidR="00745C54" w:rsidRPr="00E95BC4">
        <w:rPr>
          <w:lang w:val="sr-Cyrl-CS"/>
        </w:rPr>
        <w:t xml:space="preserve">. </w:t>
      </w:r>
      <w:r>
        <w:rPr>
          <w:lang w:val="sr-Cyrl-CS"/>
        </w:rPr>
        <w:t>Ovim</w:t>
      </w:r>
      <w:r w:rsidR="00745C54" w:rsidRPr="00E95BC4">
        <w:rPr>
          <w:lang w:val="sr-Cyrl-CS"/>
        </w:rPr>
        <w:t xml:space="preserve"> </w:t>
      </w:r>
      <w:r>
        <w:rPr>
          <w:lang w:val="sr-Cyrl-CS"/>
        </w:rPr>
        <w:t>zakonom</w:t>
      </w:r>
      <w:r w:rsidR="00745C54" w:rsidRPr="00E95BC4">
        <w:rPr>
          <w:lang w:val="sr-Cyrl-CS"/>
        </w:rPr>
        <w:t xml:space="preserve"> </w:t>
      </w:r>
      <w:r>
        <w:rPr>
          <w:lang w:val="sr-Cyrl-CS"/>
        </w:rPr>
        <w:t>je</w:t>
      </w:r>
      <w:r w:rsidR="00745C54" w:rsidRPr="00E95BC4">
        <w:rPr>
          <w:lang w:val="sr-Cyrl-CS"/>
        </w:rPr>
        <w:t xml:space="preserve"> </w:t>
      </w:r>
      <w:r>
        <w:rPr>
          <w:lang w:val="sr-Cyrl-CS"/>
        </w:rPr>
        <w:t>u</w:t>
      </w:r>
      <w:r w:rsidR="00745C54" w:rsidRPr="00E95BC4">
        <w:rPr>
          <w:lang w:val="sr-Cyrl-CS"/>
        </w:rPr>
        <w:t xml:space="preserve"> </w:t>
      </w:r>
      <w:r>
        <w:rPr>
          <w:lang w:val="sr-Cyrl-CS"/>
        </w:rPr>
        <w:t>srpski</w:t>
      </w:r>
      <w:r w:rsidR="00745C54" w:rsidRPr="00E95BC4">
        <w:rPr>
          <w:lang w:val="sr-Cyrl-CS"/>
        </w:rPr>
        <w:t xml:space="preserve"> </w:t>
      </w:r>
      <w:r>
        <w:rPr>
          <w:lang w:val="sr-Cyrl-CS"/>
        </w:rPr>
        <w:t>pravni</w:t>
      </w:r>
      <w:r w:rsidR="00745C54" w:rsidRPr="00E95BC4">
        <w:rPr>
          <w:lang w:val="sr-Cyrl-CS"/>
        </w:rPr>
        <w:t xml:space="preserve"> </w:t>
      </w:r>
      <w:r>
        <w:rPr>
          <w:lang w:val="sr-Cyrl-CS"/>
        </w:rPr>
        <w:t>okvir</w:t>
      </w:r>
      <w:r w:rsidR="00745C54" w:rsidRPr="00E95BC4">
        <w:rPr>
          <w:lang w:val="sr-Cyrl-CS"/>
        </w:rPr>
        <w:t xml:space="preserve"> </w:t>
      </w:r>
      <w:r>
        <w:rPr>
          <w:lang w:val="sr-Cyrl-CS"/>
        </w:rPr>
        <w:t>po</w:t>
      </w:r>
      <w:r w:rsidR="00745C54" w:rsidRPr="00E95BC4">
        <w:rPr>
          <w:lang w:val="sr-Cyrl-CS"/>
        </w:rPr>
        <w:t xml:space="preserve"> </w:t>
      </w:r>
      <w:r>
        <w:rPr>
          <w:lang w:val="sr-Cyrl-CS"/>
        </w:rPr>
        <w:t>prvi</w:t>
      </w:r>
      <w:r w:rsidR="00745C54" w:rsidRPr="00E95BC4">
        <w:rPr>
          <w:lang w:val="sr-Cyrl-CS"/>
        </w:rPr>
        <w:t xml:space="preserve"> </w:t>
      </w:r>
      <w:r>
        <w:rPr>
          <w:lang w:val="sr-Cyrl-CS"/>
        </w:rPr>
        <w:t>put</w:t>
      </w:r>
      <w:r w:rsidR="00745C54" w:rsidRPr="00E95BC4">
        <w:rPr>
          <w:lang w:val="sr-Cyrl-CS"/>
        </w:rPr>
        <w:t xml:space="preserve"> </w:t>
      </w:r>
      <w:r>
        <w:rPr>
          <w:lang w:val="sr-Cyrl-CS"/>
        </w:rPr>
        <w:t>uveden</w:t>
      </w:r>
      <w:r w:rsidR="00745C54" w:rsidRPr="00E95BC4">
        <w:rPr>
          <w:lang w:val="sr-Cyrl-CS"/>
        </w:rPr>
        <w:t xml:space="preserve"> </w:t>
      </w:r>
      <w:r>
        <w:rPr>
          <w:lang w:val="sr-Cyrl-CS"/>
        </w:rPr>
        <w:t>institut</w:t>
      </w:r>
      <w:r w:rsidR="00745C54" w:rsidRPr="00E95BC4">
        <w:rPr>
          <w:lang w:val="sr-Cyrl-CS"/>
        </w:rPr>
        <w:t xml:space="preserve"> </w:t>
      </w:r>
      <w:r>
        <w:rPr>
          <w:lang w:val="sr-Cyrl-CS"/>
        </w:rPr>
        <w:t>tzv</w:t>
      </w:r>
      <w:r w:rsidR="00745C54" w:rsidRPr="00E95BC4">
        <w:rPr>
          <w:lang w:val="sr-Cyrl-CS"/>
        </w:rPr>
        <w:t xml:space="preserve">. </w:t>
      </w:r>
      <w:r>
        <w:rPr>
          <w:lang w:val="sr-Cyrl-CS"/>
        </w:rPr>
        <w:t>proširenog</w:t>
      </w:r>
      <w:r w:rsidR="00745C54" w:rsidRPr="00E95BC4">
        <w:rPr>
          <w:lang w:val="sr-Cyrl-CS"/>
        </w:rPr>
        <w:t xml:space="preserve"> </w:t>
      </w:r>
      <w:r>
        <w:rPr>
          <w:lang w:val="sr-Cyrl-CS"/>
        </w:rPr>
        <w:t>oduzimanja</w:t>
      </w:r>
      <w:r w:rsidR="00745C54" w:rsidRPr="00E95BC4">
        <w:rPr>
          <w:lang w:val="sr-Cyrl-CS"/>
        </w:rPr>
        <w:t xml:space="preserve"> </w:t>
      </w:r>
      <w:r>
        <w:rPr>
          <w:lang w:val="sr-Cyrl-CS"/>
        </w:rPr>
        <w:t>imovine</w:t>
      </w:r>
      <w:r w:rsidR="00745C54" w:rsidRPr="00E95BC4">
        <w:rPr>
          <w:lang w:val="sr-Cyrl-CS"/>
        </w:rPr>
        <w:t xml:space="preserve">. </w:t>
      </w:r>
      <w:r>
        <w:rPr>
          <w:lang w:val="sr-Cyrl-CS"/>
        </w:rPr>
        <w:t>Naime</w:t>
      </w:r>
      <w:r w:rsidR="00745C54" w:rsidRPr="00E95BC4">
        <w:rPr>
          <w:lang w:val="sr-Cyrl-CS"/>
        </w:rPr>
        <w:t xml:space="preserve">, </w:t>
      </w:r>
      <w:r>
        <w:rPr>
          <w:lang w:val="sr-Cyrl-CS"/>
        </w:rPr>
        <w:t>od</w:t>
      </w:r>
      <w:r w:rsidR="00745C54" w:rsidRPr="00E95BC4">
        <w:rPr>
          <w:lang w:val="sr-Cyrl-CS"/>
        </w:rPr>
        <w:t xml:space="preserve"> </w:t>
      </w:r>
      <w:r>
        <w:rPr>
          <w:lang w:val="sr-Cyrl-CS"/>
        </w:rPr>
        <w:t>učinilaca</w:t>
      </w:r>
      <w:r w:rsidR="00745C54" w:rsidRPr="00E95BC4">
        <w:rPr>
          <w:lang w:val="sr-Cyrl-CS"/>
        </w:rPr>
        <w:t xml:space="preserve"> </w:t>
      </w:r>
      <w:r>
        <w:rPr>
          <w:lang w:val="sr-Cyrl-CS"/>
        </w:rPr>
        <w:t>krivičnih</w:t>
      </w:r>
      <w:r w:rsidR="00745C54" w:rsidRPr="00E95BC4">
        <w:rPr>
          <w:lang w:val="sr-Cyrl-CS"/>
        </w:rPr>
        <w:t xml:space="preserve"> </w:t>
      </w:r>
      <w:r>
        <w:rPr>
          <w:lang w:val="sr-Cyrl-CS"/>
        </w:rPr>
        <w:t>dela</w:t>
      </w:r>
      <w:r w:rsidR="00745C54" w:rsidRPr="00E95BC4">
        <w:rPr>
          <w:lang w:val="sr-Cyrl-CS"/>
        </w:rPr>
        <w:t xml:space="preserve"> </w:t>
      </w:r>
      <w:r>
        <w:rPr>
          <w:lang w:val="sr-Cyrl-CS"/>
        </w:rPr>
        <w:t>organizovanog</w:t>
      </w:r>
      <w:r w:rsidR="00745C54" w:rsidRPr="00E95BC4">
        <w:rPr>
          <w:lang w:val="sr-Cyrl-CS"/>
        </w:rPr>
        <w:t xml:space="preserve"> </w:t>
      </w:r>
      <w:r>
        <w:rPr>
          <w:lang w:val="sr-Cyrl-CS"/>
        </w:rPr>
        <w:t>kriminala</w:t>
      </w:r>
      <w:r w:rsidR="00704045" w:rsidRPr="00E95BC4">
        <w:rPr>
          <w:lang w:val="sr-Cyrl-CS"/>
        </w:rPr>
        <w:t>,</w:t>
      </w:r>
      <w:r w:rsidR="00745C54" w:rsidRPr="00E95BC4">
        <w:rPr>
          <w:lang w:val="sr-Cyrl-CS"/>
        </w:rPr>
        <w:t xml:space="preserve"> </w:t>
      </w:r>
      <w:r>
        <w:rPr>
          <w:lang w:val="sr-Cyrl-CS"/>
        </w:rPr>
        <w:t>kao</w:t>
      </w:r>
      <w:r w:rsidR="00745C54" w:rsidRPr="00E95BC4">
        <w:rPr>
          <w:lang w:val="sr-Cyrl-CS"/>
        </w:rPr>
        <w:t xml:space="preserve"> </w:t>
      </w:r>
      <w:r>
        <w:rPr>
          <w:lang w:val="sr-Cyrl-CS"/>
        </w:rPr>
        <w:t>i</w:t>
      </w:r>
      <w:r w:rsidR="00745C54" w:rsidRPr="00E95BC4">
        <w:rPr>
          <w:lang w:val="sr-Cyrl-CS"/>
        </w:rPr>
        <w:t xml:space="preserve"> </w:t>
      </w:r>
      <w:r>
        <w:rPr>
          <w:lang w:val="sr-Cyrl-CS"/>
        </w:rPr>
        <w:t>od</w:t>
      </w:r>
      <w:r w:rsidR="00745C54" w:rsidRPr="00E95BC4">
        <w:rPr>
          <w:lang w:val="sr-Cyrl-CS"/>
        </w:rPr>
        <w:t xml:space="preserve"> </w:t>
      </w:r>
      <w:r>
        <w:rPr>
          <w:lang w:val="sr-Cyrl-CS"/>
        </w:rPr>
        <w:t>učinilaca</w:t>
      </w:r>
      <w:r w:rsidR="00745C54" w:rsidRPr="00E95BC4">
        <w:rPr>
          <w:lang w:val="sr-Cyrl-CS"/>
        </w:rPr>
        <w:t xml:space="preserve"> </w:t>
      </w:r>
      <w:r>
        <w:rPr>
          <w:lang w:val="sr-Cyrl-CS"/>
        </w:rPr>
        <w:t>najtežih</w:t>
      </w:r>
      <w:r w:rsidR="00745C54" w:rsidRPr="00E95BC4">
        <w:rPr>
          <w:lang w:val="sr-Cyrl-CS"/>
        </w:rPr>
        <w:t xml:space="preserve"> </w:t>
      </w:r>
      <w:r>
        <w:rPr>
          <w:lang w:val="sr-Cyrl-CS"/>
        </w:rPr>
        <w:t>krivičnih</w:t>
      </w:r>
      <w:r w:rsidR="00745C54" w:rsidRPr="00E95BC4">
        <w:rPr>
          <w:lang w:val="sr-Cyrl-CS"/>
        </w:rPr>
        <w:t xml:space="preserve"> </w:t>
      </w:r>
      <w:r>
        <w:rPr>
          <w:lang w:val="sr-Cyrl-CS"/>
        </w:rPr>
        <w:t>dela</w:t>
      </w:r>
      <w:r w:rsidR="00745C54" w:rsidRPr="00E95BC4">
        <w:rPr>
          <w:lang w:val="sr-Cyrl-CS"/>
        </w:rPr>
        <w:t xml:space="preserve"> </w:t>
      </w:r>
      <w:r>
        <w:rPr>
          <w:lang w:val="sr-Cyrl-CS"/>
        </w:rPr>
        <w:t>koja</w:t>
      </w:r>
      <w:r w:rsidR="00745C54" w:rsidRPr="00E95BC4">
        <w:rPr>
          <w:lang w:val="sr-Cyrl-CS"/>
        </w:rPr>
        <w:t xml:space="preserve"> </w:t>
      </w:r>
      <w:r>
        <w:rPr>
          <w:lang w:val="sr-Cyrl-CS"/>
        </w:rPr>
        <w:t>su</w:t>
      </w:r>
      <w:r w:rsidR="00745C54" w:rsidRPr="00E95BC4">
        <w:rPr>
          <w:lang w:val="sr-Cyrl-CS"/>
        </w:rPr>
        <w:t xml:space="preserve"> </w:t>
      </w:r>
      <w:r>
        <w:rPr>
          <w:lang w:val="sr-Cyrl-CS"/>
        </w:rPr>
        <w:t>taksativno</w:t>
      </w:r>
      <w:r w:rsidR="00745C54" w:rsidRPr="00E95BC4">
        <w:rPr>
          <w:lang w:val="sr-Cyrl-CS"/>
        </w:rPr>
        <w:t xml:space="preserve"> </w:t>
      </w:r>
      <w:r>
        <w:rPr>
          <w:lang w:val="sr-Cyrl-CS"/>
        </w:rPr>
        <w:t>navedena</w:t>
      </w:r>
      <w:r w:rsidR="00745C54" w:rsidRPr="00E95BC4">
        <w:rPr>
          <w:lang w:val="sr-Cyrl-CS"/>
        </w:rPr>
        <w:t xml:space="preserve"> </w:t>
      </w:r>
      <w:r>
        <w:rPr>
          <w:lang w:val="sr-Cyrl-CS"/>
        </w:rPr>
        <w:t>u</w:t>
      </w:r>
      <w:r w:rsidR="00745C54" w:rsidRPr="00E95BC4">
        <w:rPr>
          <w:lang w:val="sr-Cyrl-CS"/>
        </w:rPr>
        <w:t xml:space="preserve"> </w:t>
      </w:r>
      <w:r>
        <w:rPr>
          <w:lang w:val="sr-Cyrl-CS"/>
        </w:rPr>
        <w:t>članu</w:t>
      </w:r>
      <w:r w:rsidR="00745C54" w:rsidRPr="00E95BC4">
        <w:rPr>
          <w:lang w:val="sr-Cyrl-CS"/>
        </w:rPr>
        <w:t xml:space="preserve"> 2. </w:t>
      </w:r>
      <w:r>
        <w:rPr>
          <w:lang w:val="sr-Cyrl-CS"/>
        </w:rPr>
        <w:t>Zakona</w:t>
      </w:r>
      <w:r w:rsidR="00745C54" w:rsidRPr="00E95BC4">
        <w:rPr>
          <w:lang w:val="sr-Cyrl-CS"/>
        </w:rPr>
        <w:t xml:space="preserve">, </w:t>
      </w:r>
      <w:r>
        <w:rPr>
          <w:lang w:val="sr-Cyrl-CS"/>
        </w:rPr>
        <w:t>postoji</w:t>
      </w:r>
      <w:r w:rsidR="00745C54" w:rsidRPr="00E95BC4">
        <w:rPr>
          <w:lang w:val="sr-Cyrl-CS"/>
        </w:rPr>
        <w:t xml:space="preserve"> </w:t>
      </w:r>
      <w:r>
        <w:rPr>
          <w:lang w:val="sr-Cyrl-CS"/>
        </w:rPr>
        <w:t>mogućnost</w:t>
      </w:r>
      <w:r w:rsidR="00745C54" w:rsidRPr="00E95BC4">
        <w:rPr>
          <w:lang w:val="sr-Cyrl-CS"/>
        </w:rPr>
        <w:t xml:space="preserve"> </w:t>
      </w:r>
      <w:r>
        <w:rPr>
          <w:lang w:val="sr-Cyrl-CS"/>
        </w:rPr>
        <w:t>oduzimanja</w:t>
      </w:r>
      <w:r w:rsidR="00745C54" w:rsidRPr="00E95BC4">
        <w:rPr>
          <w:lang w:val="sr-Cyrl-CS"/>
        </w:rPr>
        <w:t xml:space="preserve"> </w:t>
      </w:r>
      <w:r>
        <w:rPr>
          <w:lang w:val="sr-Cyrl-CS"/>
        </w:rPr>
        <w:t>imovine</w:t>
      </w:r>
      <w:r w:rsidR="00745C54" w:rsidRPr="00E95BC4">
        <w:rPr>
          <w:lang w:val="sr-Cyrl-CS"/>
        </w:rPr>
        <w:t xml:space="preserve"> </w:t>
      </w:r>
      <w:r>
        <w:rPr>
          <w:lang w:val="sr-Cyrl-CS"/>
        </w:rPr>
        <w:t>koja</w:t>
      </w:r>
      <w:r w:rsidR="00745C54" w:rsidRPr="00E95BC4">
        <w:rPr>
          <w:lang w:val="sr-Cyrl-CS"/>
        </w:rPr>
        <w:t xml:space="preserve"> </w:t>
      </w:r>
      <w:r>
        <w:rPr>
          <w:lang w:val="sr-Cyrl-CS"/>
        </w:rPr>
        <w:t>prevazilazi</w:t>
      </w:r>
      <w:r w:rsidR="00745C54" w:rsidRPr="00E95BC4">
        <w:rPr>
          <w:lang w:val="sr-Cyrl-CS"/>
        </w:rPr>
        <w:t xml:space="preserve"> </w:t>
      </w:r>
      <w:r>
        <w:rPr>
          <w:lang w:val="sr-Cyrl-CS"/>
        </w:rPr>
        <w:t>njihove</w:t>
      </w:r>
      <w:r w:rsidR="00745C54" w:rsidRPr="00E95BC4">
        <w:rPr>
          <w:lang w:val="sr-Cyrl-CS"/>
        </w:rPr>
        <w:t xml:space="preserve"> </w:t>
      </w:r>
      <w:r>
        <w:rPr>
          <w:lang w:val="sr-Cyrl-CS"/>
        </w:rPr>
        <w:t>zakonite</w:t>
      </w:r>
      <w:r w:rsidR="00745C54" w:rsidRPr="00E95BC4">
        <w:rPr>
          <w:lang w:val="sr-Cyrl-CS"/>
        </w:rPr>
        <w:t xml:space="preserve"> </w:t>
      </w:r>
      <w:r>
        <w:rPr>
          <w:lang w:val="sr-Cyrl-CS"/>
        </w:rPr>
        <w:t>prihode</w:t>
      </w:r>
      <w:r w:rsidR="00745C54" w:rsidRPr="00E95BC4">
        <w:rPr>
          <w:lang w:val="sr-Cyrl-CS"/>
        </w:rPr>
        <w:t xml:space="preserve"> </w:t>
      </w:r>
      <w:r>
        <w:rPr>
          <w:lang w:val="sr-Cyrl-CS"/>
        </w:rPr>
        <w:t>i</w:t>
      </w:r>
      <w:r w:rsidR="00745C54" w:rsidRPr="00E95BC4">
        <w:rPr>
          <w:lang w:val="sr-Cyrl-CS"/>
        </w:rPr>
        <w:t xml:space="preserve"> </w:t>
      </w:r>
      <w:r>
        <w:rPr>
          <w:lang w:val="sr-Cyrl-CS"/>
        </w:rPr>
        <w:t>za</w:t>
      </w:r>
      <w:r w:rsidR="00745C54" w:rsidRPr="00E95BC4">
        <w:rPr>
          <w:lang w:val="sr-Cyrl-CS"/>
        </w:rPr>
        <w:t xml:space="preserve"> </w:t>
      </w:r>
      <w:r>
        <w:rPr>
          <w:lang w:val="sr-Cyrl-CS"/>
        </w:rPr>
        <w:t>koju</w:t>
      </w:r>
      <w:r w:rsidR="00745C54" w:rsidRPr="00E95BC4">
        <w:rPr>
          <w:lang w:val="sr-Cyrl-CS"/>
        </w:rPr>
        <w:t xml:space="preserve"> </w:t>
      </w:r>
      <w:r>
        <w:rPr>
          <w:lang w:val="sr-Cyrl-CS"/>
        </w:rPr>
        <w:t>ne</w:t>
      </w:r>
      <w:r w:rsidR="00745C54" w:rsidRPr="00E95BC4">
        <w:rPr>
          <w:lang w:val="sr-Cyrl-CS"/>
        </w:rPr>
        <w:t xml:space="preserve"> </w:t>
      </w:r>
      <w:r>
        <w:rPr>
          <w:lang w:val="sr-Cyrl-CS"/>
        </w:rPr>
        <w:t>mogu</w:t>
      </w:r>
      <w:r w:rsidR="00745C54" w:rsidRPr="00E95BC4">
        <w:rPr>
          <w:lang w:val="sr-Cyrl-CS"/>
        </w:rPr>
        <w:t xml:space="preserve"> </w:t>
      </w:r>
      <w:r>
        <w:rPr>
          <w:lang w:val="sr-Cyrl-CS"/>
        </w:rPr>
        <w:t>dokazati</w:t>
      </w:r>
      <w:r w:rsidR="00745C54" w:rsidRPr="00E95BC4">
        <w:rPr>
          <w:lang w:val="sr-Cyrl-CS"/>
        </w:rPr>
        <w:t xml:space="preserve"> </w:t>
      </w:r>
      <w:r>
        <w:rPr>
          <w:lang w:val="sr-Cyrl-CS"/>
        </w:rPr>
        <w:t>zakonitost</w:t>
      </w:r>
      <w:r w:rsidR="00745C54" w:rsidRPr="00E95BC4">
        <w:rPr>
          <w:lang w:val="sr-Cyrl-CS"/>
        </w:rPr>
        <w:t xml:space="preserve"> </w:t>
      </w:r>
      <w:r>
        <w:rPr>
          <w:lang w:val="sr-Cyrl-CS"/>
        </w:rPr>
        <w:t>porekla</w:t>
      </w:r>
      <w:r w:rsidR="00745C54" w:rsidRPr="00E95BC4">
        <w:rPr>
          <w:lang w:val="sr-Cyrl-CS"/>
        </w:rPr>
        <w:t xml:space="preserve">. </w:t>
      </w:r>
      <w:r>
        <w:rPr>
          <w:lang w:val="sr-Cyrl-CS"/>
        </w:rPr>
        <w:t>Pomenuti</w:t>
      </w:r>
      <w:r w:rsidR="00745C54" w:rsidRPr="00E95BC4">
        <w:rPr>
          <w:lang w:val="sr-Cyrl-CS"/>
        </w:rPr>
        <w:t xml:space="preserve"> </w:t>
      </w:r>
      <w:r>
        <w:rPr>
          <w:lang w:val="sr-Cyrl-CS"/>
        </w:rPr>
        <w:t>Zakon</w:t>
      </w:r>
      <w:r w:rsidR="00745C54" w:rsidRPr="00E95BC4">
        <w:rPr>
          <w:lang w:val="sr-Cyrl-CS"/>
        </w:rPr>
        <w:t xml:space="preserve"> </w:t>
      </w:r>
      <w:r>
        <w:rPr>
          <w:lang w:val="sr-Cyrl-CS"/>
        </w:rPr>
        <w:t>je</w:t>
      </w:r>
      <w:r w:rsidR="00745C54" w:rsidRPr="00E95BC4">
        <w:rPr>
          <w:lang w:val="sr-Cyrl-CS"/>
        </w:rPr>
        <w:t xml:space="preserve"> </w:t>
      </w:r>
      <w:r>
        <w:rPr>
          <w:lang w:val="sr-Cyrl-CS"/>
        </w:rPr>
        <w:t>poslednji</w:t>
      </w:r>
      <w:r w:rsidR="00745C54" w:rsidRPr="00E95BC4">
        <w:rPr>
          <w:lang w:val="sr-Cyrl-CS"/>
        </w:rPr>
        <w:t xml:space="preserve"> </w:t>
      </w:r>
      <w:r>
        <w:rPr>
          <w:lang w:val="sr-Cyrl-CS"/>
        </w:rPr>
        <w:t>put</w:t>
      </w:r>
      <w:r w:rsidR="00745C54" w:rsidRPr="00E95BC4">
        <w:rPr>
          <w:lang w:val="sr-Cyrl-CS"/>
        </w:rPr>
        <w:t xml:space="preserve"> </w:t>
      </w:r>
      <w:r>
        <w:rPr>
          <w:lang w:val="sr-Cyrl-CS"/>
        </w:rPr>
        <w:t>izmenjen</w:t>
      </w:r>
      <w:r w:rsidR="00745C54" w:rsidRPr="00E95BC4">
        <w:rPr>
          <w:lang w:val="sr-Cyrl-CS"/>
        </w:rPr>
        <w:t xml:space="preserve"> </w:t>
      </w:r>
      <w:r>
        <w:rPr>
          <w:lang/>
        </w:rPr>
        <w:t>u</w:t>
      </w:r>
      <w:r w:rsidR="00DE44BF">
        <w:rPr>
          <w:lang/>
        </w:rPr>
        <w:t xml:space="preserve"> </w:t>
      </w:r>
      <w:r>
        <w:rPr>
          <w:lang w:val="sr-Cyrl-CS"/>
        </w:rPr>
        <w:t>maju</w:t>
      </w:r>
      <w:r w:rsidR="00745C54" w:rsidRPr="00E95BC4">
        <w:rPr>
          <w:lang w:val="sr-Cyrl-CS"/>
        </w:rPr>
        <w:t xml:space="preserve"> 2019. </w:t>
      </w:r>
      <w:r>
        <w:rPr>
          <w:lang w:val="sr-Cyrl-CS"/>
        </w:rPr>
        <w:t>godine</w:t>
      </w:r>
      <w:r w:rsidR="00745C54" w:rsidRPr="00E95BC4">
        <w:rPr>
          <w:lang w:val="sr-Cyrl-CS"/>
        </w:rPr>
        <w:t xml:space="preserve">. </w:t>
      </w:r>
      <w:r>
        <w:rPr>
          <w:lang w:val="sr-Cyrl-CS"/>
        </w:rPr>
        <w:t>Razlog</w:t>
      </w:r>
      <w:r w:rsidR="00745C54" w:rsidRPr="00E95BC4">
        <w:rPr>
          <w:lang w:val="sr-Cyrl-CS"/>
        </w:rPr>
        <w:t xml:space="preserve"> </w:t>
      </w:r>
      <w:r>
        <w:rPr>
          <w:lang w:val="sr-Cyrl-CS"/>
        </w:rPr>
        <w:t>za</w:t>
      </w:r>
      <w:r w:rsidR="00745C54" w:rsidRPr="00E95BC4">
        <w:rPr>
          <w:lang w:val="sr-Cyrl-CS"/>
        </w:rPr>
        <w:t xml:space="preserve"> </w:t>
      </w:r>
      <w:r>
        <w:rPr>
          <w:lang w:val="sr-Cyrl-CS"/>
        </w:rPr>
        <w:t>donošenje</w:t>
      </w:r>
      <w:r w:rsidR="00745C54" w:rsidRPr="00E95BC4">
        <w:rPr>
          <w:lang w:val="sr-Cyrl-CS"/>
        </w:rPr>
        <w:t xml:space="preserve"> </w:t>
      </w:r>
      <w:r>
        <w:rPr>
          <w:lang w:val="sr-Cyrl-CS"/>
        </w:rPr>
        <w:t>Zakona</w:t>
      </w:r>
      <w:r w:rsidR="00745C54" w:rsidRPr="00E95BC4">
        <w:rPr>
          <w:lang w:val="sr-Cyrl-CS"/>
        </w:rPr>
        <w:t xml:space="preserve"> </w:t>
      </w:r>
      <w:r>
        <w:rPr>
          <w:lang w:val="sr-Cyrl-CS"/>
        </w:rPr>
        <w:t>o</w:t>
      </w:r>
      <w:r w:rsidR="00745C54" w:rsidRPr="00E95BC4">
        <w:rPr>
          <w:lang w:val="sr-Cyrl-CS"/>
        </w:rPr>
        <w:t xml:space="preserve"> </w:t>
      </w:r>
      <w:r>
        <w:rPr>
          <w:lang w:val="sr-Cyrl-CS"/>
        </w:rPr>
        <w:t>izmenama</w:t>
      </w:r>
      <w:r w:rsidR="00745C54" w:rsidRPr="00E95BC4">
        <w:rPr>
          <w:lang w:val="sr-Cyrl-CS"/>
        </w:rPr>
        <w:t xml:space="preserve"> </w:t>
      </w:r>
      <w:r>
        <w:rPr>
          <w:lang w:val="sr-Cyrl-CS"/>
        </w:rPr>
        <w:t>i</w:t>
      </w:r>
      <w:r w:rsidR="00745C54" w:rsidRPr="00E95BC4">
        <w:rPr>
          <w:lang w:val="sr-Cyrl-CS"/>
        </w:rPr>
        <w:t xml:space="preserve"> </w:t>
      </w:r>
      <w:r>
        <w:rPr>
          <w:lang w:val="sr-Cyrl-CS"/>
        </w:rPr>
        <w:t>dopuni</w:t>
      </w:r>
      <w:r w:rsidR="00745C54" w:rsidRPr="00E95BC4">
        <w:rPr>
          <w:lang w:val="sr-Cyrl-CS"/>
        </w:rPr>
        <w:t xml:space="preserve"> </w:t>
      </w:r>
      <w:r>
        <w:rPr>
          <w:lang w:val="sr-Cyrl-CS"/>
        </w:rPr>
        <w:t>Zakona</w:t>
      </w:r>
      <w:r w:rsidR="00745C54" w:rsidRPr="00E95BC4">
        <w:rPr>
          <w:lang w:val="sr-Cyrl-CS"/>
        </w:rPr>
        <w:t xml:space="preserve"> </w:t>
      </w:r>
      <w:r>
        <w:rPr>
          <w:lang w:val="sr-Cyrl-CS"/>
        </w:rPr>
        <w:t>o</w:t>
      </w:r>
      <w:r w:rsidR="00745C54" w:rsidRPr="00E95BC4">
        <w:rPr>
          <w:lang w:val="sr-Cyrl-CS"/>
        </w:rPr>
        <w:t xml:space="preserve"> </w:t>
      </w:r>
      <w:r>
        <w:rPr>
          <w:lang w:val="sr-Cyrl-CS"/>
        </w:rPr>
        <w:t>oduzimanju</w:t>
      </w:r>
      <w:r w:rsidR="00745C54" w:rsidRPr="00E95BC4">
        <w:rPr>
          <w:lang w:val="sr-Cyrl-CS"/>
        </w:rPr>
        <w:t xml:space="preserve"> </w:t>
      </w:r>
      <w:r>
        <w:rPr>
          <w:lang w:val="sr-Cyrl-CS"/>
        </w:rPr>
        <w:t>imovine</w:t>
      </w:r>
      <w:r w:rsidR="00745C54" w:rsidRPr="00E95BC4">
        <w:rPr>
          <w:lang w:val="sr-Cyrl-CS"/>
        </w:rPr>
        <w:t xml:space="preserve"> </w:t>
      </w:r>
      <w:r>
        <w:rPr>
          <w:lang w:val="sr-Cyrl-CS"/>
        </w:rPr>
        <w:t>proistekle</w:t>
      </w:r>
      <w:r w:rsidR="00745C54" w:rsidRPr="00E95BC4">
        <w:rPr>
          <w:lang w:val="sr-Cyrl-CS"/>
        </w:rPr>
        <w:t xml:space="preserve"> </w:t>
      </w:r>
      <w:r>
        <w:rPr>
          <w:lang w:val="sr-Cyrl-CS"/>
        </w:rPr>
        <w:t>iz</w:t>
      </w:r>
      <w:r w:rsidR="00745C54" w:rsidRPr="00E95BC4">
        <w:rPr>
          <w:lang w:val="sr-Cyrl-CS"/>
        </w:rPr>
        <w:t xml:space="preserve"> </w:t>
      </w:r>
      <w:r>
        <w:rPr>
          <w:lang w:val="sr-Cyrl-CS"/>
        </w:rPr>
        <w:t>krivičnog</w:t>
      </w:r>
      <w:r w:rsidR="00745C54" w:rsidRPr="00E95BC4">
        <w:rPr>
          <w:lang w:val="sr-Cyrl-CS"/>
        </w:rPr>
        <w:t xml:space="preserve"> </w:t>
      </w:r>
      <w:r>
        <w:rPr>
          <w:lang w:val="sr-Cyrl-CS"/>
        </w:rPr>
        <w:t>dela</w:t>
      </w:r>
      <w:r w:rsidR="00745C54" w:rsidRPr="00E95BC4">
        <w:rPr>
          <w:lang w:val="sr-Cyrl-CS"/>
        </w:rPr>
        <w:t xml:space="preserve"> </w:t>
      </w:r>
      <w:r>
        <w:rPr>
          <w:lang w:val="sr-Cyrl-CS"/>
        </w:rPr>
        <w:t>bila</w:t>
      </w:r>
      <w:r w:rsidR="00745C54" w:rsidRPr="00E95BC4">
        <w:rPr>
          <w:lang w:val="sr-Cyrl-CS"/>
        </w:rPr>
        <w:t xml:space="preserve"> </w:t>
      </w:r>
      <w:r>
        <w:rPr>
          <w:lang w:val="sr-Cyrl-CS"/>
        </w:rPr>
        <w:t>je</w:t>
      </w:r>
      <w:r w:rsidR="00745C54" w:rsidRPr="00E95BC4">
        <w:rPr>
          <w:lang w:val="sr-Cyrl-CS"/>
        </w:rPr>
        <w:t xml:space="preserve"> </w:t>
      </w:r>
      <w:r>
        <w:rPr>
          <w:lang w:val="sr-Cyrl-CS"/>
        </w:rPr>
        <w:t>potreba</w:t>
      </w:r>
      <w:r w:rsidR="00745C54" w:rsidRPr="00E95BC4">
        <w:rPr>
          <w:lang w:val="sr-Cyrl-CS"/>
        </w:rPr>
        <w:t xml:space="preserve"> </w:t>
      </w:r>
      <w:r>
        <w:rPr>
          <w:lang w:val="sr-Cyrl-CS"/>
        </w:rPr>
        <w:t>usklađivanja</w:t>
      </w:r>
      <w:r w:rsidR="00745C54" w:rsidRPr="00E95BC4">
        <w:rPr>
          <w:lang w:val="sr-Cyrl-CS"/>
        </w:rPr>
        <w:t xml:space="preserve"> </w:t>
      </w:r>
      <w:r>
        <w:rPr>
          <w:lang w:val="sr-Cyrl-CS"/>
        </w:rPr>
        <w:t>ovog</w:t>
      </w:r>
      <w:r w:rsidR="00745C54" w:rsidRPr="00E95BC4">
        <w:rPr>
          <w:lang w:val="sr-Cyrl-CS"/>
        </w:rPr>
        <w:t xml:space="preserve"> </w:t>
      </w:r>
      <w:r>
        <w:rPr>
          <w:lang w:val="sr-Cyrl-CS"/>
        </w:rPr>
        <w:t>zakona</w:t>
      </w:r>
      <w:r w:rsidR="00745C54" w:rsidRPr="00E95BC4">
        <w:rPr>
          <w:lang w:val="sr-Cyrl-CS"/>
        </w:rPr>
        <w:t xml:space="preserve"> </w:t>
      </w:r>
      <w:r>
        <w:rPr>
          <w:lang w:val="sr-Cyrl-CS"/>
        </w:rPr>
        <w:t>sa</w:t>
      </w:r>
      <w:r w:rsidR="00745C54" w:rsidRPr="00E95BC4">
        <w:rPr>
          <w:lang w:val="sr-Cyrl-CS"/>
        </w:rPr>
        <w:t xml:space="preserve"> </w:t>
      </w:r>
      <w:r>
        <w:rPr>
          <w:lang w:val="sr-Cyrl-CS"/>
        </w:rPr>
        <w:t>izmenama</w:t>
      </w:r>
      <w:r w:rsidR="00745C54" w:rsidRPr="00E95BC4">
        <w:rPr>
          <w:lang w:val="sr-Cyrl-CS"/>
        </w:rPr>
        <w:t xml:space="preserve"> </w:t>
      </w:r>
      <w:r>
        <w:rPr>
          <w:lang w:val="sr-Cyrl-CS"/>
        </w:rPr>
        <w:t>i</w:t>
      </w:r>
      <w:r w:rsidR="00745C54" w:rsidRPr="00E95BC4">
        <w:rPr>
          <w:lang w:val="sr-Cyrl-CS"/>
        </w:rPr>
        <w:t xml:space="preserve"> </w:t>
      </w:r>
      <w:r>
        <w:rPr>
          <w:lang w:val="sr-Cyrl-CS"/>
        </w:rPr>
        <w:t>dopunama</w:t>
      </w:r>
      <w:r w:rsidR="00745C54" w:rsidRPr="00E95BC4">
        <w:rPr>
          <w:lang w:val="sr-Cyrl-CS"/>
        </w:rPr>
        <w:t xml:space="preserve"> </w:t>
      </w:r>
      <w:r>
        <w:rPr>
          <w:lang w:val="sr-Cyrl-CS"/>
        </w:rPr>
        <w:t>Krivičnog</w:t>
      </w:r>
      <w:r w:rsidR="00745C54" w:rsidRPr="00E95BC4">
        <w:rPr>
          <w:lang w:val="sr-Cyrl-CS"/>
        </w:rPr>
        <w:t xml:space="preserve"> </w:t>
      </w:r>
      <w:r>
        <w:rPr>
          <w:lang w:val="sr-Cyrl-CS"/>
        </w:rPr>
        <w:t>zakonika</w:t>
      </w:r>
      <w:r w:rsidR="00745C54" w:rsidRPr="00E95BC4">
        <w:rPr>
          <w:lang w:val="sr-Cyrl-CS"/>
        </w:rPr>
        <w:t xml:space="preserve"> </w:t>
      </w:r>
      <w:r>
        <w:rPr>
          <w:lang w:val="sr-Cyrl-CS"/>
        </w:rPr>
        <w:t>iz</w:t>
      </w:r>
      <w:r w:rsidR="00745C54" w:rsidRPr="00E95BC4">
        <w:rPr>
          <w:lang w:val="sr-Cyrl-CS"/>
        </w:rPr>
        <w:t xml:space="preserve"> 2016. </w:t>
      </w:r>
      <w:r>
        <w:rPr>
          <w:lang w:val="sr-Cyrl-CS"/>
        </w:rPr>
        <w:t>godine</w:t>
      </w:r>
      <w:r w:rsidR="00745C54" w:rsidRPr="00E95BC4">
        <w:rPr>
          <w:lang w:val="sr-Cyrl-CS"/>
        </w:rPr>
        <w:t xml:space="preserve">, </w:t>
      </w:r>
      <w:r>
        <w:rPr>
          <w:lang w:val="sr-Cyrl-CS"/>
        </w:rPr>
        <w:t>kojima</w:t>
      </w:r>
      <w:r w:rsidR="00745C54" w:rsidRPr="00E95BC4">
        <w:rPr>
          <w:lang w:val="sr-Cyrl-CS"/>
        </w:rPr>
        <w:t xml:space="preserve"> </w:t>
      </w:r>
      <w:r>
        <w:rPr>
          <w:lang w:val="sr-Cyrl-CS"/>
        </w:rPr>
        <w:t>je</w:t>
      </w:r>
      <w:r w:rsidR="00745C54" w:rsidRPr="00E95BC4">
        <w:rPr>
          <w:lang w:val="sr-Cyrl-CS"/>
        </w:rPr>
        <w:t xml:space="preserve"> </w:t>
      </w:r>
      <w:r>
        <w:rPr>
          <w:lang w:val="sr-Cyrl-CS"/>
        </w:rPr>
        <w:t>izmenjena</w:t>
      </w:r>
      <w:r w:rsidR="00745C54" w:rsidRPr="00E95BC4">
        <w:rPr>
          <w:lang w:val="sr-Cyrl-CS"/>
        </w:rPr>
        <w:t xml:space="preserve"> </w:t>
      </w:r>
      <w:r>
        <w:rPr>
          <w:lang w:val="sr-Cyrl-CS"/>
        </w:rPr>
        <w:t>sistematika</w:t>
      </w:r>
      <w:r w:rsidR="00745C54" w:rsidRPr="00E95BC4">
        <w:rPr>
          <w:lang w:val="sr-Cyrl-CS"/>
        </w:rPr>
        <w:t xml:space="preserve"> </w:t>
      </w:r>
      <w:r>
        <w:rPr>
          <w:lang w:val="sr-Cyrl-CS"/>
        </w:rPr>
        <w:t>Glave</w:t>
      </w:r>
      <w:r w:rsidR="00745C54" w:rsidRPr="00E95BC4">
        <w:rPr>
          <w:lang w:val="sr-Cyrl-CS"/>
        </w:rPr>
        <w:t xml:space="preserve"> </w:t>
      </w:r>
      <w:r>
        <w:rPr>
          <w:lang w:val="sr-Cyrl-CS"/>
        </w:rPr>
        <w:t>HH</w:t>
      </w:r>
      <w:r w:rsidR="00745C54" w:rsidRPr="00E95BC4">
        <w:rPr>
          <w:lang w:val="sr-Cyrl-CS"/>
        </w:rPr>
        <w:t xml:space="preserve">II </w:t>
      </w:r>
      <w:r>
        <w:rPr>
          <w:lang w:val="sr-Cyrl-CS"/>
        </w:rPr>
        <w:t>tog</w:t>
      </w:r>
      <w:r w:rsidR="00745C54" w:rsidRPr="00E95BC4">
        <w:rPr>
          <w:lang w:val="sr-Cyrl-CS"/>
        </w:rPr>
        <w:t xml:space="preserve"> </w:t>
      </w:r>
      <w:r>
        <w:rPr>
          <w:lang w:val="sr-Cyrl-CS"/>
        </w:rPr>
        <w:t>zakona</w:t>
      </w:r>
      <w:r w:rsidR="00745C54" w:rsidRPr="00E95BC4">
        <w:rPr>
          <w:lang w:val="sr-Cyrl-CS"/>
        </w:rPr>
        <w:t xml:space="preserve"> – </w:t>
      </w:r>
      <w:r>
        <w:rPr>
          <w:lang w:val="sr-Cyrl-CS"/>
        </w:rPr>
        <w:t>Krivična</w:t>
      </w:r>
      <w:r w:rsidR="00745C54" w:rsidRPr="00E95BC4">
        <w:rPr>
          <w:lang w:val="sr-Cyrl-CS"/>
        </w:rPr>
        <w:t xml:space="preserve"> </w:t>
      </w:r>
      <w:r>
        <w:rPr>
          <w:lang w:val="sr-Cyrl-CS"/>
        </w:rPr>
        <w:t>dela</w:t>
      </w:r>
      <w:r w:rsidR="00745C54" w:rsidRPr="00E95BC4">
        <w:rPr>
          <w:lang w:val="sr-Cyrl-CS"/>
        </w:rPr>
        <w:t xml:space="preserve"> </w:t>
      </w:r>
      <w:r>
        <w:rPr>
          <w:lang w:val="sr-Cyrl-CS"/>
        </w:rPr>
        <w:t>protiv</w:t>
      </w:r>
      <w:r w:rsidR="00745C54" w:rsidRPr="00E95BC4">
        <w:rPr>
          <w:lang w:val="sr-Cyrl-CS"/>
        </w:rPr>
        <w:t xml:space="preserve"> </w:t>
      </w:r>
      <w:r>
        <w:rPr>
          <w:lang w:val="sr-Cyrl-CS"/>
        </w:rPr>
        <w:t>privrede</w:t>
      </w:r>
      <w:r w:rsidR="00745C54" w:rsidRPr="00E95BC4">
        <w:rPr>
          <w:lang w:val="sr-Cyrl-CS"/>
        </w:rPr>
        <w:t xml:space="preserve">. </w:t>
      </w:r>
      <w:r>
        <w:rPr>
          <w:lang w:val="sr-Cyrl-CS"/>
        </w:rPr>
        <w:t>Ovim</w:t>
      </w:r>
      <w:r w:rsidR="00745C54" w:rsidRPr="00E95BC4">
        <w:rPr>
          <w:lang w:val="sr-Cyrl-CS"/>
        </w:rPr>
        <w:t xml:space="preserve"> </w:t>
      </w:r>
      <w:r>
        <w:rPr>
          <w:lang w:val="sr-Cyrl-CS"/>
        </w:rPr>
        <w:t>izmenama</w:t>
      </w:r>
      <w:r w:rsidR="00745C54" w:rsidRPr="00E95BC4">
        <w:rPr>
          <w:lang w:val="sr-Cyrl-CS"/>
        </w:rPr>
        <w:t xml:space="preserve"> </w:t>
      </w:r>
      <w:r>
        <w:rPr>
          <w:lang w:val="sr-Cyrl-CS"/>
        </w:rPr>
        <w:t>omogućena</w:t>
      </w:r>
      <w:r w:rsidR="00745C54" w:rsidRPr="00E95BC4">
        <w:rPr>
          <w:lang w:val="sr-Cyrl-CS"/>
        </w:rPr>
        <w:t xml:space="preserve"> </w:t>
      </w:r>
      <w:r>
        <w:rPr>
          <w:lang w:val="sr-Cyrl-CS"/>
        </w:rPr>
        <w:t>je</w:t>
      </w:r>
      <w:r w:rsidR="00745C54" w:rsidRPr="00E95BC4">
        <w:rPr>
          <w:lang w:val="sr-Cyrl-CS"/>
        </w:rPr>
        <w:t xml:space="preserve"> </w:t>
      </w:r>
      <w:r>
        <w:rPr>
          <w:lang w:val="sr-Cyrl-CS"/>
        </w:rPr>
        <w:t>primena</w:t>
      </w:r>
      <w:r w:rsidR="00745C54" w:rsidRPr="00E95BC4">
        <w:rPr>
          <w:lang w:val="sr-Cyrl-CS"/>
        </w:rPr>
        <w:t xml:space="preserve"> </w:t>
      </w:r>
      <w:r>
        <w:rPr>
          <w:lang w:val="sr-Cyrl-CS"/>
        </w:rPr>
        <w:t>Zakona</w:t>
      </w:r>
      <w:r w:rsidR="00745C54" w:rsidRPr="00E95BC4">
        <w:rPr>
          <w:lang w:val="sr-Cyrl-CS"/>
        </w:rPr>
        <w:t xml:space="preserve"> </w:t>
      </w:r>
      <w:r>
        <w:rPr>
          <w:lang w:val="sr-Cyrl-CS"/>
        </w:rPr>
        <w:t>o</w:t>
      </w:r>
      <w:r w:rsidR="00745C54" w:rsidRPr="00E95BC4">
        <w:rPr>
          <w:lang w:val="sr-Cyrl-CS"/>
        </w:rPr>
        <w:t xml:space="preserve"> </w:t>
      </w:r>
      <w:r>
        <w:rPr>
          <w:lang w:val="sr-Cyrl-CS"/>
        </w:rPr>
        <w:t>oduzimanju</w:t>
      </w:r>
      <w:r w:rsidR="00745C54" w:rsidRPr="00E95BC4">
        <w:rPr>
          <w:lang w:val="sr-Cyrl-CS"/>
        </w:rPr>
        <w:t xml:space="preserve"> </w:t>
      </w:r>
      <w:r>
        <w:rPr>
          <w:lang w:val="sr-Cyrl-CS"/>
        </w:rPr>
        <w:t>imovine</w:t>
      </w:r>
      <w:r w:rsidR="00745C54" w:rsidRPr="00E95BC4">
        <w:rPr>
          <w:lang w:val="sr-Cyrl-CS"/>
        </w:rPr>
        <w:t xml:space="preserve"> </w:t>
      </w:r>
      <w:r>
        <w:rPr>
          <w:lang w:val="sr-Cyrl-CS"/>
        </w:rPr>
        <w:t>proistekle</w:t>
      </w:r>
      <w:r w:rsidR="00745C54" w:rsidRPr="00E95BC4">
        <w:rPr>
          <w:lang w:val="sr-Cyrl-CS"/>
        </w:rPr>
        <w:t xml:space="preserve"> </w:t>
      </w:r>
      <w:r>
        <w:rPr>
          <w:lang w:val="sr-Cyrl-CS"/>
        </w:rPr>
        <w:t>iz</w:t>
      </w:r>
      <w:r w:rsidR="00745C54" w:rsidRPr="00E95BC4">
        <w:rPr>
          <w:lang w:val="sr-Cyrl-CS"/>
        </w:rPr>
        <w:t xml:space="preserve"> </w:t>
      </w:r>
      <w:r>
        <w:rPr>
          <w:lang w:val="sr-Cyrl-CS"/>
        </w:rPr>
        <w:t>krivičnog</w:t>
      </w:r>
      <w:r w:rsidR="00745C54" w:rsidRPr="00E95BC4">
        <w:rPr>
          <w:lang w:val="sr-Cyrl-CS"/>
        </w:rPr>
        <w:t xml:space="preserve"> </w:t>
      </w:r>
      <w:r>
        <w:rPr>
          <w:lang w:val="sr-Cyrl-CS"/>
        </w:rPr>
        <w:t>dela</w:t>
      </w:r>
      <w:r w:rsidR="00745C54" w:rsidRPr="00E95BC4">
        <w:rPr>
          <w:lang w:val="sr-Cyrl-CS"/>
        </w:rPr>
        <w:t xml:space="preserve"> </w:t>
      </w:r>
      <w:r>
        <w:rPr>
          <w:lang w:val="sr-Cyrl-CS"/>
        </w:rPr>
        <w:t>i</w:t>
      </w:r>
      <w:r w:rsidR="00745C54" w:rsidRPr="00E95BC4">
        <w:rPr>
          <w:lang w:val="sr-Cyrl-CS"/>
        </w:rPr>
        <w:t xml:space="preserve"> </w:t>
      </w:r>
      <w:r>
        <w:rPr>
          <w:lang w:val="sr-Cyrl-CS"/>
        </w:rPr>
        <w:t>na</w:t>
      </w:r>
      <w:r w:rsidR="00745C54" w:rsidRPr="00E95BC4">
        <w:rPr>
          <w:lang w:val="sr-Cyrl-CS"/>
        </w:rPr>
        <w:t xml:space="preserve"> </w:t>
      </w:r>
      <w:r>
        <w:rPr>
          <w:lang w:val="sr-Cyrl-CS"/>
        </w:rPr>
        <w:t>većinu</w:t>
      </w:r>
      <w:r w:rsidR="00745C54" w:rsidRPr="00E95BC4">
        <w:rPr>
          <w:lang w:val="sr-Cyrl-CS"/>
        </w:rPr>
        <w:t xml:space="preserve"> </w:t>
      </w:r>
      <w:r>
        <w:rPr>
          <w:lang w:val="sr-Cyrl-CS"/>
        </w:rPr>
        <w:t>krivičnih</w:t>
      </w:r>
      <w:r w:rsidR="00745C54" w:rsidRPr="00E95BC4">
        <w:rPr>
          <w:lang w:val="sr-Cyrl-CS"/>
        </w:rPr>
        <w:t xml:space="preserve"> </w:t>
      </w:r>
      <w:r>
        <w:rPr>
          <w:lang w:val="sr-Cyrl-CS"/>
        </w:rPr>
        <w:t>dela</w:t>
      </w:r>
      <w:r w:rsidR="00745C54" w:rsidRPr="00E95BC4">
        <w:rPr>
          <w:lang w:val="sr-Cyrl-CS"/>
        </w:rPr>
        <w:t xml:space="preserve"> </w:t>
      </w:r>
      <w:r>
        <w:rPr>
          <w:lang w:val="sr-Cyrl-CS"/>
        </w:rPr>
        <w:t>protiv</w:t>
      </w:r>
      <w:r w:rsidR="00745C54" w:rsidRPr="00E95BC4">
        <w:rPr>
          <w:lang w:val="sr-Cyrl-CS"/>
        </w:rPr>
        <w:t xml:space="preserve"> </w:t>
      </w:r>
      <w:r>
        <w:rPr>
          <w:lang w:val="sr-Cyrl-CS"/>
        </w:rPr>
        <w:t>privrede</w:t>
      </w:r>
      <w:r w:rsidR="00745C54" w:rsidRPr="00E95BC4">
        <w:rPr>
          <w:lang w:val="sr-Cyrl-CS"/>
        </w:rPr>
        <w:t xml:space="preserve">. </w:t>
      </w:r>
      <w:r>
        <w:rPr>
          <w:lang w:val="sr-Cyrl-CS"/>
        </w:rPr>
        <w:t>Među</w:t>
      </w:r>
      <w:r w:rsidR="00745C54" w:rsidRPr="00E95BC4">
        <w:rPr>
          <w:lang w:val="sr-Cyrl-CS"/>
        </w:rPr>
        <w:t xml:space="preserve"> </w:t>
      </w:r>
      <w:r>
        <w:rPr>
          <w:lang w:val="sr-Cyrl-CS"/>
        </w:rPr>
        <w:t>njima</w:t>
      </w:r>
      <w:r w:rsidR="00745C54" w:rsidRPr="00E95BC4">
        <w:rPr>
          <w:lang w:val="sr-Cyrl-CS"/>
        </w:rPr>
        <w:t xml:space="preserve"> </w:t>
      </w:r>
      <w:r>
        <w:rPr>
          <w:lang w:val="sr-Cyrl-CS"/>
        </w:rPr>
        <w:t>su</w:t>
      </w:r>
      <w:r w:rsidR="00745C54" w:rsidRPr="00E95BC4">
        <w:rPr>
          <w:lang w:val="sr-Cyrl-CS"/>
        </w:rPr>
        <w:t xml:space="preserve"> </w:t>
      </w:r>
      <w:r>
        <w:rPr>
          <w:lang w:val="sr-Cyrl-CS"/>
        </w:rPr>
        <w:t>i</w:t>
      </w:r>
      <w:r w:rsidR="00745C54" w:rsidRPr="00E95BC4">
        <w:rPr>
          <w:lang w:val="sr-Cyrl-CS"/>
        </w:rPr>
        <w:t xml:space="preserve"> </w:t>
      </w:r>
      <w:r>
        <w:rPr>
          <w:lang w:val="sr-Cyrl-CS"/>
        </w:rPr>
        <w:t>krivična</w:t>
      </w:r>
      <w:r w:rsidR="00745C54" w:rsidRPr="00E95BC4">
        <w:rPr>
          <w:lang w:val="sr-Cyrl-CS"/>
        </w:rPr>
        <w:t xml:space="preserve"> </w:t>
      </w:r>
      <w:r>
        <w:rPr>
          <w:lang w:val="sr-Cyrl-CS"/>
        </w:rPr>
        <w:t>dela</w:t>
      </w:r>
      <w:r w:rsidR="00745C54" w:rsidRPr="00E95BC4">
        <w:rPr>
          <w:lang w:val="sr-Cyrl-CS"/>
        </w:rPr>
        <w:t xml:space="preserve"> </w:t>
      </w:r>
      <w:r>
        <w:rPr>
          <w:lang w:val="sr-Cyrl-CS"/>
        </w:rPr>
        <w:t>zloupotreba</w:t>
      </w:r>
      <w:r w:rsidR="00745C54" w:rsidRPr="00E95BC4">
        <w:rPr>
          <w:lang w:val="sr-Cyrl-CS"/>
        </w:rPr>
        <w:t xml:space="preserve"> </w:t>
      </w:r>
      <w:r>
        <w:rPr>
          <w:lang w:val="sr-Cyrl-CS"/>
        </w:rPr>
        <w:t>položaja</w:t>
      </w:r>
      <w:r w:rsidR="00745C54" w:rsidRPr="00E95BC4">
        <w:rPr>
          <w:lang w:val="sr-Cyrl-CS"/>
        </w:rPr>
        <w:t xml:space="preserve"> </w:t>
      </w:r>
      <w:r>
        <w:rPr>
          <w:lang w:val="sr-Cyrl-CS"/>
        </w:rPr>
        <w:t>odgovornog</w:t>
      </w:r>
      <w:r w:rsidR="00745C54" w:rsidRPr="00E95BC4">
        <w:rPr>
          <w:lang w:val="sr-Cyrl-CS"/>
        </w:rPr>
        <w:t xml:space="preserve"> </w:t>
      </w:r>
      <w:r>
        <w:rPr>
          <w:lang w:val="sr-Cyrl-CS"/>
        </w:rPr>
        <w:t>lica</w:t>
      </w:r>
      <w:r w:rsidR="00745C54" w:rsidRPr="00E95BC4">
        <w:rPr>
          <w:lang w:val="sr-Cyrl-CS"/>
        </w:rPr>
        <w:t xml:space="preserve"> </w:t>
      </w:r>
      <w:r>
        <w:rPr>
          <w:lang w:val="sr-Cyrl-CS"/>
        </w:rPr>
        <w:t>i</w:t>
      </w:r>
      <w:r w:rsidR="00745C54" w:rsidRPr="00E95BC4">
        <w:rPr>
          <w:lang w:val="sr-Cyrl-CS"/>
        </w:rPr>
        <w:t xml:space="preserve"> </w:t>
      </w:r>
      <w:r>
        <w:rPr>
          <w:lang w:val="sr-Cyrl-CS"/>
        </w:rPr>
        <w:t>poreska</w:t>
      </w:r>
      <w:r w:rsidR="00745C54" w:rsidRPr="00E95BC4">
        <w:rPr>
          <w:lang w:val="sr-Cyrl-CS"/>
        </w:rPr>
        <w:t xml:space="preserve"> </w:t>
      </w:r>
      <w:r>
        <w:rPr>
          <w:lang w:val="sr-Cyrl-CS"/>
        </w:rPr>
        <w:t>utaja</w:t>
      </w:r>
      <w:r w:rsidR="00745C54" w:rsidRPr="00E95BC4">
        <w:rPr>
          <w:lang w:val="sr-Cyrl-CS"/>
        </w:rPr>
        <w:t xml:space="preserve">, </w:t>
      </w:r>
      <w:r>
        <w:rPr>
          <w:lang w:val="sr-Cyrl-CS"/>
        </w:rPr>
        <w:t>koja</w:t>
      </w:r>
      <w:r w:rsidR="00745C54" w:rsidRPr="00E95BC4">
        <w:rPr>
          <w:lang w:val="sr-Cyrl-CS"/>
        </w:rPr>
        <w:t xml:space="preserve"> </w:t>
      </w:r>
      <w:r>
        <w:rPr>
          <w:lang w:val="sr-Cyrl-CS"/>
        </w:rPr>
        <w:t>su</w:t>
      </w:r>
      <w:r w:rsidR="00745C54" w:rsidRPr="00E95BC4">
        <w:rPr>
          <w:lang w:val="sr-Cyrl-CS"/>
        </w:rPr>
        <w:t xml:space="preserve"> </w:t>
      </w:r>
      <w:r>
        <w:rPr>
          <w:lang w:val="sr-Cyrl-CS"/>
        </w:rPr>
        <w:t>u</w:t>
      </w:r>
      <w:r w:rsidR="00745C54" w:rsidRPr="00E95BC4">
        <w:rPr>
          <w:lang w:val="sr-Cyrl-CS"/>
        </w:rPr>
        <w:t xml:space="preserve"> </w:t>
      </w:r>
      <w:r>
        <w:rPr>
          <w:lang w:val="sr-Cyrl-CS"/>
        </w:rPr>
        <w:t>Nacionalnoj</w:t>
      </w:r>
      <w:r w:rsidR="00745C54" w:rsidRPr="00E95BC4">
        <w:rPr>
          <w:lang w:val="sr-Cyrl-CS"/>
        </w:rPr>
        <w:t xml:space="preserve"> </w:t>
      </w:r>
      <w:r>
        <w:rPr>
          <w:lang w:val="sr-Cyrl-CS"/>
        </w:rPr>
        <w:t>proceni</w:t>
      </w:r>
      <w:r w:rsidR="00745C54" w:rsidRPr="00E95BC4">
        <w:rPr>
          <w:lang w:val="sr-Cyrl-CS"/>
        </w:rPr>
        <w:t xml:space="preserve"> </w:t>
      </w:r>
      <w:r>
        <w:rPr>
          <w:lang w:val="sr-Cyrl-CS"/>
        </w:rPr>
        <w:t>rizika</w:t>
      </w:r>
      <w:r w:rsidR="00745C54" w:rsidRPr="00E95BC4">
        <w:rPr>
          <w:lang w:val="sr-Cyrl-CS"/>
        </w:rPr>
        <w:t xml:space="preserve"> </w:t>
      </w:r>
      <w:r>
        <w:rPr>
          <w:lang w:val="sr-Cyrl-CS"/>
        </w:rPr>
        <w:t>od</w:t>
      </w:r>
      <w:r w:rsidR="00745C54" w:rsidRPr="00E95BC4">
        <w:rPr>
          <w:lang w:val="sr-Cyrl-CS"/>
        </w:rPr>
        <w:t xml:space="preserve"> </w:t>
      </w:r>
      <w:r>
        <w:rPr>
          <w:lang w:val="sr-Cyrl-CS"/>
        </w:rPr>
        <w:t>pranja</w:t>
      </w:r>
      <w:r w:rsidR="00745C54" w:rsidRPr="00E95BC4">
        <w:rPr>
          <w:lang w:val="sr-Cyrl-CS"/>
        </w:rPr>
        <w:t xml:space="preserve"> </w:t>
      </w:r>
      <w:r>
        <w:rPr>
          <w:lang w:val="sr-Cyrl-CS"/>
        </w:rPr>
        <w:t>novca</w:t>
      </w:r>
      <w:r w:rsidR="00745C54" w:rsidRPr="00E95BC4">
        <w:rPr>
          <w:lang w:val="sr-Cyrl-CS"/>
        </w:rPr>
        <w:t xml:space="preserve"> </w:t>
      </w:r>
      <w:r>
        <w:rPr>
          <w:lang w:val="sr-Cyrl-CS"/>
        </w:rPr>
        <w:t>ocenjena</w:t>
      </w:r>
      <w:r w:rsidR="00745C54" w:rsidRPr="00E95BC4">
        <w:rPr>
          <w:lang w:val="sr-Cyrl-CS"/>
        </w:rPr>
        <w:t xml:space="preserve"> </w:t>
      </w:r>
      <w:r>
        <w:rPr>
          <w:lang w:val="sr-Cyrl-CS"/>
        </w:rPr>
        <w:t>kao</w:t>
      </w:r>
      <w:r w:rsidR="00745C54" w:rsidRPr="00E95BC4">
        <w:rPr>
          <w:lang w:val="sr-Cyrl-CS"/>
        </w:rPr>
        <w:t xml:space="preserve"> </w:t>
      </w:r>
      <w:r>
        <w:rPr>
          <w:lang w:val="sr-Cyrl-CS"/>
        </w:rPr>
        <w:t>dela</w:t>
      </w:r>
      <w:r w:rsidR="00745C54" w:rsidRPr="00E95BC4">
        <w:rPr>
          <w:lang w:val="sr-Cyrl-CS"/>
        </w:rPr>
        <w:t xml:space="preserve"> </w:t>
      </w:r>
      <w:r>
        <w:rPr>
          <w:lang w:val="sr-Cyrl-CS"/>
        </w:rPr>
        <w:t>sa</w:t>
      </w:r>
      <w:r w:rsidR="00745C54" w:rsidRPr="00E95BC4">
        <w:rPr>
          <w:lang w:val="sr-Cyrl-CS"/>
        </w:rPr>
        <w:t xml:space="preserve"> </w:t>
      </w:r>
      <w:r>
        <w:rPr>
          <w:lang w:val="sr-Cyrl-CS"/>
        </w:rPr>
        <w:t>visokim</w:t>
      </w:r>
      <w:r w:rsidR="00745C54" w:rsidRPr="00E95BC4">
        <w:rPr>
          <w:lang w:val="sr-Cyrl-CS"/>
        </w:rPr>
        <w:t xml:space="preserve"> </w:t>
      </w:r>
      <w:r>
        <w:rPr>
          <w:lang w:val="sr-Cyrl-CS"/>
        </w:rPr>
        <w:t>stepenom</w:t>
      </w:r>
      <w:r w:rsidR="00745C54" w:rsidRPr="00E95BC4">
        <w:rPr>
          <w:lang w:val="sr-Cyrl-CS"/>
        </w:rPr>
        <w:t xml:space="preserve"> </w:t>
      </w:r>
      <w:r>
        <w:rPr>
          <w:lang w:val="sr-Cyrl-CS"/>
        </w:rPr>
        <w:t>pretnji</w:t>
      </w:r>
      <w:r w:rsidR="00745C54" w:rsidRPr="00E95BC4">
        <w:rPr>
          <w:lang w:val="sr-Cyrl-CS"/>
        </w:rPr>
        <w:t xml:space="preserve">. </w:t>
      </w:r>
      <w:r>
        <w:rPr>
          <w:lang w:val="sr-Cyrl-CS"/>
        </w:rPr>
        <w:t>Ovom</w:t>
      </w:r>
      <w:r w:rsidR="00745C54" w:rsidRPr="00E95BC4">
        <w:rPr>
          <w:lang w:val="sr-Cyrl-CS"/>
        </w:rPr>
        <w:t xml:space="preserve"> </w:t>
      </w:r>
      <w:r>
        <w:rPr>
          <w:lang w:val="sr-Cyrl-CS"/>
        </w:rPr>
        <w:t>izmenom</w:t>
      </w:r>
      <w:r w:rsidR="00745C54" w:rsidRPr="00E95BC4">
        <w:rPr>
          <w:lang w:val="sr-Cyrl-CS"/>
        </w:rPr>
        <w:t xml:space="preserve"> </w:t>
      </w:r>
      <w:r>
        <w:rPr>
          <w:lang w:val="sr-Cyrl-CS"/>
        </w:rPr>
        <w:t>primena</w:t>
      </w:r>
      <w:r w:rsidR="00745C54" w:rsidRPr="00E95BC4">
        <w:rPr>
          <w:lang w:val="sr-Cyrl-CS"/>
        </w:rPr>
        <w:t xml:space="preserve"> </w:t>
      </w:r>
      <w:r>
        <w:rPr>
          <w:lang w:val="sr-Cyrl-CS"/>
        </w:rPr>
        <w:t>Zakona</w:t>
      </w:r>
      <w:r w:rsidR="00745C54" w:rsidRPr="00E95BC4">
        <w:rPr>
          <w:lang w:val="sr-Cyrl-CS"/>
        </w:rPr>
        <w:t xml:space="preserve"> </w:t>
      </w:r>
      <w:r>
        <w:rPr>
          <w:lang w:val="sr-Cyrl-CS"/>
        </w:rPr>
        <w:t>o</w:t>
      </w:r>
      <w:r w:rsidR="00745C54" w:rsidRPr="00E95BC4">
        <w:rPr>
          <w:lang w:val="sr-Cyrl-CS"/>
        </w:rPr>
        <w:t xml:space="preserve"> </w:t>
      </w:r>
      <w:r>
        <w:rPr>
          <w:lang w:val="sr-Cyrl-CS"/>
        </w:rPr>
        <w:t>oduzimanju</w:t>
      </w:r>
      <w:r w:rsidR="00745C54" w:rsidRPr="00E95BC4">
        <w:rPr>
          <w:lang w:val="sr-Cyrl-CS"/>
        </w:rPr>
        <w:t xml:space="preserve"> </w:t>
      </w:r>
      <w:r>
        <w:rPr>
          <w:lang w:val="sr-Cyrl-CS"/>
        </w:rPr>
        <w:t>imovine</w:t>
      </w:r>
      <w:r w:rsidR="00745C54" w:rsidRPr="00E95BC4">
        <w:rPr>
          <w:lang w:val="sr-Cyrl-CS"/>
        </w:rPr>
        <w:t xml:space="preserve"> </w:t>
      </w:r>
      <w:r>
        <w:rPr>
          <w:lang w:val="sr-Cyrl-CS"/>
        </w:rPr>
        <w:t>proistekle</w:t>
      </w:r>
      <w:r w:rsidR="00745C54" w:rsidRPr="00E95BC4">
        <w:rPr>
          <w:lang w:val="sr-Cyrl-CS"/>
        </w:rPr>
        <w:t xml:space="preserve"> </w:t>
      </w:r>
      <w:r>
        <w:rPr>
          <w:lang w:val="sr-Cyrl-CS"/>
        </w:rPr>
        <w:t>iz</w:t>
      </w:r>
      <w:r w:rsidR="00745C54" w:rsidRPr="00E95BC4">
        <w:rPr>
          <w:lang w:val="sr-Cyrl-CS"/>
        </w:rPr>
        <w:t xml:space="preserve"> </w:t>
      </w:r>
      <w:r>
        <w:rPr>
          <w:lang w:val="sr-Cyrl-CS"/>
        </w:rPr>
        <w:t>krivičnog</w:t>
      </w:r>
      <w:r w:rsidR="00745C54" w:rsidRPr="00E95BC4">
        <w:rPr>
          <w:lang w:val="sr-Cyrl-CS"/>
        </w:rPr>
        <w:t xml:space="preserve"> </w:t>
      </w:r>
      <w:r>
        <w:rPr>
          <w:lang w:val="sr-Cyrl-CS"/>
        </w:rPr>
        <w:t>dela</w:t>
      </w:r>
      <w:r w:rsidR="00745C54" w:rsidRPr="00E95BC4">
        <w:rPr>
          <w:lang w:val="sr-Cyrl-CS"/>
        </w:rPr>
        <w:t xml:space="preserve"> </w:t>
      </w:r>
      <w:r>
        <w:rPr>
          <w:lang w:val="sr-Cyrl-CS"/>
        </w:rPr>
        <w:t>proširena</w:t>
      </w:r>
      <w:r w:rsidR="00745C54" w:rsidRPr="00E95BC4">
        <w:rPr>
          <w:lang w:val="sr-Cyrl-CS"/>
        </w:rPr>
        <w:t xml:space="preserve"> </w:t>
      </w:r>
      <w:r>
        <w:rPr>
          <w:lang w:val="sr-Cyrl-CS"/>
        </w:rPr>
        <w:t>je</w:t>
      </w:r>
      <w:r w:rsidR="00745C54" w:rsidRPr="00E95BC4">
        <w:rPr>
          <w:lang w:val="sr-Cyrl-CS"/>
        </w:rPr>
        <w:t xml:space="preserve"> </w:t>
      </w:r>
      <w:r>
        <w:rPr>
          <w:lang w:val="sr-Cyrl-CS"/>
        </w:rPr>
        <w:t>i</w:t>
      </w:r>
      <w:r w:rsidR="00745C54" w:rsidRPr="00E95BC4">
        <w:rPr>
          <w:lang w:val="sr-Cyrl-CS"/>
        </w:rPr>
        <w:t xml:space="preserve"> </w:t>
      </w:r>
      <w:r>
        <w:rPr>
          <w:lang w:val="sr-Cyrl-CS"/>
        </w:rPr>
        <w:t>na</w:t>
      </w:r>
      <w:r w:rsidR="00745C54" w:rsidRPr="00E95BC4">
        <w:rPr>
          <w:lang w:val="sr-Cyrl-CS"/>
        </w:rPr>
        <w:t xml:space="preserve"> </w:t>
      </w:r>
      <w:r>
        <w:rPr>
          <w:lang w:val="sr-Cyrl-CS"/>
        </w:rPr>
        <w:t>većinu</w:t>
      </w:r>
      <w:r w:rsidR="00745C54" w:rsidRPr="00E95BC4">
        <w:rPr>
          <w:lang w:val="sr-Cyrl-CS"/>
        </w:rPr>
        <w:t xml:space="preserve"> </w:t>
      </w:r>
      <w:r>
        <w:rPr>
          <w:lang w:val="sr-Cyrl-CS"/>
        </w:rPr>
        <w:t>krivičnih</w:t>
      </w:r>
      <w:r w:rsidR="00745C54" w:rsidRPr="00E95BC4">
        <w:rPr>
          <w:lang w:val="sr-Cyrl-CS"/>
        </w:rPr>
        <w:t xml:space="preserve"> </w:t>
      </w:r>
      <w:r>
        <w:rPr>
          <w:lang w:val="sr-Cyrl-CS"/>
        </w:rPr>
        <w:t>dela</w:t>
      </w:r>
      <w:r w:rsidR="00745C54" w:rsidRPr="00E95BC4">
        <w:rPr>
          <w:lang w:val="sr-Cyrl-CS"/>
        </w:rPr>
        <w:t xml:space="preserve"> </w:t>
      </w:r>
      <w:r>
        <w:rPr>
          <w:lang w:val="sr-Cyrl-CS"/>
        </w:rPr>
        <w:t>koja</w:t>
      </w:r>
      <w:r w:rsidR="00745C54" w:rsidRPr="00E95BC4">
        <w:rPr>
          <w:lang w:val="sr-Cyrl-CS"/>
        </w:rPr>
        <w:t xml:space="preserve"> </w:t>
      </w:r>
      <w:r>
        <w:rPr>
          <w:lang w:val="sr-Cyrl-CS"/>
        </w:rPr>
        <w:t>su</w:t>
      </w:r>
      <w:r w:rsidR="00745C54" w:rsidRPr="00E95BC4">
        <w:rPr>
          <w:lang w:val="sr-Cyrl-CS"/>
        </w:rPr>
        <w:t xml:space="preserve"> </w:t>
      </w:r>
      <w:r>
        <w:rPr>
          <w:lang w:val="sr-Cyrl-CS"/>
        </w:rPr>
        <w:t>u</w:t>
      </w:r>
      <w:r w:rsidR="00745C54" w:rsidRPr="00E95BC4">
        <w:rPr>
          <w:lang w:val="sr-Cyrl-CS"/>
        </w:rPr>
        <w:t xml:space="preserve"> </w:t>
      </w:r>
      <w:r>
        <w:rPr>
          <w:lang w:val="sr-Cyrl-CS"/>
        </w:rPr>
        <w:t>nadležnosti</w:t>
      </w:r>
      <w:r w:rsidR="00745C54" w:rsidRPr="00E95BC4">
        <w:rPr>
          <w:lang w:val="sr-Cyrl-CS"/>
        </w:rPr>
        <w:t xml:space="preserve"> </w:t>
      </w:r>
      <w:r>
        <w:rPr>
          <w:lang w:val="sr-Cyrl-CS"/>
        </w:rPr>
        <w:t>Posebnih</w:t>
      </w:r>
      <w:r w:rsidR="00745C54" w:rsidRPr="00E95BC4">
        <w:rPr>
          <w:lang w:val="sr-Cyrl-CS"/>
        </w:rPr>
        <w:t xml:space="preserve"> </w:t>
      </w:r>
      <w:r>
        <w:rPr>
          <w:lang w:val="sr-Cyrl-CS"/>
        </w:rPr>
        <w:t>odeljenja</w:t>
      </w:r>
      <w:r w:rsidR="00745C54" w:rsidRPr="00E95BC4">
        <w:rPr>
          <w:lang w:val="sr-Cyrl-CS"/>
        </w:rPr>
        <w:t xml:space="preserve"> </w:t>
      </w:r>
      <w:r>
        <w:rPr>
          <w:lang w:val="sr-Cyrl-CS"/>
        </w:rPr>
        <w:t>za</w:t>
      </w:r>
      <w:r w:rsidR="00745C54" w:rsidRPr="00E95BC4">
        <w:rPr>
          <w:lang w:val="sr-Cyrl-CS"/>
        </w:rPr>
        <w:t xml:space="preserve"> </w:t>
      </w:r>
      <w:r>
        <w:rPr>
          <w:lang w:val="sr-Cyrl-CS"/>
        </w:rPr>
        <w:t>suzbijanje</w:t>
      </w:r>
      <w:r w:rsidR="00745C54" w:rsidRPr="00E95BC4">
        <w:rPr>
          <w:lang w:val="sr-Cyrl-CS"/>
        </w:rPr>
        <w:t xml:space="preserve"> </w:t>
      </w:r>
      <w:r>
        <w:rPr>
          <w:lang w:val="sr-Cyrl-CS"/>
        </w:rPr>
        <w:t>korupcije</w:t>
      </w:r>
      <w:r w:rsidR="00745C54" w:rsidRPr="00E95BC4">
        <w:rPr>
          <w:lang w:val="sr-Cyrl-CS"/>
        </w:rPr>
        <w:t xml:space="preserve">, </w:t>
      </w:r>
      <w:r>
        <w:rPr>
          <w:lang w:val="sr-Cyrl-CS"/>
        </w:rPr>
        <w:t>osnovana</w:t>
      </w:r>
      <w:r w:rsidR="00745C54" w:rsidRPr="00E95BC4">
        <w:rPr>
          <w:lang w:val="sr-Cyrl-CS"/>
        </w:rPr>
        <w:t xml:space="preserve"> </w:t>
      </w:r>
      <w:r>
        <w:rPr>
          <w:lang w:val="sr-Cyrl-CS"/>
        </w:rPr>
        <w:t>Zakonom</w:t>
      </w:r>
      <w:r w:rsidR="00745C54" w:rsidRPr="00E95BC4">
        <w:rPr>
          <w:lang w:val="sr-Cyrl-CS"/>
        </w:rPr>
        <w:t xml:space="preserve"> </w:t>
      </w:r>
      <w:r>
        <w:rPr>
          <w:lang w:val="sr-Cyrl-CS"/>
        </w:rPr>
        <w:t>o</w:t>
      </w:r>
      <w:r w:rsidR="00745C54" w:rsidRPr="00E95BC4">
        <w:rPr>
          <w:lang w:val="sr-Cyrl-CS"/>
        </w:rPr>
        <w:t xml:space="preserve"> </w:t>
      </w:r>
      <w:r>
        <w:rPr>
          <w:lang w:val="sr-Cyrl-CS"/>
        </w:rPr>
        <w:t>organizaciji</w:t>
      </w:r>
      <w:r w:rsidR="00745C54" w:rsidRPr="00E95BC4">
        <w:rPr>
          <w:lang w:val="sr-Cyrl-CS"/>
        </w:rPr>
        <w:t xml:space="preserve"> </w:t>
      </w:r>
      <w:r>
        <w:rPr>
          <w:lang w:val="sr-Cyrl-CS"/>
        </w:rPr>
        <w:t>i</w:t>
      </w:r>
      <w:r w:rsidR="00745C54" w:rsidRPr="00E95BC4">
        <w:rPr>
          <w:lang w:val="sr-Cyrl-CS"/>
        </w:rPr>
        <w:t xml:space="preserve"> </w:t>
      </w:r>
      <w:r>
        <w:rPr>
          <w:lang w:val="sr-Cyrl-CS"/>
        </w:rPr>
        <w:t>nadležnosti</w:t>
      </w:r>
      <w:r w:rsidR="00745C54" w:rsidRPr="00E95BC4">
        <w:rPr>
          <w:lang w:val="sr-Cyrl-CS"/>
        </w:rPr>
        <w:t xml:space="preserve"> </w:t>
      </w:r>
      <w:r>
        <w:rPr>
          <w:lang w:val="sr-Cyrl-CS"/>
        </w:rPr>
        <w:t>državnih</w:t>
      </w:r>
      <w:r w:rsidR="00745C54" w:rsidRPr="00E95BC4">
        <w:rPr>
          <w:lang w:val="sr-Cyrl-CS"/>
        </w:rPr>
        <w:t xml:space="preserve"> </w:t>
      </w:r>
      <w:r>
        <w:rPr>
          <w:lang w:val="sr-Cyrl-CS"/>
        </w:rPr>
        <w:t>organa</w:t>
      </w:r>
      <w:r w:rsidR="00745C54" w:rsidRPr="00E95BC4">
        <w:rPr>
          <w:lang w:val="sr-Cyrl-CS"/>
        </w:rPr>
        <w:t xml:space="preserve"> </w:t>
      </w:r>
      <w:r>
        <w:rPr>
          <w:lang w:val="sr-Cyrl-CS"/>
        </w:rPr>
        <w:t>za</w:t>
      </w:r>
      <w:r w:rsidR="00745C54" w:rsidRPr="00E95BC4">
        <w:rPr>
          <w:lang w:val="sr-Cyrl-CS"/>
        </w:rPr>
        <w:t xml:space="preserve"> </w:t>
      </w:r>
      <w:r>
        <w:rPr>
          <w:lang w:val="sr-Cyrl-CS"/>
        </w:rPr>
        <w:t>suzbijanje</w:t>
      </w:r>
      <w:r w:rsidR="00745C54" w:rsidRPr="00E95BC4">
        <w:rPr>
          <w:lang w:val="sr-Cyrl-CS"/>
        </w:rPr>
        <w:t xml:space="preserve"> </w:t>
      </w:r>
      <w:r>
        <w:rPr>
          <w:lang w:val="sr-Cyrl-CS"/>
        </w:rPr>
        <w:t>organizovanog</w:t>
      </w:r>
      <w:r w:rsidR="00745C54" w:rsidRPr="00E95BC4">
        <w:rPr>
          <w:lang w:val="sr-Cyrl-CS"/>
        </w:rPr>
        <w:t xml:space="preserve"> </w:t>
      </w:r>
      <w:r>
        <w:rPr>
          <w:lang w:val="sr-Cyrl-CS"/>
        </w:rPr>
        <w:t>kriminala</w:t>
      </w:r>
      <w:r w:rsidR="00745C54" w:rsidRPr="00E95BC4">
        <w:rPr>
          <w:lang w:val="sr-Cyrl-CS"/>
        </w:rPr>
        <w:t xml:space="preserve">, </w:t>
      </w:r>
      <w:r>
        <w:rPr>
          <w:lang w:val="sr-Cyrl-CS"/>
        </w:rPr>
        <w:t>terorizma</w:t>
      </w:r>
      <w:r w:rsidR="00745C54" w:rsidRPr="00E95BC4">
        <w:rPr>
          <w:lang w:val="sr-Cyrl-CS"/>
        </w:rPr>
        <w:t xml:space="preserve"> </w:t>
      </w:r>
      <w:r>
        <w:rPr>
          <w:lang w:val="sr-Cyrl-CS"/>
        </w:rPr>
        <w:t>i</w:t>
      </w:r>
      <w:r w:rsidR="00745C54" w:rsidRPr="00E95BC4">
        <w:rPr>
          <w:lang w:val="sr-Cyrl-CS"/>
        </w:rPr>
        <w:t xml:space="preserve"> </w:t>
      </w:r>
      <w:r>
        <w:rPr>
          <w:lang w:val="sr-Cyrl-CS"/>
        </w:rPr>
        <w:t>korupcije</w:t>
      </w:r>
      <w:r w:rsidR="00745C54" w:rsidRPr="00E95BC4">
        <w:rPr>
          <w:lang w:val="sr-Cyrl-CS"/>
        </w:rPr>
        <w:t>.</w:t>
      </w:r>
    </w:p>
    <w:p w:rsidR="00745C54" w:rsidRPr="00E95BC4" w:rsidRDefault="005818C0" w:rsidP="00745C54">
      <w:pPr>
        <w:ind w:firstLine="708"/>
        <w:jc w:val="both"/>
        <w:rPr>
          <w:lang w:val="sr-Cyrl-CS"/>
        </w:rPr>
      </w:pPr>
      <w:r>
        <w:rPr>
          <w:lang w:val="sr-Cyrl-CS"/>
        </w:rPr>
        <w:t>Kada</w:t>
      </w:r>
      <w:r w:rsidR="00745C54" w:rsidRPr="00E95BC4">
        <w:rPr>
          <w:lang w:val="sr-Cyrl-CS"/>
        </w:rPr>
        <w:t xml:space="preserve"> </w:t>
      </w:r>
      <w:r>
        <w:rPr>
          <w:lang w:val="sr-Cyrl-CS"/>
        </w:rPr>
        <w:t>se</w:t>
      </w:r>
      <w:r w:rsidR="00745C54" w:rsidRPr="00E95BC4">
        <w:rPr>
          <w:lang w:val="sr-Cyrl-CS"/>
        </w:rPr>
        <w:t xml:space="preserve"> </w:t>
      </w:r>
      <w:r>
        <w:rPr>
          <w:lang w:val="sr-Cyrl-CS"/>
        </w:rPr>
        <w:t>govori</w:t>
      </w:r>
      <w:r w:rsidR="00745C54" w:rsidRPr="00E95BC4">
        <w:rPr>
          <w:lang w:val="sr-Cyrl-CS"/>
        </w:rPr>
        <w:t xml:space="preserve"> </w:t>
      </w:r>
      <w:r>
        <w:rPr>
          <w:lang w:val="sr-Cyrl-CS"/>
        </w:rPr>
        <w:t>o</w:t>
      </w:r>
      <w:r w:rsidR="00745C54" w:rsidRPr="00E95BC4">
        <w:rPr>
          <w:lang w:val="sr-Cyrl-CS"/>
        </w:rPr>
        <w:t xml:space="preserve"> </w:t>
      </w:r>
      <w:r>
        <w:rPr>
          <w:lang w:val="sr-Cyrl-CS"/>
        </w:rPr>
        <w:t>finansijskim</w:t>
      </w:r>
      <w:r w:rsidR="00745C54" w:rsidRPr="00E95BC4">
        <w:rPr>
          <w:lang w:val="sr-Cyrl-CS"/>
        </w:rPr>
        <w:t xml:space="preserve"> </w:t>
      </w:r>
      <w:r>
        <w:rPr>
          <w:lang w:val="sr-Cyrl-CS"/>
        </w:rPr>
        <w:t>istragama</w:t>
      </w:r>
      <w:r w:rsidR="00745C54" w:rsidRPr="00E95BC4">
        <w:rPr>
          <w:lang w:val="sr-Cyrl-CS"/>
        </w:rPr>
        <w:t xml:space="preserve"> </w:t>
      </w:r>
      <w:r>
        <w:rPr>
          <w:lang w:val="sr-Cyrl-CS"/>
        </w:rPr>
        <w:t>koje</w:t>
      </w:r>
      <w:r w:rsidR="00745C54" w:rsidRPr="00E95BC4">
        <w:rPr>
          <w:lang w:val="sr-Cyrl-CS"/>
        </w:rPr>
        <w:t xml:space="preserve"> </w:t>
      </w:r>
      <w:r>
        <w:rPr>
          <w:lang w:val="sr-Cyrl-CS"/>
        </w:rPr>
        <w:t>javni</w:t>
      </w:r>
      <w:r w:rsidR="00745C54" w:rsidRPr="00E95BC4">
        <w:rPr>
          <w:lang w:val="sr-Cyrl-CS"/>
        </w:rPr>
        <w:t xml:space="preserve"> </w:t>
      </w:r>
      <w:r>
        <w:rPr>
          <w:lang w:val="sr-Cyrl-CS"/>
        </w:rPr>
        <w:t>tužioci</w:t>
      </w:r>
      <w:r w:rsidR="00745C54" w:rsidRPr="00E95BC4">
        <w:rPr>
          <w:lang w:val="sr-Cyrl-CS"/>
        </w:rPr>
        <w:t xml:space="preserve"> </w:t>
      </w:r>
      <w:r>
        <w:rPr>
          <w:lang w:val="sr-Cyrl-CS"/>
        </w:rPr>
        <w:t>vode</w:t>
      </w:r>
      <w:r w:rsidR="00745C54" w:rsidRPr="00E95BC4">
        <w:rPr>
          <w:lang w:val="sr-Cyrl-CS"/>
        </w:rPr>
        <w:t xml:space="preserve"> </w:t>
      </w:r>
      <w:r>
        <w:rPr>
          <w:lang w:val="sr-Cyrl-CS"/>
        </w:rPr>
        <w:t>prema</w:t>
      </w:r>
      <w:r w:rsidR="00745C54" w:rsidRPr="00E95BC4">
        <w:rPr>
          <w:lang w:val="sr-Cyrl-CS"/>
        </w:rPr>
        <w:t xml:space="preserve"> </w:t>
      </w:r>
      <w:r>
        <w:rPr>
          <w:lang w:val="sr-Cyrl-CS"/>
        </w:rPr>
        <w:t>Zakonu</w:t>
      </w:r>
      <w:r w:rsidR="00745C54" w:rsidRPr="00E95BC4">
        <w:rPr>
          <w:lang w:val="sr-Cyrl-CS"/>
        </w:rPr>
        <w:t xml:space="preserve"> </w:t>
      </w:r>
      <w:r>
        <w:rPr>
          <w:lang w:val="sr-Cyrl-CS"/>
        </w:rPr>
        <w:t>o</w:t>
      </w:r>
      <w:r w:rsidR="00745C54" w:rsidRPr="00E95BC4">
        <w:rPr>
          <w:lang w:val="sr-Cyrl-CS"/>
        </w:rPr>
        <w:t xml:space="preserve"> </w:t>
      </w:r>
      <w:r>
        <w:rPr>
          <w:lang w:val="sr-Cyrl-CS"/>
        </w:rPr>
        <w:t>oduzimanju</w:t>
      </w:r>
      <w:r w:rsidR="00745C54" w:rsidRPr="00E95BC4">
        <w:rPr>
          <w:lang w:val="sr-Cyrl-CS"/>
        </w:rPr>
        <w:t xml:space="preserve"> </w:t>
      </w:r>
      <w:r>
        <w:rPr>
          <w:lang w:val="sr-Cyrl-CS"/>
        </w:rPr>
        <w:t>imovine</w:t>
      </w:r>
      <w:r w:rsidR="00745C54" w:rsidRPr="00E95BC4">
        <w:rPr>
          <w:lang w:val="sr-Cyrl-CS"/>
        </w:rPr>
        <w:t xml:space="preserve"> </w:t>
      </w:r>
      <w:r>
        <w:rPr>
          <w:lang w:val="sr-Cyrl-CS"/>
        </w:rPr>
        <w:t>proistekle</w:t>
      </w:r>
      <w:r w:rsidR="00745C54" w:rsidRPr="00E95BC4">
        <w:rPr>
          <w:lang w:val="sr-Cyrl-CS"/>
        </w:rPr>
        <w:t xml:space="preserve"> </w:t>
      </w:r>
      <w:r>
        <w:rPr>
          <w:lang w:val="sr-Cyrl-CS"/>
        </w:rPr>
        <w:t>iz</w:t>
      </w:r>
      <w:r w:rsidR="00745C54" w:rsidRPr="00E95BC4">
        <w:rPr>
          <w:lang w:val="sr-Cyrl-CS"/>
        </w:rPr>
        <w:t xml:space="preserve"> </w:t>
      </w:r>
      <w:r>
        <w:rPr>
          <w:lang w:val="sr-Cyrl-CS"/>
        </w:rPr>
        <w:t>krivičnog</w:t>
      </w:r>
      <w:r w:rsidR="00745C54" w:rsidRPr="00E95BC4">
        <w:rPr>
          <w:lang w:val="sr-Cyrl-CS"/>
        </w:rPr>
        <w:t xml:space="preserve"> </w:t>
      </w:r>
      <w:r>
        <w:rPr>
          <w:lang w:val="sr-Cyrl-CS"/>
        </w:rPr>
        <w:t>dela</w:t>
      </w:r>
      <w:r w:rsidR="00745C54" w:rsidRPr="00E95BC4">
        <w:rPr>
          <w:lang w:val="sr-Cyrl-CS"/>
        </w:rPr>
        <w:t xml:space="preserve">, </w:t>
      </w:r>
      <w:r>
        <w:rPr>
          <w:lang w:val="sr-Cyrl-CS"/>
        </w:rPr>
        <w:t>Obavezno</w:t>
      </w:r>
      <w:r w:rsidR="00745C54" w:rsidRPr="00E95BC4">
        <w:rPr>
          <w:lang w:val="sr-Cyrl-CS"/>
        </w:rPr>
        <w:t xml:space="preserve"> </w:t>
      </w:r>
      <w:r>
        <w:rPr>
          <w:lang w:val="sr-Cyrl-CS"/>
        </w:rPr>
        <w:t>uputstvo</w:t>
      </w:r>
      <w:r w:rsidR="00745C54" w:rsidRPr="00E95BC4">
        <w:rPr>
          <w:lang w:val="sr-Cyrl-CS"/>
        </w:rPr>
        <w:t xml:space="preserve"> </w:t>
      </w:r>
      <w:r>
        <w:rPr>
          <w:lang w:val="sr-Cyrl-CS"/>
        </w:rPr>
        <w:t>Republičkog</w:t>
      </w:r>
      <w:r w:rsidR="00745C54" w:rsidRPr="00E95BC4">
        <w:rPr>
          <w:lang w:val="sr-Cyrl-CS"/>
        </w:rPr>
        <w:t xml:space="preserve"> </w:t>
      </w:r>
      <w:r>
        <w:rPr>
          <w:lang w:val="sr-Cyrl-CS"/>
        </w:rPr>
        <w:t>javnog</w:t>
      </w:r>
      <w:r w:rsidR="00745C54" w:rsidRPr="00E95BC4">
        <w:rPr>
          <w:lang w:val="sr-Cyrl-CS"/>
        </w:rPr>
        <w:t xml:space="preserve"> </w:t>
      </w:r>
      <w:r>
        <w:rPr>
          <w:lang w:val="sr-Cyrl-CS"/>
        </w:rPr>
        <w:t>tužioca</w:t>
      </w:r>
      <w:r w:rsidR="00745C54" w:rsidRPr="00E95BC4">
        <w:rPr>
          <w:lang w:val="sr-Cyrl-CS"/>
        </w:rPr>
        <w:t xml:space="preserve"> </w:t>
      </w:r>
      <w:r>
        <w:rPr>
          <w:lang w:val="sr-Cyrl-CS"/>
        </w:rPr>
        <w:t>A</w:t>
      </w:r>
      <w:r w:rsidR="00745C54" w:rsidRPr="00E95BC4">
        <w:rPr>
          <w:lang w:val="sr-Cyrl-CS"/>
        </w:rPr>
        <w:t xml:space="preserve"> </w:t>
      </w:r>
      <w:r>
        <w:rPr>
          <w:lang w:val="sr-Cyrl-CS"/>
        </w:rPr>
        <w:t>broj</w:t>
      </w:r>
      <w:r w:rsidR="00745C54" w:rsidRPr="00E95BC4">
        <w:rPr>
          <w:lang w:val="sr-Cyrl-CS"/>
        </w:rPr>
        <w:t xml:space="preserve"> 668/17 </w:t>
      </w:r>
      <w:r>
        <w:rPr>
          <w:lang w:val="sr-Cyrl-CS"/>
        </w:rPr>
        <w:t>od</w:t>
      </w:r>
      <w:r w:rsidR="00745C54" w:rsidRPr="00E95BC4">
        <w:rPr>
          <w:lang w:val="sr-Cyrl-CS"/>
        </w:rPr>
        <w:t xml:space="preserve"> 20. </w:t>
      </w:r>
      <w:r>
        <w:rPr>
          <w:lang w:val="sr-Cyrl-CS"/>
        </w:rPr>
        <w:t>septembra</w:t>
      </w:r>
      <w:r w:rsidR="00745C54" w:rsidRPr="00E95BC4">
        <w:rPr>
          <w:lang w:val="sr-Cyrl-CS"/>
        </w:rPr>
        <w:t xml:space="preserve"> 2017.</w:t>
      </w:r>
      <w:r w:rsidR="00FD45ED" w:rsidRPr="00E95BC4">
        <w:rPr>
          <w:lang w:val="sr-Cyrl-CS"/>
        </w:rPr>
        <w:t xml:space="preserve"> </w:t>
      </w:r>
      <w:r>
        <w:rPr>
          <w:lang w:val="sr-Cyrl-CS"/>
        </w:rPr>
        <w:t>godine</w:t>
      </w:r>
      <w:r w:rsidR="00745C54" w:rsidRPr="00E95BC4">
        <w:rPr>
          <w:lang w:val="sr-Cyrl-CS"/>
        </w:rPr>
        <w:t xml:space="preserve"> </w:t>
      </w:r>
      <w:r>
        <w:rPr>
          <w:lang w:val="sr-Cyrl-CS"/>
        </w:rPr>
        <w:t>nalaže</w:t>
      </w:r>
      <w:r w:rsidR="00745C54" w:rsidRPr="00E95BC4">
        <w:rPr>
          <w:lang w:val="sr-Cyrl-CS"/>
        </w:rPr>
        <w:t xml:space="preserve"> </w:t>
      </w:r>
      <w:r>
        <w:rPr>
          <w:lang w:val="sr-Cyrl-CS"/>
        </w:rPr>
        <w:t>vođenje</w:t>
      </w:r>
      <w:r w:rsidR="00745C54" w:rsidRPr="00E95BC4">
        <w:rPr>
          <w:lang w:val="sr-Cyrl-CS"/>
        </w:rPr>
        <w:t xml:space="preserve"> </w:t>
      </w:r>
      <w:r>
        <w:rPr>
          <w:lang w:val="sr-Cyrl-CS"/>
        </w:rPr>
        <w:t>tzv</w:t>
      </w:r>
      <w:r w:rsidR="00745C54" w:rsidRPr="00E95BC4">
        <w:rPr>
          <w:lang w:val="sr-Cyrl-CS"/>
        </w:rPr>
        <w:t xml:space="preserve">. </w:t>
      </w:r>
      <w:r>
        <w:rPr>
          <w:lang w:val="sr-Cyrl-CS"/>
        </w:rPr>
        <w:t>paralelnih</w:t>
      </w:r>
      <w:r w:rsidR="00745C54" w:rsidRPr="00E95BC4">
        <w:rPr>
          <w:lang w:val="sr-Cyrl-CS"/>
        </w:rPr>
        <w:t xml:space="preserve"> </w:t>
      </w:r>
      <w:r>
        <w:rPr>
          <w:lang w:val="sr-Cyrl-CS"/>
        </w:rPr>
        <w:t>finansijskih</w:t>
      </w:r>
      <w:r w:rsidR="00745C54" w:rsidRPr="00E95BC4">
        <w:rPr>
          <w:lang w:val="sr-Cyrl-CS"/>
        </w:rPr>
        <w:t xml:space="preserve"> </w:t>
      </w:r>
      <w:r>
        <w:rPr>
          <w:lang w:val="sr-Cyrl-CS"/>
        </w:rPr>
        <w:t>i</w:t>
      </w:r>
      <w:r w:rsidR="00745C54" w:rsidRPr="00E95BC4">
        <w:rPr>
          <w:lang w:val="sr-Cyrl-CS"/>
        </w:rPr>
        <w:t xml:space="preserve"> </w:t>
      </w:r>
      <w:r>
        <w:rPr>
          <w:lang w:val="sr-Cyrl-CS"/>
        </w:rPr>
        <w:t>krivičnih</w:t>
      </w:r>
      <w:r w:rsidR="00745C54" w:rsidRPr="00E95BC4">
        <w:rPr>
          <w:lang w:val="sr-Cyrl-CS"/>
        </w:rPr>
        <w:t xml:space="preserve"> </w:t>
      </w:r>
      <w:r>
        <w:rPr>
          <w:lang w:val="sr-Cyrl-CS"/>
        </w:rPr>
        <w:t>istraga</w:t>
      </w:r>
      <w:r w:rsidR="00745C54" w:rsidRPr="00E95BC4">
        <w:rPr>
          <w:lang w:val="sr-Cyrl-CS"/>
        </w:rPr>
        <w:t xml:space="preserve"> </w:t>
      </w:r>
      <w:r>
        <w:rPr>
          <w:lang w:val="sr-Cyrl-CS"/>
        </w:rPr>
        <w:t>za</w:t>
      </w:r>
      <w:r w:rsidR="00745C54" w:rsidRPr="00E95BC4">
        <w:rPr>
          <w:lang w:val="sr-Cyrl-CS"/>
        </w:rPr>
        <w:t xml:space="preserve"> </w:t>
      </w:r>
      <w:r>
        <w:rPr>
          <w:lang w:val="sr-Cyrl-CS"/>
        </w:rPr>
        <w:t>krivična</w:t>
      </w:r>
      <w:r w:rsidR="00745C54" w:rsidRPr="00E95BC4">
        <w:rPr>
          <w:lang w:val="sr-Cyrl-CS"/>
        </w:rPr>
        <w:t xml:space="preserve"> </w:t>
      </w:r>
      <w:r>
        <w:rPr>
          <w:lang w:val="sr-Cyrl-CS"/>
        </w:rPr>
        <w:t>dela</w:t>
      </w:r>
      <w:r w:rsidR="00745C54" w:rsidRPr="00E95BC4">
        <w:rPr>
          <w:lang w:val="sr-Cyrl-CS"/>
        </w:rPr>
        <w:t xml:space="preserve"> </w:t>
      </w:r>
      <w:r>
        <w:rPr>
          <w:lang w:val="sr-Cyrl-CS"/>
        </w:rPr>
        <w:t>za</w:t>
      </w:r>
      <w:r w:rsidR="00745C54" w:rsidRPr="00E95BC4">
        <w:rPr>
          <w:lang w:val="sr-Cyrl-CS"/>
        </w:rPr>
        <w:t xml:space="preserve"> </w:t>
      </w:r>
      <w:r>
        <w:rPr>
          <w:lang w:val="sr-Cyrl-CS"/>
        </w:rPr>
        <w:t>koja</w:t>
      </w:r>
      <w:r w:rsidR="00745C54" w:rsidRPr="00E95BC4">
        <w:rPr>
          <w:lang w:val="sr-Cyrl-CS"/>
        </w:rPr>
        <w:t xml:space="preserve"> </w:t>
      </w:r>
      <w:r>
        <w:rPr>
          <w:lang w:val="sr-Cyrl-CS"/>
        </w:rPr>
        <w:t>se</w:t>
      </w:r>
      <w:r w:rsidR="00745C54" w:rsidRPr="00E95BC4">
        <w:rPr>
          <w:lang w:val="sr-Cyrl-CS"/>
        </w:rPr>
        <w:t xml:space="preserve"> </w:t>
      </w:r>
      <w:r>
        <w:rPr>
          <w:lang w:val="sr-Cyrl-CS"/>
        </w:rPr>
        <w:t>primenjuje</w:t>
      </w:r>
      <w:r w:rsidR="00745C54" w:rsidRPr="00E95BC4">
        <w:rPr>
          <w:lang w:val="sr-Cyrl-CS"/>
        </w:rPr>
        <w:t xml:space="preserve"> </w:t>
      </w:r>
      <w:r>
        <w:rPr>
          <w:lang w:val="sr-Cyrl-CS"/>
        </w:rPr>
        <w:t>pomenuti</w:t>
      </w:r>
      <w:r w:rsidR="00745C54" w:rsidRPr="00E95BC4">
        <w:rPr>
          <w:lang w:val="sr-Cyrl-CS"/>
        </w:rPr>
        <w:t xml:space="preserve"> </w:t>
      </w:r>
      <w:r>
        <w:rPr>
          <w:lang w:val="sr-Cyrl-CS"/>
        </w:rPr>
        <w:t>zakon</w:t>
      </w:r>
      <w:r w:rsidR="00745C54" w:rsidRPr="00E95BC4">
        <w:rPr>
          <w:lang w:val="sr-Cyrl-CS"/>
        </w:rPr>
        <w:t xml:space="preserve">. </w:t>
      </w:r>
      <w:r>
        <w:rPr>
          <w:lang w:val="sr-Cyrl-CS"/>
        </w:rPr>
        <w:t>To</w:t>
      </w:r>
      <w:r w:rsidR="00745C54" w:rsidRPr="00E95BC4">
        <w:rPr>
          <w:lang w:val="sr-Cyrl-CS"/>
        </w:rPr>
        <w:t xml:space="preserve"> </w:t>
      </w:r>
      <w:r>
        <w:rPr>
          <w:lang w:val="sr-Cyrl-CS"/>
        </w:rPr>
        <w:t>podrazumeva</w:t>
      </w:r>
      <w:r w:rsidR="00745C54" w:rsidRPr="00E95BC4">
        <w:rPr>
          <w:lang w:val="sr-Cyrl-CS"/>
        </w:rPr>
        <w:t xml:space="preserve"> </w:t>
      </w:r>
      <w:r>
        <w:rPr>
          <w:lang w:val="sr-Cyrl-CS"/>
        </w:rPr>
        <w:t>da</w:t>
      </w:r>
      <w:r w:rsidR="00745C54" w:rsidRPr="00E95BC4">
        <w:rPr>
          <w:lang w:val="sr-Cyrl-CS"/>
        </w:rPr>
        <w:t xml:space="preserve"> </w:t>
      </w:r>
      <w:r>
        <w:rPr>
          <w:lang w:val="sr-Cyrl-CS"/>
        </w:rPr>
        <w:t>javni</w:t>
      </w:r>
      <w:r w:rsidR="00745C54" w:rsidRPr="00E95BC4">
        <w:rPr>
          <w:lang w:val="sr-Cyrl-CS"/>
        </w:rPr>
        <w:t xml:space="preserve"> </w:t>
      </w:r>
      <w:r>
        <w:rPr>
          <w:lang w:val="sr-Cyrl-CS"/>
        </w:rPr>
        <w:t>tužioci</w:t>
      </w:r>
      <w:r w:rsidR="00745C54" w:rsidRPr="00E95BC4">
        <w:rPr>
          <w:lang w:val="sr-Cyrl-CS"/>
        </w:rPr>
        <w:t xml:space="preserve"> </w:t>
      </w:r>
      <w:r>
        <w:rPr>
          <w:lang w:val="sr-Cyrl-CS"/>
        </w:rPr>
        <w:t>u</w:t>
      </w:r>
      <w:r w:rsidR="00745C54" w:rsidRPr="00E95BC4">
        <w:rPr>
          <w:lang w:val="sr-Cyrl-CS"/>
        </w:rPr>
        <w:t xml:space="preserve"> </w:t>
      </w:r>
      <w:r>
        <w:rPr>
          <w:lang w:val="sr-Cyrl-CS"/>
        </w:rPr>
        <w:t>slučaju</w:t>
      </w:r>
      <w:r w:rsidR="00745C54" w:rsidRPr="00E95BC4">
        <w:rPr>
          <w:lang w:val="sr-Cyrl-CS"/>
        </w:rPr>
        <w:t xml:space="preserve"> </w:t>
      </w:r>
      <w:r>
        <w:rPr>
          <w:lang w:val="sr-Cyrl-CS"/>
        </w:rPr>
        <w:t>pokretanja</w:t>
      </w:r>
      <w:r w:rsidR="00745C54" w:rsidRPr="00E95BC4">
        <w:rPr>
          <w:lang w:val="sr-Cyrl-CS"/>
        </w:rPr>
        <w:t xml:space="preserve"> </w:t>
      </w:r>
      <w:r>
        <w:rPr>
          <w:lang w:val="sr-Cyrl-CS"/>
        </w:rPr>
        <w:t>predistražnog</w:t>
      </w:r>
      <w:r w:rsidR="00745C54" w:rsidRPr="00E95BC4">
        <w:rPr>
          <w:lang w:val="sr-Cyrl-CS"/>
        </w:rPr>
        <w:t xml:space="preserve"> </w:t>
      </w:r>
      <w:r>
        <w:rPr>
          <w:lang w:val="sr-Cyrl-CS"/>
        </w:rPr>
        <w:t>postupka</w:t>
      </w:r>
      <w:r w:rsidR="00745C54" w:rsidRPr="00E95BC4">
        <w:rPr>
          <w:lang w:val="sr-Cyrl-CS"/>
        </w:rPr>
        <w:t xml:space="preserve"> </w:t>
      </w:r>
      <w:r>
        <w:rPr>
          <w:lang w:val="sr-Cyrl-CS"/>
        </w:rPr>
        <w:t>za</w:t>
      </w:r>
      <w:r w:rsidR="00745C54" w:rsidRPr="00E95BC4">
        <w:rPr>
          <w:lang w:val="sr-Cyrl-CS"/>
        </w:rPr>
        <w:t xml:space="preserve"> </w:t>
      </w:r>
      <w:r>
        <w:rPr>
          <w:lang w:val="sr-Cyrl-CS"/>
        </w:rPr>
        <w:t>krivično</w:t>
      </w:r>
      <w:r w:rsidR="00745C54" w:rsidRPr="00E95BC4">
        <w:rPr>
          <w:lang w:val="sr-Cyrl-CS"/>
        </w:rPr>
        <w:t xml:space="preserve"> </w:t>
      </w:r>
      <w:r>
        <w:rPr>
          <w:lang w:val="sr-Cyrl-CS"/>
        </w:rPr>
        <w:t>delo</w:t>
      </w:r>
      <w:r w:rsidR="00745C54" w:rsidRPr="00E95BC4">
        <w:rPr>
          <w:lang w:val="sr-Cyrl-CS"/>
        </w:rPr>
        <w:t xml:space="preserve"> </w:t>
      </w:r>
      <w:r>
        <w:rPr>
          <w:lang w:val="sr-Cyrl-CS"/>
        </w:rPr>
        <w:t>pranje</w:t>
      </w:r>
      <w:r w:rsidR="00745C54" w:rsidRPr="00E95BC4">
        <w:rPr>
          <w:lang w:val="sr-Cyrl-CS"/>
        </w:rPr>
        <w:t xml:space="preserve"> </w:t>
      </w:r>
      <w:r>
        <w:rPr>
          <w:lang w:val="sr-Cyrl-CS"/>
        </w:rPr>
        <w:t>novca</w:t>
      </w:r>
      <w:r w:rsidR="00745C54" w:rsidRPr="00E95BC4">
        <w:rPr>
          <w:lang w:val="sr-Cyrl-CS"/>
        </w:rPr>
        <w:t xml:space="preserve"> </w:t>
      </w:r>
      <w:r>
        <w:rPr>
          <w:lang w:val="sr-Cyrl-CS"/>
        </w:rPr>
        <w:t>imaju</w:t>
      </w:r>
      <w:r w:rsidR="00745C54" w:rsidRPr="00E95BC4">
        <w:rPr>
          <w:lang w:val="sr-Cyrl-CS"/>
        </w:rPr>
        <w:t xml:space="preserve"> </w:t>
      </w:r>
      <w:r>
        <w:rPr>
          <w:lang w:val="sr-Cyrl-CS"/>
        </w:rPr>
        <w:t>obavezu</w:t>
      </w:r>
      <w:r w:rsidR="00745C54" w:rsidRPr="00E95BC4">
        <w:rPr>
          <w:lang w:val="sr-Cyrl-CS"/>
        </w:rPr>
        <w:t xml:space="preserve"> </w:t>
      </w:r>
      <w:r>
        <w:rPr>
          <w:lang w:val="sr-Cyrl-CS"/>
        </w:rPr>
        <w:t>donošenja</w:t>
      </w:r>
      <w:r w:rsidR="00745C54" w:rsidRPr="00E95BC4">
        <w:rPr>
          <w:lang w:val="sr-Cyrl-CS"/>
        </w:rPr>
        <w:t xml:space="preserve"> </w:t>
      </w:r>
      <w:r>
        <w:rPr>
          <w:lang w:val="sr-Cyrl-CS"/>
        </w:rPr>
        <w:t>naredbe</w:t>
      </w:r>
      <w:r w:rsidR="00745C54" w:rsidRPr="00E95BC4">
        <w:rPr>
          <w:lang w:val="sr-Cyrl-CS"/>
        </w:rPr>
        <w:t xml:space="preserve"> </w:t>
      </w:r>
      <w:r>
        <w:rPr>
          <w:lang w:val="sr-Cyrl-CS"/>
        </w:rPr>
        <w:t>o</w:t>
      </w:r>
      <w:r w:rsidR="00745C54" w:rsidRPr="00E95BC4">
        <w:rPr>
          <w:lang w:val="sr-Cyrl-CS"/>
        </w:rPr>
        <w:t xml:space="preserve"> </w:t>
      </w:r>
      <w:r>
        <w:rPr>
          <w:lang w:val="sr-Cyrl-CS"/>
        </w:rPr>
        <w:t>pokretanju</w:t>
      </w:r>
      <w:r w:rsidR="00745C54" w:rsidRPr="00E95BC4">
        <w:rPr>
          <w:lang w:val="sr-Cyrl-CS"/>
        </w:rPr>
        <w:t xml:space="preserve"> </w:t>
      </w:r>
      <w:r>
        <w:rPr>
          <w:lang w:val="sr-Cyrl-CS"/>
        </w:rPr>
        <w:t>finansijske</w:t>
      </w:r>
      <w:r w:rsidR="00745C54" w:rsidRPr="00E95BC4">
        <w:rPr>
          <w:lang w:val="sr-Cyrl-CS"/>
        </w:rPr>
        <w:t xml:space="preserve"> </w:t>
      </w:r>
      <w:r>
        <w:rPr>
          <w:lang w:val="sr-Cyrl-CS"/>
        </w:rPr>
        <w:t>istrage</w:t>
      </w:r>
      <w:r w:rsidR="00745C54" w:rsidRPr="00E95BC4">
        <w:rPr>
          <w:lang w:val="sr-Cyrl-CS"/>
        </w:rPr>
        <w:t xml:space="preserve"> </w:t>
      </w:r>
      <w:r>
        <w:rPr>
          <w:lang w:val="sr-Cyrl-CS"/>
        </w:rPr>
        <w:t>i</w:t>
      </w:r>
      <w:r w:rsidR="00745C54" w:rsidRPr="00E95BC4">
        <w:rPr>
          <w:lang w:val="sr-Cyrl-CS"/>
        </w:rPr>
        <w:t xml:space="preserve"> </w:t>
      </w:r>
      <w:r>
        <w:rPr>
          <w:lang w:val="sr-Cyrl-CS"/>
        </w:rPr>
        <w:t>da</w:t>
      </w:r>
      <w:r w:rsidR="00745C54" w:rsidRPr="00E95BC4">
        <w:rPr>
          <w:lang w:val="sr-Cyrl-CS"/>
        </w:rPr>
        <w:t xml:space="preserve"> </w:t>
      </w:r>
      <w:r>
        <w:rPr>
          <w:lang w:val="sr-Cyrl-CS"/>
        </w:rPr>
        <w:t>od</w:t>
      </w:r>
      <w:r w:rsidR="00745C54" w:rsidRPr="00E95BC4">
        <w:rPr>
          <w:lang w:val="sr-Cyrl-CS"/>
        </w:rPr>
        <w:t xml:space="preserve"> </w:t>
      </w:r>
      <w:r>
        <w:rPr>
          <w:lang w:val="sr-Cyrl-CS"/>
        </w:rPr>
        <w:t>Jedinice</w:t>
      </w:r>
      <w:r w:rsidR="00745C54" w:rsidRPr="00E95BC4">
        <w:rPr>
          <w:lang w:val="sr-Cyrl-CS"/>
        </w:rPr>
        <w:t xml:space="preserve"> </w:t>
      </w:r>
      <w:r>
        <w:rPr>
          <w:lang w:val="sr-Cyrl-CS"/>
        </w:rPr>
        <w:t>za</w:t>
      </w:r>
      <w:r w:rsidR="00745C54" w:rsidRPr="00E95BC4">
        <w:rPr>
          <w:lang w:val="sr-Cyrl-CS"/>
        </w:rPr>
        <w:t xml:space="preserve"> </w:t>
      </w:r>
      <w:r>
        <w:rPr>
          <w:lang w:val="sr-Cyrl-CS"/>
        </w:rPr>
        <w:t>finansijske</w:t>
      </w:r>
      <w:r w:rsidR="00745C54" w:rsidRPr="00E95BC4">
        <w:rPr>
          <w:lang w:val="sr-Cyrl-CS"/>
        </w:rPr>
        <w:t xml:space="preserve"> </w:t>
      </w:r>
      <w:r>
        <w:rPr>
          <w:lang w:val="sr-Cyrl-CS"/>
        </w:rPr>
        <w:t>istrage</w:t>
      </w:r>
      <w:r w:rsidR="00745C54" w:rsidRPr="00E95BC4">
        <w:rPr>
          <w:lang w:val="sr-Cyrl-CS"/>
        </w:rPr>
        <w:t xml:space="preserve"> </w:t>
      </w:r>
      <w:r>
        <w:rPr>
          <w:lang w:val="sr-Cyrl-CS"/>
        </w:rPr>
        <w:t>zatraže</w:t>
      </w:r>
      <w:r w:rsidR="00745C54" w:rsidRPr="00E95BC4">
        <w:rPr>
          <w:lang w:val="sr-Cyrl-CS"/>
        </w:rPr>
        <w:t xml:space="preserve"> </w:t>
      </w:r>
      <w:r>
        <w:rPr>
          <w:lang w:val="sr-Cyrl-CS"/>
        </w:rPr>
        <w:t>prikupljanje</w:t>
      </w:r>
      <w:r w:rsidR="00745C54" w:rsidRPr="00E95BC4">
        <w:rPr>
          <w:lang w:val="sr-Cyrl-CS"/>
        </w:rPr>
        <w:t xml:space="preserve"> </w:t>
      </w:r>
      <w:r>
        <w:rPr>
          <w:lang w:val="sr-Cyrl-CS"/>
        </w:rPr>
        <w:t>dokaza</w:t>
      </w:r>
      <w:r w:rsidR="00745C54" w:rsidRPr="00E95BC4">
        <w:rPr>
          <w:lang w:val="sr-Cyrl-CS"/>
        </w:rPr>
        <w:t xml:space="preserve"> </w:t>
      </w:r>
      <w:r>
        <w:rPr>
          <w:lang w:val="sr-Cyrl-CS"/>
        </w:rPr>
        <w:t>o</w:t>
      </w:r>
      <w:r w:rsidR="00745C54" w:rsidRPr="00E95BC4">
        <w:rPr>
          <w:lang w:val="sr-Cyrl-CS"/>
        </w:rPr>
        <w:t xml:space="preserve"> </w:t>
      </w:r>
      <w:r>
        <w:rPr>
          <w:lang w:val="sr-Cyrl-CS"/>
        </w:rPr>
        <w:t>imovini</w:t>
      </w:r>
      <w:r w:rsidR="00745C54" w:rsidRPr="00E95BC4">
        <w:rPr>
          <w:lang w:val="sr-Cyrl-CS"/>
        </w:rPr>
        <w:t xml:space="preserve"> </w:t>
      </w:r>
      <w:r>
        <w:rPr>
          <w:lang w:val="sr-Cyrl-CS"/>
        </w:rPr>
        <w:t>čiji</w:t>
      </w:r>
      <w:r w:rsidR="00745C54" w:rsidRPr="00E95BC4">
        <w:rPr>
          <w:lang w:val="sr-Cyrl-CS"/>
        </w:rPr>
        <w:t xml:space="preserve"> </w:t>
      </w:r>
      <w:r>
        <w:rPr>
          <w:lang w:val="sr-Cyrl-CS"/>
        </w:rPr>
        <w:t>su</w:t>
      </w:r>
      <w:r w:rsidR="00745C54" w:rsidRPr="00E95BC4">
        <w:rPr>
          <w:lang w:val="sr-Cyrl-CS"/>
        </w:rPr>
        <w:t xml:space="preserve"> </w:t>
      </w:r>
      <w:r>
        <w:rPr>
          <w:lang w:val="sr-Cyrl-CS"/>
        </w:rPr>
        <w:t>vlasnici</w:t>
      </w:r>
      <w:r w:rsidR="00745C54" w:rsidRPr="00E95BC4">
        <w:rPr>
          <w:lang w:val="sr-Cyrl-CS"/>
        </w:rPr>
        <w:t xml:space="preserve"> </w:t>
      </w:r>
      <w:r>
        <w:rPr>
          <w:lang w:val="sr-Cyrl-CS"/>
        </w:rPr>
        <w:t>ili</w:t>
      </w:r>
      <w:r w:rsidR="00745C54" w:rsidRPr="00E95BC4">
        <w:rPr>
          <w:lang w:val="sr-Cyrl-CS"/>
        </w:rPr>
        <w:t xml:space="preserve"> </w:t>
      </w:r>
      <w:r>
        <w:rPr>
          <w:lang w:val="sr-Cyrl-CS"/>
        </w:rPr>
        <w:t>koju</w:t>
      </w:r>
      <w:r w:rsidR="00745C54" w:rsidRPr="00E95BC4">
        <w:rPr>
          <w:lang w:val="sr-Cyrl-CS"/>
        </w:rPr>
        <w:t xml:space="preserve"> </w:t>
      </w:r>
      <w:r>
        <w:rPr>
          <w:lang w:val="sr-Cyrl-CS"/>
        </w:rPr>
        <w:t>poseduju</w:t>
      </w:r>
      <w:r w:rsidR="00745C54" w:rsidRPr="00E95BC4">
        <w:rPr>
          <w:lang w:val="sr-Cyrl-CS"/>
        </w:rPr>
        <w:t xml:space="preserve"> </w:t>
      </w:r>
      <w:r>
        <w:rPr>
          <w:lang w:val="sr-Cyrl-CS"/>
        </w:rPr>
        <w:t>fizička</w:t>
      </w:r>
      <w:r w:rsidR="00745C54" w:rsidRPr="00E95BC4">
        <w:rPr>
          <w:lang w:val="sr-Cyrl-CS"/>
        </w:rPr>
        <w:t xml:space="preserve"> </w:t>
      </w:r>
      <w:r>
        <w:rPr>
          <w:lang w:val="sr-Cyrl-CS"/>
        </w:rPr>
        <w:t>i</w:t>
      </w:r>
      <w:r w:rsidR="00745C54" w:rsidRPr="00E95BC4">
        <w:rPr>
          <w:lang w:val="sr-Cyrl-CS"/>
        </w:rPr>
        <w:t xml:space="preserve"> </w:t>
      </w:r>
      <w:r>
        <w:rPr>
          <w:lang w:val="sr-Cyrl-CS"/>
        </w:rPr>
        <w:t>pravna</w:t>
      </w:r>
      <w:r w:rsidR="00745C54" w:rsidRPr="00E95BC4">
        <w:rPr>
          <w:lang w:val="sr-Cyrl-CS"/>
        </w:rPr>
        <w:t xml:space="preserve"> </w:t>
      </w:r>
      <w:r>
        <w:rPr>
          <w:lang w:val="sr-Cyrl-CS"/>
        </w:rPr>
        <w:t>lica</w:t>
      </w:r>
      <w:r w:rsidR="00745C54" w:rsidRPr="00E95BC4">
        <w:rPr>
          <w:lang w:val="sr-Cyrl-CS"/>
        </w:rPr>
        <w:t xml:space="preserve"> </w:t>
      </w:r>
      <w:r>
        <w:rPr>
          <w:lang w:val="sr-Cyrl-CS"/>
        </w:rPr>
        <w:t>učesnici</w:t>
      </w:r>
      <w:r w:rsidR="00745C54" w:rsidRPr="00E95BC4">
        <w:rPr>
          <w:lang w:val="sr-Cyrl-CS"/>
        </w:rPr>
        <w:t xml:space="preserve"> </w:t>
      </w:r>
      <w:r>
        <w:rPr>
          <w:lang w:val="sr-Cyrl-CS"/>
        </w:rPr>
        <w:t>transakcija</w:t>
      </w:r>
      <w:r w:rsidR="00745C54" w:rsidRPr="00E95BC4">
        <w:rPr>
          <w:lang w:val="sr-Cyrl-CS"/>
        </w:rPr>
        <w:t xml:space="preserve"> </w:t>
      </w:r>
      <w:r>
        <w:rPr>
          <w:lang w:val="sr-Cyrl-CS"/>
        </w:rPr>
        <w:t>za</w:t>
      </w:r>
      <w:r w:rsidR="00745C54" w:rsidRPr="00E95BC4">
        <w:rPr>
          <w:lang w:val="sr-Cyrl-CS"/>
        </w:rPr>
        <w:t xml:space="preserve"> </w:t>
      </w:r>
      <w:r>
        <w:rPr>
          <w:lang w:val="sr-Cyrl-CS"/>
        </w:rPr>
        <w:t>koje</w:t>
      </w:r>
      <w:r w:rsidR="00745C54" w:rsidRPr="00E95BC4">
        <w:rPr>
          <w:lang w:val="sr-Cyrl-CS"/>
        </w:rPr>
        <w:t xml:space="preserve"> </w:t>
      </w:r>
      <w:r>
        <w:rPr>
          <w:lang w:val="sr-Cyrl-CS"/>
        </w:rPr>
        <w:t>se</w:t>
      </w:r>
      <w:r w:rsidR="00745C54" w:rsidRPr="00E95BC4">
        <w:rPr>
          <w:lang w:val="sr-Cyrl-CS"/>
        </w:rPr>
        <w:t xml:space="preserve"> </w:t>
      </w:r>
      <w:r>
        <w:rPr>
          <w:lang w:val="sr-Cyrl-CS"/>
        </w:rPr>
        <w:t>sumnja</w:t>
      </w:r>
      <w:r w:rsidR="00745C54" w:rsidRPr="00E95BC4">
        <w:rPr>
          <w:lang w:val="sr-Cyrl-CS"/>
        </w:rPr>
        <w:t xml:space="preserve"> </w:t>
      </w:r>
      <w:r>
        <w:rPr>
          <w:lang w:val="sr-Cyrl-CS"/>
        </w:rPr>
        <w:t>da</w:t>
      </w:r>
      <w:r w:rsidR="00745C54" w:rsidRPr="00E95BC4">
        <w:rPr>
          <w:lang w:val="sr-Cyrl-CS"/>
        </w:rPr>
        <w:t xml:space="preserve"> </w:t>
      </w:r>
      <w:r>
        <w:rPr>
          <w:lang w:val="sr-Cyrl-CS"/>
        </w:rPr>
        <w:t>predstavljaju</w:t>
      </w:r>
      <w:r w:rsidR="00745C54" w:rsidRPr="00E95BC4">
        <w:rPr>
          <w:lang w:val="sr-Cyrl-CS"/>
        </w:rPr>
        <w:t xml:space="preserve"> </w:t>
      </w:r>
      <w:r>
        <w:rPr>
          <w:lang w:val="sr-Cyrl-CS"/>
        </w:rPr>
        <w:t>pranje</w:t>
      </w:r>
      <w:r w:rsidR="00745C54" w:rsidRPr="00E95BC4">
        <w:rPr>
          <w:lang w:val="sr-Cyrl-CS"/>
        </w:rPr>
        <w:t xml:space="preserve"> </w:t>
      </w:r>
      <w:r>
        <w:rPr>
          <w:lang w:val="sr-Cyrl-CS"/>
        </w:rPr>
        <w:t>novca</w:t>
      </w:r>
      <w:r w:rsidR="00745C54" w:rsidRPr="00E95BC4">
        <w:rPr>
          <w:lang w:val="sr-Cyrl-CS"/>
        </w:rPr>
        <w:t xml:space="preserve">, </w:t>
      </w:r>
      <w:r>
        <w:rPr>
          <w:lang w:val="sr-Cyrl-CS"/>
        </w:rPr>
        <w:t>kao</w:t>
      </w:r>
      <w:r w:rsidR="00745C54" w:rsidRPr="00E95BC4">
        <w:rPr>
          <w:lang w:val="sr-Cyrl-CS"/>
        </w:rPr>
        <w:t xml:space="preserve"> </w:t>
      </w:r>
      <w:r>
        <w:rPr>
          <w:lang w:val="sr-Cyrl-CS"/>
        </w:rPr>
        <w:t>i</w:t>
      </w:r>
      <w:r w:rsidR="00745C54" w:rsidRPr="00E95BC4">
        <w:rPr>
          <w:lang w:val="sr-Cyrl-CS"/>
        </w:rPr>
        <w:t xml:space="preserve"> </w:t>
      </w:r>
      <w:r>
        <w:rPr>
          <w:lang w:val="sr-Cyrl-CS"/>
        </w:rPr>
        <w:t>sa</w:t>
      </w:r>
      <w:r w:rsidR="00745C54" w:rsidRPr="00E95BC4">
        <w:rPr>
          <w:lang w:val="sr-Cyrl-CS"/>
        </w:rPr>
        <w:t xml:space="preserve"> </w:t>
      </w:r>
      <w:r>
        <w:rPr>
          <w:lang w:val="sr-Cyrl-CS"/>
        </w:rPr>
        <w:t>njima</w:t>
      </w:r>
      <w:r w:rsidR="00745C54" w:rsidRPr="00E95BC4">
        <w:rPr>
          <w:lang w:val="sr-Cyrl-CS"/>
        </w:rPr>
        <w:t xml:space="preserve"> </w:t>
      </w:r>
      <w:r>
        <w:rPr>
          <w:lang w:val="sr-Cyrl-CS"/>
        </w:rPr>
        <w:t>povezana</w:t>
      </w:r>
      <w:r w:rsidR="00745C54" w:rsidRPr="00E95BC4">
        <w:rPr>
          <w:lang w:val="sr-Cyrl-CS"/>
        </w:rPr>
        <w:t xml:space="preserve"> </w:t>
      </w:r>
      <w:r>
        <w:rPr>
          <w:lang w:val="sr-Cyrl-CS"/>
        </w:rPr>
        <w:t>lica</w:t>
      </w:r>
      <w:r w:rsidR="00745C54" w:rsidRPr="00E95BC4">
        <w:rPr>
          <w:lang w:val="sr-Cyrl-CS"/>
        </w:rPr>
        <w:t>.</w:t>
      </w:r>
    </w:p>
    <w:p w:rsidR="001A655F" w:rsidRPr="00E95BC4" w:rsidRDefault="005818C0" w:rsidP="00745C54">
      <w:pPr>
        <w:ind w:firstLine="720"/>
        <w:jc w:val="both"/>
        <w:rPr>
          <w:lang w:val="sr-Cyrl-CS"/>
        </w:rPr>
      </w:pPr>
      <w:r>
        <w:rPr>
          <w:lang w:val="sr-Cyrl-CS"/>
        </w:rPr>
        <w:t>Napred</w:t>
      </w:r>
      <w:r w:rsidR="00FA5629" w:rsidRPr="00E95BC4">
        <w:rPr>
          <w:lang w:val="sr-Cyrl-CS"/>
        </w:rPr>
        <w:t xml:space="preserve"> </w:t>
      </w:r>
      <w:r>
        <w:rPr>
          <w:lang w:val="sr-Cyrl-CS"/>
        </w:rPr>
        <w:t>navedene</w:t>
      </w:r>
      <w:r w:rsidR="007606A2" w:rsidRPr="00E95BC4">
        <w:rPr>
          <w:lang w:val="sr-Cyrl-CS"/>
        </w:rPr>
        <w:t xml:space="preserve"> </w:t>
      </w:r>
      <w:r>
        <w:rPr>
          <w:lang w:val="sr-Cyrl-CS"/>
        </w:rPr>
        <w:t>aktivnosti</w:t>
      </w:r>
      <w:r w:rsidR="000D1143" w:rsidRPr="00E95BC4">
        <w:rPr>
          <w:lang w:val="sr-Cyrl-CS"/>
        </w:rPr>
        <w:t xml:space="preserve"> </w:t>
      </w:r>
      <w:r>
        <w:rPr>
          <w:lang w:val="sr-Cyrl-CS"/>
        </w:rPr>
        <w:t>su</w:t>
      </w:r>
      <w:r w:rsidR="000D1143" w:rsidRPr="00E95BC4">
        <w:rPr>
          <w:lang w:val="sr-Cyrl-CS"/>
        </w:rPr>
        <w:t xml:space="preserve"> </w:t>
      </w:r>
      <w:r>
        <w:rPr>
          <w:lang w:val="sr-Cyrl-CS"/>
        </w:rPr>
        <w:t>već</w:t>
      </w:r>
      <w:r w:rsidR="000D1143" w:rsidRPr="00E95BC4">
        <w:rPr>
          <w:lang w:val="sr-Cyrl-CS"/>
        </w:rPr>
        <w:t xml:space="preserve"> </w:t>
      </w:r>
      <w:r>
        <w:rPr>
          <w:lang w:val="sr-Cyrl-CS"/>
        </w:rPr>
        <w:t>dale</w:t>
      </w:r>
      <w:r w:rsidR="000D1143" w:rsidRPr="00E95BC4">
        <w:rPr>
          <w:lang w:val="sr-Cyrl-CS"/>
        </w:rPr>
        <w:t xml:space="preserve"> </w:t>
      </w:r>
      <w:r>
        <w:rPr>
          <w:lang w:val="sr-Cyrl-CS"/>
        </w:rPr>
        <w:t>rezultat</w:t>
      </w:r>
      <w:r w:rsidR="000D1143" w:rsidRPr="00E95BC4">
        <w:rPr>
          <w:lang w:val="sr-Cyrl-CS"/>
        </w:rPr>
        <w:t xml:space="preserve">, </w:t>
      </w:r>
      <w:r>
        <w:rPr>
          <w:lang w:val="sr-Cyrl-CS"/>
        </w:rPr>
        <w:t>što</w:t>
      </w:r>
      <w:r w:rsidR="000D1143" w:rsidRPr="00E95BC4">
        <w:rPr>
          <w:lang w:val="sr-Cyrl-CS"/>
        </w:rPr>
        <w:t xml:space="preserve"> </w:t>
      </w:r>
      <w:r>
        <w:rPr>
          <w:lang w:val="sr-Cyrl-CS"/>
        </w:rPr>
        <w:t>je</w:t>
      </w:r>
      <w:r w:rsidR="000D1143" w:rsidRPr="00E95BC4">
        <w:rPr>
          <w:lang w:val="sr-Cyrl-CS"/>
        </w:rPr>
        <w:t xml:space="preserve"> </w:t>
      </w:r>
      <w:r>
        <w:rPr>
          <w:lang w:val="sr-Cyrl-CS"/>
        </w:rPr>
        <w:t>potvrdio</w:t>
      </w:r>
      <w:r w:rsidR="000D1143" w:rsidRPr="00E95BC4">
        <w:rPr>
          <w:lang w:val="sr-Cyrl-CS"/>
        </w:rPr>
        <w:t xml:space="preserve"> </w:t>
      </w:r>
      <w:r>
        <w:rPr>
          <w:lang w:val="sr-Cyrl-CS"/>
        </w:rPr>
        <w:t>FATF</w:t>
      </w:r>
      <w:r w:rsidR="000D1143" w:rsidRPr="00E95BC4">
        <w:rPr>
          <w:lang w:val="sr-Cyrl-CS"/>
        </w:rPr>
        <w:t xml:space="preserve"> </w:t>
      </w:r>
      <w:r>
        <w:rPr>
          <w:lang w:val="sr-Cyrl-CS"/>
        </w:rPr>
        <w:t>u</w:t>
      </w:r>
      <w:r w:rsidR="000D1143" w:rsidRPr="00E95BC4">
        <w:rPr>
          <w:lang w:val="sr-Cyrl-CS"/>
        </w:rPr>
        <w:t xml:space="preserve"> </w:t>
      </w:r>
      <w:r>
        <w:rPr>
          <w:lang w:val="sr-Cyrl-CS"/>
        </w:rPr>
        <w:t>svom</w:t>
      </w:r>
      <w:r w:rsidR="000D1143" w:rsidRPr="00E95BC4">
        <w:rPr>
          <w:lang w:val="sr-Cyrl-CS"/>
        </w:rPr>
        <w:t xml:space="preserve"> </w:t>
      </w:r>
      <w:r>
        <w:rPr>
          <w:lang w:val="sr-Cyrl-CS"/>
        </w:rPr>
        <w:t>izveštaju</w:t>
      </w:r>
      <w:r w:rsidR="000D1143" w:rsidRPr="00E95BC4">
        <w:rPr>
          <w:lang w:val="sr-Cyrl-CS"/>
        </w:rPr>
        <w:t xml:space="preserve"> </w:t>
      </w:r>
      <w:r>
        <w:rPr>
          <w:lang w:val="sr-Cyrl-CS"/>
        </w:rPr>
        <w:t>iz</w:t>
      </w:r>
      <w:r w:rsidR="000D1143" w:rsidRPr="00E95BC4">
        <w:rPr>
          <w:lang w:val="sr-Cyrl-CS"/>
        </w:rPr>
        <w:t xml:space="preserve"> </w:t>
      </w:r>
      <w:r>
        <w:rPr>
          <w:lang w:val="sr-Cyrl-CS"/>
        </w:rPr>
        <w:t>juna</w:t>
      </w:r>
      <w:r w:rsidR="000D1143" w:rsidRPr="00E95BC4">
        <w:rPr>
          <w:lang w:val="sr-Cyrl-CS"/>
        </w:rPr>
        <w:t xml:space="preserve"> 2019. </w:t>
      </w:r>
      <w:r>
        <w:rPr>
          <w:lang w:val="sr-Cyrl-CS"/>
        </w:rPr>
        <w:t>godine</w:t>
      </w:r>
      <w:r w:rsidR="00641F60" w:rsidRPr="00E95BC4">
        <w:rPr>
          <w:lang w:val="sr-Cyrl-CS"/>
        </w:rPr>
        <w:t xml:space="preserve"> </w:t>
      </w:r>
      <w:r>
        <w:rPr>
          <w:lang w:val="sr-Cyrl-CS"/>
        </w:rPr>
        <w:t>konstatujući</w:t>
      </w:r>
      <w:r w:rsidR="00641F60" w:rsidRPr="00E95BC4">
        <w:rPr>
          <w:lang w:val="sr-Cyrl-CS"/>
        </w:rPr>
        <w:t xml:space="preserve"> </w:t>
      </w:r>
      <w:r>
        <w:rPr>
          <w:lang w:val="sr-Cyrl-CS"/>
        </w:rPr>
        <w:t>da</w:t>
      </w:r>
      <w:r w:rsidR="001A655F" w:rsidRPr="00E95BC4">
        <w:rPr>
          <w:lang w:val="sr-Cyrl-CS"/>
        </w:rPr>
        <w:t xml:space="preserve"> </w:t>
      </w:r>
      <w:r>
        <w:rPr>
          <w:lang w:val="sr-Cyrl-CS"/>
        </w:rPr>
        <w:t>su</w:t>
      </w:r>
      <w:r w:rsidR="001A655F" w:rsidRPr="00E95BC4">
        <w:rPr>
          <w:lang w:val="sr-Cyrl-CS"/>
        </w:rPr>
        <w:t xml:space="preserve"> </w:t>
      </w:r>
      <w:r>
        <w:rPr>
          <w:lang w:val="sr-Cyrl-CS"/>
        </w:rPr>
        <w:t>u</w:t>
      </w:r>
      <w:r w:rsidR="001A655F" w:rsidRPr="00E95BC4">
        <w:rPr>
          <w:lang w:val="sr-Cyrl-CS"/>
        </w:rPr>
        <w:t xml:space="preserve"> </w:t>
      </w:r>
      <w:r>
        <w:rPr>
          <w:lang w:val="sr-Cyrl-CS"/>
        </w:rPr>
        <w:t>posmatranom</w:t>
      </w:r>
      <w:r w:rsidR="001A655F" w:rsidRPr="00E95BC4">
        <w:rPr>
          <w:lang w:val="sr-Cyrl-CS"/>
        </w:rPr>
        <w:t xml:space="preserve"> </w:t>
      </w:r>
      <w:r>
        <w:rPr>
          <w:lang w:val="sr-Cyrl-CS"/>
        </w:rPr>
        <w:t>periodu</w:t>
      </w:r>
      <w:r w:rsidR="001A655F" w:rsidRPr="00E95BC4">
        <w:rPr>
          <w:lang w:val="sr-Cyrl-CS"/>
        </w:rPr>
        <w:t xml:space="preserve"> </w:t>
      </w:r>
      <w:r>
        <w:rPr>
          <w:lang w:val="sr-Cyrl-CS"/>
        </w:rPr>
        <w:t>nadležni</w:t>
      </w:r>
      <w:r w:rsidR="001A655F" w:rsidRPr="00E95BC4">
        <w:rPr>
          <w:lang w:val="sr-Cyrl-CS"/>
        </w:rPr>
        <w:t xml:space="preserve"> </w:t>
      </w:r>
      <w:r>
        <w:rPr>
          <w:lang w:val="sr-Cyrl-CS"/>
        </w:rPr>
        <w:t>organi</w:t>
      </w:r>
      <w:r w:rsidR="001A655F" w:rsidRPr="00E95BC4">
        <w:rPr>
          <w:lang w:val="sr-Cyrl-CS"/>
        </w:rPr>
        <w:t xml:space="preserve"> </w:t>
      </w:r>
      <w:r>
        <w:rPr>
          <w:lang w:val="sr-Cyrl-CS"/>
        </w:rPr>
        <w:t>u</w:t>
      </w:r>
      <w:r w:rsidR="001A655F" w:rsidRPr="00E95BC4">
        <w:rPr>
          <w:lang w:val="sr-Cyrl-CS"/>
        </w:rPr>
        <w:t xml:space="preserve"> </w:t>
      </w:r>
      <w:r>
        <w:rPr>
          <w:lang w:val="sr-Cyrl-CS"/>
        </w:rPr>
        <w:t>Republici</w:t>
      </w:r>
      <w:r w:rsidR="00641F60" w:rsidRPr="00E95BC4">
        <w:rPr>
          <w:lang w:val="sr-Cyrl-CS"/>
        </w:rPr>
        <w:t xml:space="preserve"> </w:t>
      </w:r>
      <w:r>
        <w:rPr>
          <w:lang w:val="sr-Cyrl-CS"/>
        </w:rPr>
        <w:t>Srbiji</w:t>
      </w:r>
      <w:r w:rsidR="001A655F" w:rsidRPr="00E95BC4">
        <w:rPr>
          <w:lang w:val="sr-Cyrl-CS"/>
        </w:rPr>
        <w:t xml:space="preserve"> </w:t>
      </w:r>
      <w:r>
        <w:rPr>
          <w:lang w:val="sr-Cyrl-CS"/>
        </w:rPr>
        <w:t>zauzeli</w:t>
      </w:r>
      <w:r w:rsidR="001A655F" w:rsidRPr="00E95BC4">
        <w:rPr>
          <w:lang w:val="sr-Cyrl-CS"/>
        </w:rPr>
        <w:t xml:space="preserve"> </w:t>
      </w:r>
      <w:r>
        <w:rPr>
          <w:lang w:val="sr-Cyrl-CS"/>
        </w:rPr>
        <w:t>proaktivniji</w:t>
      </w:r>
      <w:r w:rsidR="001A655F" w:rsidRPr="00E95BC4">
        <w:rPr>
          <w:lang w:val="sr-Cyrl-CS"/>
        </w:rPr>
        <w:t xml:space="preserve"> </w:t>
      </w:r>
      <w:r>
        <w:rPr>
          <w:lang w:val="sr-Cyrl-CS"/>
        </w:rPr>
        <w:t>pristup</w:t>
      </w:r>
      <w:r w:rsidR="001A655F" w:rsidRPr="00E95BC4">
        <w:rPr>
          <w:lang w:val="sr-Cyrl-CS"/>
        </w:rPr>
        <w:t xml:space="preserve"> </w:t>
      </w:r>
      <w:r>
        <w:rPr>
          <w:lang w:val="sr-Cyrl-CS"/>
        </w:rPr>
        <w:t>istragama</w:t>
      </w:r>
      <w:r w:rsidR="001A655F" w:rsidRPr="00E95BC4">
        <w:rPr>
          <w:lang w:val="sr-Cyrl-CS"/>
        </w:rPr>
        <w:t xml:space="preserve"> </w:t>
      </w:r>
      <w:r>
        <w:rPr>
          <w:lang w:val="sr-Cyrl-CS"/>
        </w:rPr>
        <w:t>pranja</w:t>
      </w:r>
      <w:r w:rsidR="001A655F" w:rsidRPr="00E95BC4">
        <w:rPr>
          <w:lang w:val="sr-Cyrl-CS"/>
        </w:rPr>
        <w:t xml:space="preserve"> </w:t>
      </w:r>
      <w:r>
        <w:rPr>
          <w:lang w:val="sr-Cyrl-CS"/>
        </w:rPr>
        <w:t>novca</w:t>
      </w:r>
      <w:r w:rsidR="001A655F" w:rsidRPr="00E95BC4">
        <w:rPr>
          <w:lang w:val="sr-Cyrl-CS"/>
        </w:rPr>
        <w:t xml:space="preserve"> </w:t>
      </w:r>
      <w:r>
        <w:rPr>
          <w:lang w:val="sr-Cyrl-CS"/>
        </w:rPr>
        <w:t>i</w:t>
      </w:r>
      <w:r w:rsidR="001A655F" w:rsidRPr="00E95BC4">
        <w:rPr>
          <w:lang w:val="sr-Cyrl-CS"/>
        </w:rPr>
        <w:t xml:space="preserve"> </w:t>
      </w:r>
      <w:r>
        <w:rPr>
          <w:lang w:val="sr-Cyrl-CS"/>
        </w:rPr>
        <w:t>povezanih</w:t>
      </w:r>
      <w:r w:rsidR="001A655F" w:rsidRPr="00E95BC4">
        <w:rPr>
          <w:lang w:val="sr-Cyrl-CS"/>
        </w:rPr>
        <w:t xml:space="preserve"> </w:t>
      </w:r>
      <w:r>
        <w:rPr>
          <w:lang w:val="sr-Cyrl-CS"/>
        </w:rPr>
        <w:t>prethodnih</w:t>
      </w:r>
      <w:r w:rsidR="001A655F" w:rsidRPr="00E95BC4">
        <w:rPr>
          <w:lang w:val="sr-Cyrl-CS"/>
        </w:rPr>
        <w:t xml:space="preserve"> </w:t>
      </w:r>
      <w:r>
        <w:rPr>
          <w:lang w:val="sr-Cyrl-CS"/>
        </w:rPr>
        <w:t>krivičnih</w:t>
      </w:r>
      <w:r w:rsidR="001A655F" w:rsidRPr="00E95BC4">
        <w:rPr>
          <w:lang w:val="sr-Cyrl-CS"/>
        </w:rPr>
        <w:t xml:space="preserve"> </w:t>
      </w:r>
      <w:r>
        <w:rPr>
          <w:lang w:val="sr-Cyrl-CS"/>
        </w:rPr>
        <w:t>dela</w:t>
      </w:r>
      <w:r w:rsidR="001A655F" w:rsidRPr="00E95BC4">
        <w:rPr>
          <w:lang w:val="sr-Cyrl-CS"/>
        </w:rPr>
        <w:t xml:space="preserve">. </w:t>
      </w:r>
      <w:r>
        <w:rPr>
          <w:lang w:val="sr-Cyrl-CS"/>
        </w:rPr>
        <w:t>U</w:t>
      </w:r>
      <w:r w:rsidR="001A655F" w:rsidRPr="00E95BC4">
        <w:rPr>
          <w:lang w:val="sr-Cyrl-CS"/>
        </w:rPr>
        <w:t xml:space="preserve"> </w:t>
      </w:r>
      <w:r>
        <w:rPr>
          <w:lang w:val="sr-Cyrl-CS"/>
        </w:rPr>
        <w:t>većem</w:t>
      </w:r>
      <w:r w:rsidR="001A655F" w:rsidRPr="00E95BC4">
        <w:rPr>
          <w:lang w:val="sr-Cyrl-CS"/>
        </w:rPr>
        <w:t xml:space="preserve"> </w:t>
      </w:r>
      <w:r>
        <w:rPr>
          <w:lang w:val="sr-Cyrl-CS"/>
        </w:rPr>
        <w:t>broju</w:t>
      </w:r>
      <w:r w:rsidR="001A655F" w:rsidRPr="00E95BC4">
        <w:rPr>
          <w:lang w:val="sr-Cyrl-CS"/>
        </w:rPr>
        <w:t xml:space="preserve"> </w:t>
      </w:r>
      <w:r>
        <w:rPr>
          <w:lang w:val="sr-Cyrl-CS"/>
        </w:rPr>
        <w:t>slučajeva</w:t>
      </w:r>
      <w:r w:rsidR="001A655F" w:rsidRPr="00E95BC4">
        <w:rPr>
          <w:lang w:val="sr-Cyrl-CS"/>
        </w:rPr>
        <w:t xml:space="preserve"> </w:t>
      </w:r>
      <w:r>
        <w:rPr>
          <w:lang w:val="sr-Cyrl-CS"/>
        </w:rPr>
        <w:t>tužioci</w:t>
      </w:r>
      <w:r w:rsidR="001A655F" w:rsidRPr="00E95BC4">
        <w:rPr>
          <w:lang w:val="sr-Cyrl-CS"/>
        </w:rPr>
        <w:t xml:space="preserve"> </w:t>
      </w:r>
      <w:r>
        <w:rPr>
          <w:lang w:val="sr-Cyrl-CS"/>
        </w:rPr>
        <w:t>su</w:t>
      </w:r>
      <w:r w:rsidR="001A655F" w:rsidRPr="00E95BC4">
        <w:rPr>
          <w:lang w:val="sr-Cyrl-CS"/>
        </w:rPr>
        <w:t xml:space="preserve"> </w:t>
      </w:r>
      <w:r>
        <w:rPr>
          <w:lang w:val="sr-Cyrl-CS"/>
        </w:rPr>
        <w:t>pokretali</w:t>
      </w:r>
      <w:r w:rsidR="001A655F" w:rsidRPr="00E95BC4">
        <w:rPr>
          <w:lang w:val="sr-Cyrl-CS"/>
        </w:rPr>
        <w:t xml:space="preserve"> </w:t>
      </w:r>
      <w:r>
        <w:rPr>
          <w:lang w:val="sr-Cyrl-CS"/>
        </w:rPr>
        <w:t>paralelne</w:t>
      </w:r>
      <w:r w:rsidR="001A655F" w:rsidRPr="00E95BC4">
        <w:rPr>
          <w:lang w:val="sr-Cyrl-CS"/>
        </w:rPr>
        <w:t xml:space="preserve"> </w:t>
      </w:r>
      <w:r>
        <w:rPr>
          <w:lang w:val="sr-Cyrl-CS"/>
        </w:rPr>
        <w:t>finansijske</w:t>
      </w:r>
      <w:r w:rsidR="001A655F" w:rsidRPr="00E95BC4">
        <w:rPr>
          <w:lang w:val="sr-Cyrl-CS"/>
        </w:rPr>
        <w:t xml:space="preserve"> </w:t>
      </w:r>
      <w:r>
        <w:rPr>
          <w:lang w:val="sr-Cyrl-CS"/>
        </w:rPr>
        <w:t>istrage</w:t>
      </w:r>
      <w:r w:rsidR="001A655F" w:rsidRPr="00E95BC4">
        <w:rPr>
          <w:lang w:val="sr-Cyrl-CS"/>
        </w:rPr>
        <w:t xml:space="preserve"> </w:t>
      </w:r>
      <w:r>
        <w:rPr>
          <w:lang w:val="sr-Cyrl-CS"/>
        </w:rPr>
        <w:t>koje</w:t>
      </w:r>
      <w:r w:rsidR="001A655F" w:rsidRPr="00E95BC4">
        <w:rPr>
          <w:lang w:val="sr-Cyrl-CS"/>
        </w:rPr>
        <w:t xml:space="preserve"> </w:t>
      </w:r>
      <w:r>
        <w:rPr>
          <w:lang w:val="sr-Cyrl-CS"/>
        </w:rPr>
        <w:t>su</w:t>
      </w:r>
      <w:r w:rsidR="001A655F" w:rsidRPr="00E95BC4">
        <w:rPr>
          <w:lang w:val="sr-Cyrl-CS"/>
        </w:rPr>
        <w:t xml:space="preserve"> </w:t>
      </w:r>
      <w:r>
        <w:rPr>
          <w:lang w:val="sr-Cyrl-CS"/>
        </w:rPr>
        <w:t>sprovodile</w:t>
      </w:r>
      <w:r w:rsidR="001A655F" w:rsidRPr="00E95BC4">
        <w:rPr>
          <w:lang w:val="sr-Cyrl-CS"/>
        </w:rPr>
        <w:t xml:space="preserve"> </w:t>
      </w:r>
      <w:r>
        <w:rPr>
          <w:lang w:val="sr-Cyrl-CS"/>
        </w:rPr>
        <w:t>specijalizovane</w:t>
      </w:r>
      <w:r w:rsidR="001A655F" w:rsidRPr="00E95BC4">
        <w:rPr>
          <w:lang w:val="sr-Cyrl-CS"/>
        </w:rPr>
        <w:t xml:space="preserve"> </w:t>
      </w:r>
      <w:r>
        <w:rPr>
          <w:lang w:val="sr-Cyrl-CS"/>
        </w:rPr>
        <w:t>jedinice</w:t>
      </w:r>
      <w:r w:rsidR="001A655F" w:rsidRPr="00E95BC4">
        <w:rPr>
          <w:lang w:val="sr-Cyrl-CS"/>
        </w:rPr>
        <w:t xml:space="preserve"> </w:t>
      </w:r>
      <w:r>
        <w:rPr>
          <w:lang w:val="sr-Cyrl-CS"/>
        </w:rPr>
        <w:t>organa</w:t>
      </w:r>
      <w:r w:rsidR="001A655F" w:rsidRPr="00E95BC4">
        <w:rPr>
          <w:lang w:val="sr-Cyrl-CS"/>
        </w:rPr>
        <w:t xml:space="preserve"> </w:t>
      </w:r>
      <w:r>
        <w:rPr>
          <w:lang w:val="sr-Cyrl-CS"/>
        </w:rPr>
        <w:t>krivične</w:t>
      </w:r>
      <w:r w:rsidR="001A655F" w:rsidRPr="00E95BC4">
        <w:rPr>
          <w:lang w:val="sr-Cyrl-CS"/>
        </w:rPr>
        <w:t xml:space="preserve"> </w:t>
      </w:r>
      <w:r>
        <w:rPr>
          <w:lang w:val="sr-Cyrl-CS"/>
        </w:rPr>
        <w:t>istrage</w:t>
      </w:r>
      <w:r w:rsidR="001A655F" w:rsidRPr="00E95BC4">
        <w:rPr>
          <w:lang w:val="sr-Cyrl-CS"/>
        </w:rPr>
        <w:t xml:space="preserve">, </w:t>
      </w:r>
      <w:r>
        <w:rPr>
          <w:lang w:val="sr-Cyrl-CS"/>
        </w:rPr>
        <w:t>a</w:t>
      </w:r>
      <w:r w:rsidR="001A655F" w:rsidRPr="00E95BC4">
        <w:rPr>
          <w:lang w:val="sr-Cyrl-CS"/>
        </w:rPr>
        <w:t xml:space="preserve"> </w:t>
      </w:r>
      <w:r>
        <w:rPr>
          <w:lang w:val="sr-Cyrl-CS"/>
        </w:rPr>
        <w:t>sudovi</w:t>
      </w:r>
      <w:r w:rsidR="001A655F" w:rsidRPr="00E95BC4">
        <w:rPr>
          <w:lang w:val="sr-Cyrl-CS"/>
        </w:rPr>
        <w:t xml:space="preserve"> </w:t>
      </w:r>
      <w:r>
        <w:rPr>
          <w:lang w:val="sr-Cyrl-CS"/>
        </w:rPr>
        <w:t>su</w:t>
      </w:r>
      <w:r w:rsidR="001A655F" w:rsidRPr="00E95BC4">
        <w:rPr>
          <w:lang w:val="sr-Cyrl-CS"/>
        </w:rPr>
        <w:t xml:space="preserve"> </w:t>
      </w:r>
      <w:r>
        <w:rPr>
          <w:lang w:val="sr-Cyrl-CS"/>
        </w:rPr>
        <w:t>već</w:t>
      </w:r>
      <w:r w:rsidR="001A655F" w:rsidRPr="00E95BC4">
        <w:rPr>
          <w:lang w:val="sr-Cyrl-CS"/>
        </w:rPr>
        <w:t xml:space="preserve"> </w:t>
      </w:r>
      <w:r>
        <w:rPr>
          <w:lang w:val="sr-Cyrl-CS"/>
        </w:rPr>
        <w:t>doneli</w:t>
      </w:r>
      <w:r w:rsidR="001A655F" w:rsidRPr="00E95BC4">
        <w:rPr>
          <w:lang w:val="sr-Cyrl-CS"/>
        </w:rPr>
        <w:t xml:space="preserve"> </w:t>
      </w:r>
      <w:r>
        <w:rPr>
          <w:lang w:val="sr-Cyrl-CS"/>
        </w:rPr>
        <w:t>više</w:t>
      </w:r>
      <w:r w:rsidR="001A655F" w:rsidRPr="00E95BC4">
        <w:rPr>
          <w:lang w:val="sr-Cyrl-CS"/>
        </w:rPr>
        <w:t xml:space="preserve"> </w:t>
      </w:r>
      <w:r>
        <w:rPr>
          <w:lang w:val="sr-Cyrl-CS"/>
        </w:rPr>
        <w:t>presuda</w:t>
      </w:r>
      <w:r w:rsidR="001A655F" w:rsidRPr="00E95BC4">
        <w:rPr>
          <w:lang w:val="sr-Cyrl-CS"/>
        </w:rPr>
        <w:t xml:space="preserve"> </w:t>
      </w:r>
      <w:r>
        <w:rPr>
          <w:lang w:val="sr-Cyrl-CS"/>
        </w:rPr>
        <w:t>za</w:t>
      </w:r>
      <w:r w:rsidR="001A655F" w:rsidRPr="00E95BC4">
        <w:rPr>
          <w:lang w:val="sr-Cyrl-CS"/>
        </w:rPr>
        <w:t xml:space="preserve"> </w:t>
      </w:r>
      <w:r>
        <w:rPr>
          <w:lang w:val="sr-Cyrl-CS"/>
        </w:rPr>
        <w:t>pranje</w:t>
      </w:r>
      <w:r w:rsidR="001A655F" w:rsidRPr="00E95BC4">
        <w:rPr>
          <w:lang w:val="sr-Cyrl-CS"/>
        </w:rPr>
        <w:t xml:space="preserve"> </w:t>
      </w:r>
      <w:r>
        <w:rPr>
          <w:lang w:val="sr-Cyrl-CS"/>
        </w:rPr>
        <w:t>novca</w:t>
      </w:r>
      <w:r w:rsidR="001A655F" w:rsidRPr="00E95BC4">
        <w:rPr>
          <w:lang w:val="sr-Cyrl-CS"/>
        </w:rPr>
        <w:t xml:space="preserve"> </w:t>
      </w:r>
      <w:r>
        <w:rPr>
          <w:lang w:val="sr-Cyrl-CS"/>
        </w:rPr>
        <w:t>bez</w:t>
      </w:r>
      <w:r w:rsidR="001A655F" w:rsidRPr="00E95BC4">
        <w:rPr>
          <w:lang w:val="sr-Cyrl-CS"/>
        </w:rPr>
        <w:t xml:space="preserve"> </w:t>
      </w:r>
      <w:r>
        <w:rPr>
          <w:lang w:val="sr-Cyrl-CS"/>
        </w:rPr>
        <w:t>prethodnog</w:t>
      </w:r>
      <w:r w:rsidR="001A655F" w:rsidRPr="00E95BC4">
        <w:rPr>
          <w:lang w:val="sr-Cyrl-CS"/>
        </w:rPr>
        <w:t xml:space="preserve"> </w:t>
      </w:r>
      <w:r>
        <w:rPr>
          <w:lang w:val="sr-Cyrl-CS"/>
        </w:rPr>
        <w:t>krivičnog</w:t>
      </w:r>
      <w:r w:rsidR="001A655F" w:rsidRPr="00E95BC4">
        <w:rPr>
          <w:lang w:val="sr-Cyrl-CS"/>
        </w:rPr>
        <w:t xml:space="preserve"> </w:t>
      </w:r>
      <w:r>
        <w:rPr>
          <w:lang w:val="sr-Cyrl-CS"/>
        </w:rPr>
        <w:t>dela</w:t>
      </w:r>
      <w:r w:rsidR="00641F60" w:rsidRPr="00E95BC4">
        <w:rPr>
          <w:lang w:val="sr-Cyrl-CS"/>
        </w:rPr>
        <w:t>,</w:t>
      </w:r>
      <w:r w:rsidR="001A655F" w:rsidRPr="00E95BC4">
        <w:rPr>
          <w:lang w:val="sr-Cyrl-CS"/>
        </w:rPr>
        <w:t xml:space="preserve"> </w:t>
      </w:r>
      <w:r>
        <w:rPr>
          <w:lang w:val="sr-Cyrl-CS"/>
        </w:rPr>
        <w:t>kao</w:t>
      </w:r>
      <w:r w:rsidR="001A655F" w:rsidRPr="00E95BC4">
        <w:rPr>
          <w:lang w:val="sr-Cyrl-CS"/>
        </w:rPr>
        <w:t xml:space="preserve"> </w:t>
      </w:r>
      <w:r>
        <w:rPr>
          <w:lang w:val="sr-Cyrl-CS"/>
        </w:rPr>
        <w:t>i</w:t>
      </w:r>
      <w:r w:rsidR="001A655F" w:rsidRPr="00E95BC4">
        <w:rPr>
          <w:lang w:val="sr-Cyrl-CS"/>
        </w:rPr>
        <w:t xml:space="preserve"> </w:t>
      </w:r>
      <w:r>
        <w:rPr>
          <w:lang w:val="sr-Cyrl-CS"/>
        </w:rPr>
        <w:t>za</w:t>
      </w:r>
      <w:r w:rsidR="001A655F" w:rsidRPr="00E95BC4">
        <w:rPr>
          <w:lang w:val="sr-Cyrl-CS"/>
        </w:rPr>
        <w:t xml:space="preserve"> </w:t>
      </w:r>
      <w:r>
        <w:rPr>
          <w:lang w:val="sr-Cyrl-CS"/>
        </w:rPr>
        <w:t>pranje</w:t>
      </w:r>
      <w:r w:rsidR="001A655F" w:rsidRPr="00E95BC4">
        <w:rPr>
          <w:lang w:val="sr-Cyrl-CS"/>
        </w:rPr>
        <w:t xml:space="preserve"> </w:t>
      </w:r>
      <w:r>
        <w:rPr>
          <w:lang w:val="sr-Cyrl-CS"/>
        </w:rPr>
        <w:t>novca</w:t>
      </w:r>
      <w:r w:rsidR="001A655F" w:rsidRPr="00E95BC4">
        <w:rPr>
          <w:lang w:val="sr-Cyrl-CS"/>
        </w:rPr>
        <w:t xml:space="preserve"> </w:t>
      </w:r>
      <w:r>
        <w:rPr>
          <w:lang w:val="sr-Cyrl-CS"/>
        </w:rPr>
        <w:t>za</w:t>
      </w:r>
      <w:r w:rsidR="001A655F" w:rsidRPr="00E95BC4">
        <w:rPr>
          <w:lang w:val="sr-Cyrl-CS"/>
        </w:rPr>
        <w:t xml:space="preserve"> </w:t>
      </w:r>
      <w:r>
        <w:rPr>
          <w:lang w:val="sr-Cyrl-CS"/>
        </w:rPr>
        <w:t>treća</w:t>
      </w:r>
      <w:r w:rsidR="001A655F" w:rsidRPr="00E95BC4">
        <w:rPr>
          <w:lang w:val="sr-Cyrl-CS"/>
        </w:rPr>
        <w:t xml:space="preserve"> </w:t>
      </w:r>
      <w:r>
        <w:rPr>
          <w:lang w:val="sr-Cyrl-CS"/>
        </w:rPr>
        <w:t>lica</w:t>
      </w:r>
      <w:r w:rsidR="001A655F" w:rsidRPr="00E95BC4">
        <w:rPr>
          <w:lang w:val="sr-Cyrl-CS"/>
        </w:rPr>
        <w:t xml:space="preserve"> (</w:t>
      </w:r>
      <w:r>
        <w:rPr>
          <w:lang w:val="sr-Cyrl-CS"/>
        </w:rPr>
        <w:t>profesionalno</w:t>
      </w:r>
      <w:r w:rsidR="001A655F" w:rsidRPr="00E95BC4">
        <w:rPr>
          <w:lang w:val="sr-Cyrl-CS"/>
        </w:rPr>
        <w:t xml:space="preserve"> </w:t>
      </w:r>
      <w:r>
        <w:rPr>
          <w:lang w:val="sr-Cyrl-CS"/>
        </w:rPr>
        <w:t>pranje</w:t>
      </w:r>
      <w:r w:rsidR="001A655F" w:rsidRPr="00E95BC4">
        <w:rPr>
          <w:lang w:val="sr-Cyrl-CS"/>
        </w:rPr>
        <w:t xml:space="preserve">). </w:t>
      </w:r>
    </w:p>
    <w:p w:rsidR="00E459C1" w:rsidRPr="00E95BC4" w:rsidRDefault="005818C0" w:rsidP="001A655F">
      <w:pPr>
        <w:ind w:firstLine="720"/>
        <w:jc w:val="both"/>
        <w:rPr>
          <w:lang w:val="sr-Cyrl-CS"/>
        </w:rPr>
      </w:pPr>
      <w:r>
        <w:rPr>
          <w:lang w:val="sr-Cyrl-CS"/>
        </w:rPr>
        <w:t>Ova</w:t>
      </w:r>
      <w:r w:rsidR="001A655F" w:rsidRPr="00E95BC4">
        <w:rPr>
          <w:lang w:val="sr-Cyrl-CS"/>
        </w:rPr>
        <w:t xml:space="preserve"> </w:t>
      </w:r>
      <w:r>
        <w:rPr>
          <w:lang w:val="sr-Cyrl-CS"/>
        </w:rPr>
        <w:t>pitanja</w:t>
      </w:r>
      <w:r w:rsidR="001A655F" w:rsidRPr="00E95BC4">
        <w:rPr>
          <w:lang w:val="sr-Cyrl-CS"/>
        </w:rPr>
        <w:t xml:space="preserve"> </w:t>
      </w:r>
      <w:r>
        <w:rPr>
          <w:lang w:val="sr-Cyrl-CS"/>
        </w:rPr>
        <w:t>će</w:t>
      </w:r>
      <w:r w:rsidR="001A655F" w:rsidRPr="00E95BC4">
        <w:rPr>
          <w:lang w:val="sr-Cyrl-CS"/>
        </w:rPr>
        <w:t xml:space="preserve"> </w:t>
      </w:r>
      <w:r>
        <w:rPr>
          <w:lang w:val="sr-Cyrl-CS"/>
        </w:rPr>
        <w:t>i</w:t>
      </w:r>
      <w:r w:rsidR="001A655F" w:rsidRPr="00E95BC4">
        <w:rPr>
          <w:lang w:val="sr-Cyrl-CS"/>
        </w:rPr>
        <w:t xml:space="preserve"> </w:t>
      </w:r>
      <w:r>
        <w:rPr>
          <w:lang w:val="sr-Cyrl-CS"/>
        </w:rPr>
        <w:t>dalje</w:t>
      </w:r>
      <w:r w:rsidR="001A655F" w:rsidRPr="00E95BC4">
        <w:rPr>
          <w:lang w:val="sr-Cyrl-CS"/>
        </w:rPr>
        <w:t xml:space="preserve"> </w:t>
      </w:r>
      <w:r>
        <w:rPr>
          <w:lang w:val="sr-Cyrl-CS"/>
        </w:rPr>
        <w:t>biti</w:t>
      </w:r>
      <w:r w:rsidR="001A655F" w:rsidRPr="00E95BC4">
        <w:rPr>
          <w:lang w:val="sr-Cyrl-CS"/>
        </w:rPr>
        <w:t xml:space="preserve"> </w:t>
      </w:r>
      <w:r>
        <w:rPr>
          <w:lang w:val="sr-Cyrl-CS"/>
        </w:rPr>
        <w:t>predmet</w:t>
      </w:r>
      <w:r w:rsidR="001A655F" w:rsidRPr="00E95BC4">
        <w:rPr>
          <w:lang w:val="sr-Cyrl-CS"/>
        </w:rPr>
        <w:t xml:space="preserve"> </w:t>
      </w:r>
      <w:r>
        <w:rPr>
          <w:lang w:val="sr-Cyrl-CS"/>
        </w:rPr>
        <w:t>pažnje</w:t>
      </w:r>
      <w:r w:rsidR="001A655F" w:rsidRPr="00E95BC4">
        <w:rPr>
          <w:lang w:val="sr-Cyrl-CS"/>
        </w:rPr>
        <w:t xml:space="preserve"> </w:t>
      </w:r>
      <w:r>
        <w:rPr>
          <w:lang w:val="sr-Cyrl-CS"/>
        </w:rPr>
        <w:t>sistema</w:t>
      </w:r>
      <w:r w:rsidR="001A655F" w:rsidRPr="00E95BC4">
        <w:rPr>
          <w:lang w:val="sr-Cyrl-CS"/>
        </w:rPr>
        <w:t xml:space="preserve"> </w:t>
      </w:r>
      <w:r>
        <w:rPr>
          <w:lang w:val="sr-Cyrl-CS"/>
        </w:rPr>
        <w:t>i</w:t>
      </w:r>
      <w:r w:rsidR="001A655F" w:rsidRPr="00E95BC4">
        <w:rPr>
          <w:lang w:val="sr-Cyrl-CS"/>
        </w:rPr>
        <w:t xml:space="preserve"> </w:t>
      </w:r>
      <w:r>
        <w:rPr>
          <w:lang w:val="sr-Cyrl-CS"/>
        </w:rPr>
        <w:t>nadležnih</w:t>
      </w:r>
      <w:r w:rsidR="001A655F" w:rsidRPr="00E95BC4">
        <w:rPr>
          <w:lang w:val="sr-Cyrl-CS"/>
        </w:rPr>
        <w:t xml:space="preserve"> </w:t>
      </w:r>
      <w:r>
        <w:rPr>
          <w:lang w:val="sr-Cyrl-CS"/>
        </w:rPr>
        <w:t>organa</w:t>
      </w:r>
      <w:r w:rsidR="001A655F" w:rsidRPr="00E95BC4">
        <w:rPr>
          <w:lang w:val="sr-Cyrl-CS"/>
        </w:rPr>
        <w:t xml:space="preserve"> </w:t>
      </w:r>
      <w:r>
        <w:rPr>
          <w:lang w:val="sr-Cyrl-CS"/>
        </w:rPr>
        <w:t>i</w:t>
      </w:r>
      <w:r w:rsidR="001A655F" w:rsidRPr="00E95BC4">
        <w:rPr>
          <w:lang w:val="sr-Cyrl-CS"/>
        </w:rPr>
        <w:t xml:space="preserve"> </w:t>
      </w:r>
      <w:r>
        <w:rPr>
          <w:lang w:val="sr-Cyrl-CS"/>
        </w:rPr>
        <w:t>institucija</w:t>
      </w:r>
      <w:r w:rsidR="001A655F" w:rsidRPr="00E95BC4">
        <w:rPr>
          <w:lang w:val="sr-Cyrl-CS"/>
        </w:rPr>
        <w:t xml:space="preserve">, </w:t>
      </w:r>
      <w:r>
        <w:rPr>
          <w:lang w:val="sr-Cyrl-CS"/>
        </w:rPr>
        <w:t>a</w:t>
      </w:r>
      <w:r w:rsidR="001A655F" w:rsidRPr="00E95BC4">
        <w:rPr>
          <w:lang w:val="sr-Cyrl-CS"/>
        </w:rPr>
        <w:t xml:space="preserve"> </w:t>
      </w:r>
      <w:r>
        <w:rPr>
          <w:lang w:val="sr-Cyrl-CS"/>
        </w:rPr>
        <w:t>FATF</w:t>
      </w:r>
      <w:r w:rsidR="001A655F" w:rsidRPr="00E95BC4">
        <w:rPr>
          <w:lang w:val="sr-Cyrl-CS"/>
        </w:rPr>
        <w:t xml:space="preserve"> </w:t>
      </w:r>
      <w:r>
        <w:rPr>
          <w:lang w:val="sr-Cyrl-CS"/>
        </w:rPr>
        <w:t>je</w:t>
      </w:r>
      <w:r w:rsidR="001A655F" w:rsidRPr="00E95BC4">
        <w:rPr>
          <w:lang w:val="sr-Cyrl-CS"/>
        </w:rPr>
        <w:t xml:space="preserve"> </w:t>
      </w:r>
      <w:r>
        <w:rPr>
          <w:lang w:val="sr-Cyrl-CS"/>
        </w:rPr>
        <w:t>podstakao</w:t>
      </w:r>
      <w:r w:rsidR="001A655F" w:rsidRPr="00E95BC4">
        <w:rPr>
          <w:lang w:val="sr-Cyrl-CS"/>
        </w:rPr>
        <w:t xml:space="preserve"> </w:t>
      </w:r>
      <w:r>
        <w:rPr>
          <w:lang w:val="sr-Cyrl-CS"/>
        </w:rPr>
        <w:t>nadležne</w:t>
      </w:r>
      <w:r w:rsidR="001A655F" w:rsidRPr="00E95BC4">
        <w:rPr>
          <w:lang w:val="sr-Cyrl-CS"/>
        </w:rPr>
        <w:t xml:space="preserve"> </w:t>
      </w:r>
      <w:r>
        <w:rPr>
          <w:lang w:val="sr-Cyrl-CS"/>
        </w:rPr>
        <w:t>organe</w:t>
      </w:r>
      <w:r w:rsidR="001A655F" w:rsidRPr="00E95BC4">
        <w:rPr>
          <w:lang w:val="sr-Cyrl-CS"/>
        </w:rPr>
        <w:t xml:space="preserve"> </w:t>
      </w:r>
      <w:r>
        <w:rPr>
          <w:lang w:val="sr-Cyrl-CS"/>
        </w:rPr>
        <w:t>da</w:t>
      </w:r>
      <w:r w:rsidR="001A655F" w:rsidRPr="00E95BC4">
        <w:rPr>
          <w:lang w:val="sr-Cyrl-CS"/>
        </w:rPr>
        <w:t xml:space="preserve"> </w:t>
      </w:r>
      <w:r>
        <w:rPr>
          <w:lang w:val="sr-Cyrl-CS"/>
        </w:rPr>
        <w:t>nastave</w:t>
      </w:r>
      <w:r w:rsidR="001A655F" w:rsidRPr="00E95BC4">
        <w:rPr>
          <w:lang w:val="sr-Cyrl-CS"/>
        </w:rPr>
        <w:t xml:space="preserve"> </w:t>
      </w:r>
      <w:r>
        <w:rPr>
          <w:lang w:val="sr-Cyrl-CS"/>
        </w:rPr>
        <w:t>sa</w:t>
      </w:r>
      <w:r w:rsidR="001A655F" w:rsidRPr="00E95BC4">
        <w:rPr>
          <w:lang w:val="sr-Cyrl-CS"/>
        </w:rPr>
        <w:t xml:space="preserve"> </w:t>
      </w:r>
      <w:r>
        <w:rPr>
          <w:lang w:val="sr-Cyrl-CS"/>
        </w:rPr>
        <w:t>naporima</w:t>
      </w:r>
      <w:r w:rsidR="001A655F" w:rsidRPr="00E95BC4">
        <w:rPr>
          <w:lang w:val="sr-Cyrl-CS"/>
        </w:rPr>
        <w:t xml:space="preserve"> </w:t>
      </w:r>
      <w:r>
        <w:rPr>
          <w:lang w:val="sr-Cyrl-CS"/>
        </w:rPr>
        <w:t>koji</w:t>
      </w:r>
      <w:r w:rsidR="001A655F" w:rsidRPr="00E95BC4">
        <w:rPr>
          <w:lang w:val="sr-Cyrl-CS"/>
        </w:rPr>
        <w:t xml:space="preserve"> </w:t>
      </w:r>
      <w:r>
        <w:rPr>
          <w:lang w:val="sr-Cyrl-CS"/>
        </w:rPr>
        <w:t>su</w:t>
      </w:r>
      <w:r w:rsidR="001A655F" w:rsidRPr="00E95BC4">
        <w:rPr>
          <w:lang w:val="sr-Cyrl-CS"/>
        </w:rPr>
        <w:t xml:space="preserve"> </w:t>
      </w:r>
      <w:r>
        <w:rPr>
          <w:lang w:val="sr-Cyrl-CS"/>
        </w:rPr>
        <w:t>uloženi</w:t>
      </w:r>
      <w:r w:rsidR="001A655F" w:rsidRPr="00E95BC4">
        <w:rPr>
          <w:lang w:val="sr-Cyrl-CS"/>
        </w:rPr>
        <w:t xml:space="preserve"> </w:t>
      </w:r>
      <w:r>
        <w:rPr>
          <w:lang w:val="sr-Cyrl-CS"/>
        </w:rPr>
        <w:t>u</w:t>
      </w:r>
      <w:r w:rsidR="001A655F" w:rsidRPr="00E95BC4">
        <w:rPr>
          <w:lang w:val="sr-Cyrl-CS"/>
        </w:rPr>
        <w:t xml:space="preserve"> </w:t>
      </w:r>
      <w:r>
        <w:rPr>
          <w:lang w:val="sr-Cyrl-CS"/>
        </w:rPr>
        <w:t>prethodnom</w:t>
      </w:r>
      <w:r w:rsidR="001A655F" w:rsidRPr="00E95BC4">
        <w:rPr>
          <w:lang w:val="sr-Cyrl-CS"/>
        </w:rPr>
        <w:t xml:space="preserve"> </w:t>
      </w:r>
      <w:r>
        <w:rPr>
          <w:lang w:val="sr-Cyrl-CS"/>
        </w:rPr>
        <w:t>periodu</w:t>
      </w:r>
      <w:r w:rsidR="001A655F" w:rsidRPr="00E95BC4">
        <w:rPr>
          <w:lang w:val="sr-Cyrl-CS"/>
        </w:rPr>
        <w:t xml:space="preserve">. </w:t>
      </w:r>
    </w:p>
    <w:p w:rsidR="00665BC3" w:rsidRPr="00E95BC4" w:rsidRDefault="005818C0" w:rsidP="00835D12">
      <w:pPr>
        <w:pStyle w:val="FATF-TEXTE1115"/>
        <w:tabs>
          <w:tab w:val="clear" w:pos="624"/>
          <w:tab w:val="clear" w:pos="1247"/>
          <w:tab w:val="clear" w:pos="1871"/>
          <w:tab w:val="clear" w:pos="2495"/>
          <w:tab w:val="clear" w:pos="3119"/>
        </w:tabs>
        <w:spacing w:after="0" w:line="240" w:lineRule="auto"/>
        <w:ind w:firstLine="720"/>
        <w:rPr>
          <w:rFonts w:ascii="Times New Roman" w:hAnsi="Times New Roman"/>
          <w:b/>
          <w:sz w:val="24"/>
          <w:szCs w:val="24"/>
          <w:lang w:val="sr-Cyrl-CS"/>
        </w:rPr>
      </w:pPr>
      <w:r>
        <w:rPr>
          <w:rFonts w:ascii="Times New Roman" w:hAnsi="Times New Roman"/>
          <w:b/>
          <w:sz w:val="24"/>
          <w:szCs w:val="24"/>
          <w:lang w:val="sr-Cyrl-CS"/>
        </w:rPr>
        <w:t>Problem</w:t>
      </w:r>
      <w:r w:rsidR="008D7FBA" w:rsidRPr="00E95BC4">
        <w:rPr>
          <w:rFonts w:ascii="Times New Roman" w:hAnsi="Times New Roman"/>
          <w:b/>
          <w:sz w:val="24"/>
          <w:szCs w:val="24"/>
          <w:lang w:val="sr-Cyrl-CS"/>
        </w:rPr>
        <w:t xml:space="preserve"> 4</w:t>
      </w:r>
      <w:r w:rsidR="00835D12">
        <w:rPr>
          <w:rFonts w:ascii="Times New Roman" w:hAnsi="Times New Roman"/>
          <w:b/>
          <w:sz w:val="24"/>
          <w:szCs w:val="24"/>
          <w:lang w:val="sr-Cyrl-CS"/>
        </w:rPr>
        <w:t xml:space="preserve"> –</w:t>
      </w:r>
      <w:r w:rsidR="008D7FBA" w:rsidRPr="00E95BC4">
        <w:rPr>
          <w:rFonts w:ascii="Times New Roman" w:hAnsi="Times New Roman"/>
          <w:b/>
          <w:sz w:val="24"/>
          <w:szCs w:val="24"/>
          <w:lang w:val="sr-Cyrl-CS"/>
        </w:rPr>
        <w:t xml:space="preserve"> </w:t>
      </w:r>
      <w:r>
        <w:rPr>
          <w:rFonts w:ascii="Times New Roman" w:hAnsi="Times New Roman"/>
          <w:b/>
          <w:sz w:val="24"/>
          <w:szCs w:val="24"/>
          <w:lang w:val="sr-Cyrl-CS"/>
        </w:rPr>
        <w:t>Istrage</w:t>
      </w:r>
      <w:r w:rsidR="00E459C1" w:rsidRPr="00E95BC4">
        <w:rPr>
          <w:rFonts w:ascii="Times New Roman" w:hAnsi="Times New Roman"/>
          <w:b/>
          <w:sz w:val="24"/>
          <w:szCs w:val="24"/>
          <w:lang w:val="sr-Cyrl-CS"/>
        </w:rPr>
        <w:t xml:space="preserve"> </w:t>
      </w:r>
      <w:r>
        <w:rPr>
          <w:rFonts w:ascii="Times New Roman" w:hAnsi="Times New Roman"/>
          <w:b/>
          <w:sz w:val="24"/>
          <w:szCs w:val="24"/>
          <w:lang w:val="sr-Cyrl-CS"/>
        </w:rPr>
        <w:t>i</w:t>
      </w:r>
      <w:r w:rsidR="00E459C1" w:rsidRPr="00E95BC4">
        <w:rPr>
          <w:rFonts w:ascii="Times New Roman" w:hAnsi="Times New Roman"/>
          <w:b/>
          <w:sz w:val="24"/>
          <w:szCs w:val="24"/>
          <w:lang w:val="sr-Cyrl-CS"/>
        </w:rPr>
        <w:t xml:space="preserve"> </w:t>
      </w:r>
      <w:r>
        <w:rPr>
          <w:rFonts w:ascii="Times New Roman" w:hAnsi="Times New Roman"/>
          <w:b/>
          <w:sz w:val="24"/>
          <w:szCs w:val="24"/>
          <w:lang w:val="sr-Cyrl-CS"/>
        </w:rPr>
        <w:t>postupci</w:t>
      </w:r>
      <w:r w:rsidR="00E459C1" w:rsidRPr="00E95BC4">
        <w:rPr>
          <w:rFonts w:ascii="Times New Roman" w:hAnsi="Times New Roman"/>
          <w:b/>
          <w:sz w:val="24"/>
          <w:szCs w:val="24"/>
          <w:lang w:val="sr-Cyrl-CS"/>
        </w:rPr>
        <w:t xml:space="preserve"> </w:t>
      </w:r>
      <w:r>
        <w:rPr>
          <w:rFonts w:ascii="Times New Roman" w:hAnsi="Times New Roman"/>
          <w:b/>
          <w:sz w:val="24"/>
          <w:szCs w:val="24"/>
          <w:lang w:val="sr-Cyrl-CS"/>
        </w:rPr>
        <w:t>za</w:t>
      </w:r>
      <w:r w:rsidR="00E459C1" w:rsidRPr="00E95BC4">
        <w:rPr>
          <w:rFonts w:ascii="Times New Roman" w:hAnsi="Times New Roman"/>
          <w:b/>
          <w:sz w:val="24"/>
          <w:szCs w:val="24"/>
          <w:lang w:val="sr-Cyrl-CS"/>
        </w:rPr>
        <w:t xml:space="preserve"> </w:t>
      </w:r>
      <w:r>
        <w:rPr>
          <w:rFonts w:ascii="Times New Roman" w:hAnsi="Times New Roman"/>
          <w:b/>
          <w:sz w:val="24"/>
          <w:szCs w:val="24"/>
          <w:lang w:val="sr-Cyrl-CS"/>
        </w:rPr>
        <w:t>finansiranje</w:t>
      </w:r>
      <w:r w:rsidR="00E459C1" w:rsidRPr="00E95BC4">
        <w:rPr>
          <w:rFonts w:ascii="Times New Roman" w:hAnsi="Times New Roman"/>
          <w:b/>
          <w:sz w:val="24"/>
          <w:szCs w:val="24"/>
          <w:lang w:val="sr-Cyrl-CS"/>
        </w:rPr>
        <w:t xml:space="preserve"> </w:t>
      </w:r>
      <w:r>
        <w:rPr>
          <w:rFonts w:ascii="Times New Roman" w:hAnsi="Times New Roman"/>
          <w:b/>
          <w:sz w:val="24"/>
          <w:szCs w:val="24"/>
          <w:lang w:val="sr-Cyrl-CS"/>
        </w:rPr>
        <w:t>terorizma</w:t>
      </w:r>
      <w:r w:rsidR="000B5F1D" w:rsidRPr="00E95BC4">
        <w:rPr>
          <w:rFonts w:ascii="Times New Roman" w:hAnsi="Times New Roman"/>
          <w:b/>
          <w:sz w:val="24"/>
          <w:szCs w:val="24"/>
          <w:lang w:val="sr-Cyrl-CS"/>
        </w:rPr>
        <w:t xml:space="preserve">, </w:t>
      </w:r>
      <w:r>
        <w:rPr>
          <w:rFonts w:ascii="Times New Roman" w:hAnsi="Times New Roman"/>
          <w:b/>
          <w:sz w:val="24"/>
          <w:szCs w:val="24"/>
          <w:lang w:val="sr-Cyrl-CS"/>
        </w:rPr>
        <w:t>preventivne</w:t>
      </w:r>
      <w:r w:rsidR="000B5F1D" w:rsidRPr="00E95BC4">
        <w:rPr>
          <w:rFonts w:ascii="Times New Roman" w:hAnsi="Times New Roman"/>
          <w:b/>
          <w:sz w:val="24"/>
          <w:szCs w:val="24"/>
          <w:lang w:val="sr-Cyrl-CS"/>
        </w:rPr>
        <w:t xml:space="preserve"> </w:t>
      </w:r>
      <w:r>
        <w:rPr>
          <w:rFonts w:ascii="Times New Roman" w:hAnsi="Times New Roman"/>
          <w:b/>
          <w:sz w:val="24"/>
          <w:szCs w:val="24"/>
          <w:lang w:val="sr-Cyrl-CS"/>
        </w:rPr>
        <w:t>mere</w:t>
      </w:r>
      <w:r w:rsidR="000B5F1D" w:rsidRPr="00E95BC4">
        <w:rPr>
          <w:rFonts w:ascii="Times New Roman" w:hAnsi="Times New Roman"/>
          <w:b/>
          <w:sz w:val="24"/>
          <w:szCs w:val="24"/>
          <w:lang w:val="sr-Cyrl-CS"/>
        </w:rPr>
        <w:t xml:space="preserve"> </w:t>
      </w:r>
      <w:r>
        <w:rPr>
          <w:rFonts w:ascii="Times New Roman" w:hAnsi="Times New Roman"/>
          <w:b/>
          <w:sz w:val="24"/>
          <w:szCs w:val="24"/>
          <w:lang w:val="sr-Cyrl-CS"/>
        </w:rPr>
        <w:t>i</w:t>
      </w:r>
      <w:r w:rsidR="000B5F1D" w:rsidRPr="00E95BC4">
        <w:rPr>
          <w:rFonts w:ascii="Times New Roman" w:hAnsi="Times New Roman"/>
          <w:b/>
          <w:sz w:val="24"/>
          <w:szCs w:val="24"/>
          <w:lang w:val="sr-Cyrl-CS"/>
        </w:rPr>
        <w:t xml:space="preserve"> </w:t>
      </w:r>
      <w:r>
        <w:rPr>
          <w:rFonts w:ascii="Times New Roman" w:hAnsi="Times New Roman"/>
          <w:b/>
          <w:sz w:val="24"/>
          <w:szCs w:val="24"/>
          <w:lang w:val="sr-Cyrl-CS"/>
        </w:rPr>
        <w:t>finansijske</w:t>
      </w:r>
      <w:r w:rsidR="000B5F1D" w:rsidRPr="00E95BC4">
        <w:rPr>
          <w:rFonts w:ascii="Times New Roman" w:hAnsi="Times New Roman"/>
          <w:b/>
          <w:sz w:val="24"/>
          <w:szCs w:val="24"/>
          <w:lang w:val="sr-Cyrl-CS"/>
        </w:rPr>
        <w:t xml:space="preserve"> </w:t>
      </w:r>
      <w:r>
        <w:rPr>
          <w:rFonts w:ascii="Times New Roman" w:hAnsi="Times New Roman"/>
          <w:b/>
          <w:sz w:val="24"/>
          <w:szCs w:val="24"/>
          <w:lang w:val="sr-Cyrl-CS"/>
        </w:rPr>
        <w:t>sankcije</w:t>
      </w:r>
      <w:r w:rsidR="000B5F1D" w:rsidRPr="00E95BC4">
        <w:rPr>
          <w:rFonts w:ascii="Times New Roman" w:hAnsi="Times New Roman"/>
          <w:b/>
          <w:sz w:val="24"/>
          <w:szCs w:val="24"/>
          <w:lang w:val="sr-Cyrl-CS"/>
        </w:rPr>
        <w:t xml:space="preserve"> </w:t>
      </w:r>
      <w:r>
        <w:rPr>
          <w:rFonts w:ascii="Times New Roman" w:hAnsi="Times New Roman"/>
          <w:b/>
          <w:sz w:val="24"/>
          <w:szCs w:val="24"/>
          <w:lang w:val="sr-Cyrl-CS"/>
        </w:rPr>
        <w:t>za</w:t>
      </w:r>
      <w:r w:rsidR="000B5F1D" w:rsidRPr="00E95BC4">
        <w:rPr>
          <w:rFonts w:ascii="Times New Roman" w:hAnsi="Times New Roman"/>
          <w:b/>
          <w:sz w:val="24"/>
          <w:szCs w:val="24"/>
          <w:lang w:val="sr-Cyrl-CS"/>
        </w:rPr>
        <w:t xml:space="preserve"> </w:t>
      </w:r>
      <w:r>
        <w:rPr>
          <w:rFonts w:ascii="Times New Roman" w:hAnsi="Times New Roman"/>
          <w:b/>
          <w:sz w:val="24"/>
          <w:szCs w:val="24"/>
          <w:lang w:val="sr-Cyrl-CS"/>
        </w:rPr>
        <w:t>finansiranje</w:t>
      </w:r>
      <w:r w:rsidR="000B5F1D" w:rsidRPr="00E95BC4">
        <w:rPr>
          <w:rFonts w:ascii="Times New Roman" w:hAnsi="Times New Roman"/>
          <w:b/>
          <w:sz w:val="24"/>
          <w:szCs w:val="24"/>
          <w:lang w:val="sr-Cyrl-CS"/>
        </w:rPr>
        <w:t xml:space="preserve"> </w:t>
      </w:r>
      <w:r>
        <w:rPr>
          <w:rFonts w:ascii="Times New Roman" w:hAnsi="Times New Roman"/>
          <w:b/>
          <w:sz w:val="24"/>
          <w:szCs w:val="24"/>
          <w:lang w:val="sr-Cyrl-CS"/>
        </w:rPr>
        <w:t>terorizma</w:t>
      </w:r>
      <w:r w:rsidR="000B5F1D" w:rsidRPr="00E95BC4">
        <w:rPr>
          <w:rFonts w:ascii="Times New Roman" w:hAnsi="Times New Roman"/>
          <w:b/>
          <w:sz w:val="24"/>
          <w:szCs w:val="24"/>
          <w:lang w:val="sr-Cyrl-CS"/>
        </w:rPr>
        <w:t xml:space="preserve"> </w:t>
      </w:r>
      <w:r>
        <w:rPr>
          <w:rFonts w:ascii="Times New Roman" w:hAnsi="Times New Roman"/>
          <w:b/>
          <w:sz w:val="24"/>
          <w:szCs w:val="24"/>
          <w:lang w:val="sr-Cyrl-CS"/>
        </w:rPr>
        <w:t>i</w:t>
      </w:r>
      <w:r w:rsidR="000B5F1D" w:rsidRPr="00E95BC4">
        <w:rPr>
          <w:rFonts w:ascii="Times New Roman" w:hAnsi="Times New Roman"/>
          <w:b/>
          <w:sz w:val="24"/>
          <w:szCs w:val="24"/>
          <w:lang w:val="sr-Cyrl-CS"/>
        </w:rPr>
        <w:t xml:space="preserve"> </w:t>
      </w:r>
      <w:r>
        <w:rPr>
          <w:rFonts w:ascii="Times New Roman" w:hAnsi="Times New Roman"/>
          <w:b/>
          <w:sz w:val="24"/>
          <w:szCs w:val="24"/>
          <w:lang w:val="sr-Cyrl-CS"/>
        </w:rPr>
        <w:t>širenje</w:t>
      </w:r>
      <w:r w:rsidR="000B5F1D" w:rsidRPr="00E95BC4">
        <w:rPr>
          <w:rFonts w:ascii="Times New Roman" w:hAnsi="Times New Roman"/>
          <w:b/>
          <w:sz w:val="24"/>
          <w:szCs w:val="24"/>
          <w:lang w:val="sr-Cyrl-CS"/>
        </w:rPr>
        <w:t xml:space="preserve"> </w:t>
      </w:r>
      <w:r>
        <w:rPr>
          <w:rFonts w:ascii="Times New Roman" w:hAnsi="Times New Roman"/>
          <w:b/>
          <w:sz w:val="24"/>
          <w:szCs w:val="24"/>
          <w:lang w:val="sr-Cyrl-CS"/>
        </w:rPr>
        <w:t>oružja</w:t>
      </w:r>
      <w:r w:rsidR="000B5F1D" w:rsidRPr="00E95BC4">
        <w:rPr>
          <w:rFonts w:ascii="Times New Roman" w:hAnsi="Times New Roman"/>
          <w:b/>
          <w:sz w:val="24"/>
          <w:szCs w:val="24"/>
          <w:lang w:val="sr-Cyrl-CS"/>
        </w:rPr>
        <w:t xml:space="preserve"> </w:t>
      </w:r>
      <w:r>
        <w:rPr>
          <w:rFonts w:ascii="Times New Roman" w:hAnsi="Times New Roman"/>
          <w:b/>
          <w:sz w:val="24"/>
          <w:szCs w:val="24"/>
          <w:lang w:val="sr-Cyrl-CS"/>
        </w:rPr>
        <w:t>za</w:t>
      </w:r>
      <w:r w:rsidR="000B5F1D" w:rsidRPr="00E95BC4">
        <w:rPr>
          <w:rFonts w:ascii="Times New Roman" w:hAnsi="Times New Roman"/>
          <w:b/>
          <w:sz w:val="24"/>
          <w:szCs w:val="24"/>
          <w:lang w:val="sr-Cyrl-CS"/>
        </w:rPr>
        <w:t xml:space="preserve"> </w:t>
      </w:r>
      <w:r>
        <w:rPr>
          <w:rFonts w:ascii="Times New Roman" w:hAnsi="Times New Roman"/>
          <w:b/>
          <w:sz w:val="24"/>
          <w:szCs w:val="24"/>
          <w:lang w:val="sr-Cyrl-CS"/>
        </w:rPr>
        <w:t>masovno</w:t>
      </w:r>
      <w:r w:rsidR="000B5F1D" w:rsidRPr="00E95BC4">
        <w:rPr>
          <w:rFonts w:ascii="Times New Roman" w:hAnsi="Times New Roman"/>
          <w:b/>
          <w:sz w:val="24"/>
          <w:szCs w:val="24"/>
          <w:lang w:val="sr-Cyrl-CS"/>
        </w:rPr>
        <w:t xml:space="preserve"> </w:t>
      </w:r>
      <w:r>
        <w:rPr>
          <w:rFonts w:ascii="Times New Roman" w:hAnsi="Times New Roman"/>
          <w:b/>
          <w:sz w:val="24"/>
          <w:szCs w:val="24"/>
          <w:lang w:val="sr-Cyrl-CS"/>
        </w:rPr>
        <w:t>uništenje</w:t>
      </w:r>
      <w:r w:rsidR="00E459C1" w:rsidRPr="00E95BC4">
        <w:rPr>
          <w:rFonts w:ascii="Times New Roman" w:hAnsi="Times New Roman"/>
          <w:b/>
          <w:sz w:val="24"/>
          <w:szCs w:val="24"/>
          <w:lang w:val="sr-Cyrl-CS"/>
        </w:rPr>
        <w:t xml:space="preserve">. </w:t>
      </w:r>
    </w:p>
    <w:p w:rsidR="00E459C1" w:rsidRPr="00E95BC4" w:rsidRDefault="005818C0" w:rsidP="00665BC3">
      <w:pPr>
        <w:pStyle w:val="FATF-TEXTE1115"/>
        <w:tabs>
          <w:tab w:val="clear" w:pos="624"/>
          <w:tab w:val="clear" w:pos="1247"/>
          <w:tab w:val="clear" w:pos="1871"/>
          <w:tab w:val="clear" w:pos="2495"/>
          <w:tab w:val="clear" w:pos="3119"/>
        </w:tabs>
        <w:spacing w:after="0" w:line="240" w:lineRule="auto"/>
        <w:ind w:firstLine="720"/>
        <w:rPr>
          <w:rFonts w:ascii="Times New Roman" w:hAnsi="Times New Roman"/>
          <w:sz w:val="24"/>
          <w:szCs w:val="24"/>
          <w:lang w:val="sr-Cyrl-CS"/>
        </w:rPr>
      </w:pPr>
      <w:r>
        <w:rPr>
          <w:rFonts w:ascii="Times New Roman" w:hAnsi="Times New Roman"/>
          <w:sz w:val="24"/>
          <w:szCs w:val="24"/>
          <w:lang w:val="sr-Cyrl-CS"/>
        </w:rPr>
        <w:t>Republika</w:t>
      </w:r>
      <w:r w:rsidR="000B5F1D" w:rsidRPr="00E95BC4">
        <w:rPr>
          <w:rFonts w:ascii="Times New Roman" w:hAnsi="Times New Roman"/>
          <w:sz w:val="24"/>
          <w:szCs w:val="24"/>
          <w:lang w:val="sr-Cyrl-CS"/>
        </w:rPr>
        <w:t xml:space="preserve"> </w:t>
      </w:r>
      <w:r>
        <w:rPr>
          <w:rFonts w:ascii="Times New Roman" w:hAnsi="Times New Roman"/>
          <w:sz w:val="24"/>
          <w:szCs w:val="24"/>
          <w:lang w:val="sr-Cyrl-CS"/>
        </w:rPr>
        <w:t>Srbija</w:t>
      </w:r>
      <w:r w:rsidR="000B5F1D" w:rsidRPr="00E95BC4">
        <w:rPr>
          <w:rFonts w:ascii="Times New Roman" w:hAnsi="Times New Roman"/>
          <w:sz w:val="24"/>
          <w:szCs w:val="24"/>
          <w:lang w:val="sr-Cyrl-CS"/>
        </w:rPr>
        <w:t xml:space="preserve"> </w:t>
      </w:r>
      <w:r>
        <w:rPr>
          <w:rFonts w:ascii="Times New Roman" w:hAnsi="Times New Roman"/>
          <w:sz w:val="24"/>
          <w:szCs w:val="24"/>
          <w:lang w:val="sr-Cyrl-CS"/>
        </w:rPr>
        <w:t>ima</w:t>
      </w:r>
      <w:r w:rsidR="000B5F1D" w:rsidRPr="00E95BC4">
        <w:rPr>
          <w:rFonts w:ascii="Times New Roman" w:hAnsi="Times New Roman"/>
          <w:sz w:val="24"/>
          <w:szCs w:val="24"/>
          <w:lang w:val="sr-Cyrl-CS"/>
        </w:rPr>
        <w:t xml:space="preserve"> </w:t>
      </w:r>
      <w:r>
        <w:rPr>
          <w:rFonts w:ascii="Times New Roman" w:hAnsi="Times New Roman"/>
          <w:sz w:val="24"/>
          <w:szCs w:val="24"/>
          <w:lang w:val="sr-Cyrl-CS"/>
        </w:rPr>
        <w:t>razvijen</w:t>
      </w:r>
      <w:r w:rsidR="000B5F1D" w:rsidRPr="00E95BC4">
        <w:rPr>
          <w:rFonts w:ascii="Times New Roman" w:hAnsi="Times New Roman"/>
          <w:sz w:val="24"/>
          <w:szCs w:val="24"/>
          <w:lang w:val="sr-Cyrl-CS"/>
        </w:rPr>
        <w:t xml:space="preserve"> </w:t>
      </w:r>
      <w:r>
        <w:rPr>
          <w:rFonts w:ascii="Times New Roman" w:hAnsi="Times New Roman"/>
          <w:sz w:val="24"/>
          <w:szCs w:val="24"/>
          <w:lang w:val="sr-Cyrl-CS"/>
        </w:rPr>
        <w:t>sistem</w:t>
      </w:r>
      <w:r w:rsidR="000B5F1D" w:rsidRPr="00E95BC4">
        <w:rPr>
          <w:rFonts w:ascii="Times New Roman" w:hAnsi="Times New Roman"/>
          <w:sz w:val="24"/>
          <w:szCs w:val="24"/>
          <w:lang w:val="sr-Cyrl-CS"/>
        </w:rPr>
        <w:t xml:space="preserve">, </w:t>
      </w:r>
      <w:r>
        <w:rPr>
          <w:rFonts w:ascii="Times New Roman" w:hAnsi="Times New Roman"/>
          <w:sz w:val="24"/>
          <w:szCs w:val="24"/>
          <w:lang w:val="sr-Cyrl-CS"/>
        </w:rPr>
        <w:t>zakonodavne</w:t>
      </w:r>
      <w:r w:rsidR="000B5F1D" w:rsidRPr="00E95BC4">
        <w:rPr>
          <w:rFonts w:ascii="Times New Roman" w:hAnsi="Times New Roman"/>
          <w:sz w:val="24"/>
          <w:szCs w:val="24"/>
          <w:lang w:val="sr-Cyrl-CS"/>
        </w:rPr>
        <w:t xml:space="preserve"> </w:t>
      </w:r>
      <w:r>
        <w:rPr>
          <w:rFonts w:ascii="Times New Roman" w:hAnsi="Times New Roman"/>
          <w:sz w:val="24"/>
          <w:szCs w:val="24"/>
          <w:lang w:val="sr-Cyrl-CS"/>
        </w:rPr>
        <w:t>i</w:t>
      </w:r>
      <w:r w:rsidR="000B5F1D" w:rsidRPr="00E95BC4">
        <w:rPr>
          <w:rFonts w:ascii="Times New Roman" w:hAnsi="Times New Roman"/>
          <w:sz w:val="24"/>
          <w:szCs w:val="24"/>
          <w:lang w:val="sr-Cyrl-CS"/>
        </w:rPr>
        <w:t xml:space="preserve"> </w:t>
      </w:r>
      <w:r>
        <w:rPr>
          <w:rFonts w:ascii="Times New Roman" w:hAnsi="Times New Roman"/>
          <w:sz w:val="24"/>
          <w:szCs w:val="24"/>
          <w:lang w:val="sr-Cyrl-CS"/>
        </w:rPr>
        <w:t>institucionalne</w:t>
      </w:r>
      <w:r w:rsidR="000B5F1D" w:rsidRPr="00E95BC4">
        <w:rPr>
          <w:rFonts w:ascii="Times New Roman" w:hAnsi="Times New Roman"/>
          <w:sz w:val="24"/>
          <w:szCs w:val="24"/>
          <w:lang w:val="sr-Cyrl-CS"/>
        </w:rPr>
        <w:t xml:space="preserve"> </w:t>
      </w:r>
      <w:r>
        <w:rPr>
          <w:rFonts w:ascii="Times New Roman" w:hAnsi="Times New Roman"/>
          <w:sz w:val="24"/>
          <w:szCs w:val="24"/>
          <w:lang w:val="sr-Cyrl-CS"/>
        </w:rPr>
        <w:t>mehanizme</w:t>
      </w:r>
      <w:r w:rsidR="000B5F1D" w:rsidRPr="00E95BC4">
        <w:rPr>
          <w:rFonts w:ascii="Times New Roman" w:hAnsi="Times New Roman"/>
          <w:sz w:val="24"/>
          <w:szCs w:val="24"/>
          <w:lang w:val="sr-Cyrl-CS"/>
        </w:rPr>
        <w:t xml:space="preserve"> </w:t>
      </w:r>
      <w:r>
        <w:rPr>
          <w:rFonts w:ascii="Times New Roman" w:hAnsi="Times New Roman"/>
          <w:sz w:val="24"/>
          <w:szCs w:val="24"/>
          <w:lang w:val="sr-Cyrl-CS"/>
        </w:rPr>
        <w:t>za</w:t>
      </w:r>
      <w:r w:rsidR="000B5F1D" w:rsidRPr="00E95BC4">
        <w:rPr>
          <w:rFonts w:ascii="Times New Roman" w:hAnsi="Times New Roman"/>
          <w:sz w:val="24"/>
          <w:szCs w:val="24"/>
          <w:lang w:val="sr-Cyrl-CS"/>
        </w:rPr>
        <w:t xml:space="preserve"> </w:t>
      </w:r>
      <w:r>
        <w:rPr>
          <w:rFonts w:ascii="Times New Roman" w:hAnsi="Times New Roman"/>
          <w:sz w:val="24"/>
          <w:szCs w:val="24"/>
          <w:lang w:val="sr-Cyrl-CS"/>
        </w:rPr>
        <w:t>uspešno</w:t>
      </w:r>
      <w:r w:rsidR="000B5F1D" w:rsidRPr="00E95BC4">
        <w:rPr>
          <w:rFonts w:ascii="Times New Roman" w:hAnsi="Times New Roman"/>
          <w:sz w:val="24"/>
          <w:szCs w:val="24"/>
          <w:lang w:val="sr-Cyrl-CS"/>
        </w:rPr>
        <w:t xml:space="preserve"> </w:t>
      </w:r>
      <w:r>
        <w:rPr>
          <w:rFonts w:ascii="Times New Roman" w:hAnsi="Times New Roman"/>
          <w:sz w:val="24"/>
          <w:szCs w:val="24"/>
          <w:lang w:val="sr-Cyrl-CS"/>
        </w:rPr>
        <w:t>vođenje</w:t>
      </w:r>
      <w:r w:rsidR="000B5F1D" w:rsidRPr="00E95BC4">
        <w:rPr>
          <w:rFonts w:ascii="Times New Roman" w:hAnsi="Times New Roman"/>
          <w:sz w:val="24"/>
          <w:szCs w:val="24"/>
          <w:lang w:val="sr-Cyrl-CS"/>
        </w:rPr>
        <w:t xml:space="preserve"> </w:t>
      </w:r>
      <w:r>
        <w:rPr>
          <w:rFonts w:ascii="Times New Roman" w:hAnsi="Times New Roman"/>
          <w:sz w:val="24"/>
          <w:szCs w:val="24"/>
          <w:lang w:val="sr-Cyrl-CS"/>
        </w:rPr>
        <w:t>istraga</w:t>
      </w:r>
      <w:r w:rsidR="000B5F1D" w:rsidRPr="00E95BC4">
        <w:rPr>
          <w:rFonts w:ascii="Times New Roman" w:hAnsi="Times New Roman"/>
          <w:sz w:val="24"/>
          <w:szCs w:val="24"/>
          <w:lang w:val="sr-Cyrl-CS"/>
        </w:rPr>
        <w:t xml:space="preserve"> </w:t>
      </w:r>
      <w:r>
        <w:rPr>
          <w:rFonts w:ascii="Times New Roman" w:hAnsi="Times New Roman"/>
          <w:sz w:val="24"/>
          <w:szCs w:val="24"/>
          <w:lang w:val="sr-Cyrl-CS"/>
        </w:rPr>
        <w:t>o</w:t>
      </w:r>
      <w:r w:rsidR="00E459C1" w:rsidRPr="00E95BC4">
        <w:rPr>
          <w:rFonts w:ascii="Times New Roman" w:hAnsi="Times New Roman"/>
          <w:sz w:val="24"/>
          <w:szCs w:val="24"/>
          <w:lang w:val="sr-Cyrl-CS"/>
        </w:rPr>
        <w:t xml:space="preserve"> </w:t>
      </w:r>
      <w:r>
        <w:rPr>
          <w:rFonts w:ascii="Times New Roman" w:hAnsi="Times New Roman"/>
          <w:sz w:val="24"/>
          <w:szCs w:val="24"/>
          <w:lang w:val="sr-Cyrl-CS"/>
        </w:rPr>
        <w:t>krivičnim</w:t>
      </w:r>
      <w:r w:rsidR="00E459C1" w:rsidRPr="00E95BC4">
        <w:rPr>
          <w:rFonts w:ascii="Times New Roman" w:hAnsi="Times New Roman"/>
          <w:sz w:val="24"/>
          <w:szCs w:val="24"/>
          <w:lang w:val="sr-Cyrl-CS"/>
        </w:rPr>
        <w:t xml:space="preserve"> </w:t>
      </w:r>
      <w:r>
        <w:rPr>
          <w:rFonts w:ascii="Times New Roman" w:hAnsi="Times New Roman"/>
          <w:sz w:val="24"/>
          <w:szCs w:val="24"/>
          <w:lang w:val="sr-Cyrl-CS"/>
        </w:rPr>
        <w:t>delima</w:t>
      </w:r>
      <w:r w:rsidR="00E459C1" w:rsidRPr="00E95BC4">
        <w:rPr>
          <w:rFonts w:ascii="Times New Roman" w:hAnsi="Times New Roman"/>
          <w:sz w:val="24"/>
          <w:szCs w:val="24"/>
          <w:lang w:val="sr-Cyrl-CS"/>
        </w:rPr>
        <w:t xml:space="preserve"> </w:t>
      </w:r>
      <w:r>
        <w:rPr>
          <w:rFonts w:ascii="Times New Roman" w:hAnsi="Times New Roman"/>
          <w:sz w:val="24"/>
          <w:szCs w:val="24"/>
          <w:lang w:val="sr-Cyrl-CS"/>
        </w:rPr>
        <w:t>i</w:t>
      </w:r>
      <w:r w:rsidR="00E459C1" w:rsidRPr="00E95BC4">
        <w:rPr>
          <w:rFonts w:ascii="Times New Roman" w:hAnsi="Times New Roman"/>
          <w:sz w:val="24"/>
          <w:szCs w:val="24"/>
          <w:lang w:val="sr-Cyrl-CS"/>
        </w:rPr>
        <w:t xml:space="preserve"> </w:t>
      </w:r>
      <w:r>
        <w:rPr>
          <w:rFonts w:ascii="Times New Roman" w:hAnsi="Times New Roman"/>
          <w:sz w:val="24"/>
          <w:szCs w:val="24"/>
          <w:lang w:val="sr-Cyrl-CS"/>
        </w:rPr>
        <w:t>aktivnostima</w:t>
      </w:r>
      <w:r w:rsidR="00E459C1" w:rsidRPr="00E95BC4">
        <w:rPr>
          <w:rFonts w:ascii="Times New Roman" w:hAnsi="Times New Roman"/>
          <w:sz w:val="24"/>
          <w:szCs w:val="24"/>
          <w:lang w:val="sr-Cyrl-CS"/>
        </w:rPr>
        <w:t xml:space="preserve"> </w:t>
      </w:r>
      <w:r>
        <w:rPr>
          <w:rFonts w:ascii="Times New Roman" w:hAnsi="Times New Roman"/>
          <w:sz w:val="24"/>
          <w:szCs w:val="24"/>
          <w:lang w:val="sr-Cyrl-CS"/>
        </w:rPr>
        <w:t>finansiranja</w:t>
      </w:r>
      <w:r w:rsidR="00E459C1" w:rsidRPr="00E95BC4">
        <w:rPr>
          <w:rFonts w:ascii="Times New Roman" w:hAnsi="Times New Roman"/>
          <w:sz w:val="24"/>
          <w:szCs w:val="24"/>
          <w:lang w:val="sr-Cyrl-CS"/>
        </w:rPr>
        <w:t xml:space="preserve"> </w:t>
      </w:r>
      <w:r>
        <w:rPr>
          <w:rFonts w:ascii="Times New Roman" w:hAnsi="Times New Roman"/>
          <w:sz w:val="24"/>
          <w:szCs w:val="24"/>
          <w:lang w:val="sr-Cyrl-CS"/>
        </w:rPr>
        <w:t>terorizma</w:t>
      </w:r>
      <w:r w:rsidR="00E459C1" w:rsidRPr="00E95BC4">
        <w:rPr>
          <w:rFonts w:ascii="Times New Roman" w:hAnsi="Times New Roman"/>
          <w:sz w:val="24"/>
          <w:szCs w:val="24"/>
          <w:lang w:val="sr-Cyrl-CS"/>
        </w:rPr>
        <w:t>,</w:t>
      </w:r>
      <w:r w:rsidR="000B5F1D" w:rsidRPr="00E95BC4">
        <w:rPr>
          <w:rFonts w:ascii="Times New Roman" w:hAnsi="Times New Roman"/>
          <w:sz w:val="24"/>
          <w:szCs w:val="24"/>
          <w:lang w:val="sr-Cyrl-CS"/>
        </w:rPr>
        <w:t xml:space="preserve"> </w:t>
      </w:r>
      <w:r>
        <w:rPr>
          <w:rFonts w:ascii="Times New Roman" w:hAnsi="Times New Roman"/>
          <w:sz w:val="24"/>
          <w:szCs w:val="24"/>
          <w:lang w:val="sr-Cyrl-CS"/>
        </w:rPr>
        <w:t>dok</w:t>
      </w:r>
      <w:r w:rsidR="000B5F1D" w:rsidRPr="00E95BC4">
        <w:rPr>
          <w:rFonts w:ascii="Times New Roman" w:hAnsi="Times New Roman"/>
          <w:sz w:val="24"/>
          <w:szCs w:val="24"/>
          <w:lang w:val="sr-Cyrl-CS"/>
        </w:rPr>
        <w:t xml:space="preserve"> </w:t>
      </w:r>
      <w:r>
        <w:rPr>
          <w:rFonts w:ascii="Times New Roman" w:hAnsi="Times New Roman"/>
          <w:sz w:val="24"/>
          <w:szCs w:val="24"/>
          <w:lang w:val="sr-Cyrl-CS"/>
        </w:rPr>
        <w:t>je</w:t>
      </w:r>
      <w:r w:rsidR="000B5F1D" w:rsidRPr="00E95BC4">
        <w:rPr>
          <w:rFonts w:ascii="Times New Roman" w:hAnsi="Times New Roman"/>
          <w:sz w:val="24"/>
          <w:szCs w:val="24"/>
          <w:lang w:val="sr-Cyrl-CS"/>
        </w:rPr>
        <w:t xml:space="preserve"> </w:t>
      </w:r>
      <w:r>
        <w:rPr>
          <w:rFonts w:ascii="Times New Roman" w:hAnsi="Times New Roman"/>
          <w:sz w:val="24"/>
          <w:szCs w:val="24"/>
          <w:lang w:val="sr-Cyrl-CS"/>
        </w:rPr>
        <w:t>u</w:t>
      </w:r>
      <w:r w:rsidR="000B5F1D" w:rsidRPr="00E95BC4">
        <w:rPr>
          <w:rFonts w:ascii="Times New Roman" w:hAnsi="Times New Roman"/>
          <w:sz w:val="24"/>
          <w:szCs w:val="24"/>
          <w:lang w:val="sr-Cyrl-CS"/>
        </w:rPr>
        <w:t xml:space="preserve"> </w:t>
      </w:r>
      <w:r>
        <w:rPr>
          <w:rFonts w:ascii="Times New Roman" w:hAnsi="Times New Roman"/>
          <w:sz w:val="24"/>
          <w:szCs w:val="24"/>
          <w:lang w:val="sr-Cyrl-CS"/>
        </w:rPr>
        <w:t>proteklom</w:t>
      </w:r>
      <w:r w:rsidR="000B5F1D" w:rsidRPr="00E95BC4">
        <w:rPr>
          <w:rFonts w:ascii="Times New Roman" w:hAnsi="Times New Roman"/>
          <w:sz w:val="24"/>
          <w:szCs w:val="24"/>
          <w:lang w:val="sr-Cyrl-CS"/>
        </w:rPr>
        <w:t xml:space="preserve"> </w:t>
      </w:r>
      <w:r>
        <w:rPr>
          <w:rFonts w:ascii="Times New Roman" w:hAnsi="Times New Roman"/>
          <w:sz w:val="24"/>
          <w:szCs w:val="24"/>
          <w:lang w:val="sr-Cyrl-CS"/>
        </w:rPr>
        <w:t>periodu</w:t>
      </w:r>
      <w:r w:rsidR="000B5F1D" w:rsidRPr="00E95BC4">
        <w:rPr>
          <w:rFonts w:ascii="Times New Roman" w:hAnsi="Times New Roman"/>
          <w:sz w:val="24"/>
          <w:szCs w:val="24"/>
          <w:lang w:val="sr-Cyrl-CS"/>
        </w:rPr>
        <w:t xml:space="preserve"> </w:t>
      </w:r>
      <w:r>
        <w:rPr>
          <w:rFonts w:ascii="Times New Roman" w:hAnsi="Times New Roman"/>
          <w:sz w:val="24"/>
          <w:szCs w:val="24"/>
          <w:lang w:val="sr-Cyrl-CS"/>
        </w:rPr>
        <w:t>dokazala</w:t>
      </w:r>
      <w:r w:rsidR="000B5F1D" w:rsidRPr="00E95BC4">
        <w:rPr>
          <w:rFonts w:ascii="Times New Roman" w:hAnsi="Times New Roman"/>
          <w:sz w:val="24"/>
          <w:szCs w:val="24"/>
          <w:lang w:val="sr-Cyrl-CS"/>
        </w:rPr>
        <w:t xml:space="preserve"> </w:t>
      </w:r>
      <w:r>
        <w:rPr>
          <w:rFonts w:ascii="Times New Roman" w:hAnsi="Times New Roman"/>
          <w:sz w:val="24"/>
          <w:szCs w:val="24"/>
          <w:lang w:val="sr-Cyrl-CS"/>
        </w:rPr>
        <w:t>da</w:t>
      </w:r>
      <w:r w:rsidR="000B5F1D" w:rsidRPr="00E95BC4">
        <w:rPr>
          <w:rFonts w:ascii="Times New Roman" w:hAnsi="Times New Roman"/>
          <w:sz w:val="24"/>
          <w:szCs w:val="24"/>
          <w:lang w:val="sr-Cyrl-CS"/>
        </w:rPr>
        <w:t xml:space="preserve"> </w:t>
      </w:r>
      <w:r>
        <w:rPr>
          <w:rFonts w:ascii="Times New Roman" w:hAnsi="Times New Roman"/>
          <w:sz w:val="24"/>
          <w:szCs w:val="24"/>
          <w:lang w:val="sr-Cyrl-CS"/>
        </w:rPr>
        <w:t>vodi</w:t>
      </w:r>
      <w:r w:rsidR="000B5F1D" w:rsidRPr="00E95BC4">
        <w:rPr>
          <w:rFonts w:ascii="Times New Roman" w:hAnsi="Times New Roman"/>
          <w:sz w:val="24"/>
          <w:szCs w:val="24"/>
          <w:lang w:val="sr-Cyrl-CS"/>
        </w:rPr>
        <w:t xml:space="preserve"> </w:t>
      </w:r>
      <w:r>
        <w:rPr>
          <w:rFonts w:ascii="Times New Roman" w:hAnsi="Times New Roman"/>
          <w:sz w:val="24"/>
          <w:szCs w:val="24"/>
          <w:lang w:val="sr-Cyrl-CS"/>
        </w:rPr>
        <w:t>uspešne</w:t>
      </w:r>
      <w:r w:rsidR="000B5F1D" w:rsidRPr="00E95BC4">
        <w:rPr>
          <w:rFonts w:ascii="Times New Roman" w:hAnsi="Times New Roman"/>
          <w:sz w:val="24"/>
          <w:szCs w:val="24"/>
          <w:lang w:val="sr-Cyrl-CS"/>
        </w:rPr>
        <w:t xml:space="preserve"> </w:t>
      </w:r>
      <w:r>
        <w:rPr>
          <w:rFonts w:ascii="Times New Roman" w:hAnsi="Times New Roman"/>
          <w:sz w:val="24"/>
          <w:szCs w:val="24"/>
          <w:lang w:val="sr-Cyrl-CS"/>
        </w:rPr>
        <w:t>postupke</w:t>
      </w:r>
      <w:r w:rsidR="000B5F1D" w:rsidRPr="00E95BC4">
        <w:rPr>
          <w:rFonts w:ascii="Times New Roman" w:hAnsi="Times New Roman"/>
          <w:sz w:val="24"/>
          <w:szCs w:val="24"/>
          <w:lang w:val="sr-Cyrl-CS"/>
        </w:rPr>
        <w:t xml:space="preserve"> </w:t>
      </w:r>
      <w:r>
        <w:rPr>
          <w:rFonts w:ascii="Times New Roman" w:hAnsi="Times New Roman"/>
          <w:sz w:val="24"/>
          <w:szCs w:val="24"/>
          <w:lang w:val="sr-Cyrl-CS"/>
        </w:rPr>
        <w:t>protiv</w:t>
      </w:r>
      <w:r w:rsidR="000B5F1D" w:rsidRPr="00E95BC4">
        <w:rPr>
          <w:rFonts w:ascii="Times New Roman" w:hAnsi="Times New Roman"/>
          <w:sz w:val="24"/>
          <w:szCs w:val="24"/>
          <w:lang w:val="sr-Cyrl-CS"/>
        </w:rPr>
        <w:t xml:space="preserve"> </w:t>
      </w:r>
      <w:r>
        <w:rPr>
          <w:rFonts w:ascii="Times New Roman" w:hAnsi="Times New Roman"/>
          <w:sz w:val="24"/>
          <w:szCs w:val="24"/>
          <w:lang w:val="sr-Cyrl-CS"/>
        </w:rPr>
        <w:t>lica</w:t>
      </w:r>
      <w:r w:rsidR="000B5F1D" w:rsidRPr="00E95BC4">
        <w:rPr>
          <w:rFonts w:ascii="Times New Roman" w:hAnsi="Times New Roman"/>
          <w:sz w:val="24"/>
          <w:szCs w:val="24"/>
          <w:lang w:val="sr-Cyrl-CS"/>
        </w:rPr>
        <w:t xml:space="preserve"> </w:t>
      </w:r>
      <w:r>
        <w:rPr>
          <w:rFonts w:ascii="Times New Roman" w:hAnsi="Times New Roman"/>
          <w:sz w:val="24"/>
          <w:szCs w:val="24"/>
          <w:lang w:val="sr-Cyrl-CS"/>
        </w:rPr>
        <w:t>koja</w:t>
      </w:r>
      <w:r w:rsidR="000B5F1D" w:rsidRPr="00E95BC4">
        <w:rPr>
          <w:rFonts w:ascii="Times New Roman" w:hAnsi="Times New Roman"/>
          <w:sz w:val="24"/>
          <w:szCs w:val="24"/>
          <w:lang w:val="sr-Cyrl-CS"/>
        </w:rPr>
        <w:t xml:space="preserve"> </w:t>
      </w:r>
      <w:r>
        <w:rPr>
          <w:rFonts w:ascii="Times New Roman" w:hAnsi="Times New Roman"/>
          <w:sz w:val="24"/>
          <w:szCs w:val="24"/>
          <w:lang w:val="sr-Cyrl-CS"/>
        </w:rPr>
        <w:t>finansiraju</w:t>
      </w:r>
      <w:r w:rsidR="00E459C1" w:rsidRPr="00E95BC4">
        <w:rPr>
          <w:rFonts w:ascii="Times New Roman" w:hAnsi="Times New Roman"/>
          <w:sz w:val="24"/>
          <w:szCs w:val="24"/>
          <w:lang w:val="sr-Cyrl-CS"/>
        </w:rPr>
        <w:t xml:space="preserve"> </w:t>
      </w:r>
      <w:r>
        <w:rPr>
          <w:rFonts w:ascii="Times New Roman" w:hAnsi="Times New Roman"/>
          <w:sz w:val="24"/>
          <w:szCs w:val="24"/>
          <w:lang w:val="sr-Cyrl-CS"/>
        </w:rPr>
        <w:t>terorizam</w:t>
      </w:r>
      <w:r w:rsidR="000B5F1D" w:rsidRPr="00E95BC4">
        <w:rPr>
          <w:rFonts w:ascii="Times New Roman" w:hAnsi="Times New Roman"/>
          <w:sz w:val="24"/>
          <w:szCs w:val="24"/>
          <w:lang w:val="sr-Cyrl-CS"/>
        </w:rPr>
        <w:t xml:space="preserve">, </w:t>
      </w:r>
      <w:r>
        <w:rPr>
          <w:rFonts w:ascii="Times New Roman" w:hAnsi="Times New Roman"/>
          <w:sz w:val="24"/>
          <w:szCs w:val="24"/>
          <w:lang w:val="sr-Cyrl-CS"/>
        </w:rPr>
        <w:t>kao</w:t>
      </w:r>
      <w:r w:rsidR="000B5F1D" w:rsidRPr="00E95BC4">
        <w:rPr>
          <w:rFonts w:ascii="Times New Roman" w:hAnsi="Times New Roman"/>
          <w:sz w:val="24"/>
          <w:szCs w:val="24"/>
          <w:lang w:val="sr-Cyrl-CS"/>
        </w:rPr>
        <w:t xml:space="preserve"> </w:t>
      </w:r>
      <w:r>
        <w:rPr>
          <w:rFonts w:ascii="Times New Roman" w:hAnsi="Times New Roman"/>
          <w:sz w:val="24"/>
          <w:szCs w:val="24"/>
          <w:lang w:val="sr-Cyrl-CS"/>
        </w:rPr>
        <w:lastRenderedPageBreak/>
        <w:t>i</w:t>
      </w:r>
      <w:r w:rsidR="000B5F1D" w:rsidRPr="00E95BC4">
        <w:rPr>
          <w:rFonts w:ascii="Times New Roman" w:hAnsi="Times New Roman"/>
          <w:sz w:val="24"/>
          <w:szCs w:val="24"/>
          <w:lang w:val="sr-Cyrl-CS"/>
        </w:rPr>
        <w:t xml:space="preserve"> </w:t>
      </w:r>
      <w:r>
        <w:rPr>
          <w:rFonts w:ascii="Times New Roman" w:hAnsi="Times New Roman"/>
          <w:sz w:val="24"/>
          <w:szCs w:val="24"/>
          <w:lang w:val="sr-Cyrl-CS"/>
        </w:rPr>
        <w:t>da</w:t>
      </w:r>
      <w:r w:rsidR="000B5F1D" w:rsidRPr="00E95BC4">
        <w:rPr>
          <w:rFonts w:ascii="Times New Roman" w:hAnsi="Times New Roman"/>
          <w:sz w:val="24"/>
          <w:szCs w:val="24"/>
          <w:lang w:val="sr-Cyrl-CS"/>
        </w:rPr>
        <w:t xml:space="preserve"> </w:t>
      </w:r>
      <w:r>
        <w:rPr>
          <w:rFonts w:ascii="Times New Roman" w:hAnsi="Times New Roman"/>
          <w:sz w:val="24"/>
          <w:szCs w:val="24"/>
          <w:lang w:val="sr-Cyrl-CS"/>
        </w:rPr>
        <w:t>izriče</w:t>
      </w:r>
      <w:r w:rsidR="00E459C1" w:rsidRPr="00E95BC4">
        <w:rPr>
          <w:rFonts w:ascii="Times New Roman" w:hAnsi="Times New Roman"/>
          <w:sz w:val="24"/>
          <w:szCs w:val="24"/>
          <w:lang w:val="sr-Cyrl-CS"/>
        </w:rPr>
        <w:t xml:space="preserve"> </w:t>
      </w:r>
      <w:r>
        <w:rPr>
          <w:rFonts w:ascii="Times New Roman" w:hAnsi="Times New Roman"/>
          <w:sz w:val="24"/>
          <w:szCs w:val="24"/>
          <w:lang w:val="sr-Cyrl-CS"/>
        </w:rPr>
        <w:t>delotvorne</w:t>
      </w:r>
      <w:r w:rsidR="00E459C1" w:rsidRPr="00E95BC4">
        <w:rPr>
          <w:rFonts w:ascii="Times New Roman" w:hAnsi="Times New Roman"/>
          <w:sz w:val="24"/>
          <w:szCs w:val="24"/>
          <w:lang w:val="sr-Cyrl-CS"/>
        </w:rPr>
        <w:t xml:space="preserve">, </w:t>
      </w:r>
      <w:r>
        <w:rPr>
          <w:rFonts w:ascii="Times New Roman" w:hAnsi="Times New Roman"/>
          <w:sz w:val="24"/>
          <w:szCs w:val="24"/>
          <w:lang w:val="sr-Cyrl-CS"/>
        </w:rPr>
        <w:t>srazmerne</w:t>
      </w:r>
      <w:r w:rsidR="00E459C1" w:rsidRPr="00E95BC4">
        <w:rPr>
          <w:rFonts w:ascii="Times New Roman" w:hAnsi="Times New Roman"/>
          <w:sz w:val="24"/>
          <w:szCs w:val="24"/>
          <w:lang w:val="sr-Cyrl-CS"/>
        </w:rPr>
        <w:t xml:space="preserve"> </w:t>
      </w:r>
      <w:r>
        <w:rPr>
          <w:rFonts w:ascii="Times New Roman" w:hAnsi="Times New Roman"/>
          <w:sz w:val="24"/>
          <w:szCs w:val="24"/>
          <w:lang w:val="sr-Cyrl-CS"/>
        </w:rPr>
        <w:t>i</w:t>
      </w:r>
      <w:r w:rsidR="00E459C1" w:rsidRPr="00E95BC4">
        <w:rPr>
          <w:rFonts w:ascii="Times New Roman" w:hAnsi="Times New Roman"/>
          <w:sz w:val="24"/>
          <w:szCs w:val="24"/>
          <w:lang w:val="sr-Cyrl-CS"/>
        </w:rPr>
        <w:t xml:space="preserve"> </w:t>
      </w:r>
      <w:r>
        <w:rPr>
          <w:rFonts w:ascii="Times New Roman" w:hAnsi="Times New Roman"/>
          <w:sz w:val="24"/>
          <w:szCs w:val="24"/>
          <w:lang w:val="sr-Cyrl-CS"/>
        </w:rPr>
        <w:t>odvraćajuće</w:t>
      </w:r>
      <w:r w:rsidR="00E459C1" w:rsidRPr="00E95BC4">
        <w:rPr>
          <w:rFonts w:ascii="Times New Roman" w:hAnsi="Times New Roman"/>
          <w:sz w:val="24"/>
          <w:szCs w:val="24"/>
          <w:lang w:val="sr-Cyrl-CS"/>
        </w:rPr>
        <w:t xml:space="preserve"> </w:t>
      </w:r>
      <w:r>
        <w:rPr>
          <w:rFonts w:ascii="Times New Roman" w:hAnsi="Times New Roman"/>
          <w:sz w:val="24"/>
          <w:szCs w:val="24"/>
          <w:lang w:val="sr-Cyrl-CS"/>
        </w:rPr>
        <w:t>sankcije</w:t>
      </w:r>
      <w:r w:rsidR="00E459C1" w:rsidRPr="00E95BC4">
        <w:rPr>
          <w:rFonts w:ascii="Times New Roman" w:hAnsi="Times New Roman"/>
          <w:sz w:val="24"/>
          <w:szCs w:val="24"/>
          <w:lang w:val="sr-Cyrl-CS"/>
        </w:rPr>
        <w:t xml:space="preserve">. </w:t>
      </w:r>
      <w:r>
        <w:rPr>
          <w:rFonts w:ascii="Times New Roman" w:hAnsi="Times New Roman"/>
          <w:sz w:val="24"/>
          <w:szCs w:val="24"/>
          <w:lang w:val="sr-Cyrl-CS"/>
        </w:rPr>
        <w:t>Republika</w:t>
      </w:r>
      <w:r w:rsidR="00641F60" w:rsidRPr="00E95BC4">
        <w:rPr>
          <w:rFonts w:ascii="Times New Roman" w:hAnsi="Times New Roman"/>
          <w:sz w:val="24"/>
          <w:szCs w:val="24"/>
          <w:lang w:val="sr-Cyrl-CS"/>
        </w:rPr>
        <w:t xml:space="preserve"> </w:t>
      </w:r>
      <w:r>
        <w:rPr>
          <w:rFonts w:ascii="Times New Roman" w:hAnsi="Times New Roman"/>
          <w:sz w:val="24"/>
          <w:szCs w:val="24"/>
          <w:lang w:val="sr-Cyrl-CS"/>
        </w:rPr>
        <w:t>Srbija</w:t>
      </w:r>
      <w:r w:rsidR="000B5F1D" w:rsidRPr="00E95BC4">
        <w:rPr>
          <w:rFonts w:ascii="Times New Roman" w:hAnsi="Times New Roman"/>
          <w:sz w:val="24"/>
          <w:szCs w:val="24"/>
          <w:lang w:val="sr-Cyrl-CS"/>
        </w:rPr>
        <w:t xml:space="preserve"> </w:t>
      </w:r>
      <w:r>
        <w:rPr>
          <w:rFonts w:ascii="Times New Roman" w:hAnsi="Times New Roman"/>
          <w:sz w:val="24"/>
          <w:szCs w:val="24"/>
          <w:lang w:val="sr-Cyrl-CS"/>
        </w:rPr>
        <w:t>do</w:t>
      </w:r>
      <w:r w:rsidR="000B5F1D" w:rsidRPr="00E95BC4">
        <w:rPr>
          <w:rFonts w:ascii="Times New Roman" w:hAnsi="Times New Roman"/>
          <w:sz w:val="24"/>
          <w:szCs w:val="24"/>
          <w:lang w:val="sr-Cyrl-CS"/>
        </w:rPr>
        <w:t xml:space="preserve"> 2016. </w:t>
      </w:r>
      <w:r>
        <w:rPr>
          <w:rFonts w:ascii="Times New Roman" w:hAnsi="Times New Roman"/>
          <w:sz w:val="24"/>
          <w:szCs w:val="24"/>
          <w:lang w:val="sr-Cyrl-CS"/>
        </w:rPr>
        <w:t>godine</w:t>
      </w:r>
      <w:r w:rsidR="000B5F1D" w:rsidRPr="00E95BC4">
        <w:rPr>
          <w:rFonts w:ascii="Times New Roman" w:hAnsi="Times New Roman"/>
          <w:sz w:val="24"/>
          <w:szCs w:val="24"/>
          <w:lang w:val="sr-Cyrl-CS"/>
        </w:rPr>
        <w:t xml:space="preserve"> </w:t>
      </w:r>
      <w:r>
        <w:rPr>
          <w:rFonts w:ascii="Times New Roman" w:hAnsi="Times New Roman"/>
          <w:sz w:val="24"/>
          <w:szCs w:val="24"/>
          <w:lang w:val="sr-Cyrl-CS"/>
        </w:rPr>
        <w:t>nije</w:t>
      </w:r>
      <w:r w:rsidR="000B5F1D" w:rsidRPr="00E95BC4">
        <w:rPr>
          <w:rFonts w:ascii="Times New Roman" w:hAnsi="Times New Roman"/>
          <w:sz w:val="24"/>
          <w:szCs w:val="24"/>
          <w:lang w:val="sr-Cyrl-CS"/>
        </w:rPr>
        <w:t xml:space="preserve"> </w:t>
      </w:r>
      <w:r>
        <w:rPr>
          <w:rFonts w:ascii="Times New Roman" w:hAnsi="Times New Roman"/>
          <w:sz w:val="24"/>
          <w:szCs w:val="24"/>
          <w:lang w:val="sr-Cyrl-CS"/>
        </w:rPr>
        <w:t>imala</w:t>
      </w:r>
      <w:r w:rsidR="000B5F1D" w:rsidRPr="00E95BC4">
        <w:rPr>
          <w:rFonts w:ascii="Times New Roman" w:hAnsi="Times New Roman"/>
          <w:sz w:val="24"/>
          <w:szCs w:val="24"/>
          <w:lang w:val="sr-Cyrl-CS"/>
        </w:rPr>
        <w:t xml:space="preserve"> </w:t>
      </w:r>
      <w:r>
        <w:rPr>
          <w:rFonts w:ascii="Times New Roman" w:hAnsi="Times New Roman"/>
          <w:sz w:val="24"/>
          <w:szCs w:val="24"/>
          <w:lang w:val="sr-Cyrl-CS"/>
        </w:rPr>
        <w:t>sistem</w:t>
      </w:r>
      <w:r w:rsidR="000B5F1D" w:rsidRPr="00E95BC4">
        <w:rPr>
          <w:rFonts w:ascii="Times New Roman" w:hAnsi="Times New Roman"/>
          <w:sz w:val="24"/>
          <w:szCs w:val="24"/>
          <w:lang w:val="sr-Cyrl-CS"/>
        </w:rPr>
        <w:t xml:space="preserve"> </w:t>
      </w:r>
      <w:r>
        <w:rPr>
          <w:rFonts w:ascii="Times New Roman" w:hAnsi="Times New Roman"/>
          <w:sz w:val="24"/>
          <w:szCs w:val="24"/>
          <w:lang w:val="sr-Cyrl-CS"/>
        </w:rPr>
        <w:t>za</w:t>
      </w:r>
      <w:r w:rsidR="000B5F1D" w:rsidRPr="00E95BC4">
        <w:rPr>
          <w:rFonts w:ascii="Times New Roman" w:hAnsi="Times New Roman"/>
          <w:sz w:val="24"/>
          <w:szCs w:val="24"/>
          <w:lang w:val="sr-Cyrl-CS"/>
        </w:rPr>
        <w:t xml:space="preserve"> </w:t>
      </w:r>
      <w:r>
        <w:rPr>
          <w:rFonts w:ascii="Times New Roman" w:hAnsi="Times New Roman"/>
          <w:sz w:val="24"/>
          <w:szCs w:val="24"/>
          <w:lang w:val="sr-Cyrl-CS"/>
        </w:rPr>
        <w:t>ciljane</w:t>
      </w:r>
      <w:r w:rsidR="000B5F1D" w:rsidRPr="00E95BC4">
        <w:rPr>
          <w:rFonts w:ascii="Times New Roman" w:hAnsi="Times New Roman"/>
          <w:sz w:val="24"/>
          <w:szCs w:val="24"/>
          <w:lang w:val="sr-Cyrl-CS"/>
        </w:rPr>
        <w:t xml:space="preserve"> </w:t>
      </w:r>
      <w:r>
        <w:rPr>
          <w:rFonts w:ascii="Times New Roman" w:hAnsi="Times New Roman"/>
          <w:sz w:val="24"/>
          <w:szCs w:val="24"/>
          <w:lang w:val="sr-Cyrl-CS"/>
        </w:rPr>
        <w:t>finansijske</w:t>
      </w:r>
      <w:r w:rsidR="000B5F1D" w:rsidRPr="00E95BC4">
        <w:rPr>
          <w:rFonts w:ascii="Times New Roman" w:hAnsi="Times New Roman"/>
          <w:sz w:val="24"/>
          <w:szCs w:val="24"/>
          <w:lang w:val="sr-Cyrl-CS"/>
        </w:rPr>
        <w:t xml:space="preserve"> </w:t>
      </w:r>
      <w:r>
        <w:rPr>
          <w:rFonts w:ascii="Times New Roman" w:hAnsi="Times New Roman"/>
          <w:sz w:val="24"/>
          <w:szCs w:val="24"/>
          <w:lang w:val="sr-Cyrl-CS"/>
        </w:rPr>
        <w:t>sankcije</w:t>
      </w:r>
      <w:r w:rsidR="00835D12">
        <w:rPr>
          <w:rFonts w:ascii="Times New Roman" w:hAnsi="Times New Roman"/>
          <w:sz w:val="24"/>
          <w:szCs w:val="24"/>
          <w:lang w:val="sr-Cyrl-CS"/>
        </w:rPr>
        <w:t>,</w:t>
      </w:r>
      <w:r w:rsidR="000B5F1D" w:rsidRPr="00E95BC4">
        <w:rPr>
          <w:rFonts w:ascii="Times New Roman" w:hAnsi="Times New Roman"/>
          <w:sz w:val="24"/>
          <w:szCs w:val="24"/>
          <w:lang w:val="sr-Cyrl-CS"/>
        </w:rPr>
        <w:t xml:space="preserve"> </w:t>
      </w:r>
      <w:r>
        <w:rPr>
          <w:rFonts w:ascii="Times New Roman" w:hAnsi="Times New Roman"/>
          <w:sz w:val="24"/>
          <w:szCs w:val="24"/>
          <w:lang w:val="sr-Cyrl-CS"/>
        </w:rPr>
        <w:t>kao</w:t>
      </w:r>
      <w:r w:rsidR="000B5F1D" w:rsidRPr="00E95BC4">
        <w:rPr>
          <w:rFonts w:ascii="Times New Roman" w:hAnsi="Times New Roman"/>
          <w:sz w:val="24"/>
          <w:szCs w:val="24"/>
          <w:lang w:val="sr-Cyrl-CS"/>
        </w:rPr>
        <w:t xml:space="preserve"> </w:t>
      </w:r>
      <w:r>
        <w:rPr>
          <w:rFonts w:ascii="Times New Roman" w:hAnsi="Times New Roman"/>
          <w:sz w:val="24"/>
          <w:szCs w:val="24"/>
          <w:lang w:val="sr-Cyrl-CS"/>
        </w:rPr>
        <w:t>ni</w:t>
      </w:r>
      <w:r w:rsidR="000B5F1D" w:rsidRPr="00E95BC4">
        <w:rPr>
          <w:rFonts w:ascii="Times New Roman" w:hAnsi="Times New Roman"/>
          <w:sz w:val="24"/>
          <w:szCs w:val="24"/>
          <w:lang w:val="sr-Cyrl-CS"/>
        </w:rPr>
        <w:t xml:space="preserve"> </w:t>
      </w:r>
      <w:r>
        <w:rPr>
          <w:rFonts w:ascii="Times New Roman" w:hAnsi="Times New Roman"/>
          <w:sz w:val="24"/>
          <w:szCs w:val="24"/>
          <w:lang w:val="sr-Cyrl-CS"/>
        </w:rPr>
        <w:t>delotvoran</w:t>
      </w:r>
      <w:r w:rsidR="000B5F1D" w:rsidRPr="00E95BC4">
        <w:rPr>
          <w:rFonts w:ascii="Times New Roman" w:hAnsi="Times New Roman"/>
          <w:sz w:val="24"/>
          <w:szCs w:val="24"/>
          <w:lang w:val="sr-Cyrl-CS"/>
        </w:rPr>
        <w:t xml:space="preserve"> </w:t>
      </w:r>
      <w:r>
        <w:rPr>
          <w:rFonts w:ascii="Times New Roman" w:hAnsi="Times New Roman"/>
          <w:sz w:val="24"/>
          <w:szCs w:val="24"/>
          <w:lang w:val="sr-Cyrl-CS"/>
        </w:rPr>
        <w:t>nadzor</w:t>
      </w:r>
      <w:r w:rsidR="000B5F1D" w:rsidRPr="00E95BC4">
        <w:rPr>
          <w:rFonts w:ascii="Times New Roman" w:hAnsi="Times New Roman"/>
          <w:sz w:val="24"/>
          <w:szCs w:val="24"/>
          <w:lang w:val="sr-Cyrl-CS"/>
        </w:rPr>
        <w:t xml:space="preserve"> </w:t>
      </w:r>
      <w:r>
        <w:rPr>
          <w:rFonts w:ascii="Times New Roman" w:hAnsi="Times New Roman"/>
          <w:sz w:val="24"/>
          <w:szCs w:val="24"/>
          <w:lang w:val="sr-Cyrl-CS"/>
        </w:rPr>
        <w:t>nad</w:t>
      </w:r>
      <w:r w:rsidR="000B5F1D" w:rsidRPr="00E95BC4">
        <w:rPr>
          <w:rFonts w:ascii="Times New Roman" w:hAnsi="Times New Roman"/>
          <w:sz w:val="24"/>
          <w:szCs w:val="24"/>
          <w:lang w:val="sr-Cyrl-CS"/>
        </w:rPr>
        <w:t xml:space="preserve"> </w:t>
      </w:r>
      <w:r>
        <w:rPr>
          <w:rFonts w:ascii="Times New Roman" w:hAnsi="Times New Roman"/>
          <w:sz w:val="24"/>
          <w:szCs w:val="24"/>
          <w:lang w:val="sr-Cyrl-CS"/>
        </w:rPr>
        <w:t>neprofitnim</w:t>
      </w:r>
      <w:r w:rsidR="000B5F1D" w:rsidRPr="00E95BC4">
        <w:rPr>
          <w:rFonts w:ascii="Times New Roman" w:hAnsi="Times New Roman"/>
          <w:sz w:val="24"/>
          <w:szCs w:val="24"/>
          <w:lang w:val="sr-Cyrl-CS"/>
        </w:rPr>
        <w:t xml:space="preserve"> </w:t>
      </w:r>
      <w:r>
        <w:rPr>
          <w:rFonts w:ascii="Times New Roman" w:hAnsi="Times New Roman"/>
          <w:sz w:val="24"/>
          <w:szCs w:val="24"/>
          <w:lang w:val="sr-Cyrl-CS"/>
        </w:rPr>
        <w:t>sektorom</w:t>
      </w:r>
      <w:r w:rsidR="000B5F1D" w:rsidRPr="00E95BC4">
        <w:rPr>
          <w:rFonts w:ascii="Times New Roman" w:hAnsi="Times New Roman"/>
          <w:sz w:val="24"/>
          <w:szCs w:val="24"/>
          <w:lang w:val="sr-Cyrl-CS"/>
        </w:rPr>
        <w:t xml:space="preserve"> </w:t>
      </w:r>
      <w:r>
        <w:rPr>
          <w:rFonts w:ascii="Times New Roman" w:hAnsi="Times New Roman"/>
          <w:sz w:val="24"/>
          <w:szCs w:val="24"/>
          <w:lang w:val="sr-Cyrl-CS"/>
        </w:rPr>
        <w:t>sa</w:t>
      </w:r>
      <w:r w:rsidR="000B5F1D" w:rsidRPr="00E95BC4">
        <w:rPr>
          <w:rFonts w:ascii="Times New Roman" w:hAnsi="Times New Roman"/>
          <w:sz w:val="24"/>
          <w:szCs w:val="24"/>
          <w:lang w:val="sr-Cyrl-CS"/>
        </w:rPr>
        <w:t xml:space="preserve"> </w:t>
      </w:r>
      <w:r>
        <w:rPr>
          <w:rFonts w:ascii="Times New Roman" w:hAnsi="Times New Roman"/>
          <w:sz w:val="24"/>
          <w:szCs w:val="24"/>
          <w:lang w:val="sr-Cyrl-CS"/>
        </w:rPr>
        <w:t>stanovišta</w:t>
      </w:r>
      <w:r w:rsidR="000B5F1D" w:rsidRPr="00E95BC4">
        <w:rPr>
          <w:rFonts w:ascii="Times New Roman" w:hAnsi="Times New Roman"/>
          <w:sz w:val="24"/>
          <w:szCs w:val="24"/>
          <w:lang w:val="sr-Cyrl-CS"/>
        </w:rPr>
        <w:t xml:space="preserve"> </w:t>
      </w:r>
      <w:r>
        <w:rPr>
          <w:rFonts w:ascii="Times New Roman" w:hAnsi="Times New Roman"/>
          <w:sz w:val="24"/>
          <w:szCs w:val="24"/>
          <w:lang w:val="sr-Cyrl-CS"/>
        </w:rPr>
        <w:t>mogućnosti</w:t>
      </w:r>
      <w:r w:rsidR="000B5F1D" w:rsidRPr="00E95BC4">
        <w:rPr>
          <w:rFonts w:ascii="Times New Roman" w:hAnsi="Times New Roman"/>
          <w:sz w:val="24"/>
          <w:szCs w:val="24"/>
          <w:lang w:val="sr-Cyrl-CS"/>
        </w:rPr>
        <w:t xml:space="preserve"> </w:t>
      </w:r>
      <w:r>
        <w:rPr>
          <w:rFonts w:ascii="Times New Roman" w:hAnsi="Times New Roman"/>
          <w:sz w:val="24"/>
          <w:szCs w:val="24"/>
          <w:lang w:val="sr-Cyrl-CS"/>
        </w:rPr>
        <w:t>njihove</w:t>
      </w:r>
      <w:r w:rsidR="000B5F1D" w:rsidRPr="00E95BC4">
        <w:rPr>
          <w:rFonts w:ascii="Times New Roman" w:hAnsi="Times New Roman"/>
          <w:sz w:val="24"/>
          <w:szCs w:val="24"/>
          <w:lang w:val="sr-Cyrl-CS"/>
        </w:rPr>
        <w:t xml:space="preserve"> </w:t>
      </w:r>
      <w:r>
        <w:rPr>
          <w:rFonts w:ascii="Times New Roman" w:hAnsi="Times New Roman"/>
          <w:sz w:val="24"/>
          <w:szCs w:val="24"/>
          <w:lang w:val="sr-Cyrl-CS"/>
        </w:rPr>
        <w:t>zloupotrebe</w:t>
      </w:r>
      <w:r w:rsidR="000B5F1D" w:rsidRPr="00E95BC4">
        <w:rPr>
          <w:rFonts w:ascii="Times New Roman" w:hAnsi="Times New Roman"/>
          <w:sz w:val="24"/>
          <w:szCs w:val="24"/>
          <w:lang w:val="sr-Cyrl-CS"/>
        </w:rPr>
        <w:t xml:space="preserve"> </w:t>
      </w:r>
      <w:r>
        <w:rPr>
          <w:rFonts w:ascii="Times New Roman" w:hAnsi="Times New Roman"/>
          <w:sz w:val="24"/>
          <w:szCs w:val="24"/>
          <w:lang w:val="sr-Cyrl-CS"/>
        </w:rPr>
        <w:t>za</w:t>
      </w:r>
      <w:r w:rsidR="000B5F1D" w:rsidRPr="00E95BC4">
        <w:rPr>
          <w:rFonts w:ascii="Times New Roman" w:hAnsi="Times New Roman"/>
          <w:sz w:val="24"/>
          <w:szCs w:val="24"/>
          <w:lang w:val="sr-Cyrl-CS"/>
        </w:rPr>
        <w:t xml:space="preserve"> </w:t>
      </w:r>
      <w:r>
        <w:rPr>
          <w:rFonts w:ascii="Times New Roman" w:hAnsi="Times New Roman"/>
          <w:sz w:val="24"/>
          <w:szCs w:val="24"/>
          <w:lang w:val="sr-Cyrl-CS"/>
        </w:rPr>
        <w:t>finansiranje</w:t>
      </w:r>
      <w:r w:rsidR="000B5F1D" w:rsidRPr="00E95BC4">
        <w:rPr>
          <w:rFonts w:ascii="Times New Roman" w:hAnsi="Times New Roman"/>
          <w:sz w:val="24"/>
          <w:szCs w:val="24"/>
          <w:lang w:val="sr-Cyrl-CS"/>
        </w:rPr>
        <w:t xml:space="preserve"> </w:t>
      </w:r>
      <w:r>
        <w:rPr>
          <w:rFonts w:ascii="Times New Roman" w:hAnsi="Times New Roman"/>
          <w:sz w:val="24"/>
          <w:szCs w:val="24"/>
          <w:lang w:val="sr-Cyrl-CS"/>
        </w:rPr>
        <w:t>terorizma</w:t>
      </w:r>
      <w:r w:rsidR="000B5F1D" w:rsidRPr="00E95BC4">
        <w:rPr>
          <w:rFonts w:ascii="Times New Roman" w:hAnsi="Times New Roman"/>
          <w:sz w:val="24"/>
          <w:szCs w:val="24"/>
          <w:lang w:val="sr-Cyrl-CS"/>
        </w:rPr>
        <w:t xml:space="preserve">. </w:t>
      </w:r>
    </w:p>
    <w:p w:rsidR="00E459C1" w:rsidRPr="00E95BC4" w:rsidRDefault="000B5F1D" w:rsidP="00C37424">
      <w:pPr>
        <w:pStyle w:val="FATF-TEXTE1115"/>
        <w:tabs>
          <w:tab w:val="clear" w:pos="624"/>
          <w:tab w:val="clear" w:pos="1247"/>
          <w:tab w:val="clear" w:pos="1871"/>
          <w:tab w:val="clear" w:pos="2495"/>
          <w:tab w:val="clear" w:pos="3119"/>
        </w:tabs>
        <w:spacing w:after="0" w:line="240" w:lineRule="auto"/>
        <w:rPr>
          <w:rFonts w:ascii="Times New Roman" w:hAnsi="Times New Roman"/>
          <w:sz w:val="24"/>
          <w:szCs w:val="24"/>
          <w:lang w:val="sr-Cyrl-CS"/>
        </w:rPr>
      </w:pPr>
      <w:r w:rsidRPr="00E95BC4">
        <w:rPr>
          <w:rFonts w:ascii="Times New Roman" w:hAnsi="Times New Roman"/>
          <w:sz w:val="24"/>
          <w:szCs w:val="24"/>
          <w:lang w:val="sr-Cyrl-CS"/>
        </w:rPr>
        <w:tab/>
      </w:r>
      <w:r w:rsidR="005818C0">
        <w:rPr>
          <w:rFonts w:ascii="Times New Roman" w:hAnsi="Times New Roman"/>
          <w:sz w:val="24"/>
          <w:szCs w:val="24"/>
          <w:lang w:val="sr-Cyrl-CS"/>
        </w:rPr>
        <w:t>Cilj</w:t>
      </w:r>
      <w:r w:rsidRPr="00E95BC4">
        <w:rPr>
          <w:rFonts w:ascii="Times New Roman" w:hAnsi="Times New Roman"/>
          <w:sz w:val="24"/>
          <w:szCs w:val="24"/>
          <w:lang w:val="sr-Cyrl-CS"/>
        </w:rPr>
        <w:t xml:space="preserve"> </w:t>
      </w:r>
      <w:r w:rsidR="005818C0">
        <w:rPr>
          <w:rFonts w:ascii="Times New Roman" w:hAnsi="Times New Roman"/>
          <w:sz w:val="24"/>
          <w:szCs w:val="24"/>
          <w:lang w:val="sr-Cyrl-CS"/>
        </w:rPr>
        <w:t>ovih</w:t>
      </w:r>
      <w:r w:rsidRPr="00E95BC4">
        <w:rPr>
          <w:rFonts w:ascii="Times New Roman" w:hAnsi="Times New Roman"/>
          <w:sz w:val="24"/>
          <w:szCs w:val="24"/>
          <w:lang w:val="sr-Cyrl-CS"/>
        </w:rPr>
        <w:t xml:space="preserve"> </w:t>
      </w:r>
      <w:r w:rsidR="005818C0">
        <w:rPr>
          <w:rFonts w:ascii="Times New Roman" w:hAnsi="Times New Roman"/>
          <w:sz w:val="24"/>
          <w:szCs w:val="24"/>
          <w:lang w:val="sr-Cyrl-CS"/>
        </w:rPr>
        <w:t>sistema</w:t>
      </w:r>
      <w:r w:rsidRPr="00E95BC4">
        <w:rPr>
          <w:rFonts w:ascii="Times New Roman" w:hAnsi="Times New Roman"/>
          <w:sz w:val="24"/>
          <w:szCs w:val="24"/>
          <w:lang w:val="sr-Cyrl-CS"/>
        </w:rPr>
        <w:t xml:space="preserve"> </w:t>
      </w:r>
      <w:r w:rsidR="005818C0">
        <w:rPr>
          <w:rFonts w:ascii="Times New Roman" w:hAnsi="Times New Roman"/>
          <w:sz w:val="24"/>
          <w:szCs w:val="24"/>
          <w:lang w:val="sr-Cyrl-CS"/>
        </w:rPr>
        <w:t>i</w:t>
      </w:r>
      <w:r w:rsidRPr="00E95BC4">
        <w:rPr>
          <w:rFonts w:ascii="Times New Roman" w:hAnsi="Times New Roman"/>
          <w:sz w:val="24"/>
          <w:szCs w:val="24"/>
          <w:lang w:val="sr-Cyrl-CS"/>
        </w:rPr>
        <w:t xml:space="preserve"> </w:t>
      </w:r>
      <w:r w:rsidR="005818C0">
        <w:rPr>
          <w:rFonts w:ascii="Times New Roman" w:hAnsi="Times New Roman"/>
          <w:sz w:val="24"/>
          <w:szCs w:val="24"/>
          <w:lang w:val="sr-Cyrl-CS"/>
        </w:rPr>
        <w:t>mehanizama</w:t>
      </w:r>
      <w:r w:rsidRPr="00E95BC4">
        <w:rPr>
          <w:rFonts w:ascii="Times New Roman" w:hAnsi="Times New Roman"/>
          <w:sz w:val="24"/>
          <w:szCs w:val="24"/>
          <w:lang w:val="sr-Cyrl-CS"/>
        </w:rPr>
        <w:t xml:space="preserve"> </w:t>
      </w:r>
      <w:r w:rsidR="005818C0">
        <w:rPr>
          <w:rFonts w:ascii="Times New Roman" w:hAnsi="Times New Roman"/>
          <w:sz w:val="24"/>
          <w:szCs w:val="24"/>
          <w:lang w:val="sr-Cyrl-CS"/>
        </w:rPr>
        <w:t>jeste</w:t>
      </w:r>
      <w:r w:rsidRPr="00E95BC4">
        <w:rPr>
          <w:rFonts w:ascii="Times New Roman" w:hAnsi="Times New Roman"/>
          <w:sz w:val="24"/>
          <w:szCs w:val="24"/>
          <w:lang w:val="sr-Cyrl-CS"/>
        </w:rPr>
        <w:t xml:space="preserve"> </w:t>
      </w:r>
      <w:r w:rsidR="005818C0">
        <w:rPr>
          <w:rFonts w:ascii="Times New Roman" w:hAnsi="Times New Roman"/>
          <w:sz w:val="24"/>
          <w:szCs w:val="24"/>
          <w:lang w:val="sr-Cyrl-CS"/>
        </w:rPr>
        <w:t>da</w:t>
      </w:r>
      <w:r w:rsidRPr="00E95BC4">
        <w:rPr>
          <w:rFonts w:ascii="Times New Roman" w:hAnsi="Times New Roman"/>
          <w:sz w:val="24"/>
          <w:szCs w:val="24"/>
          <w:lang w:val="sr-Cyrl-CS"/>
        </w:rPr>
        <w:t xml:space="preserve"> </w:t>
      </w:r>
      <w:r w:rsidR="005818C0">
        <w:rPr>
          <w:rFonts w:ascii="Times New Roman" w:hAnsi="Times New Roman"/>
          <w:sz w:val="24"/>
          <w:szCs w:val="24"/>
          <w:lang w:val="sr-Cyrl-CS"/>
        </w:rPr>
        <w:t>se</w:t>
      </w:r>
      <w:r w:rsidRPr="00E95BC4">
        <w:rPr>
          <w:rFonts w:ascii="Times New Roman" w:hAnsi="Times New Roman"/>
          <w:sz w:val="24"/>
          <w:szCs w:val="24"/>
          <w:lang w:val="sr-Cyrl-CS"/>
        </w:rPr>
        <w:t xml:space="preserve"> </w:t>
      </w:r>
      <w:r w:rsidR="005818C0">
        <w:rPr>
          <w:rFonts w:ascii="Times New Roman" w:hAnsi="Times New Roman"/>
          <w:sz w:val="24"/>
          <w:szCs w:val="24"/>
          <w:lang w:val="sr-Cyrl-CS"/>
        </w:rPr>
        <w:t>teroristi</w:t>
      </w:r>
      <w:r w:rsidR="00E459C1" w:rsidRPr="00E95BC4">
        <w:rPr>
          <w:rFonts w:ascii="Times New Roman" w:hAnsi="Times New Roman"/>
          <w:sz w:val="24"/>
          <w:szCs w:val="24"/>
          <w:lang w:val="sr-Cyrl-CS"/>
        </w:rPr>
        <w:t xml:space="preserve">, </w:t>
      </w:r>
      <w:r w:rsidR="005818C0">
        <w:rPr>
          <w:rFonts w:ascii="Times New Roman" w:hAnsi="Times New Roman"/>
          <w:sz w:val="24"/>
          <w:szCs w:val="24"/>
          <w:lang w:val="sr-Cyrl-CS"/>
        </w:rPr>
        <w:t>terorističke</w:t>
      </w:r>
      <w:r w:rsidR="00E459C1" w:rsidRPr="00E95BC4">
        <w:rPr>
          <w:rFonts w:ascii="Times New Roman" w:hAnsi="Times New Roman"/>
          <w:sz w:val="24"/>
          <w:szCs w:val="24"/>
          <w:lang w:val="sr-Cyrl-CS"/>
        </w:rPr>
        <w:t xml:space="preserve"> </w:t>
      </w:r>
      <w:r w:rsidR="005818C0">
        <w:rPr>
          <w:rFonts w:ascii="Times New Roman" w:hAnsi="Times New Roman"/>
          <w:sz w:val="24"/>
          <w:szCs w:val="24"/>
          <w:lang w:val="sr-Cyrl-CS"/>
        </w:rPr>
        <w:t>organizacije</w:t>
      </w:r>
      <w:r w:rsidR="00E459C1" w:rsidRPr="00E95BC4">
        <w:rPr>
          <w:rFonts w:ascii="Times New Roman" w:hAnsi="Times New Roman"/>
          <w:sz w:val="24"/>
          <w:szCs w:val="24"/>
          <w:lang w:val="sr-Cyrl-CS"/>
        </w:rPr>
        <w:t xml:space="preserve"> </w:t>
      </w:r>
      <w:r w:rsidR="005818C0">
        <w:rPr>
          <w:rFonts w:ascii="Times New Roman" w:hAnsi="Times New Roman"/>
          <w:sz w:val="24"/>
          <w:szCs w:val="24"/>
          <w:lang w:val="sr-Cyrl-CS"/>
        </w:rPr>
        <w:t>i</w:t>
      </w:r>
      <w:r w:rsidR="00E459C1" w:rsidRPr="00E95BC4">
        <w:rPr>
          <w:rFonts w:ascii="Times New Roman" w:hAnsi="Times New Roman"/>
          <w:sz w:val="24"/>
          <w:szCs w:val="24"/>
          <w:lang w:val="sr-Cyrl-CS"/>
        </w:rPr>
        <w:t xml:space="preserve"> </w:t>
      </w:r>
      <w:r w:rsidR="005818C0">
        <w:rPr>
          <w:rFonts w:ascii="Times New Roman" w:hAnsi="Times New Roman"/>
          <w:sz w:val="24"/>
          <w:szCs w:val="24"/>
          <w:lang w:val="sr-Cyrl-CS"/>
        </w:rPr>
        <w:t>lica</w:t>
      </w:r>
      <w:r w:rsidR="00E459C1" w:rsidRPr="00E95BC4">
        <w:rPr>
          <w:rFonts w:ascii="Times New Roman" w:hAnsi="Times New Roman"/>
          <w:sz w:val="24"/>
          <w:szCs w:val="24"/>
          <w:lang w:val="sr-Cyrl-CS"/>
        </w:rPr>
        <w:t xml:space="preserve"> </w:t>
      </w:r>
      <w:r w:rsidR="005818C0">
        <w:rPr>
          <w:rFonts w:ascii="Times New Roman" w:hAnsi="Times New Roman"/>
          <w:sz w:val="24"/>
          <w:szCs w:val="24"/>
          <w:lang w:val="sr-Cyrl-CS"/>
        </w:rPr>
        <w:t>koja</w:t>
      </w:r>
      <w:r w:rsidR="00E459C1" w:rsidRPr="00E95BC4">
        <w:rPr>
          <w:rFonts w:ascii="Times New Roman" w:hAnsi="Times New Roman"/>
          <w:sz w:val="24"/>
          <w:szCs w:val="24"/>
          <w:lang w:val="sr-Cyrl-CS"/>
        </w:rPr>
        <w:t xml:space="preserve"> </w:t>
      </w:r>
      <w:r w:rsidR="005818C0">
        <w:rPr>
          <w:rFonts w:ascii="Times New Roman" w:hAnsi="Times New Roman"/>
          <w:sz w:val="24"/>
          <w:szCs w:val="24"/>
          <w:lang w:val="sr-Cyrl-CS"/>
        </w:rPr>
        <w:t>finansiraju</w:t>
      </w:r>
      <w:r w:rsidR="00E459C1" w:rsidRPr="00E95BC4">
        <w:rPr>
          <w:rFonts w:ascii="Times New Roman" w:hAnsi="Times New Roman"/>
          <w:sz w:val="24"/>
          <w:szCs w:val="24"/>
          <w:lang w:val="sr-Cyrl-CS"/>
        </w:rPr>
        <w:t xml:space="preserve"> </w:t>
      </w:r>
      <w:r w:rsidR="005818C0">
        <w:rPr>
          <w:rFonts w:ascii="Times New Roman" w:hAnsi="Times New Roman"/>
          <w:sz w:val="24"/>
          <w:szCs w:val="24"/>
          <w:lang w:val="sr-Cyrl-CS"/>
        </w:rPr>
        <w:t>terorizam</w:t>
      </w:r>
      <w:r w:rsidR="00E459C1" w:rsidRPr="00E95BC4">
        <w:rPr>
          <w:rFonts w:ascii="Times New Roman" w:hAnsi="Times New Roman"/>
          <w:sz w:val="24"/>
          <w:szCs w:val="24"/>
          <w:lang w:val="sr-Cyrl-CS"/>
        </w:rPr>
        <w:t xml:space="preserve"> </w:t>
      </w:r>
      <w:r w:rsidR="005818C0">
        <w:rPr>
          <w:rFonts w:ascii="Times New Roman" w:hAnsi="Times New Roman"/>
          <w:sz w:val="24"/>
          <w:szCs w:val="24"/>
          <w:lang w:val="sr-Cyrl-CS"/>
        </w:rPr>
        <w:t>sprečavaju</w:t>
      </w:r>
      <w:r w:rsidR="00E459C1" w:rsidRPr="00E95BC4">
        <w:rPr>
          <w:rFonts w:ascii="Times New Roman" w:hAnsi="Times New Roman"/>
          <w:sz w:val="24"/>
          <w:szCs w:val="24"/>
          <w:lang w:val="sr-Cyrl-CS"/>
        </w:rPr>
        <w:t xml:space="preserve"> </w:t>
      </w:r>
      <w:r w:rsidR="005818C0">
        <w:rPr>
          <w:rFonts w:ascii="Times New Roman" w:hAnsi="Times New Roman"/>
          <w:sz w:val="24"/>
          <w:szCs w:val="24"/>
          <w:lang w:val="sr-Cyrl-CS"/>
        </w:rPr>
        <w:t>u</w:t>
      </w:r>
      <w:r w:rsidR="00E459C1" w:rsidRPr="00E95BC4">
        <w:rPr>
          <w:rFonts w:ascii="Times New Roman" w:hAnsi="Times New Roman"/>
          <w:sz w:val="24"/>
          <w:szCs w:val="24"/>
          <w:lang w:val="sr-Cyrl-CS"/>
        </w:rPr>
        <w:t xml:space="preserve"> </w:t>
      </w:r>
      <w:r w:rsidR="005818C0">
        <w:rPr>
          <w:rFonts w:ascii="Times New Roman" w:hAnsi="Times New Roman"/>
          <w:sz w:val="24"/>
          <w:szCs w:val="24"/>
          <w:lang w:val="sr-Cyrl-CS"/>
        </w:rPr>
        <w:t>prikupljanju</w:t>
      </w:r>
      <w:r w:rsidR="00E459C1" w:rsidRPr="00E95BC4">
        <w:rPr>
          <w:rFonts w:ascii="Times New Roman" w:hAnsi="Times New Roman"/>
          <w:sz w:val="24"/>
          <w:szCs w:val="24"/>
          <w:lang w:val="sr-Cyrl-CS"/>
        </w:rPr>
        <w:t xml:space="preserve">, </w:t>
      </w:r>
      <w:r w:rsidR="005818C0">
        <w:rPr>
          <w:rFonts w:ascii="Times New Roman" w:hAnsi="Times New Roman"/>
          <w:sz w:val="24"/>
          <w:szCs w:val="24"/>
          <w:lang w:val="sr-Cyrl-CS"/>
        </w:rPr>
        <w:t>prenošenju</w:t>
      </w:r>
      <w:r w:rsidR="00E459C1" w:rsidRPr="00E95BC4">
        <w:rPr>
          <w:rFonts w:ascii="Times New Roman" w:hAnsi="Times New Roman"/>
          <w:sz w:val="24"/>
          <w:szCs w:val="24"/>
          <w:lang w:val="sr-Cyrl-CS"/>
        </w:rPr>
        <w:t xml:space="preserve"> </w:t>
      </w:r>
      <w:r w:rsidR="005818C0">
        <w:rPr>
          <w:rFonts w:ascii="Times New Roman" w:hAnsi="Times New Roman"/>
          <w:sz w:val="24"/>
          <w:szCs w:val="24"/>
          <w:lang w:val="sr-Cyrl-CS"/>
        </w:rPr>
        <w:t>i</w:t>
      </w:r>
      <w:r w:rsidR="00E459C1" w:rsidRPr="00E95BC4">
        <w:rPr>
          <w:rFonts w:ascii="Times New Roman" w:hAnsi="Times New Roman"/>
          <w:sz w:val="24"/>
          <w:szCs w:val="24"/>
          <w:lang w:val="sr-Cyrl-CS"/>
        </w:rPr>
        <w:t xml:space="preserve"> </w:t>
      </w:r>
      <w:r w:rsidR="005818C0">
        <w:rPr>
          <w:rFonts w:ascii="Times New Roman" w:hAnsi="Times New Roman"/>
          <w:sz w:val="24"/>
          <w:szCs w:val="24"/>
          <w:lang w:val="sr-Cyrl-CS"/>
        </w:rPr>
        <w:t>korišćenju</w:t>
      </w:r>
      <w:r w:rsidR="00E459C1" w:rsidRPr="00E95BC4">
        <w:rPr>
          <w:rFonts w:ascii="Times New Roman" w:hAnsi="Times New Roman"/>
          <w:sz w:val="24"/>
          <w:szCs w:val="24"/>
          <w:lang w:val="sr-Cyrl-CS"/>
        </w:rPr>
        <w:t xml:space="preserve"> </w:t>
      </w:r>
      <w:r w:rsidR="005818C0">
        <w:rPr>
          <w:rFonts w:ascii="Times New Roman" w:hAnsi="Times New Roman"/>
          <w:sz w:val="24"/>
          <w:szCs w:val="24"/>
          <w:lang w:val="sr-Cyrl-CS"/>
        </w:rPr>
        <w:t>sredstava</w:t>
      </w:r>
      <w:r w:rsidR="00E459C1" w:rsidRPr="00E95BC4">
        <w:rPr>
          <w:rFonts w:ascii="Times New Roman" w:hAnsi="Times New Roman"/>
          <w:sz w:val="24"/>
          <w:szCs w:val="24"/>
          <w:lang w:val="sr-Cyrl-CS"/>
        </w:rPr>
        <w:t xml:space="preserve"> </w:t>
      </w:r>
      <w:r w:rsidR="005818C0">
        <w:rPr>
          <w:rFonts w:ascii="Times New Roman" w:hAnsi="Times New Roman"/>
          <w:sz w:val="24"/>
          <w:szCs w:val="24"/>
          <w:lang w:val="sr-Cyrl-CS"/>
        </w:rPr>
        <w:t>i</w:t>
      </w:r>
      <w:r w:rsidR="00E459C1" w:rsidRPr="00E95BC4">
        <w:rPr>
          <w:rFonts w:ascii="Times New Roman" w:hAnsi="Times New Roman"/>
          <w:sz w:val="24"/>
          <w:szCs w:val="24"/>
          <w:lang w:val="sr-Cyrl-CS"/>
        </w:rPr>
        <w:t xml:space="preserve"> </w:t>
      </w:r>
      <w:r w:rsidR="005818C0">
        <w:rPr>
          <w:rFonts w:ascii="Times New Roman" w:hAnsi="Times New Roman"/>
          <w:sz w:val="24"/>
          <w:szCs w:val="24"/>
          <w:lang w:val="sr-Cyrl-CS"/>
        </w:rPr>
        <w:t>u</w:t>
      </w:r>
      <w:r w:rsidR="00E459C1" w:rsidRPr="00E95BC4">
        <w:rPr>
          <w:rFonts w:ascii="Times New Roman" w:hAnsi="Times New Roman"/>
          <w:sz w:val="24"/>
          <w:szCs w:val="24"/>
          <w:lang w:val="sr-Cyrl-CS"/>
        </w:rPr>
        <w:t xml:space="preserve"> </w:t>
      </w:r>
      <w:r w:rsidR="005818C0">
        <w:rPr>
          <w:rFonts w:ascii="Times New Roman" w:hAnsi="Times New Roman"/>
          <w:sz w:val="24"/>
          <w:szCs w:val="24"/>
          <w:lang w:val="sr-Cyrl-CS"/>
        </w:rPr>
        <w:t>zloupotrebi</w:t>
      </w:r>
      <w:r w:rsidR="00C37424" w:rsidRPr="00E95BC4">
        <w:rPr>
          <w:rFonts w:ascii="Times New Roman" w:hAnsi="Times New Roman"/>
          <w:sz w:val="24"/>
          <w:szCs w:val="24"/>
          <w:lang w:val="sr-Cyrl-CS"/>
        </w:rPr>
        <w:t xml:space="preserve"> </w:t>
      </w:r>
      <w:r w:rsidR="005818C0">
        <w:rPr>
          <w:rFonts w:ascii="Times New Roman" w:hAnsi="Times New Roman"/>
          <w:sz w:val="24"/>
          <w:szCs w:val="24"/>
          <w:lang w:val="sr-Cyrl-CS"/>
        </w:rPr>
        <w:t>neprofitnog</w:t>
      </w:r>
      <w:r w:rsidR="00C37424" w:rsidRPr="00E95BC4">
        <w:rPr>
          <w:rFonts w:ascii="Times New Roman" w:hAnsi="Times New Roman"/>
          <w:sz w:val="24"/>
          <w:szCs w:val="24"/>
          <w:lang w:val="sr-Cyrl-CS"/>
        </w:rPr>
        <w:t xml:space="preserve"> </w:t>
      </w:r>
      <w:r w:rsidR="005818C0">
        <w:rPr>
          <w:rFonts w:ascii="Times New Roman" w:hAnsi="Times New Roman"/>
          <w:sz w:val="24"/>
          <w:szCs w:val="24"/>
          <w:lang w:val="sr-Cyrl-CS"/>
        </w:rPr>
        <w:t>sektora</w:t>
      </w:r>
      <w:r w:rsidR="00C37424" w:rsidRPr="00E95BC4">
        <w:rPr>
          <w:rFonts w:ascii="Times New Roman" w:hAnsi="Times New Roman"/>
          <w:sz w:val="24"/>
          <w:szCs w:val="24"/>
          <w:lang w:val="sr-Cyrl-CS"/>
        </w:rPr>
        <w:t xml:space="preserve">, </w:t>
      </w:r>
      <w:r w:rsidR="005818C0">
        <w:rPr>
          <w:rFonts w:ascii="Times New Roman" w:hAnsi="Times New Roman"/>
          <w:sz w:val="24"/>
          <w:szCs w:val="24"/>
          <w:lang w:val="sr-Cyrl-CS"/>
        </w:rPr>
        <w:t>kao</w:t>
      </w:r>
      <w:r w:rsidR="00C37424" w:rsidRPr="00E95BC4">
        <w:rPr>
          <w:rFonts w:ascii="Times New Roman" w:hAnsi="Times New Roman"/>
          <w:sz w:val="24"/>
          <w:szCs w:val="24"/>
          <w:lang w:val="sr-Cyrl-CS"/>
        </w:rPr>
        <w:t xml:space="preserve"> </w:t>
      </w:r>
      <w:r w:rsidR="005818C0">
        <w:rPr>
          <w:rFonts w:ascii="Times New Roman" w:hAnsi="Times New Roman"/>
          <w:sz w:val="24"/>
          <w:szCs w:val="24"/>
          <w:lang w:val="sr-Cyrl-CS"/>
        </w:rPr>
        <w:t>i</w:t>
      </w:r>
      <w:r w:rsidR="00C37424" w:rsidRPr="00E95BC4">
        <w:rPr>
          <w:rFonts w:ascii="Times New Roman" w:hAnsi="Times New Roman"/>
          <w:sz w:val="24"/>
          <w:szCs w:val="24"/>
          <w:lang w:val="sr-Cyrl-CS"/>
        </w:rPr>
        <w:t xml:space="preserve"> </w:t>
      </w:r>
      <w:r w:rsidR="005818C0">
        <w:rPr>
          <w:rFonts w:ascii="Times New Roman" w:hAnsi="Times New Roman"/>
          <w:sz w:val="24"/>
          <w:szCs w:val="24"/>
          <w:lang w:val="sr-Cyrl-CS"/>
        </w:rPr>
        <w:t>da</w:t>
      </w:r>
      <w:r w:rsidR="00C37424" w:rsidRPr="00E95BC4">
        <w:rPr>
          <w:rFonts w:ascii="Times New Roman" w:hAnsi="Times New Roman"/>
          <w:sz w:val="24"/>
          <w:szCs w:val="24"/>
          <w:lang w:val="sr-Cyrl-CS"/>
        </w:rPr>
        <w:t xml:space="preserve"> </w:t>
      </w:r>
      <w:r w:rsidR="005818C0">
        <w:rPr>
          <w:rFonts w:ascii="Times New Roman" w:hAnsi="Times New Roman"/>
          <w:sz w:val="24"/>
          <w:szCs w:val="24"/>
          <w:lang w:val="sr-Cyrl-CS"/>
        </w:rPr>
        <w:t>se</w:t>
      </w:r>
      <w:r w:rsidR="00C37424" w:rsidRPr="00E95BC4">
        <w:rPr>
          <w:rFonts w:ascii="Times New Roman" w:hAnsi="Times New Roman"/>
          <w:sz w:val="24"/>
          <w:szCs w:val="24"/>
          <w:lang w:val="sr-Cyrl-CS"/>
        </w:rPr>
        <w:t xml:space="preserve"> </w:t>
      </w:r>
      <w:r w:rsidR="005818C0">
        <w:rPr>
          <w:rFonts w:ascii="Times New Roman" w:hAnsi="Times New Roman"/>
          <w:sz w:val="24"/>
          <w:szCs w:val="24"/>
          <w:lang w:val="sr-Cyrl-CS"/>
        </w:rPr>
        <w:t>lica</w:t>
      </w:r>
      <w:r w:rsidR="00E459C1" w:rsidRPr="00E95BC4">
        <w:rPr>
          <w:rFonts w:ascii="Times New Roman" w:hAnsi="Times New Roman"/>
          <w:sz w:val="24"/>
          <w:szCs w:val="24"/>
          <w:lang w:val="sr-Cyrl-CS"/>
        </w:rPr>
        <w:t xml:space="preserve"> </w:t>
      </w:r>
      <w:r w:rsidR="005818C0">
        <w:rPr>
          <w:rFonts w:ascii="Times New Roman" w:hAnsi="Times New Roman"/>
          <w:sz w:val="24"/>
          <w:szCs w:val="24"/>
          <w:lang w:val="sr-Cyrl-CS"/>
        </w:rPr>
        <w:t>koja</w:t>
      </w:r>
      <w:r w:rsidR="00E459C1" w:rsidRPr="00E95BC4">
        <w:rPr>
          <w:rFonts w:ascii="Times New Roman" w:hAnsi="Times New Roman"/>
          <w:sz w:val="24"/>
          <w:szCs w:val="24"/>
          <w:lang w:val="sr-Cyrl-CS"/>
        </w:rPr>
        <w:t xml:space="preserve"> </w:t>
      </w:r>
      <w:r w:rsidR="005818C0">
        <w:rPr>
          <w:rFonts w:ascii="Times New Roman" w:hAnsi="Times New Roman"/>
          <w:sz w:val="24"/>
          <w:szCs w:val="24"/>
          <w:lang w:val="sr-Cyrl-CS"/>
        </w:rPr>
        <w:t>učestvuju</w:t>
      </w:r>
      <w:r w:rsidR="00E459C1" w:rsidRPr="00E95BC4">
        <w:rPr>
          <w:rFonts w:ascii="Times New Roman" w:hAnsi="Times New Roman"/>
          <w:sz w:val="24"/>
          <w:szCs w:val="24"/>
          <w:lang w:val="sr-Cyrl-CS"/>
        </w:rPr>
        <w:t xml:space="preserve"> </w:t>
      </w:r>
      <w:r w:rsidR="005818C0">
        <w:rPr>
          <w:rFonts w:ascii="Times New Roman" w:hAnsi="Times New Roman"/>
          <w:sz w:val="24"/>
          <w:szCs w:val="24"/>
          <w:lang w:val="sr-Cyrl-CS"/>
        </w:rPr>
        <w:t>u</w:t>
      </w:r>
      <w:r w:rsidR="00E459C1" w:rsidRPr="00E95BC4">
        <w:rPr>
          <w:rFonts w:ascii="Times New Roman" w:hAnsi="Times New Roman"/>
          <w:sz w:val="24"/>
          <w:szCs w:val="24"/>
          <w:lang w:val="sr-Cyrl-CS"/>
        </w:rPr>
        <w:t xml:space="preserve"> </w:t>
      </w:r>
      <w:r w:rsidR="005818C0">
        <w:rPr>
          <w:rFonts w:ascii="Times New Roman" w:hAnsi="Times New Roman"/>
          <w:sz w:val="24"/>
          <w:szCs w:val="24"/>
          <w:lang w:val="sr-Cyrl-CS"/>
        </w:rPr>
        <w:t>širenju</w:t>
      </w:r>
      <w:r w:rsidR="00E459C1" w:rsidRPr="00E95BC4">
        <w:rPr>
          <w:rFonts w:ascii="Times New Roman" w:hAnsi="Times New Roman"/>
          <w:sz w:val="24"/>
          <w:szCs w:val="24"/>
          <w:lang w:val="sr-Cyrl-CS"/>
        </w:rPr>
        <w:t xml:space="preserve"> </w:t>
      </w:r>
      <w:r w:rsidR="005818C0">
        <w:rPr>
          <w:rFonts w:ascii="Times New Roman" w:hAnsi="Times New Roman"/>
          <w:sz w:val="24"/>
          <w:szCs w:val="24"/>
          <w:lang w:val="sr-Cyrl-CS"/>
        </w:rPr>
        <w:t>oružja</w:t>
      </w:r>
      <w:r w:rsidR="00E459C1" w:rsidRPr="00E95BC4">
        <w:rPr>
          <w:rFonts w:ascii="Times New Roman" w:hAnsi="Times New Roman"/>
          <w:sz w:val="24"/>
          <w:szCs w:val="24"/>
          <w:lang w:val="sr-Cyrl-CS"/>
        </w:rPr>
        <w:t xml:space="preserve"> </w:t>
      </w:r>
      <w:r w:rsidR="005818C0">
        <w:rPr>
          <w:rFonts w:ascii="Times New Roman" w:hAnsi="Times New Roman"/>
          <w:sz w:val="24"/>
          <w:szCs w:val="24"/>
          <w:lang w:val="sr-Cyrl-CS"/>
        </w:rPr>
        <w:t>za</w:t>
      </w:r>
      <w:r w:rsidR="00E459C1" w:rsidRPr="00E95BC4">
        <w:rPr>
          <w:rFonts w:ascii="Times New Roman" w:hAnsi="Times New Roman"/>
          <w:sz w:val="24"/>
          <w:szCs w:val="24"/>
          <w:lang w:val="sr-Cyrl-CS"/>
        </w:rPr>
        <w:t xml:space="preserve"> </w:t>
      </w:r>
      <w:r w:rsidR="005818C0">
        <w:rPr>
          <w:rFonts w:ascii="Times New Roman" w:hAnsi="Times New Roman"/>
          <w:sz w:val="24"/>
          <w:szCs w:val="24"/>
          <w:lang w:val="sr-Cyrl-CS"/>
        </w:rPr>
        <w:t>masovno</w:t>
      </w:r>
      <w:r w:rsidR="00E459C1" w:rsidRPr="00E95BC4">
        <w:rPr>
          <w:rFonts w:ascii="Times New Roman" w:hAnsi="Times New Roman"/>
          <w:sz w:val="24"/>
          <w:szCs w:val="24"/>
          <w:lang w:val="sr-Cyrl-CS"/>
        </w:rPr>
        <w:t xml:space="preserve"> </w:t>
      </w:r>
      <w:r w:rsidR="005818C0">
        <w:rPr>
          <w:rFonts w:ascii="Times New Roman" w:hAnsi="Times New Roman"/>
          <w:sz w:val="24"/>
          <w:szCs w:val="24"/>
          <w:lang w:val="sr-Cyrl-CS"/>
        </w:rPr>
        <w:t>uništenje</w:t>
      </w:r>
      <w:r w:rsidR="00E459C1" w:rsidRPr="00E95BC4">
        <w:rPr>
          <w:rFonts w:ascii="Times New Roman" w:hAnsi="Times New Roman"/>
          <w:sz w:val="24"/>
          <w:szCs w:val="24"/>
          <w:lang w:val="sr-Cyrl-CS"/>
        </w:rPr>
        <w:t xml:space="preserve"> </w:t>
      </w:r>
      <w:r w:rsidR="005818C0">
        <w:rPr>
          <w:rFonts w:ascii="Times New Roman" w:hAnsi="Times New Roman"/>
          <w:sz w:val="24"/>
          <w:szCs w:val="24"/>
          <w:lang w:val="sr-Cyrl-CS"/>
        </w:rPr>
        <w:t>sprečavaju</w:t>
      </w:r>
      <w:r w:rsidR="00E459C1" w:rsidRPr="00E95BC4">
        <w:rPr>
          <w:rFonts w:ascii="Times New Roman" w:hAnsi="Times New Roman"/>
          <w:sz w:val="24"/>
          <w:szCs w:val="24"/>
          <w:lang w:val="sr-Cyrl-CS"/>
        </w:rPr>
        <w:t xml:space="preserve"> </w:t>
      </w:r>
      <w:r w:rsidR="005818C0">
        <w:rPr>
          <w:rFonts w:ascii="Times New Roman" w:hAnsi="Times New Roman"/>
          <w:sz w:val="24"/>
          <w:szCs w:val="24"/>
          <w:lang w:val="sr-Cyrl-CS"/>
        </w:rPr>
        <w:t>u</w:t>
      </w:r>
      <w:r w:rsidR="00E459C1" w:rsidRPr="00E95BC4">
        <w:rPr>
          <w:rFonts w:ascii="Times New Roman" w:hAnsi="Times New Roman"/>
          <w:sz w:val="24"/>
          <w:szCs w:val="24"/>
          <w:lang w:val="sr-Cyrl-CS"/>
        </w:rPr>
        <w:t xml:space="preserve"> </w:t>
      </w:r>
      <w:r w:rsidR="005818C0">
        <w:rPr>
          <w:rFonts w:ascii="Times New Roman" w:hAnsi="Times New Roman"/>
          <w:sz w:val="24"/>
          <w:szCs w:val="24"/>
          <w:lang w:val="sr-Cyrl-CS"/>
        </w:rPr>
        <w:t>prikupljanju</w:t>
      </w:r>
      <w:r w:rsidR="00E459C1" w:rsidRPr="00E95BC4">
        <w:rPr>
          <w:rFonts w:ascii="Times New Roman" w:hAnsi="Times New Roman"/>
          <w:sz w:val="24"/>
          <w:szCs w:val="24"/>
          <w:lang w:val="sr-Cyrl-CS"/>
        </w:rPr>
        <w:t xml:space="preserve">, </w:t>
      </w:r>
      <w:r w:rsidR="005818C0">
        <w:rPr>
          <w:rFonts w:ascii="Times New Roman" w:hAnsi="Times New Roman"/>
          <w:sz w:val="24"/>
          <w:szCs w:val="24"/>
          <w:lang w:val="sr-Cyrl-CS"/>
        </w:rPr>
        <w:t>prenošenju</w:t>
      </w:r>
      <w:r w:rsidR="00E459C1" w:rsidRPr="00E95BC4">
        <w:rPr>
          <w:rFonts w:ascii="Times New Roman" w:hAnsi="Times New Roman"/>
          <w:sz w:val="24"/>
          <w:szCs w:val="24"/>
          <w:lang w:val="sr-Cyrl-CS"/>
        </w:rPr>
        <w:t xml:space="preserve"> </w:t>
      </w:r>
      <w:r w:rsidR="005818C0">
        <w:rPr>
          <w:rFonts w:ascii="Times New Roman" w:hAnsi="Times New Roman"/>
          <w:sz w:val="24"/>
          <w:szCs w:val="24"/>
          <w:lang w:val="sr-Cyrl-CS"/>
        </w:rPr>
        <w:t>i</w:t>
      </w:r>
      <w:r w:rsidR="00E459C1" w:rsidRPr="00E95BC4">
        <w:rPr>
          <w:rFonts w:ascii="Times New Roman" w:hAnsi="Times New Roman"/>
          <w:sz w:val="24"/>
          <w:szCs w:val="24"/>
          <w:lang w:val="sr-Cyrl-CS"/>
        </w:rPr>
        <w:t xml:space="preserve"> </w:t>
      </w:r>
      <w:r w:rsidR="005818C0">
        <w:rPr>
          <w:rFonts w:ascii="Times New Roman" w:hAnsi="Times New Roman"/>
          <w:sz w:val="24"/>
          <w:szCs w:val="24"/>
          <w:lang w:val="sr-Cyrl-CS"/>
        </w:rPr>
        <w:t>korišćenju</w:t>
      </w:r>
      <w:r w:rsidR="00E459C1" w:rsidRPr="00E95BC4">
        <w:rPr>
          <w:rFonts w:ascii="Times New Roman" w:hAnsi="Times New Roman"/>
          <w:sz w:val="24"/>
          <w:szCs w:val="24"/>
          <w:lang w:val="sr-Cyrl-CS"/>
        </w:rPr>
        <w:t xml:space="preserve"> </w:t>
      </w:r>
      <w:r w:rsidR="005818C0">
        <w:rPr>
          <w:rFonts w:ascii="Times New Roman" w:hAnsi="Times New Roman"/>
          <w:sz w:val="24"/>
          <w:szCs w:val="24"/>
          <w:lang w:val="sr-Cyrl-CS"/>
        </w:rPr>
        <w:t>sredstva</w:t>
      </w:r>
      <w:r w:rsidR="00E459C1" w:rsidRPr="00E95BC4">
        <w:rPr>
          <w:rFonts w:ascii="Times New Roman" w:hAnsi="Times New Roman"/>
          <w:sz w:val="24"/>
          <w:szCs w:val="24"/>
          <w:lang w:val="sr-Cyrl-CS"/>
        </w:rPr>
        <w:t xml:space="preserve">, </w:t>
      </w:r>
      <w:r w:rsidR="005818C0">
        <w:rPr>
          <w:rFonts w:ascii="Times New Roman" w:hAnsi="Times New Roman"/>
          <w:sz w:val="24"/>
          <w:szCs w:val="24"/>
          <w:lang w:val="sr-Cyrl-CS"/>
        </w:rPr>
        <w:t>u</w:t>
      </w:r>
      <w:r w:rsidR="00E459C1" w:rsidRPr="00E95BC4">
        <w:rPr>
          <w:rFonts w:ascii="Times New Roman" w:hAnsi="Times New Roman"/>
          <w:sz w:val="24"/>
          <w:szCs w:val="24"/>
          <w:lang w:val="sr-Cyrl-CS"/>
        </w:rPr>
        <w:t xml:space="preserve"> </w:t>
      </w:r>
      <w:r w:rsidR="005818C0">
        <w:rPr>
          <w:rFonts w:ascii="Times New Roman" w:hAnsi="Times New Roman"/>
          <w:sz w:val="24"/>
          <w:szCs w:val="24"/>
          <w:lang w:val="sr-Cyrl-CS"/>
        </w:rPr>
        <w:t>skladu</w:t>
      </w:r>
      <w:r w:rsidR="00E459C1" w:rsidRPr="00E95BC4">
        <w:rPr>
          <w:rFonts w:ascii="Times New Roman" w:hAnsi="Times New Roman"/>
          <w:sz w:val="24"/>
          <w:szCs w:val="24"/>
          <w:lang w:val="sr-Cyrl-CS"/>
        </w:rPr>
        <w:t xml:space="preserve"> </w:t>
      </w:r>
      <w:r w:rsidR="005818C0">
        <w:rPr>
          <w:rFonts w:ascii="Times New Roman" w:hAnsi="Times New Roman"/>
          <w:sz w:val="24"/>
          <w:szCs w:val="24"/>
          <w:lang w:val="sr-Cyrl-CS"/>
        </w:rPr>
        <w:t>sa</w:t>
      </w:r>
      <w:r w:rsidR="00E459C1" w:rsidRPr="00E95BC4">
        <w:rPr>
          <w:rFonts w:ascii="Times New Roman" w:hAnsi="Times New Roman"/>
          <w:sz w:val="24"/>
          <w:szCs w:val="24"/>
          <w:lang w:val="sr-Cyrl-CS"/>
        </w:rPr>
        <w:t xml:space="preserve"> </w:t>
      </w:r>
      <w:r w:rsidR="005818C0">
        <w:rPr>
          <w:rFonts w:ascii="Times New Roman" w:hAnsi="Times New Roman"/>
          <w:sz w:val="24"/>
          <w:szCs w:val="24"/>
          <w:lang w:val="sr-Cyrl-CS"/>
        </w:rPr>
        <w:t>relevantnim</w:t>
      </w:r>
      <w:r w:rsidR="00E459C1" w:rsidRPr="00E95BC4">
        <w:rPr>
          <w:rFonts w:ascii="Times New Roman" w:hAnsi="Times New Roman"/>
          <w:sz w:val="24"/>
          <w:szCs w:val="24"/>
          <w:lang w:val="sr-Cyrl-CS"/>
        </w:rPr>
        <w:t xml:space="preserve"> </w:t>
      </w:r>
      <w:r w:rsidR="005818C0">
        <w:rPr>
          <w:rFonts w:ascii="Times New Roman" w:hAnsi="Times New Roman"/>
          <w:sz w:val="24"/>
          <w:szCs w:val="24"/>
          <w:lang w:val="sr-Cyrl-CS"/>
        </w:rPr>
        <w:t>rezolucijama</w:t>
      </w:r>
      <w:r w:rsidR="00E459C1" w:rsidRPr="00E95BC4">
        <w:rPr>
          <w:rFonts w:ascii="Times New Roman" w:hAnsi="Times New Roman"/>
          <w:sz w:val="24"/>
          <w:szCs w:val="24"/>
          <w:lang w:val="sr-Cyrl-CS"/>
        </w:rPr>
        <w:t xml:space="preserve"> </w:t>
      </w:r>
      <w:r w:rsidR="005818C0">
        <w:rPr>
          <w:rFonts w:ascii="Times New Roman" w:hAnsi="Times New Roman"/>
          <w:sz w:val="24"/>
          <w:szCs w:val="24"/>
          <w:lang w:val="sr-Cyrl-CS"/>
        </w:rPr>
        <w:t>Saveta</w:t>
      </w:r>
      <w:r w:rsidR="00E459C1" w:rsidRPr="00E95BC4">
        <w:rPr>
          <w:rFonts w:ascii="Times New Roman" w:hAnsi="Times New Roman"/>
          <w:sz w:val="24"/>
          <w:szCs w:val="24"/>
          <w:lang w:val="sr-Cyrl-CS"/>
        </w:rPr>
        <w:t xml:space="preserve"> </w:t>
      </w:r>
      <w:r w:rsidR="005818C0">
        <w:rPr>
          <w:rFonts w:ascii="Times New Roman" w:hAnsi="Times New Roman"/>
          <w:sz w:val="24"/>
          <w:szCs w:val="24"/>
          <w:lang w:val="sr-Cyrl-CS"/>
        </w:rPr>
        <w:t>bezbednosti</w:t>
      </w:r>
      <w:r w:rsidR="00E459C1" w:rsidRPr="00E95BC4">
        <w:rPr>
          <w:rFonts w:ascii="Times New Roman" w:hAnsi="Times New Roman"/>
          <w:sz w:val="24"/>
          <w:szCs w:val="24"/>
          <w:lang w:val="sr-Cyrl-CS"/>
        </w:rPr>
        <w:t xml:space="preserve"> </w:t>
      </w:r>
      <w:r w:rsidR="005818C0">
        <w:rPr>
          <w:rFonts w:ascii="Times New Roman" w:hAnsi="Times New Roman"/>
          <w:sz w:val="24"/>
          <w:szCs w:val="24"/>
          <w:lang w:val="sr-Cyrl-CS"/>
        </w:rPr>
        <w:t>Ujedinjenih</w:t>
      </w:r>
      <w:r w:rsidR="00835D12">
        <w:rPr>
          <w:rFonts w:ascii="Times New Roman" w:hAnsi="Times New Roman"/>
          <w:sz w:val="24"/>
          <w:szCs w:val="24"/>
          <w:lang w:val="sr-Cyrl-CS"/>
        </w:rPr>
        <w:t xml:space="preserve"> </w:t>
      </w:r>
      <w:r w:rsidR="005818C0">
        <w:rPr>
          <w:rFonts w:ascii="Times New Roman" w:hAnsi="Times New Roman"/>
          <w:sz w:val="24"/>
          <w:szCs w:val="24"/>
          <w:lang w:val="sr-Cyrl-CS"/>
        </w:rPr>
        <w:t>nacija</w:t>
      </w:r>
      <w:r w:rsidR="00E459C1" w:rsidRPr="00E95BC4">
        <w:rPr>
          <w:rFonts w:ascii="Times New Roman" w:hAnsi="Times New Roman"/>
          <w:sz w:val="24"/>
          <w:szCs w:val="24"/>
          <w:lang w:val="sr-Cyrl-CS"/>
        </w:rPr>
        <w:t>.</w:t>
      </w:r>
    </w:p>
    <w:p w:rsidR="00665BC3" w:rsidRPr="00E95BC4" w:rsidRDefault="005818C0" w:rsidP="00665BC3">
      <w:pPr>
        <w:pStyle w:val="FATF-TEXTE1115"/>
        <w:tabs>
          <w:tab w:val="clear" w:pos="624"/>
          <w:tab w:val="clear" w:pos="1247"/>
          <w:tab w:val="clear" w:pos="1871"/>
          <w:tab w:val="clear" w:pos="2495"/>
          <w:tab w:val="clear" w:pos="3119"/>
        </w:tabs>
        <w:spacing w:after="0" w:line="240" w:lineRule="auto"/>
        <w:ind w:firstLine="720"/>
        <w:rPr>
          <w:rFonts w:ascii="Times New Roman" w:hAnsi="Times New Roman"/>
          <w:sz w:val="24"/>
          <w:szCs w:val="24"/>
          <w:lang w:val="sr-Cyrl-CS"/>
        </w:rPr>
      </w:pPr>
      <w:r>
        <w:rPr>
          <w:rFonts w:ascii="Times New Roman" w:hAnsi="Times New Roman"/>
          <w:sz w:val="24"/>
          <w:szCs w:val="24"/>
          <w:lang w:val="sr-Cyrl-CS"/>
        </w:rPr>
        <w:t>Reformama</w:t>
      </w:r>
      <w:r w:rsidR="00806E9B" w:rsidRPr="00E95BC4">
        <w:rPr>
          <w:rFonts w:ascii="Times New Roman" w:hAnsi="Times New Roman"/>
          <w:sz w:val="24"/>
          <w:szCs w:val="24"/>
          <w:lang w:val="sr-Cyrl-CS"/>
        </w:rPr>
        <w:t xml:space="preserve"> </w:t>
      </w:r>
      <w:r>
        <w:rPr>
          <w:rFonts w:ascii="Times New Roman" w:hAnsi="Times New Roman"/>
          <w:sz w:val="24"/>
          <w:szCs w:val="24"/>
          <w:lang w:val="sr-Cyrl-CS"/>
        </w:rPr>
        <w:t>iz</w:t>
      </w:r>
      <w:r w:rsidR="00806E9B" w:rsidRPr="00E95BC4">
        <w:rPr>
          <w:rFonts w:ascii="Times New Roman" w:hAnsi="Times New Roman"/>
          <w:sz w:val="24"/>
          <w:szCs w:val="24"/>
          <w:lang w:val="sr-Cyrl-CS"/>
        </w:rPr>
        <w:t xml:space="preserve"> 2017</w:t>
      </w:r>
      <w:r w:rsidR="00A1499B" w:rsidRPr="00E95BC4">
        <w:rPr>
          <w:rFonts w:ascii="Times New Roman" w:hAnsi="Times New Roman"/>
          <w:sz w:val="24"/>
          <w:szCs w:val="24"/>
          <w:lang w:val="sr-Cyrl-CS"/>
        </w:rPr>
        <w:t>–</w:t>
      </w:r>
      <w:r w:rsidR="00806E9B" w:rsidRPr="00E95BC4">
        <w:rPr>
          <w:rFonts w:ascii="Times New Roman" w:hAnsi="Times New Roman"/>
          <w:sz w:val="24"/>
          <w:szCs w:val="24"/>
          <w:lang w:val="sr-Cyrl-CS"/>
        </w:rPr>
        <w:t>2019</w:t>
      </w:r>
      <w:r w:rsidR="00745DD3" w:rsidRPr="00E95BC4">
        <w:rPr>
          <w:rFonts w:ascii="Times New Roman" w:hAnsi="Times New Roman"/>
          <w:sz w:val="24"/>
          <w:szCs w:val="24"/>
          <w:lang w:val="sr-Cyrl-CS"/>
        </w:rPr>
        <w:t xml:space="preserve">. </w:t>
      </w:r>
      <w:r>
        <w:rPr>
          <w:rFonts w:ascii="Times New Roman" w:hAnsi="Times New Roman"/>
          <w:sz w:val="24"/>
          <w:szCs w:val="24"/>
          <w:lang w:val="sr-Cyrl-CS"/>
        </w:rPr>
        <w:t>godine</w:t>
      </w:r>
      <w:r w:rsidR="00806E9B" w:rsidRPr="00E95BC4">
        <w:rPr>
          <w:rFonts w:ascii="Times New Roman" w:hAnsi="Times New Roman"/>
          <w:sz w:val="24"/>
          <w:szCs w:val="24"/>
          <w:lang w:val="sr-Cyrl-CS"/>
        </w:rPr>
        <w:t xml:space="preserve">, </w:t>
      </w:r>
      <w:r>
        <w:rPr>
          <w:rFonts w:ascii="Times New Roman" w:hAnsi="Times New Roman"/>
          <w:sz w:val="24"/>
          <w:szCs w:val="24"/>
          <w:lang w:val="sr-Cyrl-CS"/>
        </w:rPr>
        <w:t>uspostavljeni</w:t>
      </w:r>
      <w:r w:rsidR="00806E9B" w:rsidRPr="00E95BC4">
        <w:rPr>
          <w:rFonts w:ascii="Times New Roman" w:hAnsi="Times New Roman"/>
          <w:sz w:val="24"/>
          <w:szCs w:val="24"/>
          <w:lang w:val="sr-Cyrl-CS"/>
        </w:rPr>
        <w:t xml:space="preserve"> </w:t>
      </w:r>
      <w:r>
        <w:rPr>
          <w:rFonts w:ascii="Times New Roman" w:hAnsi="Times New Roman"/>
          <w:sz w:val="24"/>
          <w:szCs w:val="24"/>
          <w:lang w:val="sr-Cyrl-CS"/>
        </w:rPr>
        <w:t>su</w:t>
      </w:r>
      <w:r w:rsidR="00806E9B" w:rsidRPr="00E95BC4">
        <w:rPr>
          <w:rFonts w:ascii="Times New Roman" w:hAnsi="Times New Roman"/>
          <w:sz w:val="24"/>
          <w:szCs w:val="24"/>
          <w:lang w:val="sr-Cyrl-CS"/>
        </w:rPr>
        <w:t xml:space="preserve"> </w:t>
      </w:r>
      <w:r>
        <w:rPr>
          <w:rFonts w:ascii="Times New Roman" w:hAnsi="Times New Roman"/>
          <w:sz w:val="24"/>
          <w:szCs w:val="24"/>
          <w:lang w:val="sr-Cyrl-CS"/>
        </w:rPr>
        <w:t>ti</w:t>
      </w:r>
      <w:r w:rsidR="00806E9B" w:rsidRPr="00E95BC4">
        <w:rPr>
          <w:rFonts w:ascii="Times New Roman" w:hAnsi="Times New Roman"/>
          <w:sz w:val="24"/>
          <w:szCs w:val="24"/>
          <w:lang w:val="sr-Cyrl-CS"/>
        </w:rPr>
        <w:t xml:space="preserve"> </w:t>
      </w:r>
      <w:r>
        <w:rPr>
          <w:rFonts w:ascii="Times New Roman" w:hAnsi="Times New Roman"/>
          <w:sz w:val="24"/>
          <w:szCs w:val="24"/>
          <w:lang w:val="sr-Cyrl-CS"/>
        </w:rPr>
        <w:t>sistemi</w:t>
      </w:r>
      <w:r w:rsidR="00806E9B" w:rsidRPr="00E95BC4">
        <w:rPr>
          <w:rFonts w:ascii="Times New Roman" w:hAnsi="Times New Roman"/>
          <w:sz w:val="24"/>
          <w:szCs w:val="24"/>
          <w:lang w:val="sr-Cyrl-CS"/>
        </w:rPr>
        <w:t xml:space="preserve"> </w:t>
      </w:r>
      <w:r>
        <w:rPr>
          <w:rFonts w:ascii="Times New Roman" w:hAnsi="Times New Roman"/>
          <w:sz w:val="24"/>
          <w:szCs w:val="24"/>
          <w:lang w:val="sr-Cyrl-CS"/>
        </w:rPr>
        <w:t>i</w:t>
      </w:r>
      <w:r w:rsidR="00806E9B" w:rsidRPr="00E95BC4">
        <w:rPr>
          <w:rFonts w:ascii="Times New Roman" w:hAnsi="Times New Roman"/>
          <w:sz w:val="24"/>
          <w:szCs w:val="24"/>
          <w:lang w:val="sr-Cyrl-CS"/>
        </w:rPr>
        <w:t xml:space="preserve"> </w:t>
      </w:r>
      <w:r>
        <w:rPr>
          <w:rFonts w:ascii="Times New Roman" w:hAnsi="Times New Roman"/>
          <w:sz w:val="24"/>
          <w:szCs w:val="24"/>
          <w:lang w:val="sr-Cyrl-CS"/>
        </w:rPr>
        <w:t>mehanizmi</w:t>
      </w:r>
      <w:r w:rsidR="00806E9B" w:rsidRPr="00E95BC4">
        <w:rPr>
          <w:rFonts w:ascii="Times New Roman" w:hAnsi="Times New Roman"/>
          <w:sz w:val="24"/>
          <w:szCs w:val="24"/>
          <w:lang w:val="sr-Cyrl-CS"/>
        </w:rPr>
        <w:t xml:space="preserve">, </w:t>
      </w:r>
      <w:r>
        <w:rPr>
          <w:rFonts w:ascii="Times New Roman" w:hAnsi="Times New Roman"/>
          <w:sz w:val="24"/>
          <w:szCs w:val="24"/>
          <w:lang w:val="sr-Cyrl-CS"/>
        </w:rPr>
        <w:t>a</w:t>
      </w:r>
      <w:r w:rsidR="00806E9B" w:rsidRPr="00E95BC4">
        <w:rPr>
          <w:rFonts w:ascii="Times New Roman" w:hAnsi="Times New Roman"/>
          <w:sz w:val="24"/>
          <w:szCs w:val="24"/>
          <w:lang w:val="sr-Cyrl-CS"/>
        </w:rPr>
        <w:t xml:space="preserve"> </w:t>
      </w:r>
      <w:r>
        <w:rPr>
          <w:rFonts w:ascii="Times New Roman" w:hAnsi="Times New Roman"/>
          <w:sz w:val="24"/>
          <w:szCs w:val="24"/>
          <w:lang w:val="sr-Cyrl-CS"/>
        </w:rPr>
        <w:t>neophodno</w:t>
      </w:r>
      <w:r w:rsidR="00806E9B" w:rsidRPr="00E95BC4">
        <w:rPr>
          <w:rFonts w:ascii="Times New Roman" w:hAnsi="Times New Roman"/>
          <w:sz w:val="24"/>
          <w:szCs w:val="24"/>
          <w:lang w:val="sr-Cyrl-CS"/>
        </w:rPr>
        <w:t xml:space="preserve"> </w:t>
      </w:r>
      <w:r>
        <w:rPr>
          <w:rFonts w:ascii="Times New Roman" w:hAnsi="Times New Roman"/>
          <w:sz w:val="24"/>
          <w:szCs w:val="24"/>
          <w:lang w:val="sr-Cyrl-CS"/>
        </w:rPr>
        <w:t>je</w:t>
      </w:r>
      <w:r w:rsidR="00806E9B" w:rsidRPr="00E95BC4">
        <w:rPr>
          <w:rFonts w:ascii="Times New Roman" w:hAnsi="Times New Roman"/>
          <w:sz w:val="24"/>
          <w:szCs w:val="24"/>
          <w:lang w:val="sr-Cyrl-CS"/>
        </w:rPr>
        <w:t xml:space="preserve"> </w:t>
      </w:r>
      <w:r>
        <w:rPr>
          <w:rFonts w:ascii="Times New Roman" w:hAnsi="Times New Roman"/>
          <w:sz w:val="24"/>
          <w:szCs w:val="24"/>
          <w:lang w:val="sr-Cyrl-CS"/>
        </w:rPr>
        <w:t>i</w:t>
      </w:r>
      <w:r w:rsidR="00806E9B" w:rsidRPr="00E95BC4">
        <w:rPr>
          <w:rFonts w:ascii="Times New Roman" w:hAnsi="Times New Roman"/>
          <w:sz w:val="24"/>
          <w:szCs w:val="24"/>
          <w:lang w:val="sr-Cyrl-CS"/>
        </w:rPr>
        <w:t xml:space="preserve"> </w:t>
      </w:r>
      <w:r>
        <w:rPr>
          <w:rFonts w:ascii="Times New Roman" w:hAnsi="Times New Roman"/>
          <w:sz w:val="24"/>
          <w:szCs w:val="24"/>
          <w:lang w:val="sr-Cyrl-CS"/>
        </w:rPr>
        <w:t>dalje</w:t>
      </w:r>
      <w:r w:rsidR="00806E9B" w:rsidRPr="00E95BC4">
        <w:rPr>
          <w:rFonts w:ascii="Times New Roman" w:hAnsi="Times New Roman"/>
          <w:sz w:val="24"/>
          <w:szCs w:val="24"/>
          <w:lang w:val="sr-Cyrl-CS"/>
        </w:rPr>
        <w:t xml:space="preserve"> </w:t>
      </w:r>
      <w:r>
        <w:rPr>
          <w:rFonts w:ascii="Times New Roman" w:hAnsi="Times New Roman"/>
          <w:sz w:val="24"/>
          <w:szCs w:val="24"/>
          <w:lang w:val="sr-Cyrl-CS"/>
        </w:rPr>
        <w:t>pratiti</w:t>
      </w:r>
      <w:r w:rsidR="00806E9B" w:rsidRPr="00E95BC4">
        <w:rPr>
          <w:rFonts w:ascii="Times New Roman" w:hAnsi="Times New Roman"/>
          <w:sz w:val="24"/>
          <w:szCs w:val="24"/>
          <w:lang w:val="sr-Cyrl-CS"/>
        </w:rPr>
        <w:t xml:space="preserve"> </w:t>
      </w:r>
      <w:r>
        <w:rPr>
          <w:rFonts w:ascii="Times New Roman" w:hAnsi="Times New Roman"/>
          <w:sz w:val="24"/>
          <w:szCs w:val="24"/>
          <w:lang w:val="sr-Cyrl-CS"/>
        </w:rPr>
        <w:t>situaciju</w:t>
      </w:r>
      <w:r w:rsidR="00806E9B" w:rsidRPr="00E95BC4">
        <w:rPr>
          <w:rFonts w:ascii="Times New Roman" w:hAnsi="Times New Roman"/>
          <w:sz w:val="24"/>
          <w:szCs w:val="24"/>
          <w:lang w:val="sr-Cyrl-CS"/>
        </w:rPr>
        <w:t xml:space="preserve"> </w:t>
      </w:r>
      <w:r>
        <w:rPr>
          <w:rFonts w:ascii="Times New Roman" w:hAnsi="Times New Roman"/>
          <w:sz w:val="24"/>
          <w:szCs w:val="24"/>
          <w:lang w:val="sr-Cyrl-CS"/>
        </w:rPr>
        <w:t>i</w:t>
      </w:r>
      <w:r w:rsidR="00806E9B" w:rsidRPr="00E95BC4">
        <w:rPr>
          <w:rFonts w:ascii="Times New Roman" w:hAnsi="Times New Roman"/>
          <w:sz w:val="24"/>
          <w:szCs w:val="24"/>
          <w:lang w:val="sr-Cyrl-CS"/>
        </w:rPr>
        <w:t xml:space="preserve"> </w:t>
      </w:r>
      <w:r>
        <w:rPr>
          <w:rFonts w:ascii="Times New Roman" w:hAnsi="Times New Roman"/>
          <w:sz w:val="24"/>
          <w:szCs w:val="24"/>
          <w:lang w:val="sr-Cyrl-CS"/>
        </w:rPr>
        <w:t>povremeno</w:t>
      </w:r>
      <w:r w:rsidR="00806E9B" w:rsidRPr="00E95BC4">
        <w:rPr>
          <w:rFonts w:ascii="Times New Roman" w:hAnsi="Times New Roman"/>
          <w:sz w:val="24"/>
          <w:szCs w:val="24"/>
          <w:lang w:val="sr-Cyrl-CS"/>
        </w:rPr>
        <w:t xml:space="preserve"> </w:t>
      </w:r>
      <w:r>
        <w:rPr>
          <w:rFonts w:ascii="Times New Roman" w:hAnsi="Times New Roman"/>
          <w:sz w:val="24"/>
          <w:szCs w:val="24"/>
          <w:lang w:val="sr-Cyrl-CS"/>
        </w:rPr>
        <w:t>vršiti</w:t>
      </w:r>
      <w:r w:rsidR="00806E9B" w:rsidRPr="00E95BC4">
        <w:rPr>
          <w:rFonts w:ascii="Times New Roman" w:hAnsi="Times New Roman"/>
          <w:sz w:val="24"/>
          <w:szCs w:val="24"/>
          <w:lang w:val="sr-Cyrl-CS"/>
        </w:rPr>
        <w:t xml:space="preserve"> </w:t>
      </w:r>
      <w:r>
        <w:rPr>
          <w:rFonts w:ascii="Times New Roman" w:hAnsi="Times New Roman"/>
          <w:sz w:val="24"/>
          <w:szCs w:val="24"/>
          <w:lang w:val="sr-Cyrl-CS"/>
        </w:rPr>
        <w:t>pregled</w:t>
      </w:r>
      <w:r w:rsidR="00806E9B" w:rsidRPr="00E95BC4">
        <w:rPr>
          <w:rFonts w:ascii="Times New Roman" w:hAnsi="Times New Roman"/>
          <w:sz w:val="24"/>
          <w:szCs w:val="24"/>
          <w:lang w:val="sr-Cyrl-CS"/>
        </w:rPr>
        <w:t xml:space="preserve"> </w:t>
      </w:r>
      <w:r>
        <w:rPr>
          <w:rFonts w:ascii="Times New Roman" w:hAnsi="Times New Roman"/>
          <w:sz w:val="24"/>
          <w:szCs w:val="24"/>
          <w:lang w:val="sr-Cyrl-CS"/>
        </w:rPr>
        <w:t>sistema</w:t>
      </w:r>
      <w:r w:rsidR="00806E9B" w:rsidRPr="00E95BC4">
        <w:rPr>
          <w:rFonts w:ascii="Times New Roman" w:hAnsi="Times New Roman"/>
          <w:sz w:val="24"/>
          <w:szCs w:val="24"/>
          <w:lang w:val="sr-Cyrl-CS"/>
        </w:rPr>
        <w:t xml:space="preserve"> </w:t>
      </w:r>
      <w:r>
        <w:rPr>
          <w:rFonts w:ascii="Times New Roman" w:hAnsi="Times New Roman"/>
          <w:sz w:val="24"/>
          <w:szCs w:val="24"/>
          <w:lang w:val="sr-Cyrl-CS"/>
        </w:rPr>
        <w:t>radi</w:t>
      </w:r>
      <w:r w:rsidR="00806E9B" w:rsidRPr="00E95BC4">
        <w:rPr>
          <w:rFonts w:ascii="Times New Roman" w:hAnsi="Times New Roman"/>
          <w:sz w:val="24"/>
          <w:szCs w:val="24"/>
          <w:lang w:val="sr-Cyrl-CS"/>
        </w:rPr>
        <w:t xml:space="preserve"> </w:t>
      </w:r>
      <w:r>
        <w:rPr>
          <w:rFonts w:ascii="Times New Roman" w:hAnsi="Times New Roman"/>
          <w:sz w:val="24"/>
          <w:szCs w:val="24"/>
          <w:lang w:val="sr-Cyrl-CS"/>
        </w:rPr>
        <w:t>upodobljavanja</w:t>
      </w:r>
      <w:r w:rsidR="00806E9B" w:rsidRPr="00E95BC4">
        <w:rPr>
          <w:rFonts w:ascii="Times New Roman" w:hAnsi="Times New Roman"/>
          <w:sz w:val="24"/>
          <w:szCs w:val="24"/>
          <w:lang w:val="sr-Cyrl-CS"/>
        </w:rPr>
        <w:t xml:space="preserve"> </w:t>
      </w:r>
      <w:r>
        <w:rPr>
          <w:rFonts w:ascii="Times New Roman" w:hAnsi="Times New Roman"/>
          <w:sz w:val="24"/>
          <w:szCs w:val="24"/>
          <w:lang w:val="sr-Cyrl-CS"/>
        </w:rPr>
        <w:t>sa</w:t>
      </w:r>
      <w:r w:rsidR="00745DD3" w:rsidRPr="00E95BC4">
        <w:rPr>
          <w:rFonts w:ascii="Times New Roman" w:hAnsi="Times New Roman"/>
          <w:sz w:val="24"/>
          <w:szCs w:val="24"/>
          <w:lang w:val="sr-Cyrl-CS"/>
        </w:rPr>
        <w:t xml:space="preserve"> </w:t>
      </w:r>
      <w:r>
        <w:rPr>
          <w:rFonts w:ascii="Times New Roman" w:hAnsi="Times New Roman"/>
          <w:sz w:val="24"/>
          <w:szCs w:val="24"/>
          <w:lang w:val="sr-Cyrl-CS"/>
        </w:rPr>
        <w:t>novim</w:t>
      </w:r>
      <w:r w:rsidR="00806E9B" w:rsidRPr="00E95BC4">
        <w:rPr>
          <w:rFonts w:ascii="Times New Roman" w:hAnsi="Times New Roman"/>
          <w:sz w:val="24"/>
          <w:szCs w:val="24"/>
          <w:lang w:val="sr-Cyrl-CS"/>
        </w:rPr>
        <w:t xml:space="preserve"> </w:t>
      </w:r>
      <w:r>
        <w:rPr>
          <w:rFonts w:ascii="Times New Roman" w:hAnsi="Times New Roman"/>
          <w:sz w:val="24"/>
          <w:szCs w:val="24"/>
          <w:lang w:val="sr-Cyrl-CS"/>
        </w:rPr>
        <w:t>međunarodnim</w:t>
      </w:r>
      <w:r w:rsidR="00806E9B" w:rsidRPr="00E95BC4">
        <w:rPr>
          <w:rFonts w:ascii="Times New Roman" w:hAnsi="Times New Roman"/>
          <w:sz w:val="24"/>
          <w:szCs w:val="24"/>
          <w:lang w:val="sr-Cyrl-CS"/>
        </w:rPr>
        <w:t xml:space="preserve"> </w:t>
      </w:r>
      <w:r>
        <w:rPr>
          <w:rFonts w:ascii="Times New Roman" w:hAnsi="Times New Roman"/>
          <w:sz w:val="24"/>
          <w:szCs w:val="24"/>
          <w:lang w:val="sr-Cyrl-CS"/>
        </w:rPr>
        <w:t>standardima</w:t>
      </w:r>
      <w:r w:rsidR="00806E9B" w:rsidRPr="00E95BC4">
        <w:rPr>
          <w:rFonts w:ascii="Times New Roman" w:hAnsi="Times New Roman"/>
          <w:sz w:val="24"/>
          <w:szCs w:val="24"/>
          <w:lang w:val="sr-Cyrl-CS"/>
        </w:rPr>
        <w:t xml:space="preserve"> </w:t>
      </w:r>
      <w:r>
        <w:rPr>
          <w:rFonts w:ascii="Times New Roman" w:hAnsi="Times New Roman"/>
          <w:sz w:val="24"/>
          <w:szCs w:val="24"/>
          <w:lang w:val="sr-Cyrl-CS"/>
        </w:rPr>
        <w:t>i</w:t>
      </w:r>
      <w:r w:rsidR="00806E9B" w:rsidRPr="00E95BC4">
        <w:rPr>
          <w:rFonts w:ascii="Times New Roman" w:hAnsi="Times New Roman"/>
          <w:sz w:val="24"/>
          <w:szCs w:val="24"/>
          <w:lang w:val="sr-Cyrl-CS"/>
        </w:rPr>
        <w:t xml:space="preserve"> </w:t>
      </w:r>
      <w:r>
        <w:rPr>
          <w:rFonts w:ascii="Times New Roman" w:hAnsi="Times New Roman"/>
          <w:sz w:val="24"/>
          <w:szCs w:val="24"/>
          <w:lang w:val="sr-Cyrl-CS"/>
        </w:rPr>
        <w:t>novouočenim</w:t>
      </w:r>
      <w:r w:rsidR="00806E9B" w:rsidRPr="00E95BC4">
        <w:rPr>
          <w:rFonts w:ascii="Times New Roman" w:hAnsi="Times New Roman"/>
          <w:sz w:val="24"/>
          <w:szCs w:val="24"/>
          <w:lang w:val="sr-Cyrl-CS"/>
        </w:rPr>
        <w:t xml:space="preserve"> </w:t>
      </w:r>
      <w:r>
        <w:rPr>
          <w:rFonts w:ascii="Times New Roman" w:hAnsi="Times New Roman"/>
          <w:sz w:val="24"/>
          <w:szCs w:val="24"/>
          <w:lang w:val="sr-Cyrl-CS"/>
        </w:rPr>
        <w:t>rizicima</w:t>
      </w:r>
      <w:r w:rsidR="00806E9B" w:rsidRPr="00E95BC4">
        <w:rPr>
          <w:rFonts w:ascii="Times New Roman" w:hAnsi="Times New Roman"/>
          <w:sz w:val="24"/>
          <w:szCs w:val="24"/>
          <w:lang w:val="sr-Cyrl-CS"/>
        </w:rPr>
        <w:t xml:space="preserve">. </w:t>
      </w:r>
    </w:p>
    <w:p w:rsidR="00665BC3" w:rsidRPr="00E95BC4" w:rsidRDefault="00665BC3" w:rsidP="00665BC3">
      <w:pPr>
        <w:pStyle w:val="Heading1"/>
        <w:spacing w:before="0"/>
        <w:ind w:firstLine="720"/>
        <w:rPr>
          <w:rFonts w:ascii="Times New Roman" w:hAnsi="Times New Roman" w:cs="Times New Roman"/>
          <w:sz w:val="24"/>
          <w:szCs w:val="24"/>
          <w:lang w:val="sr-Cyrl-CS"/>
        </w:rPr>
      </w:pPr>
    </w:p>
    <w:p w:rsidR="00A278FF" w:rsidRPr="00E95BC4" w:rsidRDefault="005818C0" w:rsidP="00665BC3">
      <w:pPr>
        <w:pStyle w:val="Heading1"/>
        <w:spacing w:before="0"/>
        <w:ind w:firstLine="720"/>
        <w:rPr>
          <w:rFonts w:ascii="Times New Roman" w:hAnsi="Times New Roman" w:cs="Times New Roman"/>
          <w:color w:val="auto"/>
          <w:sz w:val="24"/>
          <w:szCs w:val="24"/>
          <w:lang w:val="sr-Cyrl-CS"/>
        </w:rPr>
      </w:pPr>
      <w:bookmarkStart w:id="5" w:name="_Toc32409894"/>
      <w:r>
        <w:rPr>
          <w:rFonts w:ascii="Times New Roman" w:hAnsi="Times New Roman" w:cs="Times New Roman"/>
          <w:color w:val="auto"/>
          <w:sz w:val="24"/>
          <w:szCs w:val="24"/>
          <w:lang w:val="sr-Cyrl-CS"/>
        </w:rPr>
        <w:t>Promena</w:t>
      </w:r>
      <w:r w:rsidR="00A278FF" w:rsidRPr="00E95BC4">
        <w:rPr>
          <w:rFonts w:ascii="Times New Roman" w:hAnsi="Times New Roman" w:cs="Times New Roman"/>
          <w:color w:val="auto"/>
          <w:sz w:val="24"/>
          <w:szCs w:val="24"/>
          <w:lang w:val="sr-Cyrl-CS"/>
        </w:rPr>
        <w:t xml:space="preserve"> </w:t>
      </w:r>
      <w:r>
        <w:rPr>
          <w:rFonts w:ascii="Times New Roman" w:hAnsi="Times New Roman" w:cs="Times New Roman"/>
          <w:color w:val="auto"/>
          <w:sz w:val="24"/>
          <w:szCs w:val="24"/>
          <w:lang w:val="sr-Cyrl-CS"/>
        </w:rPr>
        <w:t>koja</w:t>
      </w:r>
      <w:r w:rsidR="00A278FF" w:rsidRPr="00E95BC4">
        <w:rPr>
          <w:rFonts w:ascii="Times New Roman" w:hAnsi="Times New Roman" w:cs="Times New Roman"/>
          <w:color w:val="auto"/>
          <w:sz w:val="24"/>
          <w:szCs w:val="24"/>
          <w:lang w:val="sr-Cyrl-CS"/>
        </w:rPr>
        <w:t xml:space="preserve"> </w:t>
      </w:r>
      <w:r>
        <w:rPr>
          <w:rFonts w:ascii="Times New Roman" w:hAnsi="Times New Roman" w:cs="Times New Roman"/>
          <w:color w:val="auto"/>
          <w:sz w:val="24"/>
          <w:szCs w:val="24"/>
          <w:lang w:val="sr-Cyrl-CS"/>
        </w:rPr>
        <w:t>se</w:t>
      </w:r>
      <w:r w:rsidR="00A278FF" w:rsidRPr="00E95BC4">
        <w:rPr>
          <w:rFonts w:ascii="Times New Roman" w:hAnsi="Times New Roman" w:cs="Times New Roman"/>
          <w:color w:val="auto"/>
          <w:sz w:val="24"/>
          <w:szCs w:val="24"/>
          <w:lang w:val="sr-Cyrl-CS"/>
        </w:rPr>
        <w:t xml:space="preserve"> </w:t>
      </w:r>
      <w:r>
        <w:rPr>
          <w:rFonts w:ascii="Times New Roman" w:hAnsi="Times New Roman" w:cs="Times New Roman"/>
          <w:color w:val="auto"/>
          <w:sz w:val="24"/>
          <w:szCs w:val="24"/>
          <w:lang w:val="sr-Cyrl-CS"/>
        </w:rPr>
        <w:t>postiže</w:t>
      </w:r>
      <w:r w:rsidR="00A278FF" w:rsidRPr="00E95BC4">
        <w:rPr>
          <w:rFonts w:ascii="Times New Roman" w:hAnsi="Times New Roman" w:cs="Times New Roman"/>
          <w:color w:val="auto"/>
          <w:sz w:val="24"/>
          <w:szCs w:val="24"/>
          <w:lang w:val="sr-Cyrl-CS"/>
        </w:rPr>
        <w:t xml:space="preserve"> </w:t>
      </w:r>
      <w:r>
        <w:rPr>
          <w:rFonts w:ascii="Times New Roman" w:hAnsi="Times New Roman" w:cs="Times New Roman"/>
          <w:color w:val="auto"/>
          <w:sz w:val="24"/>
          <w:szCs w:val="24"/>
          <w:lang w:val="sr-Cyrl-CS"/>
        </w:rPr>
        <w:t>sprovođenjem</w:t>
      </w:r>
      <w:r w:rsidR="00A278FF" w:rsidRPr="00E95BC4">
        <w:rPr>
          <w:rFonts w:ascii="Times New Roman" w:hAnsi="Times New Roman" w:cs="Times New Roman"/>
          <w:color w:val="auto"/>
          <w:sz w:val="24"/>
          <w:szCs w:val="24"/>
          <w:lang w:val="sr-Cyrl-CS"/>
        </w:rPr>
        <w:t xml:space="preserve"> </w:t>
      </w:r>
      <w:r>
        <w:rPr>
          <w:rFonts w:ascii="Times New Roman" w:hAnsi="Times New Roman" w:cs="Times New Roman"/>
          <w:color w:val="auto"/>
          <w:sz w:val="24"/>
          <w:szCs w:val="24"/>
          <w:lang w:val="sr-Cyrl-CS"/>
        </w:rPr>
        <w:t>strategije</w:t>
      </w:r>
      <w:bookmarkEnd w:id="5"/>
    </w:p>
    <w:p w:rsidR="00665BC3" w:rsidRPr="00E95BC4" w:rsidRDefault="00A278FF" w:rsidP="00665BC3">
      <w:pPr>
        <w:jc w:val="both"/>
        <w:rPr>
          <w:b/>
          <w:lang w:val="sr-Cyrl-CS"/>
        </w:rPr>
      </w:pPr>
      <w:r w:rsidRPr="00E95BC4">
        <w:rPr>
          <w:b/>
          <w:lang w:val="sr-Cyrl-CS"/>
        </w:rPr>
        <w:tab/>
      </w:r>
    </w:p>
    <w:p w:rsidR="00D9541E" w:rsidRPr="00E95BC4" w:rsidRDefault="005818C0" w:rsidP="00665BC3">
      <w:pPr>
        <w:ind w:firstLine="720"/>
        <w:jc w:val="both"/>
        <w:rPr>
          <w:lang w:val="sr-Cyrl-CS"/>
        </w:rPr>
      </w:pPr>
      <w:r>
        <w:rPr>
          <w:b/>
          <w:lang w:val="sr-Cyrl-CS"/>
        </w:rPr>
        <w:t>Projekcija</w:t>
      </w:r>
      <w:r w:rsidR="002C54BD" w:rsidRPr="00E95BC4">
        <w:rPr>
          <w:b/>
          <w:lang w:val="sr-Cyrl-CS"/>
        </w:rPr>
        <w:t xml:space="preserve"> </w:t>
      </w:r>
      <w:r>
        <w:rPr>
          <w:b/>
          <w:lang w:val="sr-Cyrl-CS"/>
        </w:rPr>
        <w:t>željene</w:t>
      </w:r>
      <w:r w:rsidR="002C54BD" w:rsidRPr="00E95BC4">
        <w:rPr>
          <w:b/>
          <w:lang w:val="sr-Cyrl-CS"/>
        </w:rPr>
        <w:t xml:space="preserve"> </w:t>
      </w:r>
      <w:r>
        <w:rPr>
          <w:b/>
          <w:lang w:val="sr-Cyrl-CS"/>
        </w:rPr>
        <w:t>promene</w:t>
      </w:r>
      <w:r w:rsidR="00163505" w:rsidRPr="00E95BC4">
        <w:rPr>
          <w:b/>
          <w:lang w:val="sr-Cyrl-CS"/>
        </w:rPr>
        <w:t xml:space="preserve">. </w:t>
      </w:r>
      <w:r>
        <w:rPr>
          <w:i/>
          <w:lang w:val="sr-Cyrl-CS"/>
        </w:rPr>
        <w:t>Opšti</w:t>
      </w:r>
      <w:r w:rsidR="00163505" w:rsidRPr="00E95BC4">
        <w:rPr>
          <w:lang w:val="sr-Cyrl-CS"/>
        </w:rPr>
        <w:t xml:space="preserve"> </w:t>
      </w:r>
      <w:r>
        <w:rPr>
          <w:lang w:val="sr-Cyrl-CS"/>
        </w:rPr>
        <w:t>cilj</w:t>
      </w:r>
      <w:r w:rsidR="00163505" w:rsidRPr="00E95BC4">
        <w:rPr>
          <w:lang w:val="sr-Cyrl-CS"/>
        </w:rPr>
        <w:t xml:space="preserve"> </w:t>
      </w:r>
      <w:r w:rsidR="006D3236" w:rsidRPr="00E95BC4">
        <w:rPr>
          <w:lang w:val="sr-Cyrl-CS"/>
        </w:rPr>
        <w:t>(</w:t>
      </w:r>
      <w:r>
        <w:rPr>
          <w:lang w:val="sr-Cyrl-CS"/>
        </w:rPr>
        <w:t>engl</w:t>
      </w:r>
      <w:r w:rsidR="006D3236" w:rsidRPr="00E95BC4">
        <w:rPr>
          <w:lang w:val="sr-Cyrl-CS"/>
        </w:rPr>
        <w:t xml:space="preserve">. </w:t>
      </w:r>
      <w:r w:rsidR="006D3236" w:rsidRPr="00E95BC4">
        <w:rPr>
          <w:i/>
          <w:lang w:val="sr-Cyrl-CS"/>
        </w:rPr>
        <w:t>high-level objective</w:t>
      </w:r>
      <w:r w:rsidR="006D3236" w:rsidRPr="00E95BC4">
        <w:rPr>
          <w:lang w:val="sr-Cyrl-CS"/>
        </w:rPr>
        <w:t xml:space="preserve">) </w:t>
      </w:r>
      <w:r>
        <w:rPr>
          <w:lang w:val="sr-Cyrl-CS"/>
        </w:rPr>
        <w:t>definisan</w:t>
      </w:r>
      <w:r w:rsidR="00163505" w:rsidRPr="00E95BC4">
        <w:rPr>
          <w:lang w:val="sr-Cyrl-CS"/>
        </w:rPr>
        <w:t xml:space="preserve"> </w:t>
      </w:r>
      <w:r>
        <w:rPr>
          <w:lang w:val="sr-Cyrl-CS"/>
        </w:rPr>
        <w:t>metodologijom</w:t>
      </w:r>
      <w:r w:rsidR="00163505" w:rsidRPr="00E95BC4">
        <w:rPr>
          <w:lang w:val="sr-Cyrl-CS"/>
        </w:rPr>
        <w:t xml:space="preserve"> </w:t>
      </w:r>
      <w:r>
        <w:rPr>
          <w:lang w:val="sr-Cyrl-CS"/>
        </w:rPr>
        <w:t>FATF</w:t>
      </w:r>
      <w:r w:rsidR="006D3236" w:rsidRPr="00E95BC4">
        <w:rPr>
          <w:lang w:val="sr-Cyrl-CS"/>
        </w:rPr>
        <w:t xml:space="preserve"> </w:t>
      </w:r>
      <w:r>
        <w:rPr>
          <w:lang w:val="sr-Cyrl-CS"/>
        </w:rPr>
        <w:t>sa</w:t>
      </w:r>
      <w:r w:rsidR="006D3236" w:rsidRPr="00E95BC4">
        <w:rPr>
          <w:lang w:val="sr-Cyrl-CS"/>
        </w:rPr>
        <w:t xml:space="preserve"> </w:t>
      </w:r>
      <w:r>
        <w:rPr>
          <w:lang w:val="sr-Cyrl-CS"/>
        </w:rPr>
        <w:t>svojim</w:t>
      </w:r>
      <w:r w:rsidR="006D3236" w:rsidRPr="00E95BC4">
        <w:rPr>
          <w:lang w:val="sr-Cyrl-CS"/>
        </w:rPr>
        <w:t xml:space="preserve"> </w:t>
      </w:r>
      <w:r>
        <w:rPr>
          <w:i/>
          <w:lang w:val="sr-Cyrl-CS"/>
        </w:rPr>
        <w:t>posebnim</w:t>
      </w:r>
      <w:r w:rsidR="000C7714" w:rsidRPr="00E95BC4">
        <w:rPr>
          <w:i/>
          <w:lang w:val="sr-Cyrl-CS"/>
        </w:rPr>
        <w:t xml:space="preserve"> </w:t>
      </w:r>
      <w:r>
        <w:rPr>
          <w:i/>
          <w:lang w:val="sr-Cyrl-CS"/>
        </w:rPr>
        <w:t>ciljevima</w:t>
      </w:r>
      <w:r w:rsidR="00163505" w:rsidRPr="00E95BC4">
        <w:rPr>
          <w:lang w:val="sr-Cyrl-CS"/>
        </w:rPr>
        <w:t xml:space="preserve"> </w:t>
      </w:r>
      <w:r>
        <w:rPr>
          <w:lang w:val="sr-Cyrl-CS"/>
        </w:rPr>
        <w:t>i</w:t>
      </w:r>
      <w:r w:rsidR="00163505" w:rsidRPr="00E95BC4">
        <w:rPr>
          <w:lang w:val="sr-Cyrl-CS"/>
        </w:rPr>
        <w:t xml:space="preserve"> </w:t>
      </w:r>
      <w:r>
        <w:rPr>
          <w:i/>
          <w:lang w:val="sr-Cyrl-CS"/>
        </w:rPr>
        <w:t>neposrednim</w:t>
      </w:r>
      <w:r w:rsidR="000C7714" w:rsidRPr="00E95BC4">
        <w:rPr>
          <w:i/>
          <w:lang w:val="sr-Cyrl-CS"/>
        </w:rPr>
        <w:t xml:space="preserve"> </w:t>
      </w:r>
      <w:r>
        <w:rPr>
          <w:i/>
          <w:lang w:val="sr-Cyrl-CS"/>
        </w:rPr>
        <w:t>ishodima</w:t>
      </w:r>
      <w:r w:rsidR="00163505" w:rsidRPr="00E95BC4">
        <w:rPr>
          <w:lang w:val="sr-Cyrl-CS"/>
        </w:rPr>
        <w:t xml:space="preserve"> </w:t>
      </w:r>
      <w:r>
        <w:rPr>
          <w:lang w:val="sr-Cyrl-CS"/>
        </w:rPr>
        <w:t>uspešnog</w:t>
      </w:r>
      <w:r w:rsidR="00163505" w:rsidRPr="00E95BC4">
        <w:rPr>
          <w:lang w:val="sr-Cyrl-CS"/>
        </w:rPr>
        <w:t xml:space="preserve"> </w:t>
      </w:r>
      <w:r>
        <w:rPr>
          <w:lang w:val="sr-Cyrl-CS"/>
        </w:rPr>
        <w:t>sistema</w:t>
      </w:r>
      <w:r w:rsidR="00163505" w:rsidRPr="00E95BC4">
        <w:rPr>
          <w:lang w:val="sr-Cyrl-CS"/>
        </w:rPr>
        <w:t xml:space="preserve"> </w:t>
      </w:r>
      <w:r>
        <w:rPr>
          <w:lang w:val="sr-Cyrl-CS"/>
        </w:rPr>
        <w:t>za</w:t>
      </w:r>
      <w:r w:rsidR="00163505" w:rsidRPr="00E95BC4">
        <w:rPr>
          <w:lang w:val="sr-Cyrl-CS"/>
        </w:rPr>
        <w:t xml:space="preserve"> </w:t>
      </w:r>
      <w:r>
        <w:rPr>
          <w:lang w:val="sr-Cyrl-CS"/>
        </w:rPr>
        <w:t>borbu</w:t>
      </w:r>
      <w:r w:rsidR="00163505" w:rsidRPr="00E95BC4">
        <w:rPr>
          <w:lang w:val="sr-Cyrl-CS"/>
        </w:rPr>
        <w:t xml:space="preserve"> </w:t>
      </w:r>
      <w:r>
        <w:rPr>
          <w:lang w:val="sr-Cyrl-CS"/>
        </w:rPr>
        <w:t>protiv</w:t>
      </w:r>
      <w:r w:rsidR="00163505" w:rsidRPr="00E95BC4">
        <w:rPr>
          <w:lang w:val="sr-Cyrl-CS"/>
        </w:rPr>
        <w:t xml:space="preserve"> </w:t>
      </w:r>
      <w:r>
        <w:rPr>
          <w:lang w:val="sr-Cyrl-CS"/>
        </w:rPr>
        <w:t>pranja</w:t>
      </w:r>
      <w:r w:rsidR="00163505" w:rsidRPr="00E95BC4">
        <w:rPr>
          <w:lang w:val="sr-Cyrl-CS"/>
        </w:rPr>
        <w:t xml:space="preserve"> </w:t>
      </w:r>
      <w:r>
        <w:rPr>
          <w:lang w:val="sr-Cyrl-CS"/>
        </w:rPr>
        <w:t>novca</w:t>
      </w:r>
      <w:r w:rsidR="00163505" w:rsidRPr="00E95BC4">
        <w:rPr>
          <w:lang w:val="sr-Cyrl-CS"/>
        </w:rPr>
        <w:t xml:space="preserve"> </w:t>
      </w:r>
      <w:r>
        <w:rPr>
          <w:lang w:val="sr-Cyrl-CS"/>
        </w:rPr>
        <w:t>koji</w:t>
      </w:r>
      <w:r w:rsidR="00163505" w:rsidRPr="00E95BC4">
        <w:rPr>
          <w:lang w:val="sr-Cyrl-CS"/>
        </w:rPr>
        <w:t xml:space="preserve"> </w:t>
      </w:r>
      <w:r>
        <w:rPr>
          <w:lang w:val="sr-Cyrl-CS"/>
        </w:rPr>
        <w:t>je</w:t>
      </w:r>
      <w:r w:rsidR="00163505" w:rsidRPr="00E95BC4">
        <w:rPr>
          <w:lang w:val="sr-Cyrl-CS"/>
        </w:rPr>
        <w:t xml:space="preserve"> </w:t>
      </w:r>
      <w:r>
        <w:rPr>
          <w:lang w:val="sr-Cyrl-CS"/>
        </w:rPr>
        <w:t>u</w:t>
      </w:r>
      <w:r w:rsidR="00163505" w:rsidRPr="00E95BC4">
        <w:rPr>
          <w:lang w:val="sr-Cyrl-CS"/>
        </w:rPr>
        <w:t xml:space="preserve"> </w:t>
      </w:r>
      <w:r>
        <w:rPr>
          <w:lang w:val="sr-Cyrl-CS"/>
        </w:rPr>
        <w:t>svojoj</w:t>
      </w:r>
      <w:r w:rsidR="00163505" w:rsidRPr="00E95BC4">
        <w:rPr>
          <w:lang w:val="sr-Cyrl-CS"/>
        </w:rPr>
        <w:t xml:space="preserve"> </w:t>
      </w:r>
      <w:r>
        <w:rPr>
          <w:lang w:val="sr-Cyrl-CS"/>
        </w:rPr>
        <w:t>metodologiji</w:t>
      </w:r>
      <w:r w:rsidR="00163505" w:rsidRPr="00E95BC4">
        <w:rPr>
          <w:lang w:val="sr-Cyrl-CS"/>
        </w:rPr>
        <w:t xml:space="preserve"> </w:t>
      </w:r>
      <w:r>
        <w:rPr>
          <w:lang w:val="sr-Cyrl-CS"/>
        </w:rPr>
        <w:t>dao</w:t>
      </w:r>
      <w:r w:rsidR="00163505" w:rsidRPr="00E95BC4">
        <w:rPr>
          <w:lang w:val="sr-Cyrl-CS"/>
        </w:rPr>
        <w:t xml:space="preserve"> </w:t>
      </w:r>
      <w:r>
        <w:rPr>
          <w:lang w:val="sr-Cyrl-CS"/>
        </w:rPr>
        <w:t>FATF</w:t>
      </w:r>
      <w:r w:rsidR="006D3236" w:rsidRPr="00E95BC4">
        <w:rPr>
          <w:lang w:val="sr-Cyrl-CS"/>
        </w:rPr>
        <w:t xml:space="preserve"> </w:t>
      </w:r>
      <w:r>
        <w:rPr>
          <w:lang w:val="sr-Cyrl-CS"/>
        </w:rPr>
        <w:t>predstavlja</w:t>
      </w:r>
      <w:r w:rsidR="006D3236" w:rsidRPr="00E95BC4">
        <w:rPr>
          <w:lang w:val="sr-Cyrl-CS"/>
        </w:rPr>
        <w:t xml:space="preserve"> </w:t>
      </w:r>
      <w:r>
        <w:rPr>
          <w:lang w:val="sr-Cyrl-CS"/>
        </w:rPr>
        <w:t>projekciju</w:t>
      </w:r>
      <w:r w:rsidR="006D3236" w:rsidRPr="00E95BC4">
        <w:rPr>
          <w:lang w:val="sr-Cyrl-CS"/>
        </w:rPr>
        <w:t xml:space="preserve"> </w:t>
      </w:r>
      <w:r>
        <w:rPr>
          <w:lang w:val="sr-Cyrl-CS"/>
        </w:rPr>
        <w:t>željene</w:t>
      </w:r>
      <w:r w:rsidR="002C54BD" w:rsidRPr="00E95BC4">
        <w:rPr>
          <w:lang w:val="sr-Cyrl-CS"/>
        </w:rPr>
        <w:t xml:space="preserve"> </w:t>
      </w:r>
      <w:r>
        <w:rPr>
          <w:lang w:val="sr-Cyrl-CS"/>
        </w:rPr>
        <w:t>promene</w:t>
      </w:r>
      <w:r w:rsidR="00AD151C" w:rsidRPr="00E95BC4">
        <w:rPr>
          <w:lang w:val="sr-Cyrl-CS"/>
        </w:rPr>
        <w:t xml:space="preserve"> </w:t>
      </w:r>
      <w:r>
        <w:rPr>
          <w:lang w:val="sr-Cyrl-CS"/>
        </w:rPr>
        <w:t>do</w:t>
      </w:r>
      <w:r w:rsidR="00AD151C" w:rsidRPr="00E95BC4">
        <w:rPr>
          <w:lang w:val="sr-Cyrl-CS"/>
        </w:rPr>
        <w:t xml:space="preserve"> </w:t>
      </w:r>
      <w:r>
        <w:rPr>
          <w:lang w:val="sr-Cyrl-CS"/>
        </w:rPr>
        <w:t>koje</w:t>
      </w:r>
      <w:r w:rsidR="00AD151C" w:rsidRPr="00E95BC4">
        <w:rPr>
          <w:lang w:val="sr-Cyrl-CS"/>
        </w:rPr>
        <w:t xml:space="preserve"> </w:t>
      </w:r>
      <w:r>
        <w:rPr>
          <w:lang w:val="sr-Cyrl-CS"/>
        </w:rPr>
        <w:t>će</w:t>
      </w:r>
      <w:r w:rsidR="00AD151C" w:rsidRPr="00E95BC4">
        <w:rPr>
          <w:lang w:val="sr-Cyrl-CS"/>
        </w:rPr>
        <w:t xml:space="preserve"> </w:t>
      </w:r>
      <w:r>
        <w:rPr>
          <w:lang w:val="sr-Cyrl-CS"/>
        </w:rPr>
        <w:t>dovesti</w:t>
      </w:r>
      <w:r w:rsidR="00AD151C" w:rsidRPr="00E95BC4">
        <w:rPr>
          <w:lang w:val="sr-Cyrl-CS"/>
        </w:rPr>
        <w:t xml:space="preserve"> </w:t>
      </w:r>
      <w:r>
        <w:rPr>
          <w:lang w:val="sr-Cyrl-CS"/>
        </w:rPr>
        <w:t>niže</w:t>
      </w:r>
      <w:r w:rsidR="00AD151C" w:rsidRPr="00E95BC4">
        <w:rPr>
          <w:lang w:val="sr-Cyrl-CS"/>
        </w:rPr>
        <w:t xml:space="preserve"> </w:t>
      </w:r>
      <w:r>
        <w:rPr>
          <w:lang w:val="sr-Cyrl-CS"/>
        </w:rPr>
        <w:t>navedeni</w:t>
      </w:r>
      <w:r w:rsidR="00AD151C" w:rsidRPr="00E95BC4">
        <w:rPr>
          <w:lang w:val="sr-Cyrl-CS"/>
        </w:rPr>
        <w:t xml:space="preserve"> </w:t>
      </w:r>
      <w:r>
        <w:rPr>
          <w:lang w:val="sr-Cyrl-CS"/>
        </w:rPr>
        <w:t>ciljevi</w:t>
      </w:r>
      <w:r w:rsidR="00AD151C" w:rsidRPr="00E95BC4">
        <w:rPr>
          <w:lang w:val="sr-Cyrl-CS"/>
        </w:rPr>
        <w:t xml:space="preserve"> </w:t>
      </w:r>
      <w:r>
        <w:rPr>
          <w:lang w:val="sr-Cyrl-CS"/>
        </w:rPr>
        <w:t>i</w:t>
      </w:r>
      <w:r w:rsidR="00AD151C" w:rsidRPr="00E95BC4">
        <w:rPr>
          <w:lang w:val="sr-Cyrl-CS"/>
        </w:rPr>
        <w:t xml:space="preserve"> </w:t>
      </w:r>
      <w:r>
        <w:rPr>
          <w:lang w:val="sr-Cyrl-CS"/>
        </w:rPr>
        <w:t>mere</w:t>
      </w:r>
      <w:r w:rsidR="00AD151C" w:rsidRPr="00E95BC4">
        <w:rPr>
          <w:lang w:val="sr-Cyrl-CS"/>
        </w:rPr>
        <w:t xml:space="preserve"> </w:t>
      </w:r>
      <w:r>
        <w:rPr>
          <w:lang w:val="sr-Cyrl-CS"/>
        </w:rPr>
        <w:t>Strategije</w:t>
      </w:r>
      <w:r w:rsidR="006D3236" w:rsidRPr="00E95BC4">
        <w:rPr>
          <w:lang w:val="sr-Cyrl-CS"/>
        </w:rPr>
        <w:t>.</w:t>
      </w:r>
    </w:p>
    <w:p w:rsidR="00040297" w:rsidRPr="00E95BC4" w:rsidRDefault="00040297" w:rsidP="00285FD7">
      <w:pPr>
        <w:rPr>
          <w:lang w:val="sr-Cyrl-CS"/>
        </w:rPr>
      </w:pPr>
    </w:p>
    <w:p w:rsidR="00C21C2C" w:rsidRPr="00E95BC4" w:rsidRDefault="00C21C2C" w:rsidP="00285FD7">
      <w:pPr>
        <w:rPr>
          <w:b/>
          <w:lang w:val="sr-Cyrl-CS"/>
        </w:rPr>
      </w:pPr>
    </w:p>
    <w:p w:rsidR="00C21C2C" w:rsidRPr="00E95BC4" w:rsidRDefault="00C21C2C" w:rsidP="00285FD7">
      <w:pPr>
        <w:rPr>
          <w:b/>
          <w:lang w:val="sr-Cyrl-CS"/>
        </w:rPr>
      </w:pPr>
    </w:p>
    <w:p w:rsidR="00C21C2C" w:rsidRPr="00E95BC4" w:rsidRDefault="00C21C2C" w:rsidP="00285FD7">
      <w:pPr>
        <w:rPr>
          <w:b/>
          <w:lang w:val="sr-Cyrl-CS"/>
        </w:rPr>
      </w:pPr>
    </w:p>
    <w:p w:rsidR="00C21C2C" w:rsidRPr="00E95BC4" w:rsidRDefault="00C21C2C" w:rsidP="00285FD7">
      <w:pPr>
        <w:rPr>
          <w:b/>
          <w:lang w:val="sr-Cyrl-CS"/>
        </w:rPr>
      </w:pPr>
    </w:p>
    <w:p w:rsidR="002C54BD" w:rsidRPr="00E95BC4" w:rsidRDefault="005818C0" w:rsidP="00285FD7">
      <w:pPr>
        <w:rPr>
          <w:b/>
          <w:lang w:val="sr-Cyrl-CS"/>
        </w:rPr>
      </w:pPr>
      <w:r>
        <w:rPr>
          <w:b/>
          <w:lang w:val="sr-Cyrl-CS"/>
        </w:rPr>
        <w:t>Izvod</w:t>
      </w:r>
      <w:r w:rsidR="002C54BD" w:rsidRPr="00E95BC4">
        <w:rPr>
          <w:b/>
          <w:lang w:val="sr-Cyrl-CS"/>
        </w:rPr>
        <w:t xml:space="preserve"> </w:t>
      </w:r>
      <w:r>
        <w:rPr>
          <w:b/>
          <w:lang w:val="sr-Cyrl-CS"/>
        </w:rPr>
        <w:t>iz</w:t>
      </w:r>
      <w:r w:rsidR="002C54BD" w:rsidRPr="00E95BC4">
        <w:rPr>
          <w:b/>
          <w:lang w:val="sr-Cyrl-CS"/>
        </w:rPr>
        <w:t xml:space="preserve"> </w:t>
      </w:r>
      <w:r>
        <w:rPr>
          <w:b/>
          <w:lang w:val="sr-Cyrl-CS"/>
        </w:rPr>
        <w:t>Metodologije</w:t>
      </w:r>
      <w:r w:rsidR="002C54BD" w:rsidRPr="00E95BC4">
        <w:rPr>
          <w:b/>
          <w:lang w:val="sr-Cyrl-CS"/>
        </w:rPr>
        <w:t xml:space="preserve"> </w:t>
      </w:r>
      <w:r>
        <w:rPr>
          <w:b/>
          <w:lang w:val="sr-Cyrl-CS"/>
        </w:rPr>
        <w:t>FATF</w:t>
      </w:r>
      <w:r w:rsidR="002C54BD" w:rsidRPr="00E95BC4">
        <w:rPr>
          <w:b/>
          <w:lang w:val="sr-Cyrl-CS"/>
        </w:rPr>
        <w:t>:</w:t>
      </w:r>
    </w:p>
    <w:tbl>
      <w:tblPr>
        <w:tblStyle w:val="MediumGrid3-Accent1"/>
        <w:tblW w:w="9464" w:type="dxa"/>
        <w:tblLayout w:type="fixed"/>
        <w:tblLook w:val="04A0"/>
      </w:tblPr>
      <w:tblGrid>
        <w:gridCol w:w="2268"/>
        <w:gridCol w:w="709"/>
        <w:gridCol w:w="6487"/>
      </w:tblGrid>
      <w:tr w:rsidR="0088138E" w:rsidRPr="00E95BC4" w:rsidTr="00665BC3">
        <w:trPr>
          <w:cnfStyle w:val="100000000000"/>
        </w:trPr>
        <w:tc>
          <w:tcPr>
            <w:cnfStyle w:val="001000000000"/>
            <w:tcW w:w="9464" w:type="dxa"/>
            <w:gridSpan w:val="3"/>
          </w:tcPr>
          <w:p w:rsidR="0088138E" w:rsidRPr="00E95BC4" w:rsidRDefault="005818C0" w:rsidP="00285FD7">
            <w:pPr>
              <w:pStyle w:val="FATF-TEXTE1115"/>
              <w:spacing w:after="0" w:line="240" w:lineRule="auto"/>
              <w:jc w:val="center"/>
              <w:rPr>
                <w:rFonts w:ascii="Times New Roman" w:hAnsi="Times New Roman"/>
                <w:color w:val="FFFFFF" w:themeColor="background1"/>
                <w:sz w:val="24"/>
                <w:szCs w:val="24"/>
                <w:lang w:val="sr-Cyrl-CS"/>
              </w:rPr>
            </w:pPr>
            <w:r>
              <w:rPr>
                <w:rFonts w:ascii="Times New Roman" w:hAnsi="Times New Roman"/>
                <w:bCs w:val="0"/>
                <w:color w:val="FFFFFF" w:themeColor="background1"/>
                <w:sz w:val="24"/>
                <w:szCs w:val="24"/>
                <w:lang w:val="sr-Cyrl-CS"/>
              </w:rPr>
              <w:t>Opšti</w:t>
            </w:r>
            <w:r w:rsidR="0088138E" w:rsidRPr="00E95BC4">
              <w:rPr>
                <w:rFonts w:ascii="Times New Roman" w:hAnsi="Times New Roman"/>
                <w:bCs w:val="0"/>
                <w:color w:val="FFFFFF" w:themeColor="background1"/>
                <w:sz w:val="24"/>
                <w:szCs w:val="24"/>
                <w:lang w:val="sr-Cyrl-CS"/>
              </w:rPr>
              <w:t xml:space="preserve"> </w:t>
            </w:r>
            <w:r>
              <w:rPr>
                <w:rFonts w:ascii="Times New Roman" w:hAnsi="Times New Roman"/>
                <w:bCs w:val="0"/>
                <w:color w:val="FFFFFF" w:themeColor="background1"/>
                <w:sz w:val="24"/>
                <w:szCs w:val="24"/>
                <w:lang w:val="sr-Cyrl-CS"/>
              </w:rPr>
              <w:t>cilj</w:t>
            </w:r>
            <w:r w:rsidR="00972C36" w:rsidRPr="00E95BC4">
              <w:rPr>
                <w:rFonts w:ascii="Times New Roman" w:hAnsi="Times New Roman"/>
                <w:bCs w:val="0"/>
                <w:color w:val="FFFFFF" w:themeColor="background1"/>
                <w:sz w:val="24"/>
                <w:szCs w:val="24"/>
                <w:lang w:val="sr-Cyrl-CS"/>
              </w:rPr>
              <w:t xml:space="preserve"> (High-Level Objective)</w:t>
            </w:r>
          </w:p>
          <w:p w:rsidR="0088138E" w:rsidRPr="00E95BC4" w:rsidRDefault="005818C0" w:rsidP="00285FD7">
            <w:pPr>
              <w:pStyle w:val="FATF-TEXTE1115"/>
              <w:spacing w:after="0" w:line="240" w:lineRule="auto"/>
              <w:jc w:val="center"/>
              <w:rPr>
                <w:rFonts w:ascii="Times New Roman" w:hAnsi="Times New Roman"/>
                <w:b w:val="0"/>
                <w:sz w:val="24"/>
                <w:szCs w:val="24"/>
                <w:lang w:val="sr-Cyrl-CS"/>
              </w:rPr>
            </w:pPr>
            <w:r>
              <w:rPr>
                <w:rFonts w:ascii="Times New Roman" w:hAnsi="Times New Roman"/>
                <w:b w:val="0"/>
                <w:color w:val="FFFFFF" w:themeColor="background1"/>
                <w:sz w:val="24"/>
                <w:szCs w:val="24"/>
                <w:lang w:val="sr-Cyrl-CS"/>
              </w:rPr>
              <w:t>Finansijski</w:t>
            </w:r>
            <w:r w:rsidR="0088138E"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t>sistem</w:t>
            </w:r>
            <w:r w:rsidR="0088138E"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t>i</w:t>
            </w:r>
            <w:r w:rsidR="0088138E"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t>šira</w:t>
            </w:r>
            <w:r w:rsidR="0088138E"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t>ekonomija</w:t>
            </w:r>
            <w:r w:rsidR="0088138E"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t>zaštićeni</w:t>
            </w:r>
            <w:r w:rsidR="0088138E"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t>su</w:t>
            </w:r>
            <w:r w:rsidR="0088138E"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t>od</w:t>
            </w:r>
            <w:r w:rsidR="0088138E"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t>pretnji</w:t>
            </w:r>
            <w:r w:rsidR="0088138E"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t>pranja</w:t>
            </w:r>
            <w:r w:rsidR="0088138E"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t>novca</w:t>
            </w:r>
            <w:r w:rsidR="0088138E"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t>i</w:t>
            </w:r>
            <w:r w:rsidR="0088138E"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t>finansiranja</w:t>
            </w:r>
            <w:r w:rsidR="0088138E"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t>terorizma</w:t>
            </w:r>
            <w:r w:rsidR="0088138E"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t>i</w:t>
            </w:r>
            <w:r w:rsidR="0088138E"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t>širenja</w:t>
            </w:r>
            <w:r w:rsidR="0088138E"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t>oružja</w:t>
            </w:r>
            <w:r w:rsidR="0088138E"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t>za</w:t>
            </w:r>
            <w:r w:rsidR="0088138E"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t>masovno</w:t>
            </w:r>
            <w:r w:rsidR="0088138E"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t>uništenje</w:t>
            </w:r>
            <w:r w:rsidR="0088138E"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t>čime</w:t>
            </w:r>
            <w:r w:rsidR="0088138E"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t>se</w:t>
            </w:r>
            <w:r w:rsidR="0088138E"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t>jača</w:t>
            </w:r>
            <w:r w:rsidR="0088138E"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t>integritet</w:t>
            </w:r>
            <w:r w:rsidR="0088138E"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t>finansijskog</w:t>
            </w:r>
            <w:r w:rsidR="0088138E"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t>sektora</w:t>
            </w:r>
            <w:r w:rsidR="0088138E"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t>i</w:t>
            </w:r>
            <w:r w:rsidR="0088138E"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t>doprinosi</w:t>
            </w:r>
            <w:r w:rsidR="0088138E"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t>bezbednosti</w:t>
            </w:r>
            <w:r w:rsidR="0088138E"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t>i</w:t>
            </w:r>
            <w:r w:rsidR="0088138E"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t>sigurnosti</w:t>
            </w:r>
          </w:p>
        </w:tc>
      </w:tr>
      <w:tr w:rsidR="0088138E" w:rsidRPr="00E95BC4" w:rsidTr="00665BC3">
        <w:trPr>
          <w:cnfStyle w:val="000000100000"/>
        </w:trPr>
        <w:tc>
          <w:tcPr>
            <w:cnfStyle w:val="001000000000"/>
            <w:tcW w:w="2268" w:type="dxa"/>
          </w:tcPr>
          <w:p w:rsidR="0088138E" w:rsidRPr="00E95BC4" w:rsidRDefault="005818C0" w:rsidP="00285FD7">
            <w:pPr>
              <w:jc w:val="center"/>
              <w:rPr>
                <w:lang w:val="sr-Cyrl-CS"/>
              </w:rPr>
            </w:pPr>
            <w:r>
              <w:rPr>
                <w:lang w:val="sr-Cyrl-CS"/>
              </w:rPr>
              <w:t>Posebni</w:t>
            </w:r>
            <w:r w:rsidR="0088138E" w:rsidRPr="00E95BC4">
              <w:rPr>
                <w:lang w:val="sr-Cyrl-CS"/>
              </w:rPr>
              <w:t xml:space="preserve"> </w:t>
            </w:r>
            <w:r>
              <w:rPr>
                <w:lang w:val="sr-Cyrl-CS"/>
              </w:rPr>
              <w:t>ciljevi</w:t>
            </w:r>
            <w:r w:rsidR="00972C36" w:rsidRPr="00E95BC4">
              <w:rPr>
                <w:lang w:val="sr-Cyrl-CS"/>
              </w:rPr>
              <w:t xml:space="preserve"> (Intermediate Objectives)</w:t>
            </w:r>
          </w:p>
        </w:tc>
        <w:tc>
          <w:tcPr>
            <w:tcW w:w="709" w:type="dxa"/>
          </w:tcPr>
          <w:p w:rsidR="0088138E" w:rsidRPr="00E95BC4" w:rsidRDefault="0088138E" w:rsidP="00285FD7">
            <w:pPr>
              <w:cnfStyle w:val="000000100000"/>
              <w:rPr>
                <w:lang w:val="sr-Cyrl-CS"/>
              </w:rPr>
            </w:pPr>
          </w:p>
        </w:tc>
        <w:tc>
          <w:tcPr>
            <w:tcW w:w="6487" w:type="dxa"/>
          </w:tcPr>
          <w:p w:rsidR="0088138E" w:rsidRPr="00E95BC4" w:rsidRDefault="005818C0" w:rsidP="00285FD7">
            <w:pPr>
              <w:jc w:val="center"/>
              <w:cnfStyle w:val="000000100000"/>
              <w:rPr>
                <w:b/>
                <w:lang w:val="sr-Cyrl-CS"/>
              </w:rPr>
            </w:pPr>
            <w:r>
              <w:rPr>
                <w:b/>
                <w:lang w:val="sr-Cyrl-CS"/>
              </w:rPr>
              <w:t>Neposredni</w:t>
            </w:r>
            <w:r w:rsidR="0088138E" w:rsidRPr="00E95BC4">
              <w:rPr>
                <w:b/>
                <w:lang w:val="sr-Cyrl-CS"/>
              </w:rPr>
              <w:t xml:space="preserve"> </w:t>
            </w:r>
            <w:r>
              <w:rPr>
                <w:b/>
                <w:lang w:val="sr-Cyrl-CS"/>
              </w:rPr>
              <w:t>ishodi</w:t>
            </w:r>
            <w:r w:rsidR="0088138E" w:rsidRPr="00E95BC4">
              <w:rPr>
                <w:b/>
                <w:lang w:val="sr-Cyrl-CS"/>
              </w:rPr>
              <w:t xml:space="preserve"> (Immediate Outcome - IO)</w:t>
            </w:r>
          </w:p>
        </w:tc>
      </w:tr>
      <w:tr w:rsidR="0088138E" w:rsidRPr="00E95BC4" w:rsidTr="00665BC3">
        <w:tc>
          <w:tcPr>
            <w:cnfStyle w:val="001000000000"/>
            <w:tcW w:w="2268" w:type="dxa"/>
            <w:vMerge w:val="restart"/>
          </w:tcPr>
          <w:p w:rsidR="0088138E" w:rsidRPr="00E95BC4" w:rsidRDefault="005818C0" w:rsidP="00285FD7">
            <w:pPr>
              <w:pStyle w:val="FATF-TEXTE1115"/>
              <w:tabs>
                <w:tab w:val="clear" w:pos="624"/>
                <w:tab w:val="clear" w:pos="1247"/>
                <w:tab w:val="clear" w:pos="1871"/>
                <w:tab w:val="clear" w:pos="2495"/>
                <w:tab w:val="clear" w:pos="3119"/>
              </w:tabs>
              <w:spacing w:after="0" w:line="240" w:lineRule="auto"/>
              <w:jc w:val="left"/>
              <w:rPr>
                <w:rFonts w:ascii="Times New Roman" w:hAnsi="Times New Roman"/>
                <w:b w:val="0"/>
                <w:color w:val="FFFFFF" w:themeColor="background1"/>
                <w:sz w:val="24"/>
                <w:szCs w:val="24"/>
                <w:lang w:val="sr-Cyrl-CS"/>
              </w:rPr>
            </w:pPr>
            <w:r>
              <w:rPr>
                <w:rFonts w:ascii="Times New Roman" w:hAnsi="Times New Roman"/>
                <w:b w:val="0"/>
                <w:color w:val="FFFFFF" w:themeColor="background1"/>
                <w:sz w:val="24"/>
                <w:szCs w:val="24"/>
                <w:lang w:val="sr-Cyrl-CS"/>
              </w:rPr>
              <w:t>Politika</w:t>
            </w:r>
            <w:r w:rsidR="0088138E"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t>koordinacija</w:t>
            </w:r>
            <w:r w:rsidR="0088138E"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t>i</w:t>
            </w:r>
            <w:r w:rsidR="0088138E"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t>saradnja</w:t>
            </w:r>
            <w:r w:rsidR="0088138E"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t>u</w:t>
            </w:r>
            <w:r w:rsidR="0088138E"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t>oblasti</w:t>
            </w:r>
            <w:r w:rsidR="0088138E"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t>borbe</w:t>
            </w:r>
            <w:r w:rsidR="0088138E"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t>protiv</w:t>
            </w:r>
            <w:r w:rsidR="000342B2"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t>pranja</w:t>
            </w:r>
            <w:r w:rsidR="000342B2"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t>novca</w:t>
            </w:r>
            <w:r w:rsidR="000342B2"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t>i</w:t>
            </w:r>
            <w:r w:rsidR="000342B2"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t>finansiranja</w:t>
            </w:r>
            <w:r w:rsidR="000342B2"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t>terorizma</w:t>
            </w:r>
            <w:r w:rsidR="0088138E"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t>ublažavaju</w:t>
            </w:r>
            <w:r w:rsidR="0088138E"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t>rizike</w:t>
            </w:r>
            <w:r w:rsidR="0088138E"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t>od</w:t>
            </w:r>
            <w:r w:rsidR="0088138E"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t>pranja</w:t>
            </w:r>
            <w:r w:rsidR="0088138E"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t>novca</w:t>
            </w:r>
            <w:r w:rsidR="0088138E"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t>i</w:t>
            </w:r>
            <w:r w:rsidR="0088138E"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t>finansiranja</w:t>
            </w:r>
            <w:r w:rsidR="0088138E"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t>terorizma</w:t>
            </w:r>
            <w:r w:rsidR="0088138E" w:rsidRPr="00E95BC4">
              <w:rPr>
                <w:rFonts w:ascii="Times New Roman" w:hAnsi="Times New Roman"/>
                <w:b w:val="0"/>
                <w:color w:val="FFFFFF" w:themeColor="background1"/>
                <w:sz w:val="24"/>
                <w:szCs w:val="24"/>
                <w:lang w:val="sr-Cyrl-CS"/>
              </w:rPr>
              <w:t xml:space="preserve">. </w:t>
            </w:r>
          </w:p>
        </w:tc>
        <w:tc>
          <w:tcPr>
            <w:tcW w:w="709" w:type="dxa"/>
          </w:tcPr>
          <w:p w:rsidR="0088138E" w:rsidRPr="00E95BC4" w:rsidRDefault="0088138E" w:rsidP="00285FD7">
            <w:pPr>
              <w:jc w:val="center"/>
              <w:cnfStyle w:val="000000000000"/>
              <w:rPr>
                <w:lang w:val="sr-Cyrl-CS"/>
              </w:rPr>
            </w:pPr>
            <w:r w:rsidRPr="00E95BC4">
              <w:rPr>
                <w:lang w:val="sr-Cyrl-CS"/>
              </w:rPr>
              <w:t>IO1</w:t>
            </w:r>
          </w:p>
        </w:tc>
        <w:tc>
          <w:tcPr>
            <w:tcW w:w="6487" w:type="dxa"/>
          </w:tcPr>
          <w:p w:rsidR="0088138E" w:rsidRPr="00E95BC4" w:rsidRDefault="005818C0" w:rsidP="00285FD7">
            <w:pPr>
              <w:pStyle w:val="FATF-TEXTE1115"/>
              <w:tabs>
                <w:tab w:val="clear" w:pos="624"/>
                <w:tab w:val="clear" w:pos="1247"/>
                <w:tab w:val="clear" w:pos="1871"/>
                <w:tab w:val="clear" w:pos="2495"/>
                <w:tab w:val="clear" w:pos="3119"/>
              </w:tabs>
              <w:spacing w:after="0" w:line="240" w:lineRule="auto"/>
              <w:cnfStyle w:val="000000000000"/>
              <w:rPr>
                <w:rFonts w:ascii="Times New Roman" w:hAnsi="Times New Roman"/>
                <w:sz w:val="24"/>
                <w:szCs w:val="24"/>
                <w:lang w:val="sr-Cyrl-CS"/>
              </w:rPr>
            </w:pPr>
            <w:r>
              <w:rPr>
                <w:rFonts w:ascii="Times New Roman" w:hAnsi="Times New Roman"/>
                <w:b/>
                <w:sz w:val="24"/>
                <w:szCs w:val="24"/>
                <w:lang w:val="sr-Cyrl-CS"/>
              </w:rPr>
              <w:t>Rizik</w:t>
            </w:r>
            <w:r w:rsidR="0088138E" w:rsidRPr="00E95BC4">
              <w:rPr>
                <w:rFonts w:ascii="Times New Roman" w:hAnsi="Times New Roman"/>
                <w:b/>
                <w:sz w:val="24"/>
                <w:szCs w:val="24"/>
                <w:lang w:val="sr-Cyrl-CS"/>
              </w:rPr>
              <w:t xml:space="preserve">, </w:t>
            </w:r>
            <w:r>
              <w:rPr>
                <w:rFonts w:ascii="Times New Roman" w:hAnsi="Times New Roman"/>
                <w:b/>
                <w:sz w:val="24"/>
                <w:szCs w:val="24"/>
                <w:lang w:val="sr-Cyrl-CS"/>
              </w:rPr>
              <w:t>politika</w:t>
            </w:r>
            <w:r w:rsidR="0088138E" w:rsidRPr="00E95BC4">
              <w:rPr>
                <w:rFonts w:ascii="Times New Roman" w:hAnsi="Times New Roman"/>
                <w:b/>
                <w:sz w:val="24"/>
                <w:szCs w:val="24"/>
                <w:lang w:val="sr-Cyrl-CS"/>
              </w:rPr>
              <w:t xml:space="preserve">, </w:t>
            </w:r>
            <w:r>
              <w:rPr>
                <w:rFonts w:ascii="Times New Roman" w:hAnsi="Times New Roman"/>
                <w:b/>
                <w:sz w:val="24"/>
                <w:szCs w:val="24"/>
                <w:lang w:val="sr-Cyrl-CS"/>
              </w:rPr>
              <w:t>koordinacija</w:t>
            </w:r>
            <w:r w:rsidR="0088138E" w:rsidRPr="00E95BC4">
              <w:rPr>
                <w:rFonts w:ascii="Times New Roman" w:hAnsi="Times New Roman"/>
                <w:b/>
                <w:sz w:val="24"/>
                <w:szCs w:val="24"/>
                <w:lang w:val="sr-Cyrl-CS"/>
              </w:rPr>
              <w:t xml:space="preserve">. </w:t>
            </w:r>
            <w:r>
              <w:rPr>
                <w:rFonts w:ascii="Times New Roman" w:hAnsi="Times New Roman"/>
                <w:sz w:val="24"/>
                <w:szCs w:val="24"/>
                <w:lang w:val="sr-Cyrl-CS"/>
              </w:rPr>
              <w:t>Postoji</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razumevanje</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rizika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od</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pranja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novca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i</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finansiranja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terorizma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i</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vrši</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se</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po</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potrebi</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interna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koordinacija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u</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borbi</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protiv</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pranja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novca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i</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finansiranja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terorizma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i</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širenja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oružja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za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masovno</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uništenje</w:t>
            </w:r>
            <w:r w:rsidR="0088138E" w:rsidRPr="00E95BC4">
              <w:rPr>
                <w:rFonts w:ascii="Times New Roman" w:hAnsi="Times New Roman"/>
                <w:sz w:val="24"/>
                <w:szCs w:val="24"/>
                <w:lang w:val="sr-Cyrl-CS"/>
              </w:rPr>
              <w:t xml:space="preserve">. </w:t>
            </w:r>
          </w:p>
        </w:tc>
      </w:tr>
      <w:tr w:rsidR="0088138E" w:rsidRPr="00E95BC4" w:rsidTr="00665BC3">
        <w:trPr>
          <w:cnfStyle w:val="000000100000"/>
        </w:trPr>
        <w:tc>
          <w:tcPr>
            <w:cnfStyle w:val="001000000000"/>
            <w:tcW w:w="2268" w:type="dxa"/>
            <w:vMerge/>
          </w:tcPr>
          <w:p w:rsidR="0088138E" w:rsidRPr="00E95BC4" w:rsidRDefault="0088138E" w:rsidP="00285FD7">
            <w:pPr>
              <w:rPr>
                <w:b w:val="0"/>
                <w:lang w:val="sr-Cyrl-CS"/>
              </w:rPr>
            </w:pPr>
          </w:p>
        </w:tc>
        <w:tc>
          <w:tcPr>
            <w:tcW w:w="709" w:type="dxa"/>
          </w:tcPr>
          <w:p w:rsidR="0088138E" w:rsidRPr="00E95BC4" w:rsidRDefault="0088138E" w:rsidP="00285FD7">
            <w:pPr>
              <w:jc w:val="center"/>
              <w:cnfStyle w:val="000000100000"/>
              <w:rPr>
                <w:lang w:val="sr-Cyrl-CS"/>
              </w:rPr>
            </w:pPr>
            <w:r w:rsidRPr="00E95BC4">
              <w:rPr>
                <w:lang w:val="sr-Cyrl-CS"/>
              </w:rPr>
              <w:t>IO2</w:t>
            </w:r>
          </w:p>
        </w:tc>
        <w:tc>
          <w:tcPr>
            <w:tcW w:w="6487" w:type="dxa"/>
          </w:tcPr>
          <w:p w:rsidR="0088138E" w:rsidRPr="00E95BC4" w:rsidRDefault="005818C0" w:rsidP="00DD0D6E">
            <w:pPr>
              <w:pStyle w:val="FATF-TEXTE1115"/>
              <w:tabs>
                <w:tab w:val="clear" w:pos="624"/>
                <w:tab w:val="clear" w:pos="1247"/>
                <w:tab w:val="clear" w:pos="1871"/>
                <w:tab w:val="clear" w:pos="2495"/>
                <w:tab w:val="clear" w:pos="3119"/>
              </w:tabs>
              <w:spacing w:after="0" w:line="240" w:lineRule="auto"/>
              <w:cnfStyle w:val="000000100000"/>
              <w:rPr>
                <w:rFonts w:ascii="Times New Roman" w:hAnsi="Times New Roman"/>
                <w:sz w:val="24"/>
                <w:szCs w:val="24"/>
                <w:lang w:val="sr-Cyrl-CS"/>
              </w:rPr>
            </w:pPr>
            <w:r>
              <w:rPr>
                <w:rFonts w:ascii="Times New Roman" w:hAnsi="Times New Roman"/>
                <w:b/>
                <w:sz w:val="24"/>
                <w:szCs w:val="24"/>
                <w:lang w:val="sr-Cyrl-CS"/>
              </w:rPr>
              <w:t>Međunarodna</w:t>
            </w:r>
            <w:r w:rsidR="0088138E" w:rsidRPr="00E95BC4">
              <w:rPr>
                <w:rFonts w:ascii="Times New Roman" w:hAnsi="Times New Roman"/>
                <w:b/>
                <w:sz w:val="24"/>
                <w:szCs w:val="24"/>
                <w:lang w:val="sr-Cyrl-CS"/>
              </w:rPr>
              <w:t xml:space="preserve"> </w:t>
            </w:r>
            <w:r>
              <w:rPr>
                <w:rFonts w:ascii="Times New Roman" w:hAnsi="Times New Roman"/>
                <w:b/>
                <w:sz w:val="24"/>
                <w:szCs w:val="24"/>
                <w:lang w:val="sr-Cyrl-CS"/>
              </w:rPr>
              <w:t>saradnja</w:t>
            </w:r>
            <w:r w:rsidR="0088138E" w:rsidRPr="00E95BC4">
              <w:rPr>
                <w:rFonts w:ascii="Times New Roman" w:hAnsi="Times New Roman"/>
                <w:b/>
                <w:sz w:val="24"/>
                <w:szCs w:val="24"/>
                <w:lang w:val="sr-Cyrl-CS"/>
              </w:rPr>
              <w:t xml:space="preserve">. </w:t>
            </w:r>
            <w:r>
              <w:rPr>
                <w:rFonts w:ascii="Times New Roman" w:hAnsi="Times New Roman"/>
                <w:sz w:val="24"/>
                <w:szCs w:val="24"/>
                <w:lang w:val="sr-Cyrl-CS"/>
              </w:rPr>
              <w:t>Međunarodnom</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saradnjom</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dolazi</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se</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do</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odgovarajućih</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informacija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finansijskoobaveštajnih</w:t>
            </w:r>
            <w:r w:rsidR="00DD0D6E" w:rsidRPr="00E95BC4">
              <w:rPr>
                <w:rFonts w:ascii="Times New Roman" w:hAnsi="Times New Roman"/>
                <w:sz w:val="24"/>
                <w:szCs w:val="24"/>
                <w:lang w:val="sr-Cyrl-CS"/>
              </w:rPr>
              <w:t xml:space="preserve"> </w:t>
            </w:r>
            <w:r>
              <w:rPr>
                <w:rFonts w:ascii="Times New Roman" w:hAnsi="Times New Roman"/>
                <w:sz w:val="24"/>
                <w:szCs w:val="24"/>
                <w:lang w:val="sr-Cyrl-CS"/>
              </w:rPr>
              <w:t>podataka</w:t>
            </w:r>
            <w:r w:rsidR="00DD0D6E" w:rsidRPr="00E95BC4">
              <w:rPr>
                <w:rFonts w:ascii="Times New Roman" w:hAnsi="Times New Roman"/>
                <w:sz w:val="24"/>
                <w:szCs w:val="24"/>
                <w:lang w:val="sr-Cyrl-CS"/>
              </w:rPr>
              <w:t xml:space="preserve"> </w:t>
            </w:r>
            <w:r>
              <w:rPr>
                <w:rFonts w:ascii="Times New Roman" w:hAnsi="Times New Roman"/>
                <w:sz w:val="24"/>
                <w:szCs w:val="24"/>
                <w:lang w:val="sr-Cyrl-CS"/>
              </w:rPr>
              <w:t>i</w:t>
            </w:r>
            <w:r w:rsidR="00DD0D6E" w:rsidRPr="00E95BC4">
              <w:rPr>
                <w:rFonts w:ascii="Times New Roman" w:hAnsi="Times New Roman"/>
                <w:sz w:val="24"/>
                <w:szCs w:val="24"/>
                <w:lang w:val="sr-Cyrl-CS"/>
              </w:rPr>
              <w:t xml:space="preserve"> </w:t>
            </w:r>
            <w:r>
              <w:rPr>
                <w:rFonts w:ascii="Times New Roman" w:hAnsi="Times New Roman"/>
                <w:sz w:val="24"/>
                <w:szCs w:val="24"/>
                <w:lang w:val="sr-Cyrl-CS"/>
              </w:rPr>
              <w:t>dokaza</w:t>
            </w:r>
            <w:r w:rsidR="00DD0D6E" w:rsidRPr="00E95BC4">
              <w:rPr>
                <w:rFonts w:ascii="Times New Roman" w:hAnsi="Times New Roman"/>
                <w:sz w:val="24"/>
                <w:szCs w:val="24"/>
                <w:lang w:val="sr-Cyrl-CS"/>
              </w:rPr>
              <w:t xml:space="preserve"> </w:t>
            </w:r>
            <w:r>
              <w:rPr>
                <w:rFonts w:ascii="Times New Roman" w:hAnsi="Times New Roman"/>
                <w:sz w:val="24"/>
                <w:szCs w:val="24"/>
                <w:lang w:val="sr-Cyrl-CS"/>
              </w:rPr>
              <w:t>i</w:t>
            </w:r>
            <w:r w:rsidR="00DD0D6E" w:rsidRPr="00E95BC4">
              <w:rPr>
                <w:rFonts w:ascii="Times New Roman" w:hAnsi="Times New Roman"/>
                <w:sz w:val="24"/>
                <w:szCs w:val="24"/>
                <w:lang w:val="sr-Cyrl-CS"/>
              </w:rPr>
              <w:t xml:space="preserve"> </w:t>
            </w:r>
            <w:r>
              <w:rPr>
                <w:rFonts w:ascii="Times New Roman" w:hAnsi="Times New Roman"/>
                <w:sz w:val="24"/>
                <w:szCs w:val="24"/>
                <w:lang w:val="sr-Cyrl-CS"/>
              </w:rPr>
              <w:t>omogućava</w:t>
            </w:r>
            <w:r w:rsidR="00DD0D6E" w:rsidRPr="00E95BC4">
              <w:rPr>
                <w:rFonts w:ascii="Times New Roman" w:hAnsi="Times New Roman"/>
                <w:sz w:val="24"/>
                <w:szCs w:val="24"/>
                <w:lang w:val="sr-Cyrl-CS"/>
              </w:rPr>
              <w:t xml:space="preserve"> </w:t>
            </w:r>
            <w:r>
              <w:rPr>
                <w:rFonts w:ascii="Times New Roman" w:hAnsi="Times New Roman"/>
                <w:sz w:val="24"/>
                <w:szCs w:val="24"/>
                <w:lang w:val="sr-Cyrl-CS"/>
              </w:rPr>
              <w:t>postupanje</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protiv</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izvršilaca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krivičnih</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dela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i</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njihove</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imovine</w:t>
            </w:r>
            <w:r w:rsidR="0088138E" w:rsidRPr="00E95BC4">
              <w:rPr>
                <w:rFonts w:ascii="Times New Roman" w:hAnsi="Times New Roman"/>
                <w:sz w:val="24"/>
                <w:szCs w:val="24"/>
                <w:lang w:val="sr-Cyrl-CS"/>
              </w:rPr>
              <w:t xml:space="preserve">. </w:t>
            </w:r>
          </w:p>
        </w:tc>
      </w:tr>
      <w:tr w:rsidR="0088138E" w:rsidRPr="00E95BC4" w:rsidTr="00665BC3">
        <w:tc>
          <w:tcPr>
            <w:cnfStyle w:val="001000000000"/>
            <w:tcW w:w="2268" w:type="dxa"/>
            <w:vMerge w:val="restart"/>
          </w:tcPr>
          <w:p w:rsidR="0088138E" w:rsidRPr="00E95BC4" w:rsidRDefault="005818C0" w:rsidP="00DD0D6E">
            <w:pPr>
              <w:pStyle w:val="FATF-TEXTE1115"/>
              <w:tabs>
                <w:tab w:val="clear" w:pos="624"/>
                <w:tab w:val="clear" w:pos="1247"/>
                <w:tab w:val="clear" w:pos="1871"/>
                <w:tab w:val="clear" w:pos="2495"/>
                <w:tab w:val="clear" w:pos="3119"/>
              </w:tabs>
              <w:spacing w:after="0" w:line="240" w:lineRule="auto"/>
              <w:jc w:val="left"/>
              <w:rPr>
                <w:rFonts w:ascii="Times New Roman" w:hAnsi="Times New Roman"/>
                <w:b w:val="0"/>
                <w:color w:val="FFFFFF" w:themeColor="background1"/>
                <w:sz w:val="24"/>
                <w:szCs w:val="24"/>
                <w:lang w:val="sr-Cyrl-CS"/>
              </w:rPr>
            </w:pPr>
            <w:r>
              <w:rPr>
                <w:rFonts w:ascii="Times New Roman" w:hAnsi="Times New Roman"/>
                <w:b w:val="0"/>
                <w:color w:val="FFFFFF" w:themeColor="background1"/>
                <w:sz w:val="24"/>
                <w:szCs w:val="24"/>
                <w:lang w:val="sr-Cyrl-CS"/>
              </w:rPr>
              <w:t>Sprečava</w:t>
            </w:r>
            <w:r w:rsidR="0088138E"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t>se</w:t>
            </w:r>
            <w:r w:rsidR="0088138E"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t>unos</w:t>
            </w:r>
            <w:r w:rsidR="0088138E"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t>imovine</w:t>
            </w:r>
            <w:r w:rsidR="0088138E"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t>stečene</w:t>
            </w:r>
            <w:r w:rsidR="0088138E"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t>krivičnim</w:t>
            </w:r>
            <w:r w:rsidR="0088138E"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t>delom</w:t>
            </w:r>
            <w:r w:rsidR="0088138E"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t>i</w:t>
            </w:r>
            <w:r w:rsidR="0088138E"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t>sredstava</w:t>
            </w:r>
            <w:r w:rsidR="0088138E"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t>namenjenih</w:t>
            </w:r>
            <w:r w:rsidR="0088138E"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t>finansiranju</w:t>
            </w:r>
            <w:r w:rsidR="0088138E"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lastRenderedPageBreak/>
              <w:t>terorizma</w:t>
            </w:r>
            <w:r w:rsidR="0088138E"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t>u</w:t>
            </w:r>
            <w:r w:rsidR="0088138E"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t>finansijski</w:t>
            </w:r>
            <w:r w:rsidR="00DD0D6E"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t>i</w:t>
            </w:r>
            <w:r w:rsidR="00DD0D6E"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t>druge</w:t>
            </w:r>
            <w:r w:rsidR="00DD0D6E"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t>sektore</w:t>
            </w:r>
            <w:r w:rsidR="00DD0D6E"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t>odnosno</w:t>
            </w:r>
            <w:r w:rsidR="00DD0D6E"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t>prisustvo</w:t>
            </w:r>
            <w:r w:rsidR="00DD0D6E"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t>takve</w:t>
            </w:r>
            <w:r w:rsidR="00DD0D6E"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t>imovine</w:t>
            </w:r>
            <w:r w:rsidR="00DD0D6E"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t>i</w:t>
            </w:r>
            <w:r w:rsidR="00DD0D6E"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t>sredstava</w:t>
            </w:r>
            <w:r w:rsidR="00DD0D6E"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t>ti</w:t>
            </w:r>
            <w:r w:rsidR="00DD0D6E"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t>sektori</w:t>
            </w:r>
            <w:r w:rsidR="00DD0D6E"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t>otkrivaju</w:t>
            </w:r>
            <w:r w:rsidR="00DD0D6E"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t>i</w:t>
            </w:r>
            <w:r w:rsidR="00DD0D6E" w:rsidRPr="00E95BC4">
              <w:rPr>
                <w:rFonts w:ascii="Times New Roman" w:hAnsi="Times New Roman"/>
                <w:b w:val="0"/>
                <w:color w:val="FFFFFF" w:themeColor="background1"/>
                <w:sz w:val="24"/>
                <w:szCs w:val="24"/>
                <w:lang w:val="sr-Cyrl-CS"/>
              </w:rPr>
              <w:t xml:space="preserve"> </w:t>
            </w:r>
            <w:r>
              <w:rPr>
                <w:rFonts w:ascii="Times New Roman" w:hAnsi="Times New Roman"/>
                <w:b w:val="0"/>
                <w:color w:val="FFFFFF" w:themeColor="background1"/>
                <w:sz w:val="24"/>
                <w:szCs w:val="24"/>
                <w:lang w:val="sr-Cyrl-CS"/>
              </w:rPr>
              <w:t>prijavljuju</w:t>
            </w:r>
            <w:r w:rsidR="0088138E" w:rsidRPr="00E95BC4">
              <w:rPr>
                <w:rFonts w:ascii="Times New Roman" w:hAnsi="Times New Roman"/>
                <w:b w:val="0"/>
                <w:color w:val="FFFFFF" w:themeColor="background1"/>
                <w:sz w:val="24"/>
                <w:szCs w:val="24"/>
                <w:lang w:val="sr-Cyrl-CS"/>
              </w:rPr>
              <w:t xml:space="preserve">. </w:t>
            </w:r>
          </w:p>
        </w:tc>
        <w:tc>
          <w:tcPr>
            <w:tcW w:w="709" w:type="dxa"/>
          </w:tcPr>
          <w:p w:rsidR="0088138E" w:rsidRPr="00E95BC4" w:rsidRDefault="0088138E" w:rsidP="00285FD7">
            <w:pPr>
              <w:jc w:val="center"/>
              <w:cnfStyle w:val="000000000000"/>
              <w:rPr>
                <w:lang w:val="sr-Cyrl-CS"/>
              </w:rPr>
            </w:pPr>
            <w:r w:rsidRPr="00E95BC4">
              <w:rPr>
                <w:lang w:val="sr-Cyrl-CS"/>
              </w:rPr>
              <w:lastRenderedPageBreak/>
              <w:t>IO3</w:t>
            </w:r>
          </w:p>
        </w:tc>
        <w:tc>
          <w:tcPr>
            <w:tcW w:w="6487" w:type="dxa"/>
          </w:tcPr>
          <w:p w:rsidR="0088138E" w:rsidRPr="00E95BC4" w:rsidRDefault="005818C0" w:rsidP="00285FD7">
            <w:pPr>
              <w:pStyle w:val="FATF-TEXTE1115"/>
              <w:tabs>
                <w:tab w:val="clear" w:pos="624"/>
                <w:tab w:val="clear" w:pos="1247"/>
                <w:tab w:val="clear" w:pos="1871"/>
                <w:tab w:val="clear" w:pos="2495"/>
                <w:tab w:val="clear" w:pos="3119"/>
              </w:tabs>
              <w:spacing w:after="0" w:line="240" w:lineRule="auto"/>
              <w:cnfStyle w:val="000000000000"/>
              <w:rPr>
                <w:rFonts w:ascii="Times New Roman" w:hAnsi="Times New Roman"/>
                <w:sz w:val="24"/>
                <w:szCs w:val="24"/>
                <w:lang w:val="sr-Cyrl-CS"/>
              </w:rPr>
            </w:pPr>
            <w:r>
              <w:rPr>
                <w:rFonts w:ascii="Times New Roman" w:hAnsi="Times New Roman"/>
                <w:b/>
                <w:sz w:val="24"/>
                <w:szCs w:val="24"/>
                <w:lang w:val="sr-Cyrl-CS"/>
              </w:rPr>
              <w:t>Nadzor</w:t>
            </w:r>
            <w:r w:rsidR="0088138E" w:rsidRPr="00E95BC4">
              <w:rPr>
                <w:rFonts w:ascii="Times New Roman" w:hAnsi="Times New Roman"/>
                <w:b/>
                <w:sz w:val="24"/>
                <w:szCs w:val="24"/>
                <w:lang w:val="sr-Cyrl-CS"/>
              </w:rPr>
              <w:t xml:space="preserve">. </w:t>
            </w:r>
            <w:r>
              <w:rPr>
                <w:rFonts w:ascii="Times New Roman" w:hAnsi="Times New Roman"/>
                <w:sz w:val="24"/>
                <w:szCs w:val="24"/>
                <w:lang w:val="sr-Cyrl-CS"/>
              </w:rPr>
              <w:t>Nadzorni</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organi</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vrše</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odgovarajući</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nadzor</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prate</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i</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regulišu</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rad</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finansijskih</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institucija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i</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određenih</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pravnih</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i</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fizičkih</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lica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van</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finansijskog</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sektora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u</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pogledu</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njihove</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usklađenosti</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sa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obavezama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u</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oblasti</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borbe</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protiv</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PN</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i</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FT</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u</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skladu</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sa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rizicima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kojima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su</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ti</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sektori</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izloženi</w:t>
            </w:r>
            <w:r w:rsidR="0088138E" w:rsidRPr="00E95BC4">
              <w:rPr>
                <w:rFonts w:ascii="Times New Roman" w:hAnsi="Times New Roman"/>
                <w:sz w:val="24"/>
                <w:szCs w:val="24"/>
                <w:lang w:val="sr-Cyrl-CS"/>
              </w:rPr>
              <w:t xml:space="preserve">. </w:t>
            </w:r>
          </w:p>
        </w:tc>
      </w:tr>
      <w:tr w:rsidR="0088138E" w:rsidRPr="00E95BC4" w:rsidTr="00665BC3">
        <w:trPr>
          <w:cnfStyle w:val="000000100000"/>
        </w:trPr>
        <w:tc>
          <w:tcPr>
            <w:cnfStyle w:val="001000000000"/>
            <w:tcW w:w="2268" w:type="dxa"/>
            <w:vMerge/>
          </w:tcPr>
          <w:p w:rsidR="0088138E" w:rsidRPr="00E95BC4" w:rsidRDefault="0088138E" w:rsidP="00285FD7">
            <w:pPr>
              <w:rPr>
                <w:b w:val="0"/>
                <w:lang w:val="sr-Cyrl-CS"/>
              </w:rPr>
            </w:pPr>
          </w:p>
        </w:tc>
        <w:tc>
          <w:tcPr>
            <w:tcW w:w="709" w:type="dxa"/>
          </w:tcPr>
          <w:p w:rsidR="0088138E" w:rsidRPr="00E95BC4" w:rsidRDefault="0088138E" w:rsidP="00285FD7">
            <w:pPr>
              <w:jc w:val="center"/>
              <w:cnfStyle w:val="000000100000"/>
              <w:rPr>
                <w:lang w:val="sr-Cyrl-CS"/>
              </w:rPr>
            </w:pPr>
            <w:r w:rsidRPr="00E95BC4">
              <w:rPr>
                <w:lang w:val="sr-Cyrl-CS"/>
              </w:rPr>
              <w:t>IO4</w:t>
            </w:r>
          </w:p>
        </w:tc>
        <w:tc>
          <w:tcPr>
            <w:tcW w:w="6487" w:type="dxa"/>
          </w:tcPr>
          <w:p w:rsidR="0088138E" w:rsidRPr="00E95BC4" w:rsidRDefault="005818C0" w:rsidP="00285FD7">
            <w:pPr>
              <w:pStyle w:val="FATF-TEXTE1115"/>
              <w:tabs>
                <w:tab w:val="clear" w:pos="624"/>
                <w:tab w:val="clear" w:pos="1247"/>
                <w:tab w:val="clear" w:pos="1871"/>
                <w:tab w:val="clear" w:pos="2495"/>
                <w:tab w:val="clear" w:pos="3119"/>
              </w:tabs>
              <w:spacing w:after="0" w:line="240" w:lineRule="auto"/>
              <w:cnfStyle w:val="000000100000"/>
              <w:rPr>
                <w:rFonts w:ascii="Times New Roman" w:hAnsi="Times New Roman"/>
                <w:sz w:val="24"/>
                <w:szCs w:val="24"/>
                <w:lang w:val="sr-Cyrl-CS"/>
              </w:rPr>
            </w:pPr>
            <w:r>
              <w:rPr>
                <w:rFonts w:ascii="Times New Roman" w:hAnsi="Times New Roman"/>
                <w:b/>
                <w:sz w:val="24"/>
                <w:szCs w:val="24"/>
                <w:lang w:val="sr-Cyrl-CS"/>
              </w:rPr>
              <w:t>Preventivne</w:t>
            </w:r>
            <w:r w:rsidR="0088138E" w:rsidRPr="00E95BC4">
              <w:rPr>
                <w:rFonts w:ascii="Times New Roman" w:hAnsi="Times New Roman"/>
                <w:b/>
                <w:sz w:val="24"/>
                <w:szCs w:val="24"/>
                <w:lang w:val="sr-Cyrl-CS"/>
              </w:rPr>
              <w:t xml:space="preserve"> </w:t>
            </w:r>
            <w:r>
              <w:rPr>
                <w:rFonts w:ascii="Times New Roman" w:hAnsi="Times New Roman"/>
                <w:b/>
                <w:sz w:val="24"/>
                <w:szCs w:val="24"/>
                <w:lang w:val="sr-Cyrl-CS"/>
              </w:rPr>
              <w:t>mere</w:t>
            </w:r>
            <w:r w:rsidR="0088138E" w:rsidRPr="00E95BC4">
              <w:rPr>
                <w:rFonts w:ascii="Times New Roman" w:hAnsi="Times New Roman"/>
                <w:b/>
                <w:sz w:val="24"/>
                <w:szCs w:val="24"/>
                <w:lang w:val="sr-Cyrl-CS"/>
              </w:rPr>
              <w:t xml:space="preserve">. </w:t>
            </w:r>
            <w:r>
              <w:rPr>
                <w:rFonts w:ascii="Times New Roman" w:hAnsi="Times New Roman"/>
                <w:sz w:val="24"/>
                <w:szCs w:val="24"/>
                <w:lang w:val="sr-Cyrl-CS"/>
              </w:rPr>
              <w:t>Finansijske</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institucije</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i</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određena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pravna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i</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lastRenderedPageBreak/>
              <w:t>fizička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lica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van</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finansijskog</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sektora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adekvatno</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primenjuju</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preventivne</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mere</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u</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oblasti</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PN</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i</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FT</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srazmerno</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rizicima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kojima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su</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izloženi</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i</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prijavljuju</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sumnjive</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transakcije</w:t>
            </w:r>
            <w:r w:rsidR="0088138E" w:rsidRPr="00E95BC4">
              <w:rPr>
                <w:rFonts w:ascii="Times New Roman" w:hAnsi="Times New Roman"/>
                <w:sz w:val="24"/>
                <w:szCs w:val="24"/>
                <w:lang w:val="sr-Cyrl-CS"/>
              </w:rPr>
              <w:t xml:space="preserve">. </w:t>
            </w:r>
          </w:p>
        </w:tc>
      </w:tr>
      <w:tr w:rsidR="0088138E" w:rsidRPr="00E95BC4" w:rsidTr="00665BC3">
        <w:tc>
          <w:tcPr>
            <w:cnfStyle w:val="001000000000"/>
            <w:tcW w:w="2268" w:type="dxa"/>
            <w:vMerge/>
          </w:tcPr>
          <w:p w:rsidR="0088138E" w:rsidRPr="00E95BC4" w:rsidRDefault="0088138E" w:rsidP="00285FD7">
            <w:pPr>
              <w:rPr>
                <w:b w:val="0"/>
                <w:lang w:val="sr-Cyrl-CS"/>
              </w:rPr>
            </w:pPr>
          </w:p>
        </w:tc>
        <w:tc>
          <w:tcPr>
            <w:tcW w:w="709" w:type="dxa"/>
          </w:tcPr>
          <w:p w:rsidR="0088138E" w:rsidRPr="00E95BC4" w:rsidRDefault="0088138E" w:rsidP="00285FD7">
            <w:pPr>
              <w:jc w:val="center"/>
              <w:cnfStyle w:val="000000000000"/>
              <w:rPr>
                <w:lang w:val="sr-Cyrl-CS"/>
              </w:rPr>
            </w:pPr>
            <w:r w:rsidRPr="00E95BC4">
              <w:rPr>
                <w:lang w:val="sr-Cyrl-CS"/>
              </w:rPr>
              <w:t>IO5</w:t>
            </w:r>
          </w:p>
        </w:tc>
        <w:tc>
          <w:tcPr>
            <w:tcW w:w="6487" w:type="dxa"/>
          </w:tcPr>
          <w:p w:rsidR="0088138E" w:rsidRPr="00E95BC4" w:rsidRDefault="005818C0" w:rsidP="00285FD7">
            <w:pPr>
              <w:pStyle w:val="FATF-TEXTE1115"/>
              <w:tabs>
                <w:tab w:val="clear" w:pos="624"/>
                <w:tab w:val="clear" w:pos="1247"/>
                <w:tab w:val="clear" w:pos="1871"/>
                <w:tab w:val="clear" w:pos="2495"/>
                <w:tab w:val="clear" w:pos="3119"/>
              </w:tabs>
              <w:spacing w:after="0" w:line="240" w:lineRule="auto"/>
              <w:cnfStyle w:val="000000000000"/>
              <w:rPr>
                <w:rFonts w:ascii="Times New Roman" w:hAnsi="Times New Roman"/>
                <w:sz w:val="24"/>
                <w:szCs w:val="24"/>
                <w:lang w:val="sr-Cyrl-CS"/>
              </w:rPr>
            </w:pPr>
            <w:r>
              <w:rPr>
                <w:rFonts w:ascii="Times New Roman" w:hAnsi="Times New Roman"/>
                <w:b/>
                <w:sz w:val="24"/>
                <w:szCs w:val="24"/>
                <w:lang w:val="sr-Cyrl-CS"/>
              </w:rPr>
              <w:t>Pravna</w:t>
            </w:r>
            <w:r w:rsidR="0088138E" w:rsidRPr="00E95BC4">
              <w:rPr>
                <w:rFonts w:ascii="Times New Roman" w:hAnsi="Times New Roman"/>
                <w:b/>
                <w:sz w:val="24"/>
                <w:szCs w:val="24"/>
                <w:lang w:val="sr-Cyrl-CS"/>
              </w:rPr>
              <w:t xml:space="preserve"> </w:t>
            </w:r>
            <w:r>
              <w:rPr>
                <w:rFonts w:ascii="Times New Roman" w:hAnsi="Times New Roman"/>
                <w:b/>
                <w:sz w:val="24"/>
                <w:szCs w:val="24"/>
                <w:lang w:val="sr-Cyrl-CS"/>
              </w:rPr>
              <w:t>lica</w:t>
            </w:r>
            <w:r w:rsidR="0088138E" w:rsidRPr="00E95BC4">
              <w:rPr>
                <w:rFonts w:ascii="Times New Roman" w:hAnsi="Times New Roman"/>
                <w:b/>
                <w:sz w:val="24"/>
                <w:szCs w:val="24"/>
                <w:lang w:val="sr-Cyrl-CS"/>
              </w:rPr>
              <w:t xml:space="preserve"> </w:t>
            </w:r>
            <w:r>
              <w:rPr>
                <w:rFonts w:ascii="Times New Roman" w:hAnsi="Times New Roman"/>
                <w:b/>
                <w:sz w:val="24"/>
                <w:szCs w:val="24"/>
                <w:lang w:val="sr-Cyrl-CS"/>
              </w:rPr>
              <w:t>i</w:t>
            </w:r>
            <w:r w:rsidR="0088138E" w:rsidRPr="00E95BC4">
              <w:rPr>
                <w:rFonts w:ascii="Times New Roman" w:hAnsi="Times New Roman"/>
                <w:b/>
                <w:sz w:val="24"/>
                <w:szCs w:val="24"/>
                <w:lang w:val="sr-Cyrl-CS"/>
              </w:rPr>
              <w:t xml:space="preserve"> </w:t>
            </w:r>
            <w:r>
              <w:rPr>
                <w:rFonts w:ascii="Times New Roman" w:hAnsi="Times New Roman"/>
                <w:b/>
                <w:sz w:val="24"/>
                <w:szCs w:val="24"/>
                <w:lang w:val="sr-Cyrl-CS"/>
              </w:rPr>
              <w:t>aranžmani</w:t>
            </w:r>
            <w:r w:rsidR="0088138E" w:rsidRPr="00E95BC4">
              <w:rPr>
                <w:rFonts w:ascii="Times New Roman" w:hAnsi="Times New Roman"/>
                <w:b/>
                <w:sz w:val="24"/>
                <w:szCs w:val="24"/>
                <w:lang w:val="sr-Cyrl-CS"/>
              </w:rPr>
              <w:t xml:space="preserve">. </w:t>
            </w:r>
            <w:r>
              <w:rPr>
                <w:rFonts w:ascii="Times New Roman" w:hAnsi="Times New Roman"/>
                <w:sz w:val="24"/>
                <w:szCs w:val="24"/>
                <w:lang w:val="sr-Cyrl-CS"/>
              </w:rPr>
              <w:t>Sprečava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se</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zloupotreba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pravnih</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lica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i</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pravnih</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aranžmana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lica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stranog</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prava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za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svrhe</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pranja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novca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ili</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finansiranja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terorizma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informacije</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o</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njihovom</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stvarnom</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vlasništvu</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su</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dostupne</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nadležnim</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organima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bez</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prepreka</w:t>
            </w:r>
            <w:r w:rsidR="0088138E" w:rsidRPr="00E95BC4">
              <w:rPr>
                <w:rFonts w:ascii="Times New Roman" w:hAnsi="Times New Roman"/>
                <w:sz w:val="24"/>
                <w:szCs w:val="24"/>
                <w:lang w:val="sr-Cyrl-CS"/>
              </w:rPr>
              <w:t xml:space="preserve">. </w:t>
            </w:r>
          </w:p>
        </w:tc>
      </w:tr>
      <w:tr w:rsidR="0088138E" w:rsidRPr="00E95BC4" w:rsidTr="00665BC3">
        <w:trPr>
          <w:cnfStyle w:val="000000100000"/>
        </w:trPr>
        <w:tc>
          <w:tcPr>
            <w:cnfStyle w:val="001000000000"/>
            <w:tcW w:w="2268" w:type="dxa"/>
            <w:vMerge w:val="restart"/>
          </w:tcPr>
          <w:p w:rsidR="0088138E" w:rsidRPr="00E95BC4" w:rsidRDefault="005818C0" w:rsidP="00285FD7">
            <w:pPr>
              <w:rPr>
                <w:b w:val="0"/>
                <w:lang w:val="sr-Cyrl-CS"/>
              </w:rPr>
            </w:pPr>
            <w:r>
              <w:rPr>
                <w:b w:val="0"/>
                <w:lang w:val="sr-Cyrl-CS"/>
              </w:rPr>
              <w:t>Pretnje</w:t>
            </w:r>
            <w:r w:rsidR="0088138E" w:rsidRPr="00E95BC4">
              <w:rPr>
                <w:b w:val="0"/>
                <w:lang w:val="sr-Cyrl-CS"/>
              </w:rPr>
              <w:t xml:space="preserve"> </w:t>
            </w:r>
            <w:r>
              <w:rPr>
                <w:b w:val="0"/>
                <w:lang w:val="sr-Cyrl-CS"/>
              </w:rPr>
              <w:t>za</w:t>
            </w:r>
            <w:r w:rsidR="0088138E" w:rsidRPr="00E95BC4">
              <w:rPr>
                <w:b w:val="0"/>
                <w:lang w:val="sr-Cyrl-CS"/>
              </w:rPr>
              <w:t xml:space="preserve"> </w:t>
            </w:r>
            <w:r>
              <w:rPr>
                <w:b w:val="0"/>
                <w:lang w:val="sr-Cyrl-CS"/>
              </w:rPr>
              <w:t>pranje</w:t>
            </w:r>
            <w:r w:rsidR="0088138E" w:rsidRPr="00E95BC4">
              <w:rPr>
                <w:b w:val="0"/>
                <w:lang w:val="sr-Cyrl-CS"/>
              </w:rPr>
              <w:t xml:space="preserve"> </w:t>
            </w:r>
            <w:r>
              <w:rPr>
                <w:b w:val="0"/>
                <w:lang w:val="sr-Cyrl-CS"/>
              </w:rPr>
              <w:t>novca</w:t>
            </w:r>
            <w:r w:rsidR="0088138E" w:rsidRPr="00E95BC4">
              <w:rPr>
                <w:b w:val="0"/>
                <w:lang w:val="sr-Cyrl-CS"/>
              </w:rPr>
              <w:t xml:space="preserve"> </w:t>
            </w:r>
            <w:r>
              <w:rPr>
                <w:b w:val="0"/>
                <w:lang w:val="sr-Cyrl-CS"/>
              </w:rPr>
              <w:t>se</w:t>
            </w:r>
            <w:r w:rsidR="0088138E" w:rsidRPr="00E95BC4">
              <w:rPr>
                <w:b w:val="0"/>
                <w:lang w:val="sr-Cyrl-CS"/>
              </w:rPr>
              <w:t xml:space="preserve"> </w:t>
            </w:r>
            <w:r>
              <w:rPr>
                <w:b w:val="0"/>
                <w:lang w:val="sr-Cyrl-CS"/>
              </w:rPr>
              <w:t>otkrivaju</w:t>
            </w:r>
            <w:r w:rsidR="0088138E" w:rsidRPr="00E95BC4">
              <w:rPr>
                <w:b w:val="0"/>
                <w:lang w:val="sr-Cyrl-CS"/>
              </w:rPr>
              <w:t xml:space="preserve"> </w:t>
            </w:r>
            <w:r>
              <w:rPr>
                <w:b w:val="0"/>
                <w:lang w:val="sr-Cyrl-CS"/>
              </w:rPr>
              <w:t>i</w:t>
            </w:r>
            <w:r w:rsidR="0088138E" w:rsidRPr="00E95BC4">
              <w:rPr>
                <w:b w:val="0"/>
                <w:lang w:val="sr-Cyrl-CS"/>
              </w:rPr>
              <w:t xml:space="preserve"> </w:t>
            </w:r>
            <w:r>
              <w:rPr>
                <w:b w:val="0"/>
                <w:lang w:val="sr-Cyrl-CS"/>
              </w:rPr>
              <w:t>otklanjaju</w:t>
            </w:r>
            <w:r w:rsidR="0088138E" w:rsidRPr="00E95BC4">
              <w:rPr>
                <w:b w:val="0"/>
                <w:lang w:val="sr-Cyrl-CS"/>
              </w:rPr>
              <w:t xml:space="preserve">, </w:t>
            </w:r>
            <w:r>
              <w:rPr>
                <w:b w:val="0"/>
                <w:lang w:val="sr-Cyrl-CS"/>
              </w:rPr>
              <w:t>izvršioci</w:t>
            </w:r>
            <w:r w:rsidR="0088138E" w:rsidRPr="00E95BC4">
              <w:rPr>
                <w:b w:val="0"/>
                <w:lang w:val="sr-Cyrl-CS"/>
              </w:rPr>
              <w:t xml:space="preserve"> </w:t>
            </w:r>
            <w:r>
              <w:rPr>
                <w:b w:val="0"/>
                <w:lang w:val="sr-Cyrl-CS"/>
              </w:rPr>
              <w:t>krivičnih</w:t>
            </w:r>
            <w:r w:rsidR="0088138E" w:rsidRPr="00E95BC4">
              <w:rPr>
                <w:b w:val="0"/>
                <w:lang w:val="sr-Cyrl-CS"/>
              </w:rPr>
              <w:t xml:space="preserve"> </w:t>
            </w:r>
            <w:r>
              <w:rPr>
                <w:b w:val="0"/>
                <w:lang w:val="sr-Cyrl-CS"/>
              </w:rPr>
              <w:t>dela</w:t>
            </w:r>
            <w:r w:rsidR="0088138E" w:rsidRPr="00E95BC4">
              <w:rPr>
                <w:b w:val="0"/>
                <w:lang w:val="sr-Cyrl-CS"/>
              </w:rPr>
              <w:t xml:space="preserve"> </w:t>
            </w:r>
            <w:r>
              <w:rPr>
                <w:b w:val="0"/>
                <w:lang w:val="sr-Cyrl-CS"/>
              </w:rPr>
              <w:t>se</w:t>
            </w:r>
            <w:r w:rsidR="0088138E" w:rsidRPr="00E95BC4">
              <w:rPr>
                <w:b w:val="0"/>
                <w:lang w:val="sr-Cyrl-CS"/>
              </w:rPr>
              <w:t xml:space="preserve"> </w:t>
            </w:r>
            <w:r>
              <w:rPr>
                <w:b w:val="0"/>
                <w:lang w:val="sr-Cyrl-CS"/>
              </w:rPr>
              <w:t>sankcionišu</w:t>
            </w:r>
            <w:r w:rsidR="0088138E" w:rsidRPr="00E95BC4">
              <w:rPr>
                <w:b w:val="0"/>
                <w:lang w:val="sr-Cyrl-CS"/>
              </w:rPr>
              <w:t xml:space="preserve"> </w:t>
            </w:r>
            <w:r>
              <w:rPr>
                <w:b w:val="0"/>
                <w:lang w:val="sr-Cyrl-CS"/>
              </w:rPr>
              <w:t>i</w:t>
            </w:r>
            <w:r w:rsidR="0088138E" w:rsidRPr="00E95BC4">
              <w:rPr>
                <w:b w:val="0"/>
                <w:lang w:val="sr-Cyrl-CS"/>
              </w:rPr>
              <w:t xml:space="preserve"> </w:t>
            </w:r>
            <w:r>
              <w:rPr>
                <w:b w:val="0"/>
                <w:lang w:val="sr-Cyrl-CS"/>
              </w:rPr>
              <w:t>oduzima</w:t>
            </w:r>
            <w:r w:rsidR="0088138E" w:rsidRPr="00E95BC4">
              <w:rPr>
                <w:b w:val="0"/>
                <w:lang w:val="sr-Cyrl-CS"/>
              </w:rPr>
              <w:t xml:space="preserve"> </w:t>
            </w:r>
            <w:r>
              <w:rPr>
                <w:b w:val="0"/>
                <w:lang w:val="sr-Cyrl-CS"/>
              </w:rPr>
              <w:t>im</w:t>
            </w:r>
            <w:r w:rsidR="0088138E" w:rsidRPr="00E95BC4">
              <w:rPr>
                <w:b w:val="0"/>
                <w:lang w:val="sr-Cyrl-CS"/>
              </w:rPr>
              <w:t xml:space="preserve"> </w:t>
            </w:r>
            <w:r>
              <w:rPr>
                <w:b w:val="0"/>
                <w:lang w:val="sr-Cyrl-CS"/>
              </w:rPr>
              <w:t>se</w:t>
            </w:r>
            <w:r w:rsidR="0088138E" w:rsidRPr="00E95BC4">
              <w:rPr>
                <w:b w:val="0"/>
                <w:lang w:val="sr-Cyrl-CS"/>
              </w:rPr>
              <w:t xml:space="preserve"> </w:t>
            </w:r>
            <w:r>
              <w:rPr>
                <w:b w:val="0"/>
                <w:lang w:val="sr-Cyrl-CS"/>
              </w:rPr>
              <w:t>nelegalno</w:t>
            </w:r>
            <w:r w:rsidR="0088138E" w:rsidRPr="00E95BC4">
              <w:rPr>
                <w:b w:val="0"/>
                <w:lang w:val="sr-Cyrl-CS"/>
              </w:rPr>
              <w:t xml:space="preserve"> </w:t>
            </w:r>
            <w:r>
              <w:rPr>
                <w:b w:val="0"/>
                <w:lang w:val="sr-Cyrl-CS"/>
              </w:rPr>
              <w:t>stečena</w:t>
            </w:r>
            <w:r w:rsidR="0088138E" w:rsidRPr="00E95BC4">
              <w:rPr>
                <w:b w:val="0"/>
                <w:lang w:val="sr-Cyrl-CS"/>
              </w:rPr>
              <w:t xml:space="preserve"> </w:t>
            </w:r>
            <w:r>
              <w:rPr>
                <w:b w:val="0"/>
                <w:lang w:val="sr-Cyrl-CS"/>
              </w:rPr>
              <w:t>imovina</w:t>
            </w:r>
            <w:r w:rsidR="0088138E" w:rsidRPr="00E95BC4">
              <w:rPr>
                <w:b w:val="0"/>
                <w:lang w:val="sr-Cyrl-CS"/>
              </w:rPr>
              <w:t xml:space="preserve">. </w:t>
            </w:r>
            <w:r>
              <w:rPr>
                <w:b w:val="0"/>
                <w:lang w:val="sr-Cyrl-CS"/>
              </w:rPr>
              <w:t>Pretnje</w:t>
            </w:r>
            <w:r w:rsidR="0088138E" w:rsidRPr="00E95BC4">
              <w:rPr>
                <w:b w:val="0"/>
                <w:lang w:val="sr-Cyrl-CS"/>
              </w:rPr>
              <w:t xml:space="preserve"> </w:t>
            </w:r>
            <w:r>
              <w:rPr>
                <w:b w:val="0"/>
                <w:lang w:val="sr-Cyrl-CS"/>
              </w:rPr>
              <w:t>za</w:t>
            </w:r>
            <w:r w:rsidR="0088138E" w:rsidRPr="00E95BC4">
              <w:rPr>
                <w:b w:val="0"/>
                <w:lang w:val="sr-Cyrl-CS"/>
              </w:rPr>
              <w:t xml:space="preserve"> </w:t>
            </w:r>
            <w:r>
              <w:rPr>
                <w:b w:val="0"/>
                <w:lang w:val="sr-Cyrl-CS"/>
              </w:rPr>
              <w:t>finansiranje</w:t>
            </w:r>
            <w:r w:rsidR="0088138E" w:rsidRPr="00E95BC4">
              <w:rPr>
                <w:b w:val="0"/>
                <w:lang w:val="sr-Cyrl-CS"/>
              </w:rPr>
              <w:t xml:space="preserve"> </w:t>
            </w:r>
            <w:r>
              <w:rPr>
                <w:b w:val="0"/>
                <w:lang w:val="sr-Cyrl-CS"/>
              </w:rPr>
              <w:t>terorizma</w:t>
            </w:r>
            <w:r w:rsidR="0088138E" w:rsidRPr="00E95BC4">
              <w:rPr>
                <w:b w:val="0"/>
                <w:lang w:val="sr-Cyrl-CS"/>
              </w:rPr>
              <w:t xml:space="preserve"> </w:t>
            </w:r>
            <w:r>
              <w:rPr>
                <w:b w:val="0"/>
                <w:lang w:val="sr-Cyrl-CS"/>
              </w:rPr>
              <w:t>se</w:t>
            </w:r>
            <w:r w:rsidR="0088138E" w:rsidRPr="00E95BC4">
              <w:rPr>
                <w:b w:val="0"/>
                <w:lang w:val="sr-Cyrl-CS"/>
              </w:rPr>
              <w:t xml:space="preserve"> </w:t>
            </w:r>
            <w:r>
              <w:rPr>
                <w:b w:val="0"/>
                <w:lang w:val="sr-Cyrl-CS"/>
              </w:rPr>
              <w:t>otkrivaju</w:t>
            </w:r>
            <w:r w:rsidR="0088138E" w:rsidRPr="00E95BC4">
              <w:rPr>
                <w:b w:val="0"/>
                <w:lang w:val="sr-Cyrl-CS"/>
              </w:rPr>
              <w:t xml:space="preserve"> </w:t>
            </w:r>
            <w:r>
              <w:rPr>
                <w:b w:val="0"/>
                <w:lang w:val="sr-Cyrl-CS"/>
              </w:rPr>
              <w:t>i</w:t>
            </w:r>
            <w:r w:rsidR="0088138E" w:rsidRPr="00E95BC4">
              <w:rPr>
                <w:b w:val="0"/>
                <w:lang w:val="sr-Cyrl-CS"/>
              </w:rPr>
              <w:t xml:space="preserve"> </w:t>
            </w:r>
            <w:r>
              <w:rPr>
                <w:b w:val="0"/>
                <w:lang w:val="sr-Cyrl-CS"/>
              </w:rPr>
              <w:t>otklanjaju</w:t>
            </w:r>
            <w:r w:rsidR="0088138E" w:rsidRPr="00E95BC4">
              <w:rPr>
                <w:b w:val="0"/>
                <w:lang w:val="sr-Cyrl-CS"/>
              </w:rPr>
              <w:t xml:space="preserve">, </w:t>
            </w:r>
            <w:r>
              <w:rPr>
                <w:b w:val="0"/>
                <w:lang w:val="sr-Cyrl-CS"/>
              </w:rPr>
              <w:t>od</w:t>
            </w:r>
            <w:r w:rsidR="0088138E" w:rsidRPr="00E95BC4">
              <w:rPr>
                <w:b w:val="0"/>
                <w:lang w:val="sr-Cyrl-CS"/>
              </w:rPr>
              <w:t xml:space="preserve"> </w:t>
            </w:r>
            <w:r>
              <w:rPr>
                <w:b w:val="0"/>
                <w:lang w:val="sr-Cyrl-CS"/>
              </w:rPr>
              <w:t>terorista</w:t>
            </w:r>
            <w:r w:rsidR="0088138E" w:rsidRPr="00E95BC4">
              <w:rPr>
                <w:b w:val="0"/>
                <w:lang w:val="sr-Cyrl-CS"/>
              </w:rPr>
              <w:t xml:space="preserve"> </w:t>
            </w:r>
            <w:r>
              <w:rPr>
                <w:b w:val="0"/>
                <w:lang w:val="sr-Cyrl-CS"/>
              </w:rPr>
              <w:t>se</w:t>
            </w:r>
            <w:r w:rsidR="0088138E" w:rsidRPr="00E95BC4">
              <w:rPr>
                <w:b w:val="0"/>
                <w:lang w:val="sr-Cyrl-CS"/>
              </w:rPr>
              <w:t xml:space="preserve"> </w:t>
            </w:r>
            <w:r>
              <w:rPr>
                <w:b w:val="0"/>
                <w:lang w:val="sr-Cyrl-CS"/>
              </w:rPr>
              <w:t>oduzimaju</w:t>
            </w:r>
            <w:r w:rsidR="0088138E" w:rsidRPr="00E95BC4">
              <w:rPr>
                <w:b w:val="0"/>
                <w:lang w:val="sr-Cyrl-CS"/>
              </w:rPr>
              <w:t xml:space="preserve"> </w:t>
            </w:r>
            <w:r>
              <w:rPr>
                <w:b w:val="0"/>
                <w:lang w:val="sr-Cyrl-CS"/>
              </w:rPr>
              <w:t>sredstva</w:t>
            </w:r>
            <w:r w:rsidR="0088138E" w:rsidRPr="00E95BC4">
              <w:rPr>
                <w:b w:val="0"/>
                <w:lang w:val="sr-Cyrl-CS"/>
              </w:rPr>
              <w:t xml:space="preserve">, </w:t>
            </w:r>
            <w:r>
              <w:rPr>
                <w:b w:val="0"/>
                <w:lang w:val="sr-Cyrl-CS"/>
              </w:rPr>
              <w:t>a</w:t>
            </w:r>
            <w:r w:rsidR="0088138E" w:rsidRPr="00E95BC4">
              <w:rPr>
                <w:b w:val="0"/>
                <w:lang w:val="sr-Cyrl-CS"/>
              </w:rPr>
              <w:t xml:space="preserve"> </w:t>
            </w:r>
            <w:r>
              <w:rPr>
                <w:b w:val="0"/>
                <w:lang w:val="sr-Cyrl-CS"/>
              </w:rPr>
              <w:t>oni</w:t>
            </w:r>
            <w:r w:rsidR="0088138E" w:rsidRPr="00E95BC4">
              <w:rPr>
                <w:b w:val="0"/>
                <w:lang w:val="sr-Cyrl-CS"/>
              </w:rPr>
              <w:t xml:space="preserve"> </w:t>
            </w:r>
            <w:r>
              <w:rPr>
                <w:b w:val="0"/>
                <w:lang w:val="sr-Cyrl-CS"/>
              </w:rPr>
              <w:t>koji</w:t>
            </w:r>
            <w:r w:rsidR="0088138E" w:rsidRPr="00E95BC4">
              <w:rPr>
                <w:b w:val="0"/>
                <w:lang w:val="sr-Cyrl-CS"/>
              </w:rPr>
              <w:t xml:space="preserve"> </w:t>
            </w:r>
            <w:r>
              <w:rPr>
                <w:b w:val="0"/>
                <w:lang w:val="sr-Cyrl-CS"/>
              </w:rPr>
              <w:t>finansiraju</w:t>
            </w:r>
            <w:r w:rsidR="0088138E" w:rsidRPr="00E95BC4">
              <w:rPr>
                <w:b w:val="0"/>
                <w:lang w:val="sr-Cyrl-CS"/>
              </w:rPr>
              <w:t xml:space="preserve"> </w:t>
            </w:r>
            <w:r>
              <w:rPr>
                <w:b w:val="0"/>
                <w:lang w:val="sr-Cyrl-CS"/>
              </w:rPr>
              <w:t>terorizam</w:t>
            </w:r>
            <w:r w:rsidR="0088138E" w:rsidRPr="00E95BC4">
              <w:rPr>
                <w:b w:val="0"/>
                <w:lang w:val="sr-Cyrl-CS"/>
              </w:rPr>
              <w:t xml:space="preserve"> </w:t>
            </w:r>
            <w:r>
              <w:rPr>
                <w:b w:val="0"/>
                <w:lang w:val="sr-Cyrl-CS"/>
              </w:rPr>
              <w:t>se</w:t>
            </w:r>
            <w:r w:rsidR="0088138E" w:rsidRPr="00E95BC4">
              <w:rPr>
                <w:b w:val="0"/>
                <w:lang w:val="sr-Cyrl-CS"/>
              </w:rPr>
              <w:t xml:space="preserve"> </w:t>
            </w:r>
            <w:r>
              <w:rPr>
                <w:b w:val="0"/>
                <w:lang w:val="sr-Cyrl-CS"/>
              </w:rPr>
              <w:t>sankcionišu</w:t>
            </w:r>
            <w:r w:rsidR="0088138E" w:rsidRPr="00E95BC4">
              <w:rPr>
                <w:b w:val="0"/>
                <w:lang w:val="sr-Cyrl-CS"/>
              </w:rPr>
              <w:t xml:space="preserve">, </w:t>
            </w:r>
            <w:r>
              <w:rPr>
                <w:b w:val="0"/>
                <w:lang w:val="sr-Cyrl-CS"/>
              </w:rPr>
              <w:t>čime</w:t>
            </w:r>
            <w:r w:rsidR="0088138E" w:rsidRPr="00E95BC4">
              <w:rPr>
                <w:b w:val="0"/>
                <w:lang w:val="sr-Cyrl-CS"/>
              </w:rPr>
              <w:t xml:space="preserve"> </w:t>
            </w:r>
            <w:r>
              <w:rPr>
                <w:b w:val="0"/>
                <w:lang w:val="sr-Cyrl-CS"/>
              </w:rPr>
              <w:t>se</w:t>
            </w:r>
            <w:r w:rsidR="0088138E" w:rsidRPr="00E95BC4">
              <w:rPr>
                <w:b w:val="0"/>
                <w:lang w:val="sr-Cyrl-CS"/>
              </w:rPr>
              <w:t xml:space="preserve"> </w:t>
            </w:r>
            <w:r>
              <w:rPr>
                <w:b w:val="0"/>
                <w:lang w:val="sr-Cyrl-CS"/>
              </w:rPr>
              <w:t>doprinosi</w:t>
            </w:r>
            <w:r w:rsidR="0088138E" w:rsidRPr="00E95BC4">
              <w:rPr>
                <w:b w:val="0"/>
                <w:lang w:val="sr-Cyrl-CS"/>
              </w:rPr>
              <w:t xml:space="preserve"> </w:t>
            </w:r>
            <w:r>
              <w:rPr>
                <w:b w:val="0"/>
                <w:lang w:val="sr-Cyrl-CS"/>
              </w:rPr>
              <w:t>sprečavanju</w:t>
            </w:r>
            <w:r w:rsidR="0088138E" w:rsidRPr="00E95BC4">
              <w:rPr>
                <w:b w:val="0"/>
                <w:lang w:val="sr-Cyrl-CS"/>
              </w:rPr>
              <w:t xml:space="preserve"> </w:t>
            </w:r>
            <w:r>
              <w:rPr>
                <w:b w:val="0"/>
                <w:lang w:val="sr-Cyrl-CS"/>
              </w:rPr>
              <w:t>terorističkih</w:t>
            </w:r>
            <w:r w:rsidR="0088138E" w:rsidRPr="00E95BC4">
              <w:rPr>
                <w:b w:val="0"/>
                <w:lang w:val="sr-Cyrl-CS"/>
              </w:rPr>
              <w:t xml:space="preserve"> </w:t>
            </w:r>
            <w:r>
              <w:rPr>
                <w:b w:val="0"/>
                <w:lang w:val="sr-Cyrl-CS"/>
              </w:rPr>
              <w:t>akata</w:t>
            </w:r>
            <w:r w:rsidR="00835D12">
              <w:rPr>
                <w:b w:val="0"/>
                <w:lang w:val="sr-Cyrl-CS"/>
              </w:rPr>
              <w:t>.</w:t>
            </w:r>
          </w:p>
        </w:tc>
        <w:tc>
          <w:tcPr>
            <w:tcW w:w="709" w:type="dxa"/>
          </w:tcPr>
          <w:p w:rsidR="0088138E" w:rsidRPr="00E95BC4" w:rsidRDefault="0088138E" w:rsidP="00285FD7">
            <w:pPr>
              <w:jc w:val="center"/>
              <w:cnfStyle w:val="000000100000"/>
              <w:rPr>
                <w:lang w:val="sr-Cyrl-CS"/>
              </w:rPr>
            </w:pPr>
            <w:r w:rsidRPr="00E95BC4">
              <w:rPr>
                <w:lang w:val="sr-Cyrl-CS"/>
              </w:rPr>
              <w:t>IO6</w:t>
            </w:r>
          </w:p>
        </w:tc>
        <w:tc>
          <w:tcPr>
            <w:tcW w:w="6487" w:type="dxa"/>
          </w:tcPr>
          <w:p w:rsidR="0088138E" w:rsidRPr="00E95BC4" w:rsidRDefault="005818C0" w:rsidP="00285FD7">
            <w:pPr>
              <w:pStyle w:val="FATF-TEXTE1115"/>
              <w:tabs>
                <w:tab w:val="clear" w:pos="624"/>
                <w:tab w:val="clear" w:pos="1247"/>
                <w:tab w:val="clear" w:pos="1871"/>
                <w:tab w:val="clear" w:pos="2495"/>
                <w:tab w:val="clear" w:pos="3119"/>
              </w:tabs>
              <w:spacing w:after="0" w:line="240" w:lineRule="auto"/>
              <w:cnfStyle w:val="000000100000"/>
              <w:rPr>
                <w:rFonts w:ascii="Times New Roman" w:hAnsi="Times New Roman"/>
                <w:sz w:val="24"/>
                <w:szCs w:val="24"/>
                <w:lang w:val="sr-Cyrl-CS"/>
              </w:rPr>
            </w:pPr>
            <w:r>
              <w:rPr>
                <w:rFonts w:ascii="Times New Roman" w:hAnsi="Times New Roman"/>
                <w:b/>
                <w:sz w:val="24"/>
                <w:szCs w:val="24"/>
                <w:lang w:val="sr-Cyrl-CS"/>
              </w:rPr>
              <w:t>Finansijskoobaveštajni</w:t>
            </w:r>
            <w:r w:rsidR="0088138E" w:rsidRPr="00E95BC4">
              <w:rPr>
                <w:rFonts w:ascii="Times New Roman" w:hAnsi="Times New Roman"/>
                <w:b/>
                <w:sz w:val="24"/>
                <w:szCs w:val="24"/>
                <w:lang w:val="sr-Cyrl-CS"/>
              </w:rPr>
              <w:t xml:space="preserve"> </w:t>
            </w:r>
            <w:r>
              <w:rPr>
                <w:rFonts w:ascii="Times New Roman" w:hAnsi="Times New Roman"/>
                <w:b/>
                <w:sz w:val="24"/>
                <w:szCs w:val="24"/>
                <w:lang w:val="sr-Cyrl-CS"/>
              </w:rPr>
              <w:t>podaci</w:t>
            </w:r>
            <w:r w:rsidR="0088138E" w:rsidRPr="00E95BC4">
              <w:rPr>
                <w:rFonts w:ascii="Times New Roman" w:hAnsi="Times New Roman"/>
                <w:b/>
                <w:sz w:val="24"/>
                <w:szCs w:val="24"/>
                <w:lang w:val="sr-Cyrl-CS"/>
              </w:rPr>
              <w:t>.</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Finansijskoobaveštajni</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podaci</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i</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druge</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relevantne</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informacije</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se</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adekvatno</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koriste</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od</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strane</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nadležnih</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organa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u</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istragama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pranja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novca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i</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finansijskim</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istragama</w:t>
            </w:r>
            <w:r w:rsidR="0088138E" w:rsidRPr="00E95BC4">
              <w:rPr>
                <w:rFonts w:ascii="Times New Roman" w:hAnsi="Times New Roman"/>
                <w:sz w:val="24"/>
                <w:szCs w:val="24"/>
                <w:lang w:val="sr-Cyrl-CS"/>
              </w:rPr>
              <w:t xml:space="preserve">. </w:t>
            </w:r>
          </w:p>
        </w:tc>
      </w:tr>
      <w:tr w:rsidR="0088138E" w:rsidRPr="00E95BC4" w:rsidTr="00665BC3">
        <w:tc>
          <w:tcPr>
            <w:cnfStyle w:val="001000000000"/>
            <w:tcW w:w="2268" w:type="dxa"/>
            <w:vMerge/>
          </w:tcPr>
          <w:p w:rsidR="0088138E" w:rsidRPr="00E95BC4" w:rsidRDefault="0088138E" w:rsidP="00285FD7">
            <w:pPr>
              <w:rPr>
                <w:lang w:val="sr-Cyrl-CS"/>
              </w:rPr>
            </w:pPr>
          </w:p>
        </w:tc>
        <w:tc>
          <w:tcPr>
            <w:tcW w:w="709" w:type="dxa"/>
          </w:tcPr>
          <w:p w:rsidR="0088138E" w:rsidRPr="00E95BC4" w:rsidRDefault="0088138E" w:rsidP="00285FD7">
            <w:pPr>
              <w:jc w:val="center"/>
              <w:cnfStyle w:val="000000000000"/>
              <w:rPr>
                <w:lang w:val="sr-Cyrl-CS"/>
              </w:rPr>
            </w:pPr>
            <w:r w:rsidRPr="00E95BC4">
              <w:rPr>
                <w:lang w:val="sr-Cyrl-CS"/>
              </w:rPr>
              <w:t>IO7</w:t>
            </w:r>
          </w:p>
        </w:tc>
        <w:tc>
          <w:tcPr>
            <w:tcW w:w="6487" w:type="dxa"/>
          </w:tcPr>
          <w:p w:rsidR="0088138E" w:rsidRPr="00E95BC4" w:rsidRDefault="005818C0" w:rsidP="00285FD7">
            <w:pPr>
              <w:pStyle w:val="FATF-TEXTE1115"/>
              <w:tabs>
                <w:tab w:val="clear" w:pos="624"/>
                <w:tab w:val="clear" w:pos="1247"/>
                <w:tab w:val="clear" w:pos="1871"/>
                <w:tab w:val="clear" w:pos="2495"/>
                <w:tab w:val="clear" w:pos="3119"/>
              </w:tabs>
              <w:spacing w:after="0" w:line="240" w:lineRule="auto"/>
              <w:cnfStyle w:val="000000000000"/>
              <w:rPr>
                <w:rFonts w:ascii="Times New Roman" w:hAnsi="Times New Roman"/>
                <w:sz w:val="24"/>
                <w:szCs w:val="24"/>
                <w:lang w:val="sr-Cyrl-CS"/>
              </w:rPr>
            </w:pPr>
            <w:r>
              <w:rPr>
                <w:rFonts w:ascii="Times New Roman" w:hAnsi="Times New Roman"/>
                <w:b/>
                <w:sz w:val="24"/>
                <w:szCs w:val="24"/>
                <w:lang w:val="sr-Cyrl-CS"/>
              </w:rPr>
              <w:t>Istrage</w:t>
            </w:r>
            <w:r w:rsidR="0088138E" w:rsidRPr="00E95BC4">
              <w:rPr>
                <w:rFonts w:ascii="Times New Roman" w:hAnsi="Times New Roman"/>
                <w:b/>
                <w:sz w:val="24"/>
                <w:szCs w:val="24"/>
                <w:lang w:val="sr-Cyrl-CS"/>
              </w:rPr>
              <w:t xml:space="preserve"> </w:t>
            </w:r>
            <w:r>
              <w:rPr>
                <w:rFonts w:ascii="Times New Roman" w:hAnsi="Times New Roman"/>
                <w:b/>
                <w:sz w:val="24"/>
                <w:szCs w:val="24"/>
                <w:lang w:val="sr-Cyrl-CS"/>
              </w:rPr>
              <w:t>i</w:t>
            </w:r>
            <w:r w:rsidR="0088138E" w:rsidRPr="00E95BC4">
              <w:rPr>
                <w:rFonts w:ascii="Times New Roman" w:hAnsi="Times New Roman"/>
                <w:b/>
                <w:sz w:val="24"/>
                <w:szCs w:val="24"/>
                <w:lang w:val="sr-Cyrl-CS"/>
              </w:rPr>
              <w:t xml:space="preserve"> </w:t>
            </w:r>
            <w:r>
              <w:rPr>
                <w:rFonts w:ascii="Times New Roman" w:hAnsi="Times New Roman"/>
                <w:b/>
                <w:sz w:val="24"/>
                <w:szCs w:val="24"/>
                <w:lang w:val="sr-Cyrl-CS"/>
              </w:rPr>
              <w:t>postupci</w:t>
            </w:r>
            <w:r w:rsidR="0088138E" w:rsidRPr="00E95BC4">
              <w:rPr>
                <w:rFonts w:ascii="Times New Roman" w:hAnsi="Times New Roman"/>
                <w:b/>
                <w:sz w:val="24"/>
                <w:szCs w:val="24"/>
                <w:lang w:val="sr-Cyrl-CS"/>
              </w:rPr>
              <w:t xml:space="preserve"> </w:t>
            </w:r>
            <w:r>
              <w:rPr>
                <w:rFonts w:ascii="Times New Roman" w:hAnsi="Times New Roman"/>
                <w:b/>
                <w:sz w:val="24"/>
                <w:szCs w:val="24"/>
                <w:lang w:val="sr-Cyrl-CS"/>
              </w:rPr>
              <w:t>za</w:t>
            </w:r>
            <w:r w:rsidR="0088138E" w:rsidRPr="00E95BC4">
              <w:rPr>
                <w:rFonts w:ascii="Times New Roman" w:hAnsi="Times New Roman"/>
                <w:b/>
                <w:sz w:val="24"/>
                <w:szCs w:val="24"/>
                <w:lang w:val="sr-Cyrl-CS"/>
              </w:rPr>
              <w:t xml:space="preserve"> </w:t>
            </w:r>
            <w:r>
              <w:rPr>
                <w:rFonts w:ascii="Times New Roman" w:hAnsi="Times New Roman"/>
                <w:b/>
                <w:sz w:val="24"/>
                <w:szCs w:val="24"/>
                <w:lang w:val="sr-Cyrl-CS"/>
              </w:rPr>
              <w:t>pranje</w:t>
            </w:r>
            <w:r w:rsidR="0088138E" w:rsidRPr="00E95BC4">
              <w:rPr>
                <w:rFonts w:ascii="Times New Roman" w:hAnsi="Times New Roman"/>
                <w:b/>
                <w:sz w:val="24"/>
                <w:szCs w:val="24"/>
                <w:lang w:val="sr-Cyrl-CS"/>
              </w:rPr>
              <w:t xml:space="preserve"> </w:t>
            </w:r>
            <w:r>
              <w:rPr>
                <w:rFonts w:ascii="Times New Roman" w:hAnsi="Times New Roman"/>
                <w:b/>
                <w:sz w:val="24"/>
                <w:szCs w:val="24"/>
                <w:lang w:val="sr-Cyrl-CS"/>
              </w:rPr>
              <w:t>novca</w:t>
            </w:r>
            <w:r w:rsidR="0088138E" w:rsidRPr="00E95BC4">
              <w:rPr>
                <w:rFonts w:ascii="Times New Roman" w:hAnsi="Times New Roman"/>
                <w:b/>
                <w:sz w:val="24"/>
                <w:szCs w:val="24"/>
                <w:lang w:val="sr-Cyrl-CS"/>
              </w:rPr>
              <w:t>.</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Sprovodi</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se</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istraga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o</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krivičnim</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delima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i</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aktivnostima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pranja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novca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protiv</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počinilaca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se</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vode</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postupci</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i</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protiv</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njih</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se</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mogu</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izricati</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delotvorne</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srazmerne</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i</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odvraćajuće</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sankcije</w:t>
            </w:r>
            <w:r w:rsidR="0088138E" w:rsidRPr="00E95BC4">
              <w:rPr>
                <w:rFonts w:ascii="Times New Roman" w:hAnsi="Times New Roman"/>
                <w:sz w:val="24"/>
                <w:szCs w:val="24"/>
                <w:lang w:val="sr-Cyrl-CS"/>
              </w:rPr>
              <w:t xml:space="preserve">. </w:t>
            </w:r>
          </w:p>
        </w:tc>
      </w:tr>
      <w:tr w:rsidR="0088138E" w:rsidRPr="00E95BC4" w:rsidTr="00665BC3">
        <w:trPr>
          <w:cnfStyle w:val="000000100000"/>
        </w:trPr>
        <w:tc>
          <w:tcPr>
            <w:cnfStyle w:val="001000000000"/>
            <w:tcW w:w="2268" w:type="dxa"/>
            <w:vMerge/>
          </w:tcPr>
          <w:p w:rsidR="0088138E" w:rsidRPr="00E95BC4" w:rsidRDefault="0088138E" w:rsidP="00285FD7">
            <w:pPr>
              <w:rPr>
                <w:lang w:val="sr-Cyrl-CS"/>
              </w:rPr>
            </w:pPr>
          </w:p>
        </w:tc>
        <w:tc>
          <w:tcPr>
            <w:tcW w:w="709" w:type="dxa"/>
          </w:tcPr>
          <w:p w:rsidR="0088138E" w:rsidRPr="00E95BC4" w:rsidRDefault="0088138E" w:rsidP="00285FD7">
            <w:pPr>
              <w:jc w:val="center"/>
              <w:cnfStyle w:val="000000100000"/>
              <w:rPr>
                <w:lang w:val="sr-Cyrl-CS"/>
              </w:rPr>
            </w:pPr>
            <w:r w:rsidRPr="00E95BC4">
              <w:rPr>
                <w:lang w:val="sr-Cyrl-CS"/>
              </w:rPr>
              <w:t>IO8</w:t>
            </w:r>
          </w:p>
        </w:tc>
        <w:tc>
          <w:tcPr>
            <w:tcW w:w="6487" w:type="dxa"/>
          </w:tcPr>
          <w:p w:rsidR="0088138E" w:rsidRPr="00E95BC4" w:rsidRDefault="005818C0" w:rsidP="00285FD7">
            <w:pPr>
              <w:pStyle w:val="FATF-TEXTE1115"/>
              <w:tabs>
                <w:tab w:val="clear" w:pos="624"/>
                <w:tab w:val="clear" w:pos="1247"/>
                <w:tab w:val="clear" w:pos="1871"/>
                <w:tab w:val="clear" w:pos="2495"/>
                <w:tab w:val="clear" w:pos="3119"/>
              </w:tabs>
              <w:spacing w:after="0" w:line="240" w:lineRule="auto"/>
              <w:cnfStyle w:val="000000100000"/>
              <w:rPr>
                <w:rFonts w:ascii="Times New Roman" w:hAnsi="Times New Roman"/>
                <w:sz w:val="24"/>
                <w:szCs w:val="24"/>
                <w:lang w:val="sr-Cyrl-CS"/>
              </w:rPr>
            </w:pPr>
            <w:r>
              <w:rPr>
                <w:rFonts w:ascii="Times New Roman" w:hAnsi="Times New Roman"/>
                <w:b/>
                <w:sz w:val="24"/>
                <w:szCs w:val="24"/>
                <w:lang w:val="sr-Cyrl-CS"/>
              </w:rPr>
              <w:t>Trajno</w:t>
            </w:r>
            <w:r w:rsidR="0088138E" w:rsidRPr="00E95BC4">
              <w:rPr>
                <w:rFonts w:ascii="Times New Roman" w:hAnsi="Times New Roman"/>
                <w:b/>
                <w:sz w:val="24"/>
                <w:szCs w:val="24"/>
                <w:lang w:val="sr-Cyrl-CS"/>
              </w:rPr>
              <w:t xml:space="preserve"> </w:t>
            </w:r>
            <w:r>
              <w:rPr>
                <w:rFonts w:ascii="Times New Roman" w:hAnsi="Times New Roman"/>
                <w:b/>
                <w:sz w:val="24"/>
                <w:szCs w:val="24"/>
                <w:lang w:val="sr-Cyrl-CS"/>
              </w:rPr>
              <w:t>oduzimanje</w:t>
            </w:r>
            <w:r w:rsidR="0088138E" w:rsidRPr="00E95BC4">
              <w:rPr>
                <w:rFonts w:ascii="Times New Roman" w:hAnsi="Times New Roman"/>
                <w:b/>
                <w:sz w:val="24"/>
                <w:szCs w:val="24"/>
                <w:lang w:val="sr-Cyrl-CS"/>
              </w:rPr>
              <w:t xml:space="preserve"> </w:t>
            </w:r>
            <w:r>
              <w:rPr>
                <w:rFonts w:ascii="Times New Roman" w:hAnsi="Times New Roman"/>
                <w:b/>
                <w:sz w:val="24"/>
                <w:szCs w:val="24"/>
                <w:lang w:val="sr-Cyrl-CS"/>
              </w:rPr>
              <w:t>imovine</w:t>
            </w:r>
            <w:r w:rsidR="0088138E" w:rsidRPr="00E95BC4">
              <w:rPr>
                <w:rFonts w:ascii="Times New Roman" w:hAnsi="Times New Roman"/>
                <w:b/>
                <w:sz w:val="24"/>
                <w:szCs w:val="24"/>
                <w:lang w:val="sr-Cyrl-CS"/>
              </w:rPr>
              <w:t xml:space="preserve">. </w:t>
            </w:r>
            <w:r>
              <w:rPr>
                <w:rFonts w:ascii="Times New Roman" w:hAnsi="Times New Roman"/>
                <w:sz w:val="24"/>
                <w:szCs w:val="24"/>
                <w:lang w:val="sr-Cyrl-CS"/>
              </w:rPr>
              <w:t>Sredstva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stečena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krivičnim</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delom</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i</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sredstva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izvršenja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krivičnog</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dela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se</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trajno</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oduzimaju</w:t>
            </w:r>
            <w:r w:rsidR="0088138E" w:rsidRPr="00E95BC4">
              <w:rPr>
                <w:rFonts w:ascii="Times New Roman" w:hAnsi="Times New Roman"/>
                <w:sz w:val="24"/>
                <w:szCs w:val="24"/>
                <w:lang w:val="sr-Cyrl-CS"/>
              </w:rPr>
              <w:t xml:space="preserve">. </w:t>
            </w:r>
          </w:p>
        </w:tc>
      </w:tr>
      <w:tr w:rsidR="0088138E" w:rsidRPr="00E95BC4" w:rsidTr="00665BC3">
        <w:tc>
          <w:tcPr>
            <w:cnfStyle w:val="001000000000"/>
            <w:tcW w:w="2268" w:type="dxa"/>
            <w:vMerge/>
          </w:tcPr>
          <w:p w:rsidR="0088138E" w:rsidRPr="00E95BC4" w:rsidRDefault="0088138E" w:rsidP="00285FD7">
            <w:pPr>
              <w:rPr>
                <w:lang w:val="sr-Cyrl-CS"/>
              </w:rPr>
            </w:pPr>
          </w:p>
        </w:tc>
        <w:tc>
          <w:tcPr>
            <w:tcW w:w="709" w:type="dxa"/>
          </w:tcPr>
          <w:p w:rsidR="0088138E" w:rsidRPr="00E95BC4" w:rsidRDefault="0088138E" w:rsidP="00285FD7">
            <w:pPr>
              <w:jc w:val="center"/>
              <w:cnfStyle w:val="000000000000"/>
              <w:rPr>
                <w:lang w:val="sr-Cyrl-CS"/>
              </w:rPr>
            </w:pPr>
            <w:r w:rsidRPr="00E95BC4">
              <w:rPr>
                <w:lang w:val="sr-Cyrl-CS"/>
              </w:rPr>
              <w:t>IO9</w:t>
            </w:r>
          </w:p>
        </w:tc>
        <w:tc>
          <w:tcPr>
            <w:tcW w:w="6487" w:type="dxa"/>
          </w:tcPr>
          <w:p w:rsidR="0088138E" w:rsidRPr="00E95BC4" w:rsidRDefault="005818C0" w:rsidP="00285FD7">
            <w:pPr>
              <w:pStyle w:val="FATF-TEXTE1115"/>
              <w:tabs>
                <w:tab w:val="clear" w:pos="624"/>
                <w:tab w:val="clear" w:pos="1247"/>
                <w:tab w:val="clear" w:pos="1871"/>
                <w:tab w:val="clear" w:pos="2495"/>
                <w:tab w:val="clear" w:pos="3119"/>
              </w:tabs>
              <w:spacing w:after="0" w:line="240" w:lineRule="auto"/>
              <w:cnfStyle w:val="000000000000"/>
              <w:rPr>
                <w:rFonts w:ascii="Times New Roman" w:hAnsi="Times New Roman"/>
                <w:sz w:val="24"/>
                <w:szCs w:val="24"/>
                <w:lang w:val="sr-Cyrl-CS"/>
              </w:rPr>
            </w:pPr>
            <w:r>
              <w:rPr>
                <w:rFonts w:ascii="Times New Roman" w:hAnsi="Times New Roman"/>
                <w:b/>
                <w:sz w:val="24"/>
                <w:szCs w:val="24"/>
                <w:lang w:val="sr-Cyrl-CS"/>
              </w:rPr>
              <w:t>Istrage</w:t>
            </w:r>
            <w:r w:rsidR="0088138E" w:rsidRPr="00E95BC4">
              <w:rPr>
                <w:rFonts w:ascii="Times New Roman" w:hAnsi="Times New Roman"/>
                <w:b/>
                <w:sz w:val="24"/>
                <w:szCs w:val="24"/>
                <w:lang w:val="sr-Cyrl-CS"/>
              </w:rPr>
              <w:t xml:space="preserve"> </w:t>
            </w:r>
            <w:r>
              <w:rPr>
                <w:rFonts w:ascii="Times New Roman" w:hAnsi="Times New Roman"/>
                <w:b/>
                <w:sz w:val="24"/>
                <w:szCs w:val="24"/>
                <w:lang w:val="sr-Cyrl-CS"/>
              </w:rPr>
              <w:t>i</w:t>
            </w:r>
            <w:r w:rsidR="0088138E" w:rsidRPr="00E95BC4">
              <w:rPr>
                <w:rFonts w:ascii="Times New Roman" w:hAnsi="Times New Roman"/>
                <w:b/>
                <w:sz w:val="24"/>
                <w:szCs w:val="24"/>
                <w:lang w:val="sr-Cyrl-CS"/>
              </w:rPr>
              <w:t xml:space="preserve"> </w:t>
            </w:r>
            <w:r>
              <w:rPr>
                <w:rFonts w:ascii="Times New Roman" w:hAnsi="Times New Roman"/>
                <w:b/>
                <w:sz w:val="24"/>
                <w:szCs w:val="24"/>
                <w:lang w:val="sr-Cyrl-CS"/>
              </w:rPr>
              <w:t>postupci</w:t>
            </w:r>
            <w:r w:rsidR="0088138E" w:rsidRPr="00E95BC4">
              <w:rPr>
                <w:rFonts w:ascii="Times New Roman" w:hAnsi="Times New Roman"/>
                <w:b/>
                <w:sz w:val="24"/>
                <w:szCs w:val="24"/>
                <w:lang w:val="sr-Cyrl-CS"/>
              </w:rPr>
              <w:t xml:space="preserve"> </w:t>
            </w:r>
            <w:r>
              <w:rPr>
                <w:rFonts w:ascii="Times New Roman" w:hAnsi="Times New Roman"/>
                <w:b/>
                <w:sz w:val="24"/>
                <w:szCs w:val="24"/>
                <w:lang w:val="sr-Cyrl-CS"/>
              </w:rPr>
              <w:t>za</w:t>
            </w:r>
            <w:r w:rsidR="0088138E" w:rsidRPr="00E95BC4">
              <w:rPr>
                <w:rFonts w:ascii="Times New Roman" w:hAnsi="Times New Roman"/>
                <w:b/>
                <w:sz w:val="24"/>
                <w:szCs w:val="24"/>
                <w:lang w:val="sr-Cyrl-CS"/>
              </w:rPr>
              <w:t xml:space="preserve"> </w:t>
            </w:r>
            <w:r>
              <w:rPr>
                <w:rFonts w:ascii="Times New Roman" w:hAnsi="Times New Roman"/>
                <w:b/>
                <w:sz w:val="24"/>
                <w:szCs w:val="24"/>
                <w:lang w:val="sr-Cyrl-CS"/>
              </w:rPr>
              <w:t>finansiranje</w:t>
            </w:r>
            <w:r w:rsidR="0088138E" w:rsidRPr="00E95BC4">
              <w:rPr>
                <w:rFonts w:ascii="Times New Roman" w:hAnsi="Times New Roman"/>
                <w:b/>
                <w:sz w:val="24"/>
                <w:szCs w:val="24"/>
                <w:lang w:val="sr-Cyrl-CS"/>
              </w:rPr>
              <w:t xml:space="preserve"> </w:t>
            </w:r>
            <w:r>
              <w:rPr>
                <w:rFonts w:ascii="Times New Roman" w:hAnsi="Times New Roman"/>
                <w:b/>
                <w:sz w:val="24"/>
                <w:szCs w:val="24"/>
                <w:lang w:val="sr-Cyrl-CS"/>
              </w:rPr>
              <w:t>terorizma</w:t>
            </w:r>
            <w:r w:rsidR="0088138E" w:rsidRPr="00E95BC4">
              <w:rPr>
                <w:rFonts w:ascii="Times New Roman" w:hAnsi="Times New Roman"/>
                <w:b/>
                <w:sz w:val="24"/>
                <w:szCs w:val="24"/>
                <w:lang w:val="sr-Cyrl-CS"/>
              </w:rPr>
              <w:t xml:space="preserve">. </w:t>
            </w:r>
            <w:r>
              <w:rPr>
                <w:rFonts w:ascii="Times New Roman" w:hAnsi="Times New Roman"/>
                <w:sz w:val="24"/>
                <w:szCs w:val="24"/>
                <w:lang w:val="sr-Cyrl-CS"/>
              </w:rPr>
              <w:t>Sprovodi</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se</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istraga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o</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krivičnim</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delima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i</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aktivnostima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finansiranja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terorizma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protiv</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lica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koja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finansiraju</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terorizam</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vode</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se</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postupci</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i</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protiv</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njih</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se</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mogu</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izricati</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delotvorne</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srazmerne</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i</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odvraćajuće</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sankcije</w:t>
            </w:r>
            <w:r w:rsidR="0088138E" w:rsidRPr="00E95BC4">
              <w:rPr>
                <w:rFonts w:ascii="Times New Roman" w:hAnsi="Times New Roman"/>
                <w:sz w:val="24"/>
                <w:szCs w:val="24"/>
                <w:lang w:val="sr-Cyrl-CS"/>
              </w:rPr>
              <w:t xml:space="preserve">. </w:t>
            </w:r>
          </w:p>
        </w:tc>
      </w:tr>
      <w:tr w:rsidR="0088138E" w:rsidRPr="00E95BC4" w:rsidTr="00665BC3">
        <w:trPr>
          <w:cnfStyle w:val="000000100000"/>
        </w:trPr>
        <w:tc>
          <w:tcPr>
            <w:cnfStyle w:val="001000000000"/>
            <w:tcW w:w="2268" w:type="dxa"/>
            <w:vMerge/>
          </w:tcPr>
          <w:p w:rsidR="0088138E" w:rsidRPr="00E95BC4" w:rsidRDefault="0088138E" w:rsidP="00285FD7">
            <w:pPr>
              <w:rPr>
                <w:lang w:val="sr-Cyrl-CS"/>
              </w:rPr>
            </w:pPr>
          </w:p>
        </w:tc>
        <w:tc>
          <w:tcPr>
            <w:tcW w:w="709" w:type="dxa"/>
          </w:tcPr>
          <w:p w:rsidR="0088138E" w:rsidRPr="00212E61" w:rsidRDefault="00212E61" w:rsidP="00212E61">
            <w:pPr>
              <w:cnfStyle w:val="000000100000"/>
              <w:rPr>
                <w:sz w:val="22"/>
                <w:szCs w:val="22"/>
                <w:lang w:val="sr-Cyrl-CS"/>
              </w:rPr>
            </w:pPr>
            <w:r w:rsidRPr="00212E61">
              <w:rPr>
                <w:sz w:val="22"/>
                <w:szCs w:val="22"/>
                <w:lang w:val="sr-Cyrl-CS"/>
              </w:rPr>
              <w:t>IO1</w:t>
            </w:r>
            <w:r w:rsidR="0088138E" w:rsidRPr="00212E61">
              <w:rPr>
                <w:sz w:val="22"/>
                <w:szCs w:val="22"/>
                <w:lang w:val="sr-Cyrl-CS"/>
              </w:rPr>
              <w:t>0</w:t>
            </w:r>
          </w:p>
        </w:tc>
        <w:tc>
          <w:tcPr>
            <w:tcW w:w="6487" w:type="dxa"/>
          </w:tcPr>
          <w:p w:rsidR="0088138E" w:rsidRPr="00E95BC4" w:rsidRDefault="005818C0" w:rsidP="00285FD7">
            <w:pPr>
              <w:pStyle w:val="FATF-TEXTE1115"/>
              <w:tabs>
                <w:tab w:val="clear" w:pos="624"/>
                <w:tab w:val="clear" w:pos="1247"/>
                <w:tab w:val="clear" w:pos="1871"/>
                <w:tab w:val="clear" w:pos="2495"/>
                <w:tab w:val="clear" w:pos="3119"/>
              </w:tabs>
              <w:spacing w:after="0" w:line="240" w:lineRule="auto"/>
              <w:cnfStyle w:val="000000100000"/>
              <w:rPr>
                <w:rFonts w:ascii="Times New Roman" w:hAnsi="Times New Roman"/>
                <w:sz w:val="24"/>
                <w:szCs w:val="24"/>
                <w:lang w:val="sr-Cyrl-CS"/>
              </w:rPr>
            </w:pPr>
            <w:r>
              <w:rPr>
                <w:rFonts w:ascii="Times New Roman" w:hAnsi="Times New Roman"/>
                <w:b/>
                <w:sz w:val="24"/>
                <w:szCs w:val="24"/>
                <w:lang w:val="sr-Cyrl-CS"/>
              </w:rPr>
              <w:t>Preventivne</w:t>
            </w:r>
            <w:r w:rsidR="0088138E" w:rsidRPr="00E95BC4">
              <w:rPr>
                <w:rFonts w:ascii="Times New Roman" w:hAnsi="Times New Roman"/>
                <w:b/>
                <w:sz w:val="24"/>
                <w:szCs w:val="24"/>
                <w:lang w:val="sr-Cyrl-CS"/>
              </w:rPr>
              <w:t xml:space="preserve"> </w:t>
            </w:r>
            <w:r>
              <w:rPr>
                <w:rFonts w:ascii="Times New Roman" w:hAnsi="Times New Roman"/>
                <w:b/>
                <w:sz w:val="24"/>
                <w:szCs w:val="24"/>
                <w:lang w:val="sr-Cyrl-CS"/>
              </w:rPr>
              <w:t>mere</w:t>
            </w:r>
            <w:r w:rsidR="0088138E" w:rsidRPr="00E95BC4">
              <w:rPr>
                <w:rFonts w:ascii="Times New Roman" w:hAnsi="Times New Roman"/>
                <w:b/>
                <w:sz w:val="24"/>
                <w:szCs w:val="24"/>
                <w:lang w:val="sr-Cyrl-CS"/>
              </w:rPr>
              <w:t xml:space="preserve"> </w:t>
            </w:r>
            <w:r>
              <w:rPr>
                <w:rFonts w:ascii="Times New Roman" w:hAnsi="Times New Roman"/>
                <w:b/>
                <w:sz w:val="24"/>
                <w:szCs w:val="24"/>
                <w:lang w:val="sr-Cyrl-CS"/>
              </w:rPr>
              <w:t>i</w:t>
            </w:r>
            <w:r w:rsidR="0088138E" w:rsidRPr="00E95BC4">
              <w:rPr>
                <w:rFonts w:ascii="Times New Roman" w:hAnsi="Times New Roman"/>
                <w:b/>
                <w:sz w:val="24"/>
                <w:szCs w:val="24"/>
                <w:lang w:val="sr-Cyrl-CS"/>
              </w:rPr>
              <w:t xml:space="preserve"> </w:t>
            </w:r>
            <w:r>
              <w:rPr>
                <w:rFonts w:ascii="Times New Roman" w:hAnsi="Times New Roman"/>
                <w:b/>
                <w:sz w:val="24"/>
                <w:szCs w:val="24"/>
                <w:lang w:val="sr-Cyrl-CS"/>
              </w:rPr>
              <w:t>finansijske</w:t>
            </w:r>
            <w:r w:rsidR="0088138E" w:rsidRPr="00E95BC4">
              <w:rPr>
                <w:rFonts w:ascii="Times New Roman" w:hAnsi="Times New Roman"/>
                <w:b/>
                <w:sz w:val="24"/>
                <w:szCs w:val="24"/>
                <w:lang w:val="sr-Cyrl-CS"/>
              </w:rPr>
              <w:t xml:space="preserve"> </w:t>
            </w:r>
            <w:r>
              <w:rPr>
                <w:rFonts w:ascii="Times New Roman" w:hAnsi="Times New Roman"/>
                <w:b/>
                <w:sz w:val="24"/>
                <w:szCs w:val="24"/>
                <w:lang w:val="sr-Cyrl-CS"/>
              </w:rPr>
              <w:t>sankcije</w:t>
            </w:r>
            <w:r w:rsidR="0088138E" w:rsidRPr="00E95BC4">
              <w:rPr>
                <w:rFonts w:ascii="Times New Roman" w:hAnsi="Times New Roman"/>
                <w:b/>
                <w:sz w:val="24"/>
                <w:szCs w:val="24"/>
                <w:lang w:val="sr-Cyrl-CS"/>
              </w:rPr>
              <w:t xml:space="preserve"> </w:t>
            </w:r>
            <w:r>
              <w:rPr>
                <w:rFonts w:ascii="Times New Roman" w:hAnsi="Times New Roman"/>
                <w:b/>
                <w:sz w:val="24"/>
                <w:szCs w:val="24"/>
                <w:lang w:val="sr-Cyrl-CS"/>
              </w:rPr>
              <w:t>za</w:t>
            </w:r>
            <w:r w:rsidR="0088138E" w:rsidRPr="00E95BC4">
              <w:rPr>
                <w:rFonts w:ascii="Times New Roman" w:hAnsi="Times New Roman"/>
                <w:b/>
                <w:sz w:val="24"/>
                <w:szCs w:val="24"/>
                <w:lang w:val="sr-Cyrl-CS"/>
              </w:rPr>
              <w:t xml:space="preserve"> </w:t>
            </w:r>
            <w:r>
              <w:rPr>
                <w:rFonts w:ascii="Times New Roman" w:hAnsi="Times New Roman"/>
                <w:b/>
                <w:sz w:val="24"/>
                <w:szCs w:val="24"/>
                <w:lang w:val="sr-Cyrl-CS"/>
              </w:rPr>
              <w:t>finansiranje</w:t>
            </w:r>
            <w:r w:rsidR="0088138E" w:rsidRPr="00E95BC4">
              <w:rPr>
                <w:rFonts w:ascii="Times New Roman" w:hAnsi="Times New Roman"/>
                <w:b/>
                <w:sz w:val="24"/>
                <w:szCs w:val="24"/>
                <w:lang w:val="sr-Cyrl-CS"/>
              </w:rPr>
              <w:t xml:space="preserve"> </w:t>
            </w:r>
            <w:r>
              <w:rPr>
                <w:rFonts w:ascii="Times New Roman" w:hAnsi="Times New Roman"/>
                <w:b/>
                <w:sz w:val="24"/>
                <w:szCs w:val="24"/>
                <w:lang w:val="sr-Cyrl-CS"/>
              </w:rPr>
              <w:t>terorizma</w:t>
            </w:r>
            <w:r w:rsidR="0088138E" w:rsidRPr="00E95BC4">
              <w:rPr>
                <w:rFonts w:ascii="Times New Roman" w:hAnsi="Times New Roman"/>
                <w:b/>
                <w:sz w:val="24"/>
                <w:szCs w:val="24"/>
                <w:lang w:val="sr-Cyrl-CS"/>
              </w:rPr>
              <w:t>.</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Teroristi</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terorističke</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organizacije</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i</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lica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koja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finansiraju</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terorizam</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sprečavaju</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se</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u</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prikupljanju</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prenošenju</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i</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korišćenju</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sredstava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i</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u</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zloupotrebi</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neprofitnog</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sektora</w:t>
            </w:r>
            <w:r w:rsidR="0088138E" w:rsidRPr="00E95BC4">
              <w:rPr>
                <w:rFonts w:ascii="Times New Roman" w:hAnsi="Times New Roman"/>
                <w:sz w:val="24"/>
                <w:szCs w:val="24"/>
                <w:lang w:val="sr-Cyrl-CS"/>
              </w:rPr>
              <w:t xml:space="preserve">. </w:t>
            </w:r>
          </w:p>
        </w:tc>
      </w:tr>
      <w:tr w:rsidR="0088138E" w:rsidRPr="00E95BC4" w:rsidTr="00665BC3">
        <w:tc>
          <w:tcPr>
            <w:cnfStyle w:val="001000000000"/>
            <w:tcW w:w="2268" w:type="dxa"/>
            <w:vMerge/>
          </w:tcPr>
          <w:p w:rsidR="0088138E" w:rsidRPr="00E95BC4" w:rsidRDefault="0088138E" w:rsidP="00285FD7">
            <w:pPr>
              <w:rPr>
                <w:lang w:val="sr-Cyrl-CS"/>
              </w:rPr>
            </w:pPr>
          </w:p>
        </w:tc>
        <w:tc>
          <w:tcPr>
            <w:tcW w:w="709" w:type="dxa"/>
          </w:tcPr>
          <w:p w:rsidR="0088138E" w:rsidRPr="00212E61" w:rsidRDefault="0088138E" w:rsidP="00285FD7">
            <w:pPr>
              <w:jc w:val="center"/>
              <w:cnfStyle w:val="000000000000"/>
              <w:rPr>
                <w:sz w:val="22"/>
                <w:szCs w:val="22"/>
                <w:lang w:val="sr-Cyrl-CS"/>
              </w:rPr>
            </w:pPr>
            <w:r w:rsidRPr="00212E61">
              <w:rPr>
                <w:sz w:val="22"/>
                <w:szCs w:val="22"/>
                <w:lang w:val="sr-Cyrl-CS"/>
              </w:rPr>
              <w:t>IO11</w:t>
            </w:r>
          </w:p>
        </w:tc>
        <w:tc>
          <w:tcPr>
            <w:tcW w:w="6487" w:type="dxa"/>
          </w:tcPr>
          <w:p w:rsidR="0088138E" w:rsidRPr="00E95BC4" w:rsidRDefault="005818C0" w:rsidP="00285FD7">
            <w:pPr>
              <w:pStyle w:val="FATF-TEXTE1115"/>
              <w:tabs>
                <w:tab w:val="clear" w:pos="624"/>
                <w:tab w:val="clear" w:pos="1247"/>
                <w:tab w:val="clear" w:pos="1871"/>
                <w:tab w:val="clear" w:pos="2495"/>
                <w:tab w:val="clear" w:pos="3119"/>
              </w:tabs>
              <w:spacing w:after="0" w:line="240" w:lineRule="auto"/>
              <w:cnfStyle w:val="000000000000"/>
              <w:rPr>
                <w:rFonts w:ascii="Times New Roman" w:hAnsi="Times New Roman"/>
                <w:sz w:val="24"/>
                <w:szCs w:val="24"/>
                <w:lang w:val="sr-Cyrl-CS"/>
              </w:rPr>
            </w:pPr>
            <w:r>
              <w:rPr>
                <w:rFonts w:ascii="Times New Roman" w:hAnsi="Times New Roman"/>
                <w:b/>
                <w:sz w:val="24"/>
                <w:szCs w:val="24"/>
                <w:lang w:val="sr-Cyrl-CS"/>
              </w:rPr>
              <w:t>Finansijske</w:t>
            </w:r>
            <w:r w:rsidR="0088138E" w:rsidRPr="00E95BC4">
              <w:rPr>
                <w:rFonts w:ascii="Times New Roman" w:hAnsi="Times New Roman"/>
                <w:b/>
                <w:sz w:val="24"/>
                <w:szCs w:val="24"/>
                <w:lang w:val="sr-Cyrl-CS"/>
              </w:rPr>
              <w:t xml:space="preserve"> </w:t>
            </w:r>
            <w:r>
              <w:rPr>
                <w:rFonts w:ascii="Times New Roman" w:hAnsi="Times New Roman"/>
                <w:b/>
                <w:sz w:val="24"/>
                <w:szCs w:val="24"/>
                <w:lang w:val="sr-Cyrl-CS"/>
              </w:rPr>
              <w:t>sankcije</w:t>
            </w:r>
            <w:r w:rsidR="0088138E" w:rsidRPr="00E95BC4">
              <w:rPr>
                <w:rFonts w:ascii="Times New Roman" w:hAnsi="Times New Roman"/>
                <w:b/>
                <w:sz w:val="24"/>
                <w:szCs w:val="24"/>
                <w:lang w:val="sr-Cyrl-CS"/>
              </w:rPr>
              <w:t xml:space="preserve"> </w:t>
            </w:r>
            <w:r>
              <w:rPr>
                <w:rFonts w:ascii="Times New Roman" w:hAnsi="Times New Roman"/>
                <w:b/>
                <w:sz w:val="24"/>
                <w:szCs w:val="24"/>
                <w:lang w:val="sr-Cyrl-CS"/>
              </w:rPr>
              <w:t>za</w:t>
            </w:r>
            <w:r w:rsidR="0088138E" w:rsidRPr="00E95BC4">
              <w:rPr>
                <w:rFonts w:ascii="Times New Roman" w:hAnsi="Times New Roman"/>
                <w:b/>
                <w:sz w:val="24"/>
                <w:szCs w:val="24"/>
                <w:lang w:val="sr-Cyrl-CS"/>
              </w:rPr>
              <w:t xml:space="preserve"> </w:t>
            </w:r>
            <w:r>
              <w:rPr>
                <w:rFonts w:ascii="Times New Roman" w:hAnsi="Times New Roman"/>
                <w:b/>
                <w:sz w:val="24"/>
                <w:szCs w:val="24"/>
                <w:lang w:val="sr-Cyrl-CS"/>
              </w:rPr>
              <w:t>širenje</w:t>
            </w:r>
            <w:r w:rsidR="0088138E" w:rsidRPr="00E95BC4">
              <w:rPr>
                <w:rFonts w:ascii="Times New Roman" w:hAnsi="Times New Roman"/>
                <w:b/>
                <w:sz w:val="24"/>
                <w:szCs w:val="24"/>
                <w:lang w:val="sr-Cyrl-CS"/>
              </w:rPr>
              <w:t xml:space="preserve"> </w:t>
            </w:r>
            <w:r>
              <w:rPr>
                <w:rFonts w:ascii="Times New Roman" w:hAnsi="Times New Roman"/>
                <w:b/>
                <w:sz w:val="24"/>
                <w:szCs w:val="24"/>
                <w:lang w:val="sr-Cyrl-CS"/>
              </w:rPr>
              <w:t>oružja</w:t>
            </w:r>
            <w:r w:rsidR="0088138E" w:rsidRPr="00E95BC4">
              <w:rPr>
                <w:rFonts w:ascii="Times New Roman" w:hAnsi="Times New Roman"/>
                <w:b/>
                <w:sz w:val="24"/>
                <w:szCs w:val="24"/>
                <w:lang w:val="sr-Cyrl-CS"/>
              </w:rPr>
              <w:t xml:space="preserve"> </w:t>
            </w:r>
            <w:r>
              <w:rPr>
                <w:rFonts w:ascii="Times New Roman" w:hAnsi="Times New Roman"/>
                <w:b/>
                <w:sz w:val="24"/>
                <w:szCs w:val="24"/>
                <w:lang w:val="sr-Cyrl-CS"/>
              </w:rPr>
              <w:t>za</w:t>
            </w:r>
            <w:r w:rsidR="0088138E" w:rsidRPr="00E95BC4">
              <w:rPr>
                <w:rFonts w:ascii="Times New Roman" w:hAnsi="Times New Roman"/>
                <w:b/>
                <w:sz w:val="24"/>
                <w:szCs w:val="24"/>
                <w:lang w:val="sr-Cyrl-CS"/>
              </w:rPr>
              <w:t xml:space="preserve"> </w:t>
            </w:r>
            <w:r>
              <w:rPr>
                <w:rFonts w:ascii="Times New Roman" w:hAnsi="Times New Roman"/>
                <w:b/>
                <w:sz w:val="24"/>
                <w:szCs w:val="24"/>
                <w:lang w:val="sr-Cyrl-CS"/>
              </w:rPr>
              <w:t>masovno</w:t>
            </w:r>
            <w:r w:rsidR="0088138E" w:rsidRPr="00E95BC4">
              <w:rPr>
                <w:rFonts w:ascii="Times New Roman" w:hAnsi="Times New Roman"/>
                <w:b/>
                <w:sz w:val="24"/>
                <w:szCs w:val="24"/>
                <w:lang w:val="sr-Cyrl-CS"/>
              </w:rPr>
              <w:t xml:space="preserve"> </w:t>
            </w:r>
            <w:r>
              <w:rPr>
                <w:rFonts w:ascii="Times New Roman" w:hAnsi="Times New Roman"/>
                <w:b/>
                <w:sz w:val="24"/>
                <w:szCs w:val="24"/>
                <w:lang w:val="sr-Cyrl-CS"/>
              </w:rPr>
              <w:t>uništenje</w:t>
            </w:r>
            <w:r w:rsidR="0088138E" w:rsidRPr="00E95BC4">
              <w:rPr>
                <w:rFonts w:ascii="Times New Roman" w:hAnsi="Times New Roman"/>
                <w:b/>
                <w:sz w:val="24"/>
                <w:szCs w:val="24"/>
                <w:lang w:val="sr-Cyrl-CS"/>
              </w:rPr>
              <w:t xml:space="preserve">. </w:t>
            </w:r>
            <w:r>
              <w:rPr>
                <w:rFonts w:ascii="Times New Roman" w:hAnsi="Times New Roman"/>
                <w:sz w:val="24"/>
                <w:szCs w:val="24"/>
                <w:lang w:val="sr-Cyrl-CS"/>
              </w:rPr>
              <w:t>Fizička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i</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pravna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lica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koja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učestvuju</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u</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širenju</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oružja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za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masovno</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uništenje</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sprečavaju</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se</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u</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prikupljanju</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prenošenju</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i</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korišćenju</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sredstva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u</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skladu</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sa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relevantnim</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rezolucijama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Saveta</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bezbednosti</w:t>
            </w:r>
            <w:r w:rsidR="0088138E" w:rsidRPr="00E95BC4">
              <w:rPr>
                <w:rFonts w:ascii="Times New Roman" w:hAnsi="Times New Roman"/>
                <w:sz w:val="24"/>
                <w:szCs w:val="24"/>
                <w:lang w:val="sr-Cyrl-CS"/>
              </w:rPr>
              <w:t xml:space="preserve"> </w:t>
            </w:r>
            <w:r>
              <w:rPr>
                <w:rFonts w:ascii="Times New Roman" w:hAnsi="Times New Roman"/>
                <w:sz w:val="24"/>
                <w:szCs w:val="24"/>
                <w:lang w:val="sr-Cyrl-CS"/>
              </w:rPr>
              <w:t>UN</w:t>
            </w:r>
            <w:r w:rsidR="0088138E" w:rsidRPr="00E95BC4">
              <w:rPr>
                <w:rFonts w:ascii="Times New Roman" w:hAnsi="Times New Roman"/>
                <w:sz w:val="24"/>
                <w:szCs w:val="24"/>
                <w:lang w:val="sr-Cyrl-CS"/>
              </w:rPr>
              <w:t xml:space="preserve">. </w:t>
            </w:r>
          </w:p>
        </w:tc>
      </w:tr>
    </w:tbl>
    <w:p w:rsidR="00AD151C" w:rsidRPr="00E95BC4" w:rsidRDefault="00AD151C" w:rsidP="00285FD7">
      <w:pPr>
        <w:pStyle w:val="Heading1"/>
        <w:spacing w:before="0"/>
        <w:ind w:firstLine="720"/>
        <w:rPr>
          <w:rFonts w:ascii="Times New Roman" w:hAnsi="Times New Roman" w:cs="Times New Roman"/>
          <w:sz w:val="24"/>
          <w:szCs w:val="24"/>
          <w:lang w:val="sr-Cyrl-CS"/>
        </w:rPr>
      </w:pPr>
    </w:p>
    <w:p w:rsidR="000342B2" w:rsidRPr="00E95BC4" w:rsidRDefault="005818C0" w:rsidP="000342B2">
      <w:pPr>
        <w:ind w:firstLine="720"/>
        <w:jc w:val="both"/>
        <w:rPr>
          <w:lang w:val="sr-Cyrl-CS"/>
        </w:rPr>
      </w:pPr>
      <w:r>
        <w:rPr>
          <w:lang w:val="sr-Cyrl-CS"/>
        </w:rPr>
        <w:t>U</w:t>
      </w:r>
      <w:r w:rsidR="000342B2" w:rsidRPr="00E95BC4">
        <w:rPr>
          <w:lang w:val="sr-Cyrl-CS"/>
        </w:rPr>
        <w:t xml:space="preserve"> </w:t>
      </w:r>
      <w:r>
        <w:rPr>
          <w:lang w:val="sr-Cyrl-CS"/>
        </w:rPr>
        <w:t>skladu</w:t>
      </w:r>
      <w:r w:rsidR="000342B2" w:rsidRPr="00E95BC4">
        <w:rPr>
          <w:lang w:val="sr-Cyrl-CS"/>
        </w:rPr>
        <w:t xml:space="preserve"> </w:t>
      </w:r>
      <w:r>
        <w:rPr>
          <w:lang w:val="sr-Cyrl-CS"/>
        </w:rPr>
        <w:t>sa</w:t>
      </w:r>
      <w:r w:rsidR="000342B2" w:rsidRPr="00E95BC4">
        <w:rPr>
          <w:lang w:val="sr-Cyrl-CS"/>
        </w:rPr>
        <w:t xml:space="preserve"> </w:t>
      </w:r>
      <w:r>
        <w:rPr>
          <w:lang w:val="sr-Cyrl-CS"/>
        </w:rPr>
        <w:t>navedenim</w:t>
      </w:r>
      <w:r w:rsidR="000342B2" w:rsidRPr="00E95BC4">
        <w:rPr>
          <w:lang w:val="sr-Cyrl-CS"/>
        </w:rPr>
        <w:t xml:space="preserve">, </w:t>
      </w:r>
      <w:r>
        <w:rPr>
          <w:lang w:val="sr-Cyrl-CS"/>
        </w:rPr>
        <w:t>vizija</w:t>
      </w:r>
      <w:r w:rsidR="000342B2" w:rsidRPr="00E95BC4">
        <w:rPr>
          <w:lang w:val="sr-Cyrl-CS"/>
        </w:rPr>
        <w:t xml:space="preserve"> </w:t>
      </w:r>
      <w:r>
        <w:rPr>
          <w:lang w:val="sr-Cyrl-CS"/>
        </w:rPr>
        <w:t>Republike</w:t>
      </w:r>
      <w:r w:rsidR="00DF2729" w:rsidRPr="00E95BC4">
        <w:rPr>
          <w:lang w:val="sr-Cyrl-CS"/>
        </w:rPr>
        <w:t xml:space="preserve"> </w:t>
      </w:r>
      <w:r>
        <w:rPr>
          <w:lang w:val="sr-Cyrl-CS"/>
        </w:rPr>
        <w:t>Srbije</w:t>
      </w:r>
      <w:r w:rsidR="00DF2729" w:rsidRPr="00E95BC4">
        <w:rPr>
          <w:lang w:val="sr-Cyrl-CS"/>
        </w:rPr>
        <w:t xml:space="preserve"> </w:t>
      </w:r>
      <w:r>
        <w:rPr>
          <w:lang w:val="sr-Cyrl-CS"/>
        </w:rPr>
        <w:t>u</w:t>
      </w:r>
      <w:r w:rsidR="00DF2729" w:rsidRPr="00E95BC4">
        <w:rPr>
          <w:lang w:val="sr-Cyrl-CS"/>
        </w:rPr>
        <w:t xml:space="preserve"> </w:t>
      </w:r>
      <w:r>
        <w:rPr>
          <w:lang w:val="sr-Cyrl-CS"/>
        </w:rPr>
        <w:t>ovoj</w:t>
      </w:r>
      <w:r w:rsidR="00DF2729" w:rsidRPr="00E95BC4">
        <w:rPr>
          <w:lang w:val="sr-Cyrl-CS"/>
        </w:rPr>
        <w:t xml:space="preserve"> </w:t>
      </w:r>
      <w:r>
        <w:rPr>
          <w:lang w:val="sr-Cyrl-CS"/>
        </w:rPr>
        <w:t>oblasti</w:t>
      </w:r>
      <w:r w:rsidR="00DF2729" w:rsidRPr="00E95BC4">
        <w:rPr>
          <w:lang w:val="sr-Cyrl-CS"/>
        </w:rPr>
        <w:t xml:space="preserve"> </w:t>
      </w:r>
      <w:r>
        <w:rPr>
          <w:lang w:val="sr-Cyrl-CS"/>
        </w:rPr>
        <w:t>jeste</w:t>
      </w:r>
      <w:r w:rsidR="00DF2729" w:rsidRPr="00E95BC4">
        <w:rPr>
          <w:lang w:val="sr-Cyrl-CS"/>
        </w:rPr>
        <w:t xml:space="preserve"> </w:t>
      </w:r>
      <w:r>
        <w:rPr>
          <w:lang w:val="sr-Cyrl-CS"/>
        </w:rPr>
        <w:t>da</w:t>
      </w:r>
      <w:r w:rsidR="00DF2729" w:rsidRPr="00E95BC4">
        <w:rPr>
          <w:lang w:val="sr-Cyrl-CS"/>
        </w:rPr>
        <w:t xml:space="preserve"> </w:t>
      </w:r>
      <w:r>
        <w:rPr>
          <w:lang w:val="sr-Cyrl-CS"/>
        </w:rPr>
        <w:t>zaštiti</w:t>
      </w:r>
      <w:r w:rsidR="00DF2729" w:rsidRPr="00E95BC4">
        <w:rPr>
          <w:lang w:val="sr-Cyrl-CS"/>
        </w:rPr>
        <w:t xml:space="preserve"> </w:t>
      </w:r>
      <w:r>
        <w:rPr>
          <w:lang w:val="sr-Cyrl-CS"/>
        </w:rPr>
        <w:t>svoj</w:t>
      </w:r>
      <w:r w:rsidR="00DF2729" w:rsidRPr="00E95BC4">
        <w:rPr>
          <w:lang w:val="sr-Cyrl-CS"/>
        </w:rPr>
        <w:t xml:space="preserve"> </w:t>
      </w:r>
      <w:r>
        <w:rPr>
          <w:lang w:val="sr-Cyrl-CS"/>
        </w:rPr>
        <w:t>finansijski</w:t>
      </w:r>
      <w:r w:rsidR="00DF2729" w:rsidRPr="00E95BC4">
        <w:rPr>
          <w:lang w:val="sr-Cyrl-CS"/>
        </w:rPr>
        <w:t xml:space="preserve"> </w:t>
      </w:r>
      <w:r>
        <w:rPr>
          <w:lang w:val="sr-Cyrl-CS"/>
        </w:rPr>
        <w:t>sistem</w:t>
      </w:r>
      <w:r w:rsidR="00DF2729" w:rsidRPr="00E95BC4">
        <w:rPr>
          <w:lang w:val="sr-Cyrl-CS"/>
        </w:rPr>
        <w:t xml:space="preserve"> </w:t>
      </w:r>
      <w:r>
        <w:rPr>
          <w:lang w:val="sr-Cyrl-CS"/>
        </w:rPr>
        <w:t>i</w:t>
      </w:r>
      <w:r w:rsidR="00DF2729" w:rsidRPr="00E95BC4">
        <w:rPr>
          <w:lang w:val="sr-Cyrl-CS"/>
        </w:rPr>
        <w:t xml:space="preserve"> </w:t>
      </w:r>
      <w:r>
        <w:rPr>
          <w:lang w:val="sr-Cyrl-CS"/>
        </w:rPr>
        <w:t>ekonomiju</w:t>
      </w:r>
      <w:r w:rsidR="00DF2729" w:rsidRPr="00E95BC4">
        <w:rPr>
          <w:lang w:val="sr-Cyrl-CS"/>
        </w:rPr>
        <w:t xml:space="preserve"> </w:t>
      </w:r>
      <w:r>
        <w:rPr>
          <w:lang w:val="sr-Cyrl-CS"/>
        </w:rPr>
        <w:t>od</w:t>
      </w:r>
      <w:r w:rsidR="00DF2729" w:rsidRPr="00E95BC4">
        <w:rPr>
          <w:lang w:val="sr-Cyrl-CS"/>
        </w:rPr>
        <w:t xml:space="preserve"> </w:t>
      </w:r>
      <w:r>
        <w:rPr>
          <w:lang w:val="sr-Cyrl-CS"/>
        </w:rPr>
        <w:t>pretnji</w:t>
      </w:r>
      <w:r w:rsidR="00DF2729" w:rsidRPr="00E95BC4">
        <w:rPr>
          <w:lang w:val="sr-Cyrl-CS"/>
        </w:rPr>
        <w:t xml:space="preserve"> </w:t>
      </w:r>
      <w:r>
        <w:rPr>
          <w:lang w:val="sr-Cyrl-CS"/>
        </w:rPr>
        <w:t>pranja</w:t>
      </w:r>
      <w:r w:rsidR="00DF2729" w:rsidRPr="00E95BC4">
        <w:rPr>
          <w:lang w:val="sr-Cyrl-CS"/>
        </w:rPr>
        <w:t xml:space="preserve"> </w:t>
      </w:r>
      <w:r>
        <w:rPr>
          <w:lang w:val="sr-Cyrl-CS"/>
        </w:rPr>
        <w:t>novca</w:t>
      </w:r>
      <w:r w:rsidR="00DF2729" w:rsidRPr="00E95BC4">
        <w:rPr>
          <w:lang w:val="sr-Cyrl-CS"/>
        </w:rPr>
        <w:t xml:space="preserve"> </w:t>
      </w:r>
      <w:r>
        <w:rPr>
          <w:lang w:val="sr-Cyrl-CS"/>
        </w:rPr>
        <w:t>i</w:t>
      </w:r>
      <w:r w:rsidR="00DF2729" w:rsidRPr="00E95BC4">
        <w:rPr>
          <w:lang w:val="sr-Cyrl-CS"/>
        </w:rPr>
        <w:t xml:space="preserve"> </w:t>
      </w:r>
      <w:r>
        <w:rPr>
          <w:lang w:val="sr-Cyrl-CS"/>
        </w:rPr>
        <w:t>finansiranja</w:t>
      </w:r>
      <w:r w:rsidR="00DF2729" w:rsidRPr="00E95BC4">
        <w:rPr>
          <w:lang w:val="sr-Cyrl-CS"/>
        </w:rPr>
        <w:t xml:space="preserve"> </w:t>
      </w:r>
      <w:r>
        <w:rPr>
          <w:lang w:val="sr-Cyrl-CS"/>
        </w:rPr>
        <w:t>terorizma</w:t>
      </w:r>
      <w:r w:rsidR="00DF2729" w:rsidRPr="00E95BC4">
        <w:rPr>
          <w:lang w:val="sr-Cyrl-CS"/>
        </w:rPr>
        <w:t xml:space="preserve"> </w:t>
      </w:r>
      <w:r>
        <w:rPr>
          <w:lang w:val="sr-Cyrl-CS"/>
        </w:rPr>
        <w:t>i</w:t>
      </w:r>
      <w:r w:rsidR="00DF2729" w:rsidRPr="00E95BC4">
        <w:rPr>
          <w:lang w:val="sr-Cyrl-CS"/>
        </w:rPr>
        <w:t xml:space="preserve"> </w:t>
      </w:r>
      <w:r>
        <w:rPr>
          <w:lang w:val="sr-Cyrl-CS"/>
        </w:rPr>
        <w:t>širenja</w:t>
      </w:r>
      <w:r w:rsidR="00DF2729" w:rsidRPr="00E95BC4">
        <w:rPr>
          <w:lang w:val="sr-Cyrl-CS"/>
        </w:rPr>
        <w:t xml:space="preserve"> </w:t>
      </w:r>
      <w:r>
        <w:rPr>
          <w:lang w:val="sr-Cyrl-CS"/>
        </w:rPr>
        <w:t>oružja</w:t>
      </w:r>
      <w:r w:rsidR="00DF2729" w:rsidRPr="00E95BC4">
        <w:rPr>
          <w:lang w:val="sr-Cyrl-CS"/>
        </w:rPr>
        <w:t xml:space="preserve"> </w:t>
      </w:r>
      <w:r>
        <w:rPr>
          <w:lang w:val="sr-Cyrl-CS"/>
        </w:rPr>
        <w:t>za</w:t>
      </w:r>
      <w:r w:rsidR="00DF2729" w:rsidRPr="00E95BC4">
        <w:rPr>
          <w:lang w:val="sr-Cyrl-CS"/>
        </w:rPr>
        <w:t xml:space="preserve"> </w:t>
      </w:r>
      <w:r>
        <w:rPr>
          <w:lang w:val="sr-Cyrl-CS"/>
        </w:rPr>
        <w:t>masovno</w:t>
      </w:r>
      <w:r w:rsidR="00DF2729" w:rsidRPr="00E95BC4">
        <w:rPr>
          <w:lang w:val="sr-Cyrl-CS"/>
        </w:rPr>
        <w:t xml:space="preserve"> </w:t>
      </w:r>
      <w:r>
        <w:rPr>
          <w:lang w:val="sr-Cyrl-CS"/>
        </w:rPr>
        <w:t>uništenje</w:t>
      </w:r>
      <w:r w:rsidR="00DF2729" w:rsidRPr="00E95BC4">
        <w:rPr>
          <w:lang w:val="sr-Cyrl-CS"/>
        </w:rPr>
        <w:t xml:space="preserve">, </w:t>
      </w:r>
      <w:r>
        <w:rPr>
          <w:lang w:val="sr-Cyrl-CS"/>
        </w:rPr>
        <w:t>i</w:t>
      </w:r>
      <w:r w:rsidR="00DF2729" w:rsidRPr="00E95BC4">
        <w:rPr>
          <w:lang w:val="sr-Cyrl-CS"/>
        </w:rPr>
        <w:t xml:space="preserve"> </w:t>
      </w:r>
      <w:r>
        <w:rPr>
          <w:lang w:val="sr-Cyrl-CS"/>
        </w:rPr>
        <w:t>na</w:t>
      </w:r>
      <w:r w:rsidR="00DF2729" w:rsidRPr="00E95BC4">
        <w:rPr>
          <w:lang w:val="sr-Cyrl-CS"/>
        </w:rPr>
        <w:t xml:space="preserve"> </w:t>
      </w:r>
      <w:r>
        <w:rPr>
          <w:lang w:val="sr-Cyrl-CS"/>
        </w:rPr>
        <w:t>taj</w:t>
      </w:r>
      <w:r w:rsidR="00DF2729" w:rsidRPr="00E95BC4">
        <w:rPr>
          <w:lang w:val="sr-Cyrl-CS"/>
        </w:rPr>
        <w:t xml:space="preserve"> </w:t>
      </w:r>
      <w:r>
        <w:rPr>
          <w:lang w:val="sr-Cyrl-CS"/>
        </w:rPr>
        <w:t>način</w:t>
      </w:r>
      <w:r w:rsidR="00DF2729" w:rsidRPr="00E95BC4">
        <w:rPr>
          <w:lang w:val="sr-Cyrl-CS"/>
        </w:rPr>
        <w:t xml:space="preserve"> </w:t>
      </w:r>
      <w:r>
        <w:rPr>
          <w:lang w:val="sr-Cyrl-CS"/>
        </w:rPr>
        <w:t>jačati</w:t>
      </w:r>
      <w:r w:rsidR="00DF2729" w:rsidRPr="00E95BC4">
        <w:rPr>
          <w:lang w:val="sr-Cyrl-CS"/>
        </w:rPr>
        <w:t xml:space="preserve"> </w:t>
      </w:r>
      <w:r>
        <w:rPr>
          <w:lang w:val="sr-Cyrl-CS"/>
        </w:rPr>
        <w:t>integritet</w:t>
      </w:r>
      <w:r w:rsidR="00DF2729" w:rsidRPr="00E95BC4">
        <w:rPr>
          <w:lang w:val="sr-Cyrl-CS"/>
        </w:rPr>
        <w:t xml:space="preserve"> </w:t>
      </w:r>
      <w:r>
        <w:rPr>
          <w:lang w:val="sr-Cyrl-CS"/>
        </w:rPr>
        <w:t>finansijskog</w:t>
      </w:r>
      <w:r w:rsidR="00DF2729" w:rsidRPr="00E95BC4">
        <w:rPr>
          <w:lang w:val="sr-Cyrl-CS"/>
        </w:rPr>
        <w:t xml:space="preserve"> </w:t>
      </w:r>
      <w:r>
        <w:rPr>
          <w:lang w:val="sr-Cyrl-CS"/>
        </w:rPr>
        <w:t>sektora</w:t>
      </w:r>
      <w:r w:rsidR="00DF2729" w:rsidRPr="00E95BC4">
        <w:rPr>
          <w:lang w:val="sr-Cyrl-CS"/>
        </w:rPr>
        <w:t xml:space="preserve"> </w:t>
      </w:r>
      <w:r>
        <w:rPr>
          <w:lang w:val="sr-Cyrl-CS"/>
        </w:rPr>
        <w:t>i</w:t>
      </w:r>
      <w:r w:rsidR="00DF2729" w:rsidRPr="00E95BC4">
        <w:rPr>
          <w:lang w:val="sr-Cyrl-CS"/>
        </w:rPr>
        <w:t xml:space="preserve"> </w:t>
      </w:r>
      <w:r>
        <w:rPr>
          <w:lang w:val="sr-Cyrl-CS"/>
        </w:rPr>
        <w:t>doprineti</w:t>
      </w:r>
      <w:r w:rsidR="00DF2729" w:rsidRPr="00E95BC4">
        <w:rPr>
          <w:lang w:val="sr-Cyrl-CS"/>
        </w:rPr>
        <w:t xml:space="preserve"> </w:t>
      </w:r>
      <w:r>
        <w:rPr>
          <w:lang w:val="sr-Cyrl-CS"/>
        </w:rPr>
        <w:t>bezbednosti</w:t>
      </w:r>
      <w:r w:rsidR="00DF2729" w:rsidRPr="00E95BC4">
        <w:rPr>
          <w:lang w:val="sr-Cyrl-CS"/>
        </w:rPr>
        <w:t xml:space="preserve"> </w:t>
      </w:r>
      <w:r>
        <w:rPr>
          <w:lang w:val="sr-Cyrl-CS"/>
        </w:rPr>
        <w:t>i</w:t>
      </w:r>
      <w:r w:rsidR="00DF2729" w:rsidRPr="00E95BC4">
        <w:rPr>
          <w:lang w:val="sr-Cyrl-CS"/>
        </w:rPr>
        <w:t xml:space="preserve"> </w:t>
      </w:r>
      <w:r>
        <w:rPr>
          <w:lang w:val="sr-Cyrl-CS"/>
        </w:rPr>
        <w:t>sigurnosti</w:t>
      </w:r>
      <w:r w:rsidR="00DF2729" w:rsidRPr="00E95BC4">
        <w:rPr>
          <w:lang w:val="sr-Cyrl-CS"/>
        </w:rPr>
        <w:t>.</w:t>
      </w:r>
      <w:r w:rsidR="00273598" w:rsidRPr="00E95BC4">
        <w:rPr>
          <w:lang w:val="sr-Cyrl-CS"/>
        </w:rPr>
        <w:t xml:space="preserve"> </w:t>
      </w:r>
      <w:r>
        <w:rPr>
          <w:lang w:val="sr-Cyrl-CS"/>
        </w:rPr>
        <w:t>Unapređenjem</w:t>
      </w:r>
      <w:r w:rsidR="00273598" w:rsidRPr="00E95BC4">
        <w:rPr>
          <w:lang w:val="sr-Cyrl-CS"/>
        </w:rPr>
        <w:t xml:space="preserve"> </w:t>
      </w:r>
      <w:r>
        <w:rPr>
          <w:lang w:val="sr-Cyrl-CS"/>
        </w:rPr>
        <w:t>politike</w:t>
      </w:r>
      <w:r w:rsidR="00273598" w:rsidRPr="00E95BC4">
        <w:rPr>
          <w:lang w:val="sr-Cyrl-CS"/>
        </w:rPr>
        <w:t xml:space="preserve"> </w:t>
      </w:r>
      <w:r>
        <w:rPr>
          <w:lang w:val="sr-Cyrl-CS"/>
        </w:rPr>
        <w:t>u</w:t>
      </w:r>
      <w:r w:rsidR="00273598" w:rsidRPr="00E95BC4">
        <w:rPr>
          <w:lang w:val="sr-Cyrl-CS"/>
        </w:rPr>
        <w:t xml:space="preserve"> </w:t>
      </w:r>
      <w:r>
        <w:rPr>
          <w:lang w:val="sr-Cyrl-CS"/>
        </w:rPr>
        <w:t>ovoj</w:t>
      </w:r>
      <w:r w:rsidR="00273598" w:rsidRPr="00E95BC4">
        <w:rPr>
          <w:lang w:val="sr-Cyrl-CS"/>
        </w:rPr>
        <w:t xml:space="preserve"> </w:t>
      </w:r>
      <w:r>
        <w:rPr>
          <w:lang w:val="sr-Cyrl-CS"/>
        </w:rPr>
        <w:t>oblasti</w:t>
      </w:r>
      <w:r w:rsidR="00273598" w:rsidRPr="00E95BC4">
        <w:rPr>
          <w:lang w:val="sr-Cyrl-CS"/>
        </w:rPr>
        <w:t xml:space="preserve">, </w:t>
      </w:r>
      <w:r>
        <w:rPr>
          <w:lang w:val="sr-Cyrl-CS"/>
        </w:rPr>
        <w:t>koordinacijom</w:t>
      </w:r>
      <w:r w:rsidR="00273598" w:rsidRPr="00E95BC4">
        <w:rPr>
          <w:lang w:val="sr-Cyrl-CS"/>
        </w:rPr>
        <w:t xml:space="preserve"> </w:t>
      </w:r>
      <w:r>
        <w:rPr>
          <w:lang w:val="sr-Cyrl-CS"/>
        </w:rPr>
        <w:t>i</w:t>
      </w:r>
      <w:r w:rsidR="00273598" w:rsidRPr="00E95BC4">
        <w:rPr>
          <w:lang w:val="sr-Cyrl-CS"/>
        </w:rPr>
        <w:t xml:space="preserve"> </w:t>
      </w:r>
      <w:r>
        <w:rPr>
          <w:lang w:val="sr-Cyrl-CS"/>
        </w:rPr>
        <w:t>saradnjom</w:t>
      </w:r>
      <w:r w:rsidR="00273598" w:rsidRPr="00E95BC4">
        <w:rPr>
          <w:lang w:val="sr-Cyrl-CS"/>
        </w:rPr>
        <w:t xml:space="preserve"> </w:t>
      </w:r>
      <w:r>
        <w:rPr>
          <w:lang w:val="sr-Cyrl-CS"/>
        </w:rPr>
        <w:t>u</w:t>
      </w:r>
      <w:r w:rsidR="00273598" w:rsidRPr="00E95BC4">
        <w:rPr>
          <w:lang w:val="sr-Cyrl-CS"/>
        </w:rPr>
        <w:t xml:space="preserve"> </w:t>
      </w:r>
      <w:r>
        <w:rPr>
          <w:lang w:val="sr-Cyrl-CS"/>
        </w:rPr>
        <w:t>oblasti</w:t>
      </w:r>
      <w:r w:rsidR="00273598" w:rsidRPr="00E95BC4">
        <w:rPr>
          <w:lang w:val="sr-Cyrl-CS"/>
        </w:rPr>
        <w:t xml:space="preserve"> </w:t>
      </w:r>
      <w:r>
        <w:rPr>
          <w:lang w:val="sr-Cyrl-CS"/>
        </w:rPr>
        <w:t>borbe</w:t>
      </w:r>
      <w:r w:rsidR="00273598" w:rsidRPr="00E95BC4">
        <w:rPr>
          <w:lang w:val="sr-Cyrl-CS"/>
        </w:rPr>
        <w:t xml:space="preserve"> </w:t>
      </w:r>
      <w:r>
        <w:rPr>
          <w:lang w:val="sr-Cyrl-CS"/>
        </w:rPr>
        <w:t>protiv</w:t>
      </w:r>
      <w:r w:rsidR="00273598" w:rsidRPr="00E95BC4">
        <w:rPr>
          <w:lang w:val="sr-Cyrl-CS"/>
        </w:rPr>
        <w:t xml:space="preserve"> </w:t>
      </w:r>
      <w:r>
        <w:rPr>
          <w:lang w:val="sr-Cyrl-CS"/>
        </w:rPr>
        <w:t>pranja</w:t>
      </w:r>
      <w:r w:rsidR="00273598" w:rsidRPr="00E95BC4">
        <w:rPr>
          <w:lang w:val="sr-Cyrl-CS"/>
        </w:rPr>
        <w:t xml:space="preserve"> </w:t>
      </w:r>
      <w:r>
        <w:rPr>
          <w:lang w:val="sr-Cyrl-CS"/>
        </w:rPr>
        <w:t>novca</w:t>
      </w:r>
      <w:r w:rsidR="00273598" w:rsidRPr="00E95BC4">
        <w:rPr>
          <w:lang w:val="sr-Cyrl-CS"/>
        </w:rPr>
        <w:t xml:space="preserve"> </w:t>
      </w:r>
      <w:r>
        <w:rPr>
          <w:lang w:val="sr-Cyrl-CS"/>
        </w:rPr>
        <w:t>i</w:t>
      </w:r>
      <w:r w:rsidR="00273598" w:rsidRPr="00E95BC4">
        <w:rPr>
          <w:lang w:val="sr-Cyrl-CS"/>
        </w:rPr>
        <w:t xml:space="preserve"> </w:t>
      </w:r>
      <w:r>
        <w:rPr>
          <w:lang w:val="sr-Cyrl-CS"/>
        </w:rPr>
        <w:t>finansiranja</w:t>
      </w:r>
      <w:r w:rsidR="00273598" w:rsidRPr="00E95BC4">
        <w:rPr>
          <w:lang w:val="sr-Cyrl-CS"/>
        </w:rPr>
        <w:t xml:space="preserve"> </w:t>
      </w:r>
      <w:r>
        <w:rPr>
          <w:lang w:val="sr-Cyrl-CS"/>
        </w:rPr>
        <w:t>terorizma</w:t>
      </w:r>
      <w:r w:rsidR="00273598" w:rsidRPr="00E95BC4">
        <w:rPr>
          <w:lang w:val="sr-Cyrl-CS"/>
        </w:rPr>
        <w:t xml:space="preserve"> </w:t>
      </w:r>
      <w:r>
        <w:rPr>
          <w:lang w:val="sr-Cyrl-CS"/>
        </w:rPr>
        <w:t>smanjivaće</w:t>
      </w:r>
      <w:r w:rsidR="00273598" w:rsidRPr="00E95BC4">
        <w:rPr>
          <w:lang w:val="sr-Cyrl-CS"/>
        </w:rPr>
        <w:t xml:space="preserve"> </w:t>
      </w:r>
      <w:r>
        <w:rPr>
          <w:lang w:val="sr-Cyrl-CS"/>
        </w:rPr>
        <w:t>se</w:t>
      </w:r>
      <w:r w:rsidR="00273598" w:rsidRPr="00E95BC4">
        <w:rPr>
          <w:lang w:val="sr-Cyrl-CS"/>
        </w:rPr>
        <w:t xml:space="preserve"> </w:t>
      </w:r>
      <w:r>
        <w:rPr>
          <w:lang w:val="sr-Cyrl-CS"/>
        </w:rPr>
        <w:t>rizici</w:t>
      </w:r>
      <w:r w:rsidR="00273598" w:rsidRPr="00E95BC4">
        <w:rPr>
          <w:lang w:val="sr-Cyrl-CS"/>
        </w:rPr>
        <w:t xml:space="preserve"> </w:t>
      </w:r>
      <w:r>
        <w:rPr>
          <w:lang w:val="sr-Cyrl-CS"/>
        </w:rPr>
        <w:t>od</w:t>
      </w:r>
      <w:r w:rsidR="00273598" w:rsidRPr="00E95BC4">
        <w:rPr>
          <w:lang w:val="sr-Cyrl-CS"/>
        </w:rPr>
        <w:t xml:space="preserve"> </w:t>
      </w:r>
      <w:r>
        <w:rPr>
          <w:lang w:val="sr-Cyrl-CS"/>
        </w:rPr>
        <w:t>pranja</w:t>
      </w:r>
      <w:r w:rsidR="00273598" w:rsidRPr="00E95BC4">
        <w:rPr>
          <w:lang w:val="sr-Cyrl-CS"/>
        </w:rPr>
        <w:t xml:space="preserve"> </w:t>
      </w:r>
      <w:r>
        <w:rPr>
          <w:lang w:val="sr-Cyrl-CS"/>
        </w:rPr>
        <w:t>novca</w:t>
      </w:r>
      <w:r w:rsidR="00273598" w:rsidRPr="00E95BC4">
        <w:rPr>
          <w:lang w:val="sr-Cyrl-CS"/>
        </w:rPr>
        <w:t xml:space="preserve"> </w:t>
      </w:r>
      <w:r>
        <w:rPr>
          <w:lang w:val="sr-Cyrl-CS"/>
        </w:rPr>
        <w:t>i</w:t>
      </w:r>
      <w:r w:rsidR="00273598" w:rsidRPr="00E95BC4">
        <w:rPr>
          <w:lang w:val="sr-Cyrl-CS"/>
        </w:rPr>
        <w:t xml:space="preserve"> </w:t>
      </w:r>
      <w:r>
        <w:rPr>
          <w:lang w:val="sr-Cyrl-CS"/>
        </w:rPr>
        <w:t>finansiranja</w:t>
      </w:r>
      <w:r w:rsidR="00273598" w:rsidRPr="00E95BC4">
        <w:rPr>
          <w:lang w:val="sr-Cyrl-CS"/>
        </w:rPr>
        <w:t xml:space="preserve"> </w:t>
      </w:r>
      <w:r>
        <w:rPr>
          <w:lang w:val="sr-Cyrl-CS"/>
        </w:rPr>
        <w:t>terorizma</w:t>
      </w:r>
      <w:r w:rsidR="00273598" w:rsidRPr="00E95BC4">
        <w:rPr>
          <w:lang w:val="sr-Cyrl-CS"/>
        </w:rPr>
        <w:t xml:space="preserve">. </w:t>
      </w:r>
      <w:r>
        <w:rPr>
          <w:lang w:val="sr-Cyrl-CS"/>
        </w:rPr>
        <w:t>Na</w:t>
      </w:r>
      <w:r w:rsidR="00273598" w:rsidRPr="00E95BC4">
        <w:rPr>
          <w:lang w:val="sr-Cyrl-CS"/>
        </w:rPr>
        <w:t xml:space="preserve"> </w:t>
      </w:r>
      <w:r>
        <w:rPr>
          <w:lang w:val="sr-Cyrl-CS"/>
        </w:rPr>
        <w:t>taj</w:t>
      </w:r>
      <w:r w:rsidR="00273598" w:rsidRPr="00E95BC4">
        <w:rPr>
          <w:lang w:val="sr-Cyrl-CS"/>
        </w:rPr>
        <w:t xml:space="preserve"> </w:t>
      </w:r>
      <w:r>
        <w:rPr>
          <w:lang w:val="sr-Cyrl-CS"/>
        </w:rPr>
        <w:t>način</w:t>
      </w:r>
      <w:r w:rsidR="00273598" w:rsidRPr="00E95BC4">
        <w:rPr>
          <w:lang w:val="sr-Cyrl-CS"/>
        </w:rPr>
        <w:t xml:space="preserve"> </w:t>
      </w:r>
      <w:r>
        <w:rPr>
          <w:lang w:val="sr-Cyrl-CS"/>
        </w:rPr>
        <w:t>će</w:t>
      </w:r>
      <w:r w:rsidR="00273598" w:rsidRPr="00E95BC4">
        <w:rPr>
          <w:lang w:val="sr-Cyrl-CS"/>
        </w:rPr>
        <w:t xml:space="preserve"> </w:t>
      </w:r>
      <w:r>
        <w:rPr>
          <w:lang w:val="sr-Cyrl-CS"/>
        </w:rPr>
        <w:t>se</w:t>
      </w:r>
      <w:r w:rsidR="00273598" w:rsidRPr="00E95BC4">
        <w:rPr>
          <w:lang w:val="sr-Cyrl-CS"/>
        </w:rPr>
        <w:t xml:space="preserve"> </w:t>
      </w:r>
      <w:r>
        <w:rPr>
          <w:lang w:val="sr-Cyrl-CS"/>
        </w:rPr>
        <w:t>sprečavati</w:t>
      </w:r>
      <w:r w:rsidR="00273598" w:rsidRPr="00E95BC4">
        <w:rPr>
          <w:lang w:val="sr-Cyrl-CS"/>
        </w:rPr>
        <w:t xml:space="preserve"> </w:t>
      </w:r>
      <w:r>
        <w:rPr>
          <w:lang w:val="sr-Cyrl-CS"/>
        </w:rPr>
        <w:t>unos</w:t>
      </w:r>
      <w:r w:rsidR="00273598" w:rsidRPr="00E95BC4">
        <w:rPr>
          <w:lang w:val="sr-Cyrl-CS"/>
        </w:rPr>
        <w:t xml:space="preserve"> </w:t>
      </w:r>
      <w:r>
        <w:rPr>
          <w:lang w:val="sr-Cyrl-CS"/>
        </w:rPr>
        <w:t>imovine</w:t>
      </w:r>
      <w:r w:rsidR="00273598" w:rsidRPr="00E95BC4">
        <w:rPr>
          <w:lang w:val="sr-Cyrl-CS"/>
        </w:rPr>
        <w:t xml:space="preserve"> </w:t>
      </w:r>
      <w:r>
        <w:rPr>
          <w:lang w:val="sr-Cyrl-CS"/>
        </w:rPr>
        <w:t>stečene</w:t>
      </w:r>
      <w:r w:rsidR="00273598" w:rsidRPr="00E95BC4">
        <w:rPr>
          <w:lang w:val="sr-Cyrl-CS"/>
        </w:rPr>
        <w:t xml:space="preserve"> </w:t>
      </w:r>
      <w:r>
        <w:rPr>
          <w:lang w:val="sr-Cyrl-CS"/>
        </w:rPr>
        <w:t>krivičnim</w:t>
      </w:r>
      <w:r w:rsidR="00273598" w:rsidRPr="00E95BC4">
        <w:rPr>
          <w:lang w:val="sr-Cyrl-CS"/>
        </w:rPr>
        <w:t xml:space="preserve"> </w:t>
      </w:r>
      <w:r>
        <w:rPr>
          <w:lang w:val="sr-Cyrl-CS"/>
        </w:rPr>
        <w:t>delom</w:t>
      </w:r>
      <w:r w:rsidR="00273598" w:rsidRPr="00E95BC4">
        <w:rPr>
          <w:lang w:val="sr-Cyrl-CS"/>
        </w:rPr>
        <w:t xml:space="preserve"> </w:t>
      </w:r>
      <w:r>
        <w:rPr>
          <w:lang w:val="sr-Cyrl-CS"/>
        </w:rPr>
        <w:t>i</w:t>
      </w:r>
      <w:r w:rsidR="00273598" w:rsidRPr="00E95BC4">
        <w:rPr>
          <w:lang w:val="sr-Cyrl-CS"/>
        </w:rPr>
        <w:t xml:space="preserve"> </w:t>
      </w:r>
      <w:r>
        <w:rPr>
          <w:lang w:val="sr-Cyrl-CS"/>
        </w:rPr>
        <w:t>sredstava</w:t>
      </w:r>
      <w:r w:rsidR="00273598" w:rsidRPr="00E95BC4">
        <w:rPr>
          <w:lang w:val="sr-Cyrl-CS"/>
        </w:rPr>
        <w:t xml:space="preserve"> </w:t>
      </w:r>
      <w:r>
        <w:rPr>
          <w:lang w:val="sr-Cyrl-CS"/>
        </w:rPr>
        <w:t>namenjenih</w:t>
      </w:r>
      <w:r w:rsidR="00273598" w:rsidRPr="00E95BC4">
        <w:rPr>
          <w:lang w:val="sr-Cyrl-CS"/>
        </w:rPr>
        <w:t xml:space="preserve"> </w:t>
      </w:r>
      <w:r>
        <w:rPr>
          <w:lang w:val="sr-Cyrl-CS"/>
        </w:rPr>
        <w:t>finansiranju</w:t>
      </w:r>
      <w:r w:rsidR="00273598" w:rsidRPr="00E95BC4">
        <w:rPr>
          <w:lang w:val="sr-Cyrl-CS"/>
        </w:rPr>
        <w:t xml:space="preserve"> </w:t>
      </w:r>
      <w:r>
        <w:rPr>
          <w:lang w:val="sr-Cyrl-CS"/>
        </w:rPr>
        <w:t>terorizma</w:t>
      </w:r>
      <w:r w:rsidR="00273598" w:rsidRPr="00E95BC4">
        <w:rPr>
          <w:lang w:val="sr-Cyrl-CS"/>
        </w:rPr>
        <w:t xml:space="preserve"> </w:t>
      </w:r>
      <w:r>
        <w:rPr>
          <w:lang w:val="sr-Cyrl-CS"/>
        </w:rPr>
        <w:t>u</w:t>
      </w:r>
      <w:r w:rsidR="00273598" w:rsidRPr="00E95BC4">
        <w:rPr>
          <w:lang w:val="sr-Cyrl-CS"/>
        </w:rPr>
        <w:t xml:space="preserve"> </w:t>
      </w:r>
      <w:r>
        <w:rPr>
          <w:lang w:val="sr-Cyrl-CS"/>
        </w:rPr>
        <w:t>finansijski</w:t>
      </w:r>
      <w:r w:rsidR="00273598" w:rsidRPr="00E95BC4">
        <w:rPr>
          <w:lang w:val="sr-Cyrl-CS"/>
        </w:rPr>
        <w:t xml:space="preserve"> </w:t>
      </w:r>
      <w:r>
        <w:rPr>
          <w:lang w:val="sr-Cyrl-CS"/>
        </w:rPr>
        <w:t>i</w:t>
      </w:r>
      <w:r w:rsidR="00273598" w:rsidRPr="00E95BC4">
        <w:rPr>
          <w:lang w:val="sr-Cyrl-CS"/>
        </w:rPr>
        <w:t xml:space="preserve"> </w:t>
      </w:r>
      <w:r>
        <w:rPr>
          <w:lang w:val="sr-Cyrl-CS"/>
        </w:rPr>
        <w:t>druge</w:t>
      </w:r>
      <w:r w:rsidR="00273598" w:rsidRPr="00E95BC4">
        <w:rPr>
          <w:lang w:val="sr-Cyrl-CS"/>
        </w:rPr>
        <w:t xml:space="preserve"> </w:t>
      </w:r>
      <w:r>
        <w:rPr>
          <w:lang w:val="sr-Cyrl-CS"/>
        </w:rPr>
        <w:t>sektore</w:t>
      </w:r>
      <w:r w:rsidR="00273598" w:rsidRPr="00E95BC4">
        <w:rPr>
          <w:lang w:val="sr-Cyrl-CS"/>
        </w:rPr>
        <w:t xml:space="preserve"> </w:t>
      </w:r>
      <w:r>
        <w:rPr>
          <w:lang w:val="sr-Cyrl-CS"/>
        </w:rPr>
        <w:t>u</w:t>
      </w:r>
      <w:r w:rsidR="00273598" w:rsidRPr="00E95BC4">
        <w:rPr>
          <w:lang w:val="sr-Cyrl-CS"/>
        </w:rPr>
        <w:t xml:space="preserve"> </w:t>
      </w:r>
      <w:r>
        <w:rPr>
          <w:lang w:val="sr-Cyrl-CS"/>
        </w:rPr>
        <w:t>Republici</w:t>
      </w:r>
      <w:r w:rsidR="00273598" w:rsidRPr="00E95BC4">
        <w:rPr>
          <w:lang w:val="sr-Cyrl-CS"/>
        </w:rPr>
        <w:t xml:space="preserve"> </w:t>
      </w:r>
      <w:r>
        <w:rPr>
          <w:lang w:val="sr-Cyrl-CS"/>
        </w:rPr>
        <w:t>Srbiji</w:t>
      </w:r>
      <w:r w:rsidR="00273598" w:rsidRPr="00E95BC4">
        <w:rPr>
          <w:lang w:val="sr-Cyrl-CS"/>
        </w:rPr>
        <w:t xml:space="preserve">, </w:t>
      </w:r>
      <w:r>
        <w:rPr>
          <w:lang w:val="sr-Cyrl-CS"/>
        </w:rPr>
        <w:t>a</w:t>
      </w:r>
      <w:r w:rsidR="00273598" w:rsidRPr="00E95BC4">
        <w:rPr>
          <w:lang w:val="sr-Cyrl-CS"/>
        </w:rPr>
        <w:t xml:space="preserve"> </w:t>
      </w:r>
      <w:r>
        <w:rPr>
          <w:lang w:val="sr-Cyrl-CS"/>
        </w:rPr>
        <w:t>ukoliko</w:t>
      </w:r>
      <w:r w:rsidR="00273598" w:rsidRPr="00E95BC4">
        <w:rPr>
          <w:lang w:val="sr-Cyrl-CS"/>
        </w:rPr>
        <w:t xml:space="preserve"> </w:t>
      </w:r>
      <w:r>
        <w:rPr>
          <w:lang w:val="sr-Cyrl-CS"/>
        </w:rPr>
        <w:t>takva</w:t>
      </w:r>
      <w:r w:rsidR="00273598" w:rsidRPr="00E95BC4">
        <w:rPr>
          <w:lang w:val="sr-Cyrl-CS"/>
        </w:rPr>
        <w:t xml:space="preserve"> </w:t>
      </w:r>
      <w:r>
        <w:rPr>
          <w:lang w:val="sr-Cyrl-CS"/>
        </w:rPr>
        <w:t>imovina</w:t>
      </w:r>
      <w:r w:rsidR="000F7156">
        <w:rPr>
          <w:lang w:val="sr-Cyrl-CS"/>
        </w:rPr>
        <w:t>,</w:t>
      </w:r>
      <w:r w:rsidR="00273598" w:rsidRPr="00E95BC4">
        <w:rPr>
          <w:lang w:val="sr-Cyrl-CS"/>
        </w:rPr>
        <w:t xml:space="preserve"> </w:t>
      </w:r>
      <w:r>
        <w:rPr>
          <w:lang w:val="sr-Cyrl-CS"/>
        </w:rPr>
        <w:t>odnosno</w:t>
      </w:r>
      <w:r w:rsidR="00273598" w:rsidRPr="00E95BC4">
        <w:rPr>
          <w:lang w:val="sr-Cyrl-CS"/>
        </w:rPr>
        <w:t xml:space="preserve"> </w:t>
      </w:r>
      <w:r>
        <w:rPr>
          <w:lang w:val="sr-Cyrl-CS"/>
        </w:rPr>
        <w:t>sredstva</w:t>
      </w:r>
      <w:r w:rsidR="00273598" w:rsidRPr="00E95BC4">
        <w:rPr>
          <w:lang w:val="sr-Cyrl-CS"/>
        </w:rPr>
        <w:t xml:space="preserve"> </w:t>
      </w:r>
      <w:r>
        <w:rPr>
          <w:lang w:val="sr-Cyrl-CS"/>
        </w:rPr>
        <w:t>uđu</w:t>
      </w:r>
      <w:r w:rsidR="00273598" w:rsidRPr="00E95BC4">
        <w:rPr>
          <w:lang w:val="sr-Cyrl-CS"/>
        </w:rPr>
        <w:t xml:space="preserve"> </w:t>
      </w:r>
      <w:r>
        <w:rPr>
          <w:lang w:val="sr-Cyrl-CS"/>
        </w:rPr>
        <w:t>u</w:t>
      </w:r>
      <w:r w:rsidR="00273598" w:rsidRPr="00E95BC4">
        <w:rPr>
          <w:lang w:val="sr-Cyrl-CS"/>
        </w:rPr>
        <w:t xml:space="preserve"> </w:t>
      </w:r>
      <w:r>
        <w:rPr>
          <w:lang w:val="sr-Cyrl-CS"/>
        </w:rPr>
        <w:t>sistem</w:t>
      </w:r>
      <w:r w:rsidR="00273598" w:rsidRPr="00E95BC4">
        <w:rPr>
          <w:lang w:val="sr-Cyrl-CS"/>
        </w:rPr>
        <w:t xml:space="preserve">, </w:t>
      </w:r>
      <w:r>
        <w:rPr>
          <w:lang w:val="sr-Cyrl-CS"/>
        </w:rPr>
        <w:t>svi</w:t>
      </w:r>
      <w:r w:rsidR="00273598" w:rsidRPr="00E95BC4">
        <w:rPr>
          <w:lang w:val="sr-Cyrl-CS"/>
        </w:rPr>
        <w:t xml:space="preserve"> </w:t>
      </w:r>
      <w:r>
        <w:rPr>
          <w:lang w:val="sr-Cyrl-CS"/>
        </w:rPr>
        <w:t>relevantni</w:t>
      </w:r>
      <w:r w:rsidR="00273598" w:rsidRPr="00E95BC4">
        <w:rPr>
          <w:lang w:val="sr-Cyrl-CS"/>
        </w:rPr>
        <w:t xml:space="preserve"> </w:t>
      </w:r>
      <w:r>
        <w:rPr>
          <w:lang w:val="sr-Cyrl-CS"/>
        </w:rPr>
        <w:t>sektori</w:t>
      </w:r>
      <w:r w:rsidR="00273598" w:rsidRPr="00E95BC4">
        <w:rPr>
          <w:lang w:val="sr-Cyrl-CS"/>
        </w:rPr>
        <w:t xml:space="preserve"> </w:t>
      </w:r>
      <w:r>
        <w:rPr>
          <w:lang w:val="sr-Cyrl-CS"/>
        </w:rPr>
        <w:t>biće</w:t>
      </w:r>
      <w:r w:rsidR="00273598" w:rsidRPr="00E95BC4">
        <w:rPr>
          <w:lang w:val="sr-Cyrl-CS"/>
        </w:rPr>
        <w:t xml:space="preserve"> </w:t>
      </w:r>
      <w:r>
        <w:rPr>
          <w:lang w:val="sr-Cyrl-CS"/>
        </w:rPr>
        <w:t>u</w:t>
      </w:r>
      <w:r w:rsidR="00273598" w:rsidRPr="00E95BC4">
        <w:rPr>
          <w:lang w:val="sr-Cyrl-CS"/>
        </w:rPr>
        <w:t xml:space="preserve"> </w:t>
      </w:r>
      <w:r>
        <w:rPr>
          <w:lang w:val="sr-Cyrl-CS"/>
        </w:rPr>
        <w:t>stanju</w:t>
      </w:r>
      <w:r w:rsidR="00273598" w:rsidRPr="00E95BC4">
        <w:rPr>
          <w:lang w:val="sr-Cyrl-CS"/>
        </w:rPr>
        <w:t xml:space="preserve"> </w:t>
      </w:r>
      <w:r>
        <w:rPr>
          <w:lang w:val="sr-Cyrl-CS"/>
        </w:rPr>
        <w:t>da</w:t>
      </w:r>
      <w:r w:rsidR="00273598" w:rsidRPr="00E95BC4">
        <w:rPr>
          <w:lang w:val="sr-Cyrl-CS"/>
        </w:rPr>
        <w:t xml:space="preserve"> </w:t>
      </w:r>
      <w:r>
        <w:rPr>
          <w:lang w:val="sr-Cyrl-CS"/>
        </w:rPr>
        <w:t>je</w:t>
      </w:r>
      <w:r w:rsidR="00273598" w:rsidRPr="00E95BC4">
        <w:rPr>
          <w:lang w:val="sr-Cyrl-CS"/>
        </w:rPr>
        <w:t xml:space="preserve"> </w:t>
      </w:r>
      <w:r>
        <w:rPr>
          <w:lang w:val="sr-Cyrl-CS"/>
        </w:rPr>
        <w:t>na</w:t>
      </w:r>
      <w:r w:rsidR="00273598" w:rsidRPr="00E95BC4">
        <w:rPr>
          <w:lang w:val="sr-Cyrl-CS"/>
        </w:rPr>
        <w:t xml:space="preserve"> </w:t>
      </w:r>
      <w:r>
        <w:rPr>
          <w:lang w:val="sr-Cyrl-CS"/>
        </w:rPr>
        <w:t>vreme</w:t>
      </w:r>
      <w:r w:rsidR="00273598" w:rsidRPr="00E95BC4">
        <w:rPr>
          <w:lang w:val="sr-Cyrl-CS"/>
        </w:rPr>
        <w:t xml:space="preserve"> </w:t>
      </w:r>
      <w:r>
        <w:rPr>
          <w:lang w:val="sr-Cyrl-CS"/>
        </w:rPr>
        <w:t>otkriju</w:t>
      </w:r>
      <w:r w:rsidR="00273598" w:rsidRPr="00E95BC4">
        <w:rPr>
          <w:lang w:val="sr-Cyrl-CS"/>
        </w:rPr>
        <w:t xml:space="preserve"> </w:t>
      </w:r>
      <w:r>
        <w:rPr>
          <w:lang w:val="sr-Cyrl-CS"/>
        </w:rPr>
        <w:t>i</w:t>
      </w:r>
      <w:r w:rsidR="00273598" w:rsidRPr="00E95BC4">
        <w:rPr>
          <w:lang w:val="sr-Cyrl-CS"/>
        </w:rPr>
        <w:t xml:space="preserve"> </w:t>
      </w:r>
      <w:r>
        <w:rPr>
          <w:lang w:val="sr-Cyrl-CS"/>
        </w:rPr>
        <w:t>prijave</w:t>
      </w:r>
      <w:r w:rsidR="00273598" w:rsidRPr="00E95BC4">
        <w:rPr>
          <w:lang w:val="sr-Cyrl-CS"/>
        </w:rPr>
        <w:t xml:space="preserve"> </w:t>
      </w:r>
      <w:r>
        <w:rPr>
          <w:lang w:val="sr-Cyrl-CS"/>
        </w:rPr>
        <w:t>Upravi</w:t>
      </w:r>
      <w:r w:rsidR="00273598" w:rsidRPr="00E95BC4">
        <w:rPr>
          <w:lang w:val="sr-Cyrl-CS"/>
        </w:rPr>
        <w:t xml:space="preserve"> </w:t>
      </w:r>
      <w:r>
        <w:rPr>
          <w:lang w:val="sr-Cyrl-CS"/>
        </w:rPr>
        <w:t>za</w:t>
      </w:r>
      <w:r w:rsidR="00273598" w:rsidRPr="00E95BC4">
        <w:rPr>
          <w:lang w:val="sr-Cyrl-CS"/>
        </w:rPr>
        <w:t xml:space="preserve"> </w:t>
      </w:r>
      <w:r>
        <w:rPr>
          <w:lang w:val="sr-Cyrl-CS"/>
        </w:rPr>
        <w:t>sprečavanje</w:t>
      </w:r>
      <w:r w:rsidR="00273598" w:rsidRPr="00E95BC4">
        <w:rPr>
          <w:lang w:val="sr-Cyrl-CS"/>
        </w:rPr>
        <w:t xml:space="preserve"> </w:t>
      </w:r>
      <w:r>
        <w:rPr>
          <w:lang w:val="sr-Cyrl-CS"/>
        </w:rPr>
        <w:t>pranja</w:t>
      </w:r>
      <w:r w:rsidR="00273598" w:rsidRPr="00E95BC4">
        <w:rPr>
          <w:lang w:val="sr-Cyrl-CS"/>
        </w:rPr>
        <w:t xml:space="preserve"> </w:t>
      </w:r>
      <w:r>
        <w:rPr>
          <w:lang w:val="sr-Cyrl-CS"/>
        </w:rPr>
        <w:t>novca</w:t>
      </w:r>
      <w:r w:rsidR="003B5D89">
        <w:rPr>
          <w:lang w:val="sr-Cyrl-CS"/>
        </w:rPr>
        <w:t>,</w:t>
      </w:r>
      <w:r w:rsidR="00273598" w:rsidRPr="00E95BC4">
        <w:rPr>
          <w:lang w:val="sr-Cyrl-CS"/>
        </w:rPr>
        <w:t xml:space="preserve"> </w:t>
      </w:r>
      <w:r>
        <w:rPr>
          <w:lang w:val="sr-Cyrl-CS"/>
        </w:rPr>
        <w:t>kao</w:t>
      </w:r>
      <w:r w:rsidR="00273598" w:rsidRPr="00E95BC4">
        <w:rPr>
          <w:lang w:val="sr-Cyrl-CS"/>
        </w:rPr>
        <w:t xml:space="preserve"> </w:t>
      </w:r>
      <w:r>
        <w:rPr>
          <w:lang w:val="sr-Cyrl-CS"/>
        </w:rPr>
        <w:t>i</w:t>
      </w:r>
      <w:r w:rsidR="00273598" w:rsidRPr="00E95BC4">
        <w:rPr>
          <w:lang w:val="sr-Cyrl-CS"/>
        </w:rPr>
        <w:t xml:space="preserve"> </w:t>
      </w:r>
      <w:r>
        <w:rPr>
          <w:lang w:val="sr-Cyrl-CS"/>
        </w:rPr>
        <w:t>da</w:t>
      </w:r>
      <w:r w:rsidR="00273598" w:rsidRPr="00E95BC4">
        <w:rPr>
          <w:lang w:val="sr-Cyrl-CS"/>
        </w:rPr>
        <w:t xml:space="preserve"> </w:t>
      </w:r>
      <w:r>
        <w:rPr>
          <w:lang w:val="sr-Cyrl-CS"/>
        </w:rPr>
        <w:t>se</w:t>
      </w:r>
      <w:r w:rsidR="00273598" w:rsidRPr="00E95BC4">
        <w:rPr>
          <w:lang w:val="sr-Cyrl-CS"/>
        </w:rPr>
        <w:t xml:space="preserve"> </w:t>
      </w:r>
      <w:r>
        <w:rPr>
          <w:lang w:val="sr-Cyrl-CS"/>
        </w:rPr>
        <w:t>vode</w:t>
      </w:r>
      <w:r w:rsidR="00273598" w:rsidRPr="00E95BC4">
        <w:rPr>
          <w:lang w:val="sr-Cyrl-CS"/>
        </w:rPr>
        <w:t xml:space="preserve"> </w:t>
      </w:r>
      <w:r>
        <w:rPr>
          <w:lang w:val="sr-Cyrl-CS"/>
        </w:rPr>
        <w:t>uspešni</w:t>
      </w:r>
      <w:r w:rsidR="00273598" w:rsidRPr="00E95BC4">
        <w:rPr>
          <w:lang w:val="sr-Cyrl-CS"/>
        </w:rPr>
        <w:t xml:space="preserve"> </w:t>
      </w:r>
      <w:r>
        <w:rPr>
          <w:lang w:val="sr-Cyrl-CS"/>
        </w:rPr>
        <w:t>postupci</w:t>
      </w:r>
      <w:r w:rsidR="00273598" w:rsidRPr="00E95BC4">
        <w:rPr>
          <w:lang w:val="sr-Cyrl-CS"/>
        </w:rPr>
        <w:t xml:space="preserve"> </w:t>
      </w:r>
      <w:r>
        <w:rPr>
          <w:lang w:val="sr-Cyrl-CS"/>
        </w:rPr>
        <w:t>za</w:t>
      </w:r>
      <w:r w:rsidR="00273598" w:rsidRPr="00E95BC4">
        <w:rPr>
          <w:lang w:val="sr-Cyrl-CS"/>
        </w:rPr>
        <w:t xml:space="preserve"> </w:t>
      </w:r>
      <w:r>
        <w:rPr>
          <w:lang w:val="sr-Cyrl-CS"/>
        </w:rPr>
        <w:t>pranje</w:t>
      </w:r>
      <w:r w:rsidR="00273598" w:rsidRPr="00E95BC4">
        <w:rPr>
          <w:lang w:val="sr-Cyrl-CS"/>
        </w:rPr>
        <w:t xml:space="preserve"> </w:t>
      </w:r>
      <w:r>
        <w:rPr>
          <w:lang w:val="sr-Cyrl-CS"/>
        </w:rPr>
        <w:t>novca</w:t>
      </w:r>
      <w:r w:rsidR="00273598" w:rsidRPr="00E95BC4">
        <w:rPr>
          <w:lang w:val="sr-Cyrl-CS"/>
        </w:rPr>
        <w:t xml:space="preserve"> </w:t>
      </w:r>
      <w:r>
        <w:rPr>
          <w:lang w:val="sr-Cyrl-CS"/>
        </w:rPr>
        <w:t>i</w:t>
      </w:r>
      <w:r w:rsidR="00273598" w:rsidRPr="00E95BC4">
        <w:rPr>
          <w:lang w:val="sr-Cyrl-CS"/>
        </w:rPr>
        <w:t xml:space="preserve"> </w:t>
      </w:r>
      <w:r>
        <w:rPr>
          <w:lang w:val="sr-Cyrl-CS"/>
        </w:rPr>
        <w:t>oduzima</w:t>
      </w:r>
      <w:r w:rsidR="00273598" w:rsidRPr="00E95BC4">
        <w:rPr>
          <w:lang w:val="sr-Cyrl-CS"/>
        </w:rPr>
        <w:t xml:space="preserve"> </w:t>
      </w:r>
      <w:r>
        <w:rPr>
          <w:lang w:val="sr-Cyrl-CS"/>
        </w:rPr>
        <w:t>nelegalno</w:t>
      </w:r>
      <w:r w:rsidR="00273598" w:rsidRPr="00E95BC4">
        <w:rPr>
          <w:lang w:val="sr-Cyrl-CS"/>
        </w:rPr>
        <w:t xml:space="preserve"> </w:t>
      </w:r>
      <w:r>
        <w:rPr>
          <w:lang w:val="sr-Cyrl-CS"/>
        </w:rPr>
        <w:t>stečena</w:t>
      </w:r>
      <w:r w:rsidR="00273598" w:rsidRPr="00E95BC4">
        <w:rPr>
          <w:lang w:val="sr-Cyrl-CS"/>
        </w:rPr>
        <w:t xml:space="preserve"> </w:t>
      </w:r>
      <w:r>
        <w:rPr>
          <w:lang w:val="sr-Cyrl-CS"/>
        </w:rPr>
        <w:t>imovina</w:t>
      </w:r>
      <w:r w:rsidR="00273598" w:rsidRPr="00E95BC4">
        <w:rPr>
          <w:lang w:val="sr-Cyrl-CS"/>
        </w:rPr>
        <w:t xml:space="preserve">. </w:t>
      </w:r>
      <w:r>
        <w:rPr>
          <w:lang w:val="sr-Cyrl-CS"/>
        </w:rPr>
        <w:t>Odgovarajućim</w:t>
      </w:r>
      <w:r w:rsidR="00273598" w:rsidRPr="00E95BC4">
        <w:rPr>
          <w:lang w:val="sr-Cyrl-CS"/>
        </w:rPr>
        <w:t xml:space="preserve"> </w:t>
      </w:r>
      <w:r>
        <w:rPr>
          <w:lang w:val="sr-Cyrl-CS"/>
        </w:rPr>
        <w:t>merama</w:t>
      </w:r>
      <w:r w:rsidR="00273598" w:rsidRPr="00E95BC4">
        <w:rPr>
          <w:lang w:val="sr-Cyrl-CS"/>
        </w:rPr>
        <w:t xml:space="preserve"> </w:t>
      </w:r>
      <w:r>
        <w:rPr>
          <w:lang w:val="sr-Cyrl-CS"/>
        </w:rPr>
        <w:t>ovog</w:t>
      </w:r>
      <w:r w:rsidR="00273598" w:rsidRPr="00E95BC4">
        <w:rPr>
          <w:lang w:val="sr-Cyrl-CS"/>
        </w:rPr>
        <w:t xml:space="preserve"> </w:t>
      </w:r>
      <w:r>
        <w:rPr>
          <w:lang w:val="sr-Cyrl-CS"/>
        </w:rPr>
        <w:t>dokumenta</w:t>
      </w:r>
      <w:r w:rsidR="00273598" w:rsidRPr="00E95BC4">
        <w:rPr>
          <w:lang w:val="sr-Cyrl-CS"/>
        </w:rPr>
        <w:t xml:space="preserve"> </w:t>
      </w:r>
      <w:r>
        <w:rPr>
          <w:lang w:val="sr-Cyrl-CS"/>
        </w:rPr>
        <w:t>javne</w:t>
      </w:r>
      <w:r w:rsidR="00273598" w:rsidRPr="00E95BC4">
        <w:rPr>
          <w:lang w:val="sr-Cyrl-CS"/>
        </w:rPr>
        <w:t xml:space="preserve"> </w:t>
      </w:r>
      <w:r>
        <w:rPr>
          <w:lang w:val="sr-Cyrl-CS"/>
        </w:rPr>
        <w:t>politike</w:t>
      </w:r>
      <w:r w:rsidR="00273598" w:rsidRPr="00E95BC4">
        <w:rPr>
          <w:lang w:val="sr-Cyrl-CS"/>
        </w:rPr>
        <w:t xml:space="preserve"> </w:t>
      </w:r>
      <w:r>
        <w:rPr>
          <w:lang w:val="sr-Cyrl-CS"/>
        </w:rPr>
        <w:t>doprineće</w:t>
      </w:r>
      <w:r w:rsidR="00273598" w:rsidRPr="00E95BC4">
        <w:rPr>
          <w:lang w:val="sr-Cyrl-CS"/>
        </w:rPr>
        <w:t xml:space="preserve"> </w:t>
      </w:r>
      <w:r>
        <w:rPr>
          <w:lang w:val="sr-Cyrl-CS"/>
        </w:rPr>
        <w:t>se</w:t>
      </w:r>
      <w:r w:rsidR="00273598" w:rsidRPr="00E95BC4">
        <w:rPr>
          <w:lang w:val="sr-Cyrl-CS"/>
        </w:rPr>
        <w:t xml:space="preserve"> </w:t>
      </w:r>
      <w:r>
        <w:rPr>
          <w:lang w:val="sr-Cyrl-CS"/>
        </w:rPr>
        <w:t>tome</w:t>
      </w:r>
      <w:r w:rsidR="00273598" w:rsidRPr="00E95BC4">
        <w:rPr>
          <w:lang w:val="sr-Cyrl-CS"/>
        </w:rPr>
        <w:t xml:space="preserve"> </w:t>
      </w:r>
      <w:r>
        <w:rPr>
          <w:lang w:val="sr-Cyrl-CS"/>
        </w:rPr>
        <w:t>da</w:t>
      </w:r>
      <w:r w:rsidR="00273598" w:rsidRPr="00E95BC4">
        <w:rPr>
          <w:lang w:val="sr-Cyrl-CS"/>
        </w:rPr>
        <w:t xml:space="preserve"> </w:t>
      </w:r>
      <w:r>
        <w:rPr>
          <w:lang w:val="sr-Cyrl-CS"/>
        </w:rPr>
        <w:t>se</w:t>
      </w:r>
      <w:r w:rsidR="00273598" w:rsidRPr="00E95BC4">
        <w:rPr>
          <w:lang w:val="sr-Cyrl-CS"/>
        </w:rPr>
        <w:t xml:space="preserve"> </w:t>
      </w:r>
      <w:r>
        <w:rPr>
          <w:lang w:val="sr-Cyrl-CS"/>
        </w:rPr>
        <w:t>pretnje</w:t>
      </w:r>
      <w:r w:rsidR="00273598" w:rsidRPr="00E95BC4">
        <w:rPr>
          <w:lang w:val="sr-Cyrl-CS"/>
        </w:rPr>
        <w:t xml:space="preserve"> </w:t>
      </w:r>
      <w:r>
        <w:rPr>
          <w:lang w:val="sr-Cyrl-CS"/>
        </w:rPr>
        <w:t>od</w:t>
      </w:r>
      <w:r w:rsidR="00273598" w:rsidRPr="00E95BC4">
        <w:rPr>
          <w:lang w:val="sr-Cyrl-CS"/>
        </w:rPr>
        <w:t xml:space="preserve"> </w:t>
      </w:r>
      <w:r>
        <w:rPr>
          <w:lang w:val="sr-Cyrl-CS"/>
        </w:rPr>
        <w:t>finansiranja</w:t>
      </w:r>
      <w:r w:rsidR="00273598" w:rsidRPr="00E95BC4">
        <w:rPr>
          <w:lang w:val="sr-Cyrl-CS"/>
        </w:rPr>
        <w:t xml:space="preserve"> </w:t>
      </w:r>
      <w:r>
        <w:rPr>
          <w:lang w:val="sr-Cyrl-CS"/>
        </w:rPr>
        <w:t>terorizma</w:t>
      </w:r>
      <w:r w:rsidR="00273598" w:rsidRPr="00E95BC4">
        <w:rPr>
          <w:lang w:val="sr-Cyrl-CS"/>
        </w:rPr>
        <w:t xml:space="preserve"> </w:t>
      </w:r>
      <w:r>
        <w:rPr>
          <w:lang w:val="sr-Cyrl-CS"/>
        </w:rPr>
        <w:t>otkrivaju</w:t>
      </w:r>
      <w:r w:rsidR="00273598" w:rsidRPr="00E95BC4">
        <w:rPr>
          <w:lang w:val="sr-Cyrl-CS"/>
        </w:rPr>
        <w:t xml:space="preserve"> </w:t>
      </w:r>
      <w:r>
        <w:rPr>
          <w:lang w:val="sr-Cyrl-CS"/>
        </w:rPr>
        <w:t>i</w:t>
      </w:r>
      <w:r w:rsidR="00273598" w:rsidRPr="00E95BC4">
        <w:rPr>
          <w:lang w:val="sr-Cyrl-CS"/>
        </w:rPr>
        <w:t xml:space="preserve"> </w:t>
      </w:r>
      <w:r>
        <w:rPr>
          <w:lang w:val="sr-Cyrl-CS"/>
        </w:rPr>
        <w:t>otklanjaju</w:t>
      </w:r>
      <w:r w:rsidR="00273598" w:rsidRPr="00E95BC4">
        <w:rPr>
          <w:lang w:val="sr-Cyrl-CS"/>
        </w:rPr>
        <w:t xml:space="preserve">, </w:t>
      </w:r>
      <w:r>
        <w:rPr>
          <w:lang w:val="sr-Cyrl-CS"/>
        </w:rPr>
        <w:t>da</w:t>
      </w:r>
      <w:r w:rsidR="00273598" w:rsidRPr="00E95BC4">
        <w:rPr>
          <w:lang w:val="sr-Cyrl-CS"/>
        </w:rPr>
        <w:t xml:space="preserve"> </w:t>
      </w:r>
      <w:r>
        <w:rPr>
          <w:lang w:val="sr-Cyrl-CS"/>
        </w:rPr>
        <w:t>se</w:t>
      </w:r>
      <w:r w:rsidR="00273598" w:rsidRPr="00E95BC4">
        <w:rPr>
          <w:lang w:val="sr-Cyrl-CS"/>
        </w:rPr>
        <w:t xml:space="preserve"> </w:t>
      </w:r>
      <w:r>
        <w:rPr>
          <w:lang w:val="sr-Cyrl-CS"/>
        </w:rPr>
        <w:t>od</w:t>
      </w:r>
      <w:r w:rsidR="00273598" w:rsidRPr="00E95BC4">
        <w:rPr>
          <w:lang w:val="sr-Cyrl-CS"/>
        </w:rPr>
        <w:t xml:space="preserve"> </w:t>
      </w:r>
      <w:r>
        <w:rPr>
          <w:lang w:val="sr-Cyrl-CS"/>
        </w:rPr>
        <w:t>terorista</w:t>
      </w:r>
      <w:r w:rsidR="00273598" w:rsidRPr="00E95BC4">
        <w:rPr>
          <w:lang w:val="sr-Cyrl-CS"/>
        </w:rPr>
        <w:t xml:space="preserve"> </w:t>
      </w:r>
      <w:r>
        <w:rPr>
          <w:lang w:val="sr-Cyrl-CS"/>
        </w:rPr>
        <w:t>oduzimaju</w:t>
      </w:r>
      <w:r w:rsidR="00273598" w:rsidRPr="00E95BC4">
        <w:rPr>
          <w:lang w:val="sr-Cyrl-CS"/>
        </w:rPr>
        <w:t xml:space="preserve"> </w:t>
      </w:r>
      <w:r>
        <w:rPr>
          <w:lang w:val="sr-Cyrl-CS"/>
        </w:rPr>
        <w:t>sredstva</w:t>
      </w:r>
      <w:r w:rsidR="00273598" w:rsidRPr="00E95BC4">
        <w:rPr>
          <w:lang w:val="sr-Cyrl-CS"/>
        </w:rPr>
        <w:t xml:space="preserve">, </w:t>
      </w:r>
      <w:r>
        <w:rPr>
          <w:lang w:val="sr-Cyrl-CS"/>
        </w:rPr>
        <w:t>a</w:t>
      </w:r>
      <w:r w:rsidR="00273598" w:rsidRPr="00E95BC4">
        <w:rPr>
          <w:lang w:val="sr-Cyrl-CS"/>
        </w:rPr>
        <w:t xml:space="preserve"> </w:t>
      </w:r>
      <w:r>
        <w:rPr>
          <w:lang w:val="sr-Cyrl-CS"/>
        </w:rPr>
        <w:t>oni</w:t>
      </w:r>
      <w:r w:rsidR="00273598" w:rsidRPr="00E95BC4">
        <w:rPr>
          <w:lang w:val="sr-Cyrl-CS"/>
        </w:rPr>
        <w:t xml:space="preserve"> </w:t>
      </w:r>
      <w:r>
        <w:rPr>
          <w:lang w:val="sr-Cyrl-CS"/>
        </w:rPr>
        <w:t>koji</w:t>
      </w:r>
      <w:r w:rsidR="00273598" w:rsidRPr="00E95BC4">
        <w:rPr>
          <w:lang w:val="sr-Cyrl-CS"/>
        </w:rPr>
        <w:t xml:space="preserve"> </w:t>
      </w:r>
      <w:r>
        <w:rPr>
          <w:lang w:val="sr-Cyrl-CS"/>
        </w:rPr>
        <w:t>finansiraju</w:t>
      </w:r>
      <w:r w:rsidR="00273598" w:rsidRPr="00E95BC4">
        <w:rPr>
          <w:lang w:val="sr-Cyrl-CS"/>
        </w:rPr>
        <w:t xml:space="preserve"> </w:t>
      </w:r>
      <w:r>
        <w:rPr>
          <w:lang w:val="sr-Cyrl-CS"/>
        </w:rPr>
        <w:t>terorizam</w:t>
      </w:r>
      <w:r w:rsidR="00273598" w:rsidRPr="00E95BC4">
        <w:rPr>
          <w:lang w:val="sr-Cyrl-CS"/>
        </w:rPr>
        <w:t xml:space="preserve"> </w:t>
      </w:r>
      <w:r>
        <w:rPr>
          <w:lang w:val="sr-Cyrl-CS"/>
        </w:rPr>
        <w:t>da</w:t>
      </w:r>
      <w:r w:rsidR="00273598" w:rsidRPr="00E95BC4">
        <w:rPr>
          <w:lang w:val="sr-Cyrl-CS"/>
        </w:rPr>
        <w:t xml:space="preserve"> </w:t>
      </w:r>
      <w:r>
        <w:rPr>
          <w:lang w:val="sr-Cyrl-CS"/>
        </w:rPr>
        <w:t>se</w:t>
      </w:r>
      <w:r w:rsidR="00273598" w:rsidRPr="00E95BC4">
        <w:rPr>
          <w:lang w:val="sr-Cyrl-CS"/>
        </w:rPr>
        <w:t xml:space="preserve"> </w:t>
      </w:r>
      <w:r>
        <w:rPr>
          <w:lang w:val="sr-Cyrl-CS"/>
        </w:rPr>
        <w:t>sankcionišu</w:t>
      </w:r>
      <w:r w:rsidR="00273598" w:rsidRPr="00E95BC4">
        <w:rPr>
          <w:lang w:val="sr-Cyrl-CS"/>
        </w:rPr>
        <w:t xml:space="preserve">, </w:t>
      </w:r>
      <w:r>
        <w:rPr>
          <w:lang w:val="sr-Cyrl-CS"/>
        </w:rPr>
        <w:t>čime</w:t>
      </w:r>
      <w:r w:rsidR="00273598" w:rsidRPr="00E95BC4">
        <w:rPr>
          <w:lang w:val="sr-Cyrl-CS"/>
        </w:rPr>
        <w:t xml:space="preserve"> </w:t>
      </w:r>
      <w:r>
        <w:rPr>
          <w:lang w:val="sr-Cyrl-CS"/>
        </w:rPr>
        <w:t>će</w:t>
      </w:r>
      <w:r w:rsidR="00273598" w:rsidRPr="00E95BC4">
        <w:rPr>
          <w:lang w:val="sr-Cyrl-CS"/>
        </w:rPr>
        <w:t xml:space="preserve"> </w:t>
      </w:r>
      <w:r>
        <w:rPr>
          <w:lang w:val="sr-Cyrl-CS"/>
        </w:rPr>
        <w:t>se</w:t>
      </w:r>
      <w:r w:rsidR="00273598" w:rsidRPr="00E95BC4">
        <w:rPr>
          <w:lang w:val="sr-Cyrl-CS"/>
        </w:rPr>
        <w:t xml:space="preserve"> </w:t>
      </w:r>
      <w:r>
        <w:rPr>
          <w:lang w:val="sr-Cyrl-CS"/>
        </w:rPr>
        <w:t>doprineti</w:t>
      </w:r>
      <w:r w:rsidR="00273598" w:rsidRPr="00E95BC4">
        <w:rPr>
          <w:lang w:val="sr-Cyrl-CS"/>
        </w:rPr>
        <w:t xml:space="preserve"> </w:t>
      </w:r>
      <w:r>
        <w:rPr>
          <w:lang w:val="sr-Cyrl-CS"/>
        </w:rPr>
        <w:t>sprečavanju</w:t>
      </w:r>
      <w:r w:rsidR="00273598" w:rsidRPr="00E95BC4">
        <w:rPr>
          <w:lang w:val="sr-Cyrl-CS"/>
        </w:rPr>
        <w:t xml:space="preserve"> </w:t>
      </w:r>
      <w:r>
        <w:rPr>
          <w:lang w:val="sr-Cyrl-CS"/>
        </w:rPr>
        <w:t>terorističkih</w:t>
      </w:r>
      <w:r w:rsidR="00273598" w:rsidRPr="00E95BC4">
        <w:rPr>
          <w:lang w:val="sr-Cyrl-CS"/>
        </w:rPr>
        <w:t xml:space="preserve"> </w:t>
      </w:r>
      <w:r>
        <w:rPr>
          <w:lang w:val="sr-Cyrl-CS"/>
        </w:rPr>
        <w:t>akata</w:t>
      </w:r>
      <w:r w:rsidR="00273598" w:rsidRPr="00E95BC4">
        <w:rPr>
          <w:lang w:val="sr-Cyrl-CS"/>
        </w:rPr>
        <w:t>.</w:t>
      </w:r>
    </w:p>
    <w:p w:rsidR="000342B2" w:rsidRPr="003B5D89" w:rsidRDefault="000342B2" w:rsidP="00DF2729">
      <w:pPr>
        <w:ind w:firstLine="720"/>
        <w:jc w:val="both"/>
        <w:rPr>
          <w:sz w:val="18"/>
          <w:szCs w:val="18"/>
          <w:lang w:val="sr-Cyrl-CS"/>
        </w:rPr>
      </w:pPr>
    </w:p>
    <w:p w:rsidR="00C05AAB" w:rsidRPr="00E95BC4" w:rsidRDefault="005818C0" w:rsidP="00285FD7">
      <w:pPr>
        <w:pStyle w:val="Heading1"/>
        <w:spacing w:before="0"/>
        <w:ind w:firstLine="720"/>
        <w:rPr>
          <w:rFonts w:ascii="Times New Roman" w:eastAsiaTheme="minorHAnsi" w:hAnsi="Times New Roman" w:cs="Times New Roman"/>
          <w:b w:val="0"/>
          <w:bCs w:val="0"/>
          <w:color w:val="auto"/>
          <w:sz w:val="24"/>
          <w:szCs w:val="24"/>
          <w:lang w:val="sr-Cyrl-CS"/>
        </w:rPr>
      </w:pPr>
      <w:bookmarkStart w:id="6" w:name="_Toc32409895"/>
      <w:r>
        <w:rPr>
          <w:rFonts w:ascii="Times New Roman" w:hAnsi="Times New Roman" w:cs="Times New Roman"/>
          <w:color w:val="auto"/>
          <w:sz w:val="24"/>
          <w:szCs w:val="24"/>
          <w:lang w:val="sr-Cyrl-CS"/>
        </w:rPr>
        <w:lastRenderedPageBreak/>
        <w:t>Ciljevi</w:t>
      </w:r>
      <w:r w:rsidR="00B150CA" w:rsidRPr="00E95BC4">
        <w:rPr>
          <w:rFonts w:ascii="Times New Roman" w:hAnsi="Times New Roman" w:cs="Times New Roman"/>
          <w:color w:val="auto"/>
          <w:sz w:val="24"/>
          <w:szCs w:val="24"/>
          <w:lang w:val="sr-Cyrl-CS"/>
        </w:rPr>
        <w:t xml:space="preserve"> </w:t>
      </w:r>
      <w:r>
        <w:rPr>
          <w:rFonts w:ascii="Times New Roman" w:hAnsi="Times New Roman" w:cs="Times New Roman"/>
          <w:color w:val="auto"/>
          <w:sz w:val="24"/>
          <w:szCs w:val="24"/>
          <w:lang w:val="sr-Cyrl-CS"/>
        </w:rPr>
        <w:t>strategije</w:t>
      </w:r>
      <w:bookmarkEnd w:id="6"/>
    </w:p>
    <w:p w:rsidR="0004492D" w:rsidRPr="003B5D89" w:rsidRDefault="0004492D" w:rsidP="00285FD7">
      <w:pPr>
        <w:ind w:firstLine="720"/>
        <w:rPr>
          <w:b/>
          <w:bCs/>
          <w:iCs/>
          <w:sz w:val="18"/>
          <w:szCs w:val="18"/>
          <w:lang w:val="sr-Cyrl-CS"/>
        </w:rPr>
      </w:pPr>
    </w:p>
    <w:p w:rsidR="00C05AAB" w:rsidRPr="00E95BC4" w:rsidRDefault="005818C0" w:rsidP="009C0579">
      <w:pPr>
        <w:ind w:firstLine="720"/>
        <w:jc w:val="both"/>
        <w:rPr>
          <w:bCs/>
          <w:iCs/>
          <w:lang w:val="sr-Cyrl-CS"/>
        </w:rPr>
      </w:pPr>
      <w:r>
        <w:rPr>
          <w:b/>
          <w:bCs/>
          <w:iCs/>
          <w:lang w:val="sr-Cyrl-CS"/>
        </w:rPr>
        <w:t>Opšti</w:t>
      </w:r>
      <w:r w:rsidR="00F82597" w:rsidRPr="00E95BC4">
        <w:rPr>
          <w:b/>
          <w:bCs/>
          <w:iCs/>
          <w:lang w:val="sr-Cyrl-CS"/>
        </w:rPr>
        <w:t xml:space="preserve"> </w:t>
      </w:r>
      <w:r>
        <w:rPr>
          <w:b/>
          <w:bCs/>
          <w:iCs/>
          <w:lang w:val="sr-Cyrl-CS"/>
        </w:rPr>
        <w:t>cilj</w:t>
      </w:r>
      <w:r w:rsidR="00F82597" w:rsidRPr="00E95BC4">
        <w:rPr>
          <w:b/>
          <w:bCs/>
          <w:iCs/>
          <w:lang w:val="sr-Cyrl-CS"/>
        </w:rPr>
        <w:t>.</w:t>
      </w:r>
      <w:r w:rsidR="000C7714" w:rsidRPr="00E95BC4">
        <w:rPr>
          <w:bCs/>
          <w:iCs/>
          <w:lang w:val="sr-Cyrl-CS"/>
        </w:rPr>
        <w:t xml:space="preserve"> </w:t>
      </w:r>
      <w:r>
        <w:rPr>
          <w:bCs/>
          <w:iCs/>
          <w:lang w:val="sr-Cyrl-CS"/>
        </w:rPr>
        <w:t>Polazeći</w:t>
      </w:r>
      <w:r w:rsidR="004D6269" w:rsidRPr="00E95BC4">
        <w:rPr>
          <w:bCs/>
          <w:iCs/>
          <w:lang w:val="sr-Cyrl-CS"/>
        </w:rPr>
        <w:t xml:space="preserve"> </w:t>
      </w:r>
      <w:r>
        <w:rPr>
          <w:bCs/>
          <w:iCs/>
          <w:lang w:val="sr-Cyrl-CS"/>
        </w:rPr>
        <w:t>od</w:t>
      </w:r>
      <w:r w:rsidR="004D6269" w:rsidRPr="00E95BC4">
        <w:rPr>
          <w:bCs/>
          <w:iCs/>
          <w:lang w:val="sr-Cyrl-CS"/>
        </w:rPr>
        <w:t xml:space="preserve"> </w:t>
      </w:r>
      <w:r>
        <w:rPr>
          <w:bCs/>
          <w:iCs/>
          <w:lang w:val="sr-Cyrl-CS"/>
        </w:rPr>
        <w:t>opšteg</w:t>
      </w:r>
      <w:r w:rsidR="006D3236" w:rsidRPr="00E95BC4">
        <w:rPr>
          <w:bCs/>
          <w:iCs/>
          <w:lang w:val="sr-Cyrl-CS"/>
        </w:rPr>
        <w:t xml:space="preserve"> </w:t>
      </w:r>
      <w:r>
        <w:rPr>
          <w:bCs/>
          <w:iCs/>
          <w:lang w:val="sr-Cyrl-CS"/>
        </w:rPr>
        <w:t>i</w:t>
      </w:r>
      <w:r w:rsidR="004D6269" w:rsidRPr="00E95BC4">
        <w:rPr>
          <w:bCs/>
          <w:iCs/>
          <w:lang w:val="sr-Cyrl-CS"/>
        </w:rPr>
        <w:t xml:space="preserve"> </w:t>
      </w:r>
      <w:r>
        <w:rPr>
          <w:bCs/>
          <w:iCs/>
          <w:lang w:val="sr-Cyrl-CS"/>
        </w:rPr>
        <w:t>posebnih</w:t>
      </w:r>
      <w:r w:rsidR="004D6269" w:rsidRPr="00E95BC4">
        <w:rPr>
          <w:bCs/>
          <w:iCs/>
          <w:lang w:val="sr-Cyrl-CS"/>
        </w:rPr>
        <w:t xml:space="preserve"> </w:t>
      </w:r>
      <w:r>
        <w:rPr>
          <w:bCs/>
          <w:iCs/>
          <w:lang w:val="sr-Cyrl-CS"/>
        </w:rPr>
        <w:t>ciljeva</w:t>
      </w:r>
      <w:r w:rsidR="004D6269" w:rsidRPr="00E95BC4">
        <w:rPr>
          <w:bCs/>
          <w:iCs/>
          <w:lang w:val="sr-Cyrl-CS"/>
        </w:rPr>
        <w:t xml:space="preserve"> </w:t>
      </w:r>
      <w:r>
        <w:rPr>
          <w:bCs/>
          <w:iCs/>
          <w:lang w:val="sr-Cyrl-CS"/>
        </w:rPr>
        <w:t>i</w:t>
      </w:r>
      <w:r w:rsidR="004D6269" w:rsidRPr="00E95BC4">
        <w:rPr>
          <w:bCs/>
          <w:iCs/>
          <w:lang w:val="sr-Cyrl-CS"/>
        </w:rPr>
        <w:t xml:space="preserve"> </w:t>
      </w:r>
      <w:r>
        <w:rPr>
          <w:bCs/>
          <w:iCs/>
          <w:lang w:val="sr-Cyrl-CS"/>
        </w:rPr>
        <w:t>neposrednih</w:t>
      </w:r>
      <w:r w:rsidR="004D6269" w:rsidRPr="00E95BC4">
        <w:rPr>
          <w:bCs/>
          <w:iCs/>
          <w:lang w:val="sr-Cyrl-CS"/>
        </w:rPr>
        <w:t xml:space="preserve"> </w:t>
      </w:r>
      <w:r>
        <w:rPr>
          <w:bCs/>
          <w:iCs/>
          <w:lang w:val="sr-Cyrl-CS"/>
        </w:rPr>
        <w:t>ishoda</w:t>
      </w:r>
      <w:r w:rsidR="004D6269" w:rsidRPr="00E95BC4">
        <w:rPr>
          <w:bCs/>
          <w:iCs/>
          <w:lang w:val="sr-Cyrl-CS"/>
        </w:rPr>
        <w:t xml:space="preserve"> </w:t>
      </w:r>
      <w:r>
        <w:rPr>
          <w:bCs/>
          <w:iCs/>
          <w:lang w:val="sr-Cyrl-CS"/>
        </w:rPr>
        <w:t>globalnog</w:t>
      </w:r>
      <w:r w:rsidR="006D3236" w:rsidRPr="00E95BC4">
        <w:rPr>
          <w:bCs/>
          <w:iCs/>
          <w:lang w:val="sr-Cyrl-CS"/>
        </w:rPr>
        <w:t xml:space="preserve"> </w:t>
      </w:r>
      <w:r>
        <w:rPr>
          <w:bCs/>
          <w:iCs/>
          <w:lang w:val="sr-Cyrl-CS"/>
        </w:rPr>
        <w:t>sistema</w:t>
      </w:r>
      <w:r w:rsidR="002C54BD" w:rsidRPr="00E95BC4">
        <w:rPr>
          <w:bCs/>
          <w:iCs/>
          <w:lang w:val="sr-Cyrl-CS"/>
        </w:rPr>
        <w:t xml:space="preserve"> </w:t>
      </w:r>
      <w:r>
        <w:rPr>
          <w:bCs/>
          <w:iCs/>
          <w:lang w:val="sr-Cyrl-CS"/>
        </w:rPr>
        <w:t>formulisan</w:t>
      </w:r>
      <w:r w:rsidR="00842D2B" w:rsidRPr="00E95BC4">
        <w:rPr>
          <w:bCs/>
          <w:iCs/>
          <w:lang w:val="sr-Cyrl-CS"/>
        </w:rPr>
        <w:t xml:space="preserve"> </w:t>
      </w:r>
      <w:r>
        <w:rPr>
          <w:bCs/>
          <w:iCs/>
          <w:lang w:val="sr-Cyrl-CS"/>
        </w:rPr>
        <w:t>je</w:t>
      </w:r>
      <w:r w:rsidR="00842D2B" w:rsidRPr="00E95BC4">
        <w:rPr>
          <w:bCs/>
          <w:iCs/>
          <w:lang w:val="sr-Cyrl-CS"/>
        </w:rPr>
        <w:t xml:space="preserve"> </w:t>
      </w:r>
      <w:r>
        <w:rPr>
          <w:bCs/>
          <w:iCs/>
          <w:lang w:val="sr-Cyrl-CS"/>
        </w:rPr>
        <w:t>sledeći</w:t>
      </w:r>
      <w:r w:rsidR="00842D2B" w:rsidRPr="00E95BC4">
        <w:rPr>
          <w:bCs/>
          <w:iCs/>
          <w:lang w:val="sr-Cyrl-CS"/>
        </w:rPr>
        <w:t xml:space="preserve"> </w:t>
      </w:r>
      <w:r>
        <w:rPr>
          <w:bCs/>
          <w:iCs/>
          <w:lang w:val="sr-Cyrl-CS"/>
        </w:rPr>
        <w:t>opšti</w:t>
      </w:r>
      <w:r w:rsidR="00842D2B" w:rsidRPr="00E95BC4">
        <w:rPr>
          <w:bCs/>
          <w:iCs/>
          <w:lang w:val="sr-Cyrl-CS"/>
        </w:rPr>
        <w:t xml:space="preserve"> </w:t>
      </w:r>
      <w:r>
        <w:rPr>
          <w:bCs/>
          <w:iCs/>
          <w:lang w:val="sr-Cyrl-CS"/>
        </w:rPr>
        <w:t>cilj</w:t>
      </w:r>
      <w:r w:rsidR="004D6269" w:rsidRPr="00E95BC4">
        <w:rPr>
          <w:bCs/>
          <w:iCs/>
          <w:lang w:val="sr-Cyrl-CS"/>
        </w:rPr>
        <w:t xml:space="preserve"> </w:t>
      </w:r>
      <w:r>
        <w:rPr>
          <w:bCs/>
          <w:iCs/>
          <w:lang w:val="sr-Cyrl-CS"/>
        </w:rPr>
        <w:t>Strategije</w:t>
      </w:r>
      <w:r w:rsidR="004D6269" w:rsidRPr="00E95BC4">
        <w:rPr>
          <w:bCs/>
          <w:iCs/>
          <w:lang w:val="sr-Cyrl-CS"/>
        </w:rPr>
        <w:t xml:space="preserve"> </w:t>
      </w:r>
      <w:r w:rsidR="00C05AAB" w:rsidRPr="00E95BC4">
        <w:rPr>
          <w:bCs/>
          <w:iCs/>
          <w:lang w:val="sr-Cyrl-CS"/>
        </w:rPr>
        <w:t>(2020-2024):</w:t>
      </w:r>
    </w:p>
    <w:p w:rsidR="0004492D" w:rsidRPr="003B5D89" w:rsidRDefault="0004492D" w:rsidP="00285FD7">
      <w:pPr>
        <w:ind w:left="1440"/>
        <w:jc w:val="both"/>
        <w:rPr>
          <w:bCs/>
          <w:iCs/>
          <w:color w:val="auto"/>
          <w:sz w:val="18"/>
          <w:szCs w:val="18"/>
          <w:lang w:val="sr-Cyrl-CS"/>
        </w:rPr>
      </w:pPr>
    </w:p>
    <w:p w:rsidR="006D3236" w:rsidRPr="00E95BC4" w:rsidRDefault="00934E82" w:rsidP="002146DD">
      <w:pPr>
        <w:jc w:val="both"/>
        <w:rPr>
          <w:lang w:val="sr-Cyrl-CS"/>
        </w:rPr>
      </w:pPr>
      <w:r w:rsidRPr="00934E82">
        <w:rPr>
          <w:bCs/>
          <w:iCs/>
          <w:noProof/>
          <w:color w:val="auto"/>
        </w:rPr>
        <w:pict>
          <v:shape id="Text Box 2" o:spid="_x0000_s1031" type="#_x0000_t202" style="position:absolute;left:0;text-align:left;margin-left:-8.25pt;margin-top:11.3pt;width:75.25pt;height:50.6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" fillcolor="#a5a5a5 [2092]" stroked="f" strokecolor="#f2f2f2 [3041]" strokeweight="3pt">
            <v:shadow color="#7f7f7f [1601]" opacity=".5" offset="1pt"/>
            <v:textbox>
              <w:txbxContent>
                <w:p w:rsidR="005818C0" w:rsidRPr="00C21C2C" w:rsidRDefault="005818C0" w:rsidP="008C4177">
                  <w:pPr>
                    <w:jc w:val="center"/>
                    <w:rPr>
                      <w:b/>
                      <w:bCs/>
                      <w:iCs/>
                      <w:color w:val="FFFFFF" w:themeColor="background1"/>
                      <w:sz w:val="20"/>
                      <w:szCs w:val="20"/>
                    </w:rPr>
                  </w:pPr>
                  <w:r w:rsidRPr="00C21C2C">
                    <w:rPr>
                      <w:b/>
                      <w:bCs/>
                      <w:iCs/>
                      <w:color w:val="FFFFFF" w:themeColor="background1"/>
                      <w:sz w:val="20"/>
                      <w:szCs w:val="20"/>
                    </w:rPr>
                    <w:t>Општи циљ Стратегије (2020-2024)</w:t>
                  </w:r>
                </w:p>
                <w:p w:rsidR="005818C0" w:rsidRPr="008C4177" w:rsidRDefault="005818C0">
                  <w:pPr>
                    <w:rPr>
                      <w:color w:val="FFFFFF" w:themeColor="background1"/>
                      <w:sz w:val="20"/>
                    </w:rPr>
                  </w:pPr>
                </w:p>
              </w:txbxContent>
            </v:textbox>
            <w10:wrap type="square"/>
          </v:shape>
        </w:pict>
      </w:r>
      <w:r w:rsidR="005818C0">
        <w:rPr>
          <w:bCs/>
          <w:iCs/>
          <w:color w:val="auto"/>
          <w:lang w:val="sr-Cyrl-CS"/>
        </w:rPr>
        <w:t>U</w:t>
      </w:r>
      <w:r w:rsidR="006D3236" w:rsidRPr="00E95BC4">
        <w:rPr>
          <w:bCs/>
          <w:iCs/>
          <w:color w:val="auto"/>
          <w:lang w:val="sr-Cyrl-CS"/>
        </w:rPr>
        <w:t xml:space="preserve"> </w:t>
      </w:r>
      <w:r w:rsidR="005818C0">
        <w:rPr>
          <w:bCs/>
          <w:iCs/>
          <w:color w:val="auto"/>
          <w:lang w:val="sr-Cyrl-CS"/>
        </w:rPr>
        <w:t>potpunosti</w:t>
      </w:r>
      <w:r w:rsidR="006D3236" w:rsidRPr="00E95BC4">
        <w:rPr>
          <w:bCs/>
          <w:iCs/>
          <w:color w:val="auto"/>
          <w:lang w:val="sr-Cyrl-CS"/>
        </w:rPr>
        <w:t xml:space="preserve"> </w:t>
      </w:r>
      <w:r w:rsidR="005818C0">
        <w:rPr>
          <w:bCs/>
          <w:iCs/>
          <w:color w:val="auto"/>
          <w:lang w:val="sr-Cyrl-CS"/>
        </w:rPr>
        <w:t>zaštititi</w:t>
      </w:r>
      <w:r w:rsidR="006D3236" w:rsidRPr="00E95BC4">
        <w:rPr>
          <w:bCs/>
          <w:iCs/>
          <w:color w:val="auto"/>
          <w:lang w:val="sr-Cyrl-CS"/>
        </w:rPr>
        <w:t xml:space="preserve"> </w:t>
      </w:r>
      <w:r w:rsidR="005818C0">
        <w:rPr>
          <w:bCs/>
          <w:iCs/>
          <w:color w:val="auto"/>
          <w:lang w:val="sr-Cyrl-CS"/>
        </w:rPr>
        <w:t>privredu</w:t>
      </w:r>
      <w:r w:rsidR="006D3236" w:rsidRPr="00E95BC4">
        <w:rPr>
          <w:bCs/>
          <w:iCs/>
          <w:color w:val="auto"/>
          <w:lang w:val="sr-Cyrl-CS"/>
        </w:rPr>
        <w:t xml:space="preserve"> </w:t>
      </w:r>
      <w:r w:rsidR="005818C0">
        <w:rPr>
          <w:bCs/>
          <w:iCs/>
          <w:color w:val="auto"/>
          <w:lang w:val="sr-Cyrl-CS"/>
        </w:rPr>
        <w:t>i</w:t>
      </w:r>
      <w:r w:rsidR="006D3236" w:rsidRPr="00E95BC4">
        <w:rPr>
          <w:bCs/>
          <w:iCs/>
          <w:color w:val="auto"/>
          <w:lang w:val="sr-Cyrl-CS"/>
        </w:rPr>
        <w:t xml:space="preserve"> </w:t>
      </w:r>
      <w:r w:rsidR="005818C0">
        <w:rPr>
          <w:bCs/>
          <w:iCs/>
          <w:color w:val="auto"/>
          <w:lang w:val="sr-Cyrl-CS"/>
        </w:rPr>
        <w:t>finansijski</w:t>
      </w:r>
      <w:r w:rsidR="006D3236" w:rsidRPr="00E95BC4">
        <w:rPr>
          <w:bCs/>
          <w:iCs/>
          <w:color w:val="auto"/>
          <w:lang w:val="sr-Cyrl-CS"/>
        </w:rPr>
        <w:t xml:space="preserve"> </w:t>
      </w:r>
      <w:r w:rsidR="005818C0">
        <w:rPr>
          <w:bCs/>
          <w:iCs/>
          <w:color w:val="auto"/>
          <w:lang w:val="sr-Cyrl-CS"/>
        </w:rPr>
        <w:t>sistem</w:t>
      </w:r>
      <w:r w:rsidR="006D3236" w:rsidRPr="00E95BC4">
        <w:rPr>
          <w:bCs/>
          <w:iCs/>
          <w:color w:val="auto"/>
          <w:lang w:val="sr-Cyrl-CS"/>
        </w:rPr>
        <w:t xml:space="preserve"> </w:t>
      </w:r>
      <w:r w:rsidR="005818C0">
        <w:rPr>
          <w:bCs/>
          <w:iCs/>
          <w:color w:val="auto"/>
          <w:lang w:val="sr-Cyrl-CS"/>
        </w:rPr>
        <w:t>države</w:t>
      </w:r>
      <w:r w:rsidR="006D3236" w:rsidRPr="00E95BC4">
        <w:rPr>
          <w:bCs/>
          <w:iCs/>
          <w:color w:val="auto"/>
          <w:lang w:val="sr-Cyrl-CS"/>
        </w:rPr>
        <w:t xml:space="preserve"> </w:t>
      </w:r>
      <w:r w:rsidR="005818C0">
        <w:rPr>
          <w:bCs/>
          <w:iCs/>
          <w:color w:val="auto"/>
          <w:lang w:val="sr-Cyrl-CS"/>
        </w:rPr>
        <w:t>od</w:t>
      </w:r>
      <w:r w:rsidR="006D3236" w:rsidRPr="00E95BC4">
        <w:rPr>
          <w:bCs/>
          <w:iCs/>
          <w:color w:val="auto"/>
          <w:lang w:val="sr-Cyrl-CS"/>
        </w:rPr>
        <w:t xml:space="preserve"> </w:t>
      </w:r>
      <w:r w:rsidR="005818C0">
        <w:rPr>
          <w:bCs/>
          <w:iCs/>
          <w:color w:val="auto"/>
          <w:lang w:val="sr-Cyrl-CS"/>
        </w:rPr>
        <w:t>opasnosti</w:t>
      </w:r>
      <w:r w:rsidR="006D3236" w:rsidRPr="00E95BC4">
        <w:rPr>
          <w:bCs/>
          <w:iCs/>
          <w:color w:val="auto"/>
          <w:lang w:val="sr-Cyrl-CS"/>
        </w:rPr>
        <w:t xml:space="preserve"> </w:t>
      </w:r>
      <w:r w:rsidR="005818C0">
        <w:rPr>
          <w:bCs/>
          <w:iCs/>
          <w:color w:val="auto"/>
          <w:lang w:val="sr-Cyrl-CS"/>
        </w:rPr>
        <w:t>koje</w:t>
      </w:r>
      <w:r w:rsidR="006D3236" w:rsidRPr="00E95BC4">
        <w:rPr>
          <w:bCs/>
          <w:iCs/>
          <w:color w:val="auto"/>
          <w:lang w:val="sr-Cyrl-CS"/>
        </w:rPr>
        <w:t xml:space="preserve"> </w:t>
      </w:r>
      <w:r w:rsidR="005818C0">
        <w:rPr>
          <w:bCs/>
          <w:iCs/>
          <w:color w:val="auto"/>
          <w:lang w:val="sr-Cyrl-CS"/>
        </w:rPr>
        <w:t>uzrokuju</w:t>
      </w:r>
      <w:r w:rsidR="006D3236" w:rsidRPr="00E95BC4">
        <w:rPr>
          <w:bCs/>
          <w:iCs/>
          <w:color w:val="auto"/>
          <w:lang w:val="sr-Cyrl-CS"/>
        </w:rPr>
        <w:t xml:space="preserve"> </w:t>
      </w:r>
      <w:r w:rsidR="005818C0">
        <w:rPr>
          <w:bCs/>
          <w:iCs/>
          <w:color w:val="auto"/>
          <w:lang w:val="sr-Cyrl-CS"/>
        </w:rPr>
        <w:t>pranje</w:t>
      </w:r>
      <w:r w:rsidR="006D3236" w:rsidRPr="00E95BC4">
        <w:rPr>
          <w:bCs/>
          <w:iCs/>
          <w:color w:val="auto"/>
          <w:lang w:val="sr-Cyrl-CS"/>
        </w:rPr>
        <w:t xml:space="preserve"> </w:t>
      </w:r>
      <w:r w:rsidR="005818C0">
        <w:rPr>
          <w:bCs/>
          <w:iCs/>
          <w:color w:val="auto"/>
          <w:lang w:val="sr-Cyrl-CS"/>
        </w:rPr>
        <w:t>novca</w:t>
      </w:r>
      <w:r w:rsidR="006D3236" w:rsidRPr="00E95BC4">
        <w:rPr>
          <w:bCs/>
          <w:iCs/>
          <w:color w:val="auto"/>
          <w:lang w:val="sr-Cyrl-CS"/>
        </w:rPr>
        <w:t xml:space="preserve"> </w:t>
      </w:r>
      <w:r w:rsidR="005818C0">
        <w:rPr>
          <w:bCs/>
          <w:iCs/>
          <w:color w:val="auto"/>
          <w:lang w:val="sr-Cyrl-CS"/>
        </w:rPr>
        <w:t>i</w:t>
      </w:r>
      <w:r w:rsidR="006D3236" w:rsidRPr="00E95BC4">
        <w:rPr>
          <w:bCs/>
          <w:iCs/>
          <w:color w:val="auto"/>
          <w:lang w:val="sr-Cyrl-CS"/>
        </w:rPr>
        <w:t xml:space="preserve"> </w:t>
      </w:r>
      <w:r w:rsidR="005818C0">
        <w:rPr>
          <w:bCs/>
          <w:iCs/>
          <w:color w:val="auto"/>
          <w:lang w:val="sr-Cyrl-CS"/>
        </w:rPr>
        <w:t>finansiranje</w:t>
      </w:r>
      <w:r w:rsidR="006D3236" w:rsidRPr="00E95BC4">
        <w:rPr>
          <w:bCs/>
          <w:iCs/>
          <w:color w:val="auto"/>
          <w:lang w:val="sr-Cyrl-CS"/>
        </w:rPr>
        <w:t xml:space="preserve"> </w:t>
      </w:r>
      <w:r w:rsidR="005818C0">
        <w:rPr>
          <w:bCs/>
          <w:iCs/>
          <w:color w:val="auto"/>
          <w:lang w:val="sr-Cyrl-CS"/>
        </w:rPr>
        <w:t>terorizma</w:t>
      </w:r>
      <w:r w:rsidR="006D3236" w:rsidRPr="00E95BC4">
        <w:rPr>
          <w:bCs/>
          <w:iCs/>
          <w:color w:val="auto"/>
          <w:lang w:val="sr-Cyrl-CS"/>
        </w:rPr>
        <w:t xml:space="preserve"> </w:t>
      </w:r>
      <w:r w:rsidR="005818C0">
        <w:rPr>
          <w:bCs/>
          <w:iCs/>
          <w:color w:val="auto"/>
          <w:lang w:val="sr-Cyrl-CS"/>
        </w:rPr>
        <w:t>i</w:t>
      </w:r>
      <w:r w:rsidR="006D3236" w:rsidRPr="00E95BC4">
        <w:rPr>
          <w:bCs/>
          <w:iCs/>
          <w:color w:val="auto"/>
          <w:lang w:val="sr-Cyrl-CS"/>
        </w:rPr>
        <w:t xml:space="preserve"> </w:t>
      </w:r>
      <w:r w:rsidR="005818C0">
        <w:rPr>
          <w:bCs/>
          <w:iCs/>
          <w:color w:val="auto"/>
          <w:lang w:val="sr-Cyrl-CS"/>
        </w:rPr>
        <w:t>širenja</w:t>
      </w:r>
      <w:r w:rsidR="006D3236" w:rsidRPr="00E95BC4">
        <w:rPr>
          <w:bCs/>
          <w:iCs/>
          <w:color w:val="auto"/>
          <w:lang w:val="sr-Cyrl-CS"/>
        </w:rPr>
        <w:t xml:space="preserve"> </w:t>
      </w:r>
      <w:r w:rsidR="005818C0">
        <w:rPr>
          <w:bCs/>
          <w:iCs/>
          <w:color w:val="auto"/>
          <w:lang w:val="sr-Cyrl-CS"/>
        </w:rPr>
        <w:t>oružja</w:t>
      </w:r>
      <w:r w:rsidR="006D3236" w:rsidRPr="00E95BC4">
        <w:rPr>
          <w:bCs/>
          <w:iCs/>
          <w:color w:val="auto"/>
          <w:lang w:val="sr-Cyrl-CS"/>
        </w:rPr>
        <w:t xml:space="preserve"> </w:t>
      </w:r>
      <w:r w:rsidR="005818C0">
        <w:rPr>
          <w:bCs/>
          <w:iCs/>
          <w:color w:val="auto"/>
          <w:lang w:val="sr-Cyrl-CS"/>
        </w:rPr>
        <w:t>za</w:t>
      </w:r>
      <w:r w:rsidR="006D3236" w:rsidRPr="00E95BC4">
        <w:rPr>
          <w:bCs/>
          <w:iCs/>
          <w:color w:val="auto"/>
          <w:lang w:val="sr-Cyrl-CS"/>
        </w:rPr>
        <w:t xml:space="preserve"> </w:t>
      </w:r>
      <w:r w:rsidR="005818C0">
        <w:rPr>
          <w:bCs/>
          <w:iCs/>
          <w:color w:val="auto"/>
          <w:lang w:val="sr-Cyrl-CS"/>
        </w:rPr>
        <w:t>masovno</w:t>
      </w:r>
      <w:r w:rsidR="006D3236" w:rsidRPr="00E95BC4">
        <w:rPr>
          <w:bCs/>
          <w:iCs/>
          <w:color w:val="auto"/>
          <w:lang w:val="sr-Cyrl-CS"/>
        </w:rPr>
        <w:t xml:space="preserve"> </w:t>
      </w:r>
      <w:r w:rsidR="005818C0">
        <w:rPr>
          <w:bCs/>
          <w:iCs/>
          <w:color w:val="auto"/>
          <w:lang w:val="sr-Cyrl-CS"/>
        </w:rPr>
        <w:t>uništenje</w:t>
      </w:r>
      <w:r w:rsidR="006D3236" w:rsidRPr="00E95BC4">
        <w:rPr>
          <w:bCs/>
          <w:iCs/>
          <w:color w:val="auto"/>
          <w:lang w:val="sr-Cyrl-CS"/>
        </w:rPr>
        <w:t xml:space="preserve">, </w:t>
      </w:r>
      <w:r w:rsidR="005818C0">
        <w:rPr>
          <w:bCs/>
          <w:iCs/>
          <w:color w:val="auto"/>
          <w:lang w:val="sr-Cyrl-CS"/>
        </w:rPr>
        <w:t>čime</w:t>
      </w:r>
      <w:r w:rsidR="006D3236" w:rsidRPr="00E95BC4">
        <w:rPr>
          <w:bCs/>
          <w:iCs/>
          <w:color w:val="auto"/>
          <w:lang w:val="sr-Cyrl-CS"/>
        </w:rPr>
        <w:t xml:space="preserve"> </w:t>
      </w:r>
      <w:r w:rsidR="005818C0">
        <w:rPr>
          <w:bCs/>
          <w:iCs/>
          <w:color w:val="auto"/>
          <w:lang w:val="sr-Cyrl-CS"/>
        </w:rPr>
        <w:t>se</w:t>
      </w:r>
      <w:r w:rsidR="006D3236" w:rsidRPr="00E95BC4">
        <w:rPr>
          <w:bCs/>
          <w:iCs/>
          <w:color w:val="auto"/>
          <w:lang w:val="sr-Cyrl-CS"/>
        </w:rPr>
        <w:t xml:space="preserve"> </w:t>
      </w:r>
      <w:r w:rsidR="005818C0">
        <w:rPr>
          <w:bCs/>
          <w:iCs/>
          <w:color w:val="auto"/>
          <w:lang w:val="sr-Cyrl-CS"/>
        </w:rPr>
        <w:t>kroz</w:t>
      </w:r>
      <w:r w:rsidR="006D3236" w:rsidRPr="00E95BC4">
        <w:rPr>
          <w:bCs/>
          <w:iCs/>
          <w:color w:val="auto"/>
          <w:lang w:val="sr-Cyrl-CS"/>
        </w:rPr>
        <w:t xml:space="preserve"> </w:t>
      </w:r>
      <w:r w:rsidR="005818C0">
        <w:rPr>
          <w:bCs/>
          <w:iCs/>
          <w:color w:val="auto"/>
          <w:lang w:val="sr-Cyrl-CS"/>
        </w:rPr>
        <w:t>aktivnu</w:t>
      </w:r>
      <w:r w:rsidR="006D3236" w:rsidRPr="00E95BC4">
        <w:rPr>
          <w:bCs/>
          <w:iCs/>
          <w:color w:val="auto"/>
          <w:lang w:val="sr-Cyrl-CS"/>
        </w:rPr>
        <w:t xml:space="preserve"> </w:t>
      </w:r>
      <w:r w:rsidR="005818C0">
        <w:rPr>
          <w:bCs/>
          <w:iCs/>
          <w:color w:val="auto"/>
          <w:lang w:val="sr-Cyrl-CS"/>
        </w:rPr>
        <w:t>saradnju</w:t>
      </w:r>
      <w:r w:rsidR="006D3236" w:rsidRPr="00E95BC4">
        <w:rPr>
          <w:bCs/>
          <w:iCs/>
          <w:color w:val="auto"/>
          <w:lang w:val="sr-Cyrl-CS"/>
        </w:rPr>
        <w:t xml:space="preserve"> </w:t>
      </w:r>
      <w:r w:rsidR="005818C0">
        <w:rPr>
          <w:bCs/>
          <w:iCs/>
          <w:color w:val="auto"/>
          <w:lang w:val="sr-Cyrl-CS"/>
        </w:rPr>
        <w:t>javnog</w:t>
      </w:r>
      <w:r w:rsidR="006D3236" w:rsidRPr="00E95BC4">
        <w:rPr>
          <w:bCs/>
          <w:iCs/>
          <w:color w:val="auto"/>
          <w:lang w:val="sr-Cyrl-CS"/>
        </w:rPr>
        <w:t xml:space="preserve"> </w:t>
      </w:r>
      <w:r w:rsidR="005818C0">
        <w:rPr>
          <w:bCs/>
          <w:iCs/>
          <w:color w:val="auto"/>
          <w:lang w:val="sr-Cyrl-CS"/>
        </w:rPr>
        <w:t>i</w:t>
      </w:r>
      <w:r w:rsidR="006D3236" w:rsidRPr="00E95BC4">
        <w:rPr>
          <w:bCs/>
          <w:iCs/>
          <w:color w:val="auto"/>
          <w:lang w:val="sr-Cyrl-CS"/>
        </w:rPr>
        <w:t xml:space="preserve"> </w:t>
      </w:r>
      <w:r w:rsidR="005818C0">
        <w:rPr>
          <w:bCs/>
          <w:iCs/>
          <w:color w:val="auto"/>
          <w:lang w:val="sr-Cyrl-CS"/>
        </w:rPr>
        <w:t>privatnog</w:t>
      </w:r>
      <w:r w:rsidR="006D3236" w:rsidRPr="00E95BC4">
        <w:rPr>
          <w:bCs/>
          <w:iCs/>
          <w:color w:val="auto"/>
          <w:lang w:val="sr-Cyrl-CS"/>
        </w:rPr>
        <w:t xml:space="preserve"> </w:t>
      </w:r>
      <w:r w:rsidR="005818C0">
        <w:rPr>
          <w:bCs/>
          <w:iCs/>
          <w:color w:val="auto"/>
          <w:lang w:val="sr-Cyrl-CS"/>
        </w:rPr>
        <w:t>sektora</w:t>
      </w:r>
      <w:r w:rsidR="006D3236" w:rsidRPr="00E95BC4">
        <w:rPr>
          <w:bCs/>
          <w:iCs/>
          <w:color w:val="auto"/>
          <w:lang w:val="sr-Cyrl-CS"/>
        </w:rPr>
        <w:t xml:space="preserve"> </w:t>
      </w:r>
      <w:r w:rsidR="005818C0">
        <w:rPr>
          <w:bCs/>
          <w:iCs/>
          <w:color w:val="auto"/>
          <w:lang w:val="sr-Cyrl-CS"/>
        </w:rPr>
        <w:t>i</w:t>
      </w:r>
      <w:r w:rsidR="006D3236" w:rsidRPr="00E95BC4">
        <w:rPr>
          <w:bCs/>
          <w:iCs/>
          <w:color w:val="auto"/>
          <w:lang w:val="sr-Cyrl-CS"/>
        </w:rPr>
        <w:t xml:space="preserve"> </w:t>
      </w:r>
      <w:r w:rsidR="005818C0">
        <w:rPr>
          <w:bCs/>
          <w:iCs/>
          <w:color w:val="auto"/>
          <w:lang w:val="sr-Cyrl-CS"/>
        </w:rPr>
        <w:t>pristup</w:t>
      </w:r>
      <w:r w:rsidR="006D3236" w:rsidRPr="00E95BC4">
        <w:rPr>
          <w:bCs/>
          <w:iCs/>
          <w:color w:val="auto"/>
          <w:lang w:val="sr-Cyrl-CS"/>
        </w:rPr>
        <w:t xml:space="preserve"> </w:t>
      </w:r>
      <w:r w:rsidR="005818C0">
        <w:rPr>
          <w:bCs/>
          <w:iCs/>
          <w:color w:val="auto"/>
          <w:lang w:val="sr-Cyrl-CS"/>
        </w:rPr>
        <w:t>zasnovan</w:t>
      </w:r>
      <w:r w:rsidR="006D3236" w:rsidRPr="00E95BC4">
        <w:rPr>
          <w:bCs/>
          <w:iCs/>
          <w:color w:val="auto"/>
          <w:lang w:val="sr-Cyrl-CS"/>
        </w:rPr>
        <w:t xml:space="preserve"> </w:t>
      </w:r>
      <w:r w:rsidR="005818C0">
        <w:rPr>
          <w:bCs/>
          <w:iCs/>
          <w:color w:val="auto"/>
          <w:lang w:val="sr-Cyrl-CS"/>
        </w:rPr>
        <w:t>na</w:t>
      </w:r>
      <w:r w:rsidR="006D3236" w:rsidRPr="00E95BC4">
        <w:rPr>
          <w:bCs/>
          <w:iCs/>
          <w:color w:val="auto"/>
          <w:lang w:val="sr-Cyrl-CS"/>
        </w:rPr>
        <w:t xml:space="preserve"> </w:t>
      </w:r>
      <w:r w:rsidR="005818C0">
        <w:rPr>
          <w:bCs/>
          <w:iCs/>
          <w:color w:val="auto"/>
          <w:lang w:val="sr-Cyrl-CS"/>
        </w:rPr>
        <w:t>analizi</w:t>
      </w:r>
      <w:r w:rsidR="006D3236" w:rsidRPr="00E95BC4">
        <w:rPr>
          <w:bCs/>
          <w:iCs/>
          <w:color w:val="auto"/>
          <w:lang w:val="sr-Cyrl-CS"/>
        </w:rPr>
        <w:t xml:space="preserve"> </w:t>
      </w:r>
      <w:r w:rsidR="005818C0">
        <w:rPr>
          <w:bCs/>
          <w:iCs/>
          <w:color w:val="auto"/>
          <w:lang w:val="sr-Cyrl-CS"/>
        </w:rPr>
        <w:t>i</w:t>
      </w:r>
      <w:r w:rsidR="006D3236" w:rsidRPr="00E95BC4">
        <w:rPr>
          <w:bCs/>
          <w:iCs/>
          <w:color w:val="auto"/>
          <w:lang w:val="sr-Cyrl-CS"/>
        </w:rPr>
        <w:t xml:space="preserve"> </w:t>
      </w:r>
      <w:r w:rsidR="005818C0">
        <w:rPr>
          <w:bCs/>
          <w:iCs/>
          <w:color w:val="auto"/>
          <w:lang w:val="sr-Cyrl-CS"/>
        </w:rPr>
        <w:t>proceni</w:t>
      </w:r>
      <w:r w:rsidR="006D3236" w:rsidRPr="00E95BC4">
        <w:rPr>
          <w:bCs/>
          <w:iCs/>
          <w:color w:val="auto"/>
          <w:lang w:val="sr-Cyrl-CS"/>
        </w:rPr>
        <w:t xml:space="preserve"> </w:t>
      </w:r>
      <w:r w:rsidR="005818C0">
        <w:rPr>
          <w:bCs/>
          <w:iCs/>
          <w:color w:val="auto"/>
          <w:lang w:val="sr-Cyrl-CS"/>
        </w:rPr>
        <w:t>rizika</w:t>
      </w:r>
      <w:r w:rsidR="006D3236" w:rsidRPr="00E95BC4">
        <w:rPr>
          <w:bCs/>
          <w:iCs/>
          <w:color w:val="auto"/>
          <w:lang w:val="sr-Cyrl-CS"/>
        </w:rPr>
        <w:t xml:space="preserve"> </w:t>
      </w:r>
      <w:r w:rsidR="005818C0">
        <w:rPr>
          <w:bCs/>
          <w:iCs/>
          <w:color w:val="auto"/>
          <w:lang w:val="sr-Cyrl-CS"/>
        </w:rPr>
        <w:t>jačaju</w:t>
      </w:r>
      <w:r w:rsidR="006D3236" w:rsidRPr="00E95BC4">
        <w:rPr>
          <w:bCs/>
          <w:iCs/>
          <w:color w:val="auto"/>
          <w:lang w:val="sr-Cyrl-CS"/>
        </w:rPr>
        <w:t xml:space="preserve"> </w:t>
      </w:r>
      <w:r w:rsidR="005818C0">
        <w:rPr>
          <w:bCs/>
          <w:iCs/>
          <w:color w:val="auto"/>
          <w:lang w:val="sr-Cyrl-CS"/>
        </w:rPr>
        <w:t>sistem</w:t>
      </w:r>
      <w:r w:rsidR="006D3236" w:rsidRPr="00E95BC4">
        <w:rPr>
          <w:bCs/>
          <w:iCs/>
          <w:color w:val="auto"/>
          <w:lang w:val="sr-Cyrl-CS"/>
        </w:rPr>
        <w:t xml:space="preserve"> </w:t>
      </w:r>
      <w:r w:rsidR="005818C0">
        <w:rPr>
          <w:bCs/>
          <w:iCs/>
          <w:color w:val="auto"/>
          <w:lang w:val="sr-Cyrl-CS"/>
        </w:rPr>
        <w:t>i</w:t>
      </w:r>
      <w:r w:rsidR="006D3236" w:rsidRPr="00E95BC4">
        <w:rPr>
          <w:bCs/>
          <w:iCs/>
          <w:color w:val="auto"/>
          <w:lang w:val="sr-Cyrl-CS"/>
        </w:rPr>
        <w:t xml:space="preserve"> </w:t>
      </w:r>
      <w:r w:rsidR="005818C0">
        <w:rPr>
          <w:bCs/>
          <w:iCs/>
          <w:color w:val="auto"/>
          <w:lang w:val="sr-Cyrl-CS"/>
        </w:rPr>
        <w:t>integritet</w:t>
      </w:r>
      <w:r w:rsidR="006D3236" w:rsidRPr="00E95BC4">
        <w:rPr>
          <w:bCs/>
          <w:iCs/>
          <w:color w:val="auto"/>
          <w:lang w:val="sr-Cyrl-CS"/>
        </w:rPr>
        <w:t xml:space="preserve"> </w:t>
      </w:r>
      <w:r w:rsidR="005818C0">
        <w:rPr>
          <w:bCs/>
          <w:iCs/>
          <w:color w:val="auto"/>
          <w:lang w:val="sr-Cyrl-CS"/>
        </w:rPr>
        <w:t>institucija</w:t>
      </w:r>
      <w:r w:rsidR="006D3236" w:rsidRPr="00E95BC4">
        <w:rPr>
          <w:bCs/>
          <w:iCs/>
          <w:color w:val="auto"/>
          <w:lang w:val="sr-Cyrl-CS"/>
        </w:rPr>
        <w:t xml:space="preserve"> </w:t>
      </w:r>
      <w:r w:rsidR="005818C0">
        <w:rPr>
          <w:bCs/>
          <w:iCs/>
          <w:color w:val="auto"/>
          <w:lang w:val="sr-Cyrl-CS"/>
        </w:rPr>
        <w:t>finansijskog</w:t>
      </w:r>
      <w:r w:rsidR="006D3236" w:rsidRPr="00E95BC4">
        <w:rPr>
          <w:bCs/>
          <w:iCs/>
          <w:color w:val="auto"/>
          <w:lang w:val="sr-Cyrl-CS"/>
        </w:rPr>
        <w:t xml:space="preserve"> </w:t>
      </w:r>
      <w:r w:rsidR="005818C0">
        <w:rPr>
          <w:bCs/>
          <w:iCs/>
          <w:color w:val="auto"/>
          <w:lang w:val="sr-Cyrl-CS"/>
        </w:rPr>
        <w:t>i</w:t>
      </w:r>
      <w:r w:rsidR="006D3236" w:rsidRPr="00E95BC4">
        <w:rPr>
          <w:bCs/>
          <w:iCs/>
          <w:color w:val="auto"/>
          <w:lang w:val="sr-Cyrl-CS"/>
        </w:rPr>
        <w:t xml:space="preserve"> </w:t>
      </w:r>
      <w:r w:rsidR="005818C0">
        <w:rPr>
          <w:bCs/>
          <w:iCs/>
          <w:color w:val="auto"/>
          <w:lang w:val="sr-Cyrl-CS"/>
        </w:rPr>
        <w:t>nefinansijskog</w:t>
      </w:r>
      <w:r w:rsidR="006D3236" w:rsidRPr="00E95BC4">
        <w:rPr>
          <w:bCs/>
          <w:iCs/>
          <w:color w:val="auto"/>
          <w:lang w:val="sr-Cyrl-CS"/>
        </w:rPr>
        <w:t xml:space="preserve"> </w:t>
      </w:r>
      <w:r w:rsidR="005818C0">
        <w:rPr>
          <w:bCs/>
          <w:iCs/>
          <w:color w:val="auto"/>
          <w:lang w:val="sr-Cyrl-CS"/>
        </w:rPr>
        <w:t>sektora</w:t>
      </w:r>
      <w:r w:rsidR="006D3236" w:rsidRPr="00E95BC4">
        <w:rPr>
          <w:bCs/>
          <w:iCs/>
          <w:color w:val="auto"/>
          <w:lang w:val="sr-Cyrl-CS"/>
        </w:rPr>
        <w:t xml:space="preserve"> </w:t>
      </w:r>
      <w:r w:rsidR="005818C0">
        <w:rPr>
          <w:bCs/>
          <w:iCs/>
          <w:color w:val="auto"/>
          <w:lang w:val="sr-Cyrl-CS"/>
        </w:rPr>
        <w:t>i</w:t>
      </w:r>
      <w:r w:rsidR="006D3236" w:rsidRPr="00E95BC4">
        <w:rPr>
          <w:bCs/>
          <w:iCs/>
          <w:color w:val="auto"/>
          <w:lang w:val="sr-Cyrl-CS"/>
        </w:rPr>
        <w:t xml:space="preserve"> </w:t>
      </w:r>
      <w:r w:rsidR="005818C0">
        <w:rPr>
          <w:bCs/>
          <w:iCs/>
          <w:color w:val="auto"/>
          <w:lang w:val="sr-Cyrl-CS"/>
        </w:rPr>
        <w:t>doprinosi</w:t>
      </w:r>
      <w:r w:rsidR="006D3236" w:rsidRPr="00E95BC4">
        <w:rPr>
          <w:bCs/>
          <w:iCs/>
          <w:color w:val="auto"/>
          <w:lang w:val="sr-Cyrl-CS"/>
        </w:rPr>
        <w:t xml:space="preserve"> </w:t>
      </w:r>
      <w:r w:rsidR="005818C0">
        <w:rPr>
          <w:bCs/>
          <w:iCs/>
          <w:color w:val="auto"/>
          <w:lang w:val="sr-Cyrl-CS"/>
        </w:rPr>
        <w:t>bezbednosti</w:t>
      </w:r>
      <w:r w:rsidR="006D3236" w:rsidRPr="00E95BC4">
        <w:rPr>
          <w:bCs/>
          <w:iCs/>
          <w:color w:val="auto"/>
          <w:lang w:val="sr-Cyrl-CS"/>
        </w:rPr>
        <w:t xml:space="preserve">, </w:t>
      </w:r>
      <w:r w:rsidR="005818C0">
        <w:rPr>
          <w:bCs/>
          <w:iCs/>
          <w:color w:val="auto"/>
          <w:lang w:val="sr-Cyrl-CS"/>
        </w:rPr>
        <w:t>sigurnosti</w:t>
      </w:r>
      <w:r w:rsidR="006D3236" w:rsidRPr="00E95BC4">
        <w:rPr>
          <w:bCs/>
          <w:iCs/>
          <w:color w:val="auto"/>
          <w:lang w:val="sr-Cyrl-CS"/>
        </w:rPr>
        <w:t xml:space="preserve"> </w:t>
      </w:r>
      <w:r w:rsidR="005818C0">
        <w:rPr>
          <w:bCs/>
          <w:iCs/>
          <w:color w:val="auto"/>
          <w:lang w:val="sr-Cyrl-CS"/>
        </w:rPr>
        <w:t>i</w:t>
      </w:r>
      <w:r w:rsidR="006D3236" w:rsidRPr="00E95BC4">
        <w:rPr>
          <w:bCs/>
          <w:iCs/>
          <w:color w:val="auto"/>
          <w:lang w:val="sr-Cyrl-CS"/>
        </w:rPr>
        <w:t xml:space="preserve"> </w:t>
      </w:r>
      <w:r w:rsidR="005818C0">
        <w:rPr>
          <w:bCs/>
          <w:iCs/>
          <w:color w:val="auto"/>
          <w:lang w:val="sr-Cyrl-CS"/>
        </w:rPr>
        <w:t>vladavini</w:t>
      </w:r>
      <w:r w:rsidR="006D3236" w:rsidRPr="00E95BC4">
        <w:rPr>
          <w:bCs/>
          <w:iCs/>
          <w:color w:val="auto"/>
          <w:lang w:val="sr-Cyrl-CS"/>
        </w:rPr>
        <w:t xml:space="preserve"> </w:t>
      </w:r>
      <w:r w:rsidR="005818C0">
        <w:rPr>
          <w:bCs/>
          <w:iCs/>
          <w:color w:val="auto"/>
          <w:lang w:val="sr-Cyrl-CS"/>
        </w:rPr>
        <w:t>prava</w:t>
      </w:r>
      <w:r w:rsidR="006D3236" w:rsidRPr="00E95BC4">
        <w:rPr>
          <w:lang w:val="sr-Cyrl-CS"/>
        </w:rPr>
        <w:t xml:space="preserve">. </w:t>
      </w:r>
    </w:p>
    <w:p w:rsidR="006244CE" w:rsidRPr="00E95BC4" w:rsidRDefault="005818C0" w:rsidP="00285FD7">
      <w:pPr>
        <w:ind w:firstLine="720"/>
        <w:jc w:val="both"/>
        <w:rPr>
          <w:bCs/>
          <w:iCs/>
          <w:color w:val="auto"/>
          <w:lang w:val="sr-Cyrl-CS"/>
        </w:rPr>
      </w:pPr>
      <w:r>
        <w:rPr>
          <w:bCs/>
          <w:iCs/>
          <w:color w:val="auto"/>
          <w:lang w:val="sr-Cyrl-CS"/>
        </w:rPr>
        <w:t>U</w:t>
      </w:r>
      <w:r w:rsidR="006244CE" w:rsidRPr="00E95BC4">
        <w:rPr>
          <w:bCs/>
          <w:iCs/>
          <w:color w:val="auto"/>
          <w:lang w:val="sr-Cyrl-CS"/>
        </w:rPr>
        <w:t xml:space="preserve"> </w:t>
      </w:r>
      <w:r>
        <w:rPr>
          <w:bCs/>
          <w:iCs/>
          <w:color w:val="auto"/>
          <w:lang w:val="sr-Cyrl-CS"/>
        </w:rPr>
        <w:t>formulisanju</w:t>
      </w:r>
      <w:r w:rsidR="006244CE" w:rsidRPr="00E95BC4">
        <w:rPr>
          <w:bCs/>
          <w:iCs/>
          <w:color w:val="auto"/>
          <w:lang w:val="sr-Cyrl-CS"/>
        </w:rPr>
        <w:t xml:space="preserve"> </w:t>
      </w:r>
      <w:r>
        <w:rPr>
          <w:bCs/>
          <w:iCs/>
          <w:color w:val="auto"/>
          <w:lang w:val="sr-Cyrl-CS"/>
        </w:rPr>
        <w:t>opšteg</w:t>
      </w:r>
      <w:r w:rsidR="006244CE" w:rsidRPr="00E95BC4">
        <w:rPr>
          <w:bCs/>
          <w:iCs/>
          <w:color w:val="auto"/>
          <w:lang w:val="sr-Cyrl-CS"/>
        </w:rPr>
        <w:t xml:space="preserve"> </w:t>
      </w:r>
      <w:r>
        <w:rPr>
          <w:bCs/>
          <w:iCs/>
          <w:color w:val="auto"/>
          <w:lang w:val="sr-Cyrl-CS"/>
        </w:rPr>
        <w:t>cilja</w:t>
      </w:r>
      <w:r w:rsidR="006244CE" w:rsidRPr="00E95BC4">
        <w:rPr>
          <w:bCs/>
          <w:iCs/>
          <w:color w:val="auto"/>
          <w:lang w:val="sr-Cyrl-CS"/>
        </w:rPr>
        <w:t xml:space="preserve">, </w:t>
      </w:r>
      <w:r>
        <w:rPr>
          <w:bCs/>
          <w:iCs/>
          <w:color w:val="auto"/>
          <w:lang w:val="sr-Cyrl-CS"/>
        </w:rPr>
        <w:t>u</w:t>
      </w:r>
      <w:r w:rsidR="006244CE" w:rsidRPr="00E95BC4">
        <w:rPr>
          <w:bCs/>
          <w:iCs/>
          <w:color w:val="auto"/>
          <w:lang w:val="sr-Cyrl-CS"/>
        </w:rPr>
        <w:t xml:space="preserve"> </w:t>
      </w:r>
      <w:r>
        <w:rPr>
          <w:bCs/>
          <w:iCs/>
          <w:color w:val="auto"/>
          <w:lang w:val="sr-Cyrl-CS"/>
        </w:rPr>
        <w:t>ovom</w:t>
      </w:r>
      <w:r w:rsidR="006244CE" w:rsidRPr="00E95BC4">
        <w:rPr>
          <w:bCs/>
          <w:iCs/>
          <w:color w:val="auto"/>
          <w:lang w:val="sr-Cyrl-CS"/>
        </w:rPr>
        <w:t xml:space="preserve"> </w:t>
      </w:r>
      <w:r>
        <w:rPr>
          <w:bCs/>
          <w:iCs/>
          <w:color w:val="auto"/>
          <w:lang w:val="sr-Cyrl-CS"/>
        </w:rPr>
        <w:t>strateškom</w:t>
      </w:r>
      <w:r w:rsidR="006244CE" w:rsidRPr="00E95BC4">
        <w:rPr>
          <w:bCs/>
          <w:iCs/>
          <w:color w:val="auto"/>
          <w:lang w:val="sr-Cyrl-CS"/>
        </w:rPr>
        <w:t xml:space="preserve"> </w:t>
      </w:r>
      <w:r>
        <w:rPr>
          <w:bCs/>
          <w:iCs/>
          <w:color w:val="auto"/>
          <w:lang w:val="sr-Cyrl-CS"/>
        </w:rPr>
        <w:t>ciklusu</w:t>
      </w:r>
      <w:r w:rsidR="006244CE" w:rsidRPr="00E95BC4">
        <w:rPr>
          <w:bCs/>
          <w:iCs/>
          <w:color w:val="auto"/>
          <w:lang w:val="sr-Cyrl-CS"/>
        </w:rPr>
        <w:t xml:space="preserve"> </w:t>
      </w:r>
      <w:r>
        <w:rPr>
          <w:bCs/>
          <w:iCs/>
          <w:color w:val="auto"/>
          <w:lang w:val="sr-Cyrl-CS"/>
        </w:rPr>
        <w:t>naglašava</w:t>
      </w:r>
      <w:r w:rsidR="00A146DB" w:rsidRPr="00E95BC4">
        <w:rPr>
          <w:bCs/>
          <w:iCs/>
          <w:color w:val="auto"/>
          <w:lang w:val="sr-Cyrl-CS"/>
        </w:rPr>
        <w:t xml:space="preserve"> </w:t>
      </w:r>
      <w:r>
        <w:rPr>
          <w:bCs/>
          <w:iCs/>
          <w:color w:val="auto"/>
          <w:lang w:val="sr-Cyrl-CS"/>
        </w:rPr>
        <w:t>se</w:t>
      </w:r>
      <w:r w:rsidR="006244CE" w:rsidRPr="00E95BC4">
        <w:rPr>
          <w:bCs/>
          <w:iCs/>
          <w:color w:val="auto"/>
          <w:lang w:val="sr-Cyrl-CS"/>
        </w:rPr>
        <w:t xml:space="preserve"> </w:t>
      </w:r>
      <w:r>
        <w:rPr>
          <w:bCs/>
          <w:iCs/>
          <w:color w:val="auto"/>
          <w:lang w:val="sr-Cyrl-CS"/>
        </w:rPr>
        <w:t>značaj</w:t>
      </w:r>
      <w:r w:rsidR="006244CE" w:rsidRPr="00E95BC4">
        <w:rPr>
          <w:bCs/>
          <w:iCs/>
          <w:color w:val="auto"/>
          <w:lang w:val="sr-Cyrl-CS"/>
        </w:rPr>
        <w:t xml:space="preserve"> </w:t>
      </w:r>
      <w:r>
        <w:rPr>
          <w:bCs/>
          <w:iCs/>
          <w:color w:val="auto"/>
          <w:lang w:val="sr-Cyrl-CS"/>
        </w:rPr>
        <w:t>aktivne</w:t>
      </w:r>
      <w:r w:rsidR="006244CE" w:rsidRPr="00E95BC4">
        <w:rPr>
          <w:bCs/>
          <w:iCs/>
          <w:color w:val="auto"/>
          <w:lang w:val="sr-Cyrl-CS"/>
        </w:rPr>
        <w:t xml:space="preserve"> </w:t>
      </w:r>
      <w:r>
        <w:rPr>
          <w:bCs/>
          <w:iCs/>
          <w:color w:val="auto"/>
          <w:lang w:val="sr-Cyrl-CS"/>
        </w:rPr>
        <w:t>saradnje</w:t>
      </w:r>
      <w:r w:rsidR="006244CE" w:rsidRPr="00E95BC4">
        <w:rPr>
          <w:bCs/>
          <w:iCs/>
          <w:color w:val="auto"/>
          <w:lang w:val="sr-Cyrl-CS"/>
        </w:rPr>
        <w:t xml:space="preserve"> </w:t>
      </w:r>
      <w:r>
        <w:rPr>
          <w:bCs/>
          <w:iCs/>
          <w:color w:val="auto"/>
          <w:lang w:val="sr-Cyrl-CS"/>
        </w:rPr>
        <w:t>javnog</w:t>
      </w:r>
      <w:r w:rsidR="004D6269" w:rsidRPr="00E95BC4">
        <w:rPr>
          <w:bCs/>
          <w:iCs/>
          <w:color w:val="auto"/>
          <w:lang w:val="sr-Cyrl-CS"/>
        </w:rPr>
        <w:t xml:space="preserve"> </w:t>
      </w:r>
      <w:r>
        <w:rPr>
          <w:bCs/>
          <w:iCs/>
          <w:color w:val="auto"/>
          <w:lang w:val="sr-Cyrl-CS"/>
        </w:rPr>
        <w:t>i</w:t>
      </w:r>
      <w:r w:rsidR="004D6269" w:rsidRPr="00E95BC4">
        <w:rPr>
          <w:bCs/>
          <w:iCs/>
          <w:color w:val="auto"/>
          <w:lang w:val="sr-Cyrl-CS"/>
        </w:rPr>
        <w:t xml:space="preserve"> </w:t>
      </w:r>
      <w:r>
        <w:rPr>
          <w:bCs/>
          <w:iCs/>
          <w:color w:val="auto"/>
          <w:lang w:val="sr-Cyrl-CS"/>
        </w:rPr>
        <w:t>privatnog</w:t>
      </w:r>
      <w:r w:rsidR="004D6269" w:rsidRPr="00E95BC4">
        <w:rPr>
          <w:bCs/>
          <w:iCs/>
          <w:color w:val="auto"/>
          <w:lang w:val="sr-Cyrl-CS"/>
        </w:rPr>
        <w:t xml:space="preserve"> </w:t>
      </w:r>
      <w:r>
        <w:rPr>
          <w:bCs/>
          <w:iCs/>
          <w:color w:val="auto"/>
          <w:lang w:val="sr-Cyrl-CS"/>
        </w:rPr>
        <w:t>sektora</w:t>
      </w:r>
      <w:r w:rsidR="002C54BD" w:rsidRPr="00E95BC4">
        <w:rPr>
          <w:bCs/>
          <w:iCs/>
          <w:color w:val="auto"/>
          <w:lang w:val="sr-Cyrl-CS"/>
        </w:rPr>
        <w:t xml:space="preserve"> </w:t>
      </w:r>
      <w:r>
        <w:rPr>
          <w:bCs/>
          <w:iCs/>
          <w:color w:val="auto"/>
          <w:lang w:val="sr-Cyrl-CS"/>
        </w:rPr>
        <w:t>i</w:t>
      </w:r>
      <w:r w:rsidR="006244CE" w:rsidRPr="00E95BC4">
        <w:rPr>
          <w:bCs/>
          <w:iCs/>
          <w:color w:val="auto"/>
          <w:lang w:val="sr-Cyrl-CS"/>
        </w:rPr>
        <w:t xml:space="preserve"> </w:t>
      </w:r>
      <w:r>
        <w:rPr>
          <w:bCs/>
          <w:iCs/>
          <w:color w:val="auto"/>
          <w:lang w:val="sr-Cyrl-CS"/>
        </w:rPr>
        <w:t>načela</w:t>
      </w:r>
      <w:r w:rsidR="006244CE" w:rsidRPr="00E95BC4">
        <w:rPr>
          <w:bCs/>
          <w:iCs/>
          <w:color w:val="auto"/>
          <w:lang w:val="sr-Cyrl-CS"/>
        </w:rPr>
        <w:t xml:space="preserve"> </w:t>
      </w:r>
      <w:r>
        <w:rPr>
          <w:bCs/>
          <w:iCs/>
          <w:color w:val="auto"/>
          <w:lang w:val="sr-Cyrl-CS"/>
        </w:rPr>
        <w:t>vladavine</w:t>
      </w:r>
      <w:r w:rsidR="006244CE" w:rsidRPr="00E95BC4">
        <w:rPr>
          <w:bCs/>
          <w:iCs/>
          <w:color w:val="auto"/>
          <w:lang w:val="sr-Cyrl-CS"/>
        </w:rPr>
        <w:t xml:space="preserve"> </w:t>
      </w:r>
      <w:r>
        <w:rPr>
          <w:bCs/>
          <w:iCs/>
          <w:color w:val="auto"/>
          <w:lang w:val="sr-Cyrl-CS"/>
        </w:rPr>
        <w:t>prava</w:t>
      </w:r>
      <w:r w:rsidR="006244CE" w:rsidRPr="00E95BC4">
        <w:rPr>
          <w:bCs/>
          <w:iCs/>
          <w:color w:val="auto"/>
          <w:lang w:val="sr-Cyrl-CS"/>
        </w:rPr>
        <w:t xml:space="preserve"> </w:t>
      </w:r>
      <w:r>
        <w:rPr>
          <w:bCs/>
          <w:iCs/>
          <w:color w:val="auto"/>
          <w:lang w:val="sr-Cyrl-CS"/>
        </w:rPr>
        <w:t>u</w:t>
      </w:r>
      <w:r w:rsidR="006244CE" w:rsidRPr="00E95BC4">
        <w:rPr>
          <w:bCs/>
          <w:iCs/>
          <w:color w:val="auto"/>
          <w:lang w:val="sr-Cyrl-CS"/>
        </w:rPr>
        <w:t xml:space="preserve"> </w:t>
      </w:r>
      <w:r>
        <w:rPr>
          <w:bCs/>
          <w:iCs/>
          <w:color w:val="auto"/>
          <w:lang w:val="sr-Cyrl-CS"/>
        </w:rPr>
        <w:t>ostvarivanju</w:t>
      </w:r>
      <w:r w:rsidR="006244CE" w:rsidRPr="00E95BC4">
        <w:rPr>
          <w:bCs/>
          <w:iCs/>
          <w:color w:val="auto"/>
          <w:lang w:val="sr-Cyrl-CS"/>
        </w:rPr>
        <w:t xml:space="preserve"> </w:t>
      </w:r>
      <w:r>
        <w:rPr>
          <w:bCs/>
          <w:iCs/>
          <w:color w:val="auto"/>
          <w:lang w:val="sr-Cyrl-CS"/>
        </w:rPr>
        <w:t>strateških</w:t>
      </w:r>
      <w:r w:rsidR="006244CE" w:rsidRPr="00E95BC4">
        <w:rPr>
          <w:bCs/>
          <w:iCs/>
          <w:color w:val="auto"/>
          <w:lang w:val="sr-Cyrl-CS"/>
        </w:rPr>
        <w:t xml:space="preserve"> </w:t>
      </w:r>
      <w:r>
        <w:rPr>
          <w:bCs/>
          <w:iCs/>
          <w:color w:val="auto"/>
          <w:lang w:val="sr-Cyrl-CS"/>
        </w:rPr>
        <w:t>ciljeva</w:t>
      </w:r>
      <w:r w:rsidR="006244CE" w:rsidRPr="00E95BC4">
        <w:rPr>
          <w:bCs/>
          <w:iCs/>
          <w:color w:val="auto"/>
          <w:lang w:val="sr-Cyrl-CS"/>
        </w:rPr>
        <w:t>.</w:t>
      </w:r>
    </w:p>
    <w:p w:rsidR="006244CE" w:rsidRPr="00E95BC4" w:rsidRDefault="005818C0" w:rsidP="00285FD7">
      <w:pPr>
        <w:ind w:firstLine="720"/>
        <w:jc w:val="both"/>
        <w:rPr>
          <w:lang w:val="sr-Cyrl-CS"/>
        </w:rPr>
      </w:pPr>
      <w:r>
        <w:rPr>
          <w:b/>
          <w:lang w:val="sr-Cyrl-CS"/>
        </w:rPr>
        <w:t>Posebni</w:t>
      </w:r>
      <w:r w:rsidR="00F82597" w:rsidRPr="00E95BC4">
        <w:rPr>
          <w:b/>
          <w:lang w:val="sr-Cyrl-CS"/>
        </w:rPr>
        <w:t xml:space="preserve"> </w:t>
      </w:r>
      <w:r>
        <w:rPr>
          <w:b/>
          <w:lang w:val="sr-Cyrl-CS"/>
        </w:rPr>
        <w:t>ciljevi</w:t>
      </w:r>
      <w:r w:rsidR="00F82597" w:rsidRPr="00E95BC4">
        <w:rPr>
          <w:b/>
          <w:lang w:val="sr-Cyrl-CS"/>
        </w:rPr>
        <w:t>.</w:t>
      </w:r>
      <w:r w:rsidR="00F82597" w:rsidRPr="00E95BC4">
        <w:rPr>
          <w:lang w:val="sr-Cyrl-CS"/>
        </w:rPr>
        <w:t xml:space="preserve"> </w:t>
      </w:r>
      <w:r>
        <w:rPr>
          <w:lang w:val="sr-Cyrl-CS"/>
        </w:rPr>
        <w:t>Razrađujući</w:t>
      </w:r>
      <w:r w:rsidR="008C4177" w:rsidRPr="00E95BC4">
        <w:rPr>
          <w:lang w:val="sr-Cyrl-CS"/>
        </w:rPr>
        <w:t xml:space="preserve"> </w:t>
      </w:r>
      <w:r>
        <w:rPr>
          <w:lang w:val="sr-Cyrl-CS"/>
        </w:rPr>
        <w:t>navedeni</w:t>
      </w:r>
      <w:r w:rsidR="008C4177" w:rsidRPr="00E95BC4">
        <w:rPr>
          <w:lang w:val="sr-Cyrl-CS"/>
        </w:rPr>
        <w:t xml:space="preserve"> </w:t>
      </w:r>
      <w:r>
        <w:rPr>
          <w:lang w:val="sr-Cyrl-CS"/>
        </w:rPr>
        <w:t>opšti</w:t>
      </w:r>
      <w:r w:rsidR="008C4177" w:rsidRPr="00E95BC4">
        <w:rPr>
          <w:lang w:val="sr-Cyrl-CS"/>
        </w:rPr>
        <w:t xml:space="preserve"> </w:t>
      </w:r>
      <w:r>
        <w:rPr>
          <w:lang w:val="sr-Cyrl-CS"/>
        </w:rPr>
        <w:t>cilj</w:t>
      </w:r>
      <w:r w:rsidR="008C4177" w:rsidRPr="00E95BC4">
        <w:rPr>
          <w:lang w:val="sr-Cyrl-CS"/>
        </w:rPr>
        <w:t xml:space="preserve">, </w:t>
      </w:r>
      <w:r>
        <w:rPr>
          <w:lang w:val="sr-Cyrl-CS"/>
        </w:rPr>
        <w:t>izdvojena</w:t>
      </w:r>
      <w:r w:rsidR="000860BE" w:rsidRPr="00E95BC4">
        <w:rPr>
          <w:lang w:val="sr-Cyrl-CS"/>
        </w:rPr>
        <w:t xml:space="preserve"> </w:t>
      </w:r>
      <w:r>
        <w:rPr>
          <w:lang w:val="sr-Cyrl-CS"/>
        </w:rPr>
        <w:t>su</w:t>
      </w:r>
      <w:r w:rsidR="000860BE" w:rsidRPr="00E95BC4">
        <w:rPr>
          <w:lang w:val="sr-Cyrl-CS"/>
        </w:rPr>
        <w:t xml:space="preserve"> </w:t>
      </w:r>
      <w:r>
        <w:rPr>
          <w:lang w:val="sr-Cyrl-CS"/>
        </w:rPr>
        <w:t>sledeća</w:t>
      </w:r>
      <w:r w:rsidR="006244CE" w:rsidRPr="00E95BC4">
        <w:rPr>
          <w:lang w:val="sr-Cyrl-CS"/>
        </w:rPr>
        <w:t xml:space="preserve"> </w:t>
      </w:r>
      <w:r>
        <w:rPr>
          <w:lang w:val="sr-Cyrl-CS"/>
        </w:rPr>
        <w:t>četiri</w:t>
      </w:r>
      <w:r w:rsidR="006244CE" w:rsidRPr="00E95BC4">
        <w:rPr>
          <w:lang w:val="sr-Cyrl-CS"/>
        </w:rPr>
        <w:t xml:space="preserve"> </w:t>
      </w:r>
      <w:r>
        <w:rPr>
          <w:lang w:val="sr-Cyrl-CS"/>
        </w:rPr>
        <w:t>posebna</w:t>
      </w:r>
      <w:r w:rsidR="000860BE" w:rsidRPr="00E95BC4">
        <w:rPr>
          <w:lang w:val="sr-Cyrl-CS"/>
        </w:rPr>
        <w:t xml:space="preserve"> </w:t>
      </w:r>
      <w:r>
        <w:rPr>
          <w:lang w:val="sr-Cyrl-CS"/>
        </w:rPr>
        <w:t>cilja</w:t>
      </w:r>
      <w:r w:rsidR="006244CE" w:rsidRPr="00E95BC4">
        <w:rPr>
          <w:lang w:val="sr-Cyrl-CS"/>
        </w:rPr>
        <w:t>:</w:t>
      </w:r>
    </w:p>
    <w:p w:rsidR="006B3697" w:rsidRPr="00E95BC4" w:rsidRDefault="00934E82" w:rsidP="00A146DB">
      <w:pPr>
        <w:jc w:val="both"/>
        <w:rPr>
          <w:b/>
          <w:lang w:val="sr-Cyrl-CS"/>
        </w:rPr>
      </w:pPr>
      <w:r>
        <w:rPr>
          <w:b/>
          <w:noProof/>
        </w:rPr>
        <w:pict>
          <v:shape id="Text Box 18" o:spid="_x0000_s1032" type="#_x0000_t202" style="position:absolute;left:0;text-align:left;margin-left:86.35pt;margin-top:.4pt;width:391.85pt;height:191.9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" stroked="f">
            <v:textbox>
              <w:txbxContent>
                <w:p w:rsidR="005818C0" w:rsidRPr="00C21C2C" w:rsidRDefault="005818C0" w:rsidP="00AC7277">
                  <w:pPr>
                    <w:pStyle w:val="ListParagraph"/>
                    <w:numPr>
                      <w:ilvl w:val="0"/>
                      <w:numId w:val="17"/>
                    </w:numPr>
                    <w:ind w:left="426"/>
                    <w:jc w:val="both"/>
                    <w:rPr>
                      <w:color w:val="auto"/>
                      <w:sz w:val="22"/>
                      <w:szCs w:val="22"/>
                    </w:rPr>
                  </w:pPr>
                  <w:r w:rsidRPr="00C21C2C">
                    <w:rPr>
                      <w:color w:val="auto"/>
                      <w:sz w:val="22"/>
                      <w:szCs w:val="22"/>
                    </w:rPr>
                    <w:t>Смањивати ризике од прања новца, финансирања тероризма и ширења оружја за масовно уништење кроз континуирано унапређење стратешког, законодавног и институционалног оквира, координацију и сарадњу свих учесника у систему борбе против прања новца и финансирања тероризма и међународну сарадњу;</w:t>
                  </w:r>
                </w:p>
                <w:p w:rsidR="005818C0" w:rsidRPr="00C21C2C" w:rsidRDefault="005818C0" w:rsidP="00AC7277">
                  <w:pPr>
                    <w:pStyle w:val="ListParagraph"/>
                    <w:numPr>
                      <w:ilvl w:val="0"/>
                      <w:numId w:val="17"/>
                    </w:numPr>
                    <w:ind w:left="426"/>
                    <w:jc w:val="both"/>
                    <w:rPr>
                      <w:color w:val="auto"/>
                      <w:sz w:val="22"/>
                      <w:szCs w:val="22"/>
                    </w:rPr>
                  </w:pPr>
                  <w:r w:rsidRPr="00C21C2C">
                    <w:rPr>
                      <w:color w:val="auto"/>
                      <w:sz w:val="22"/>
                      <w:szCs w:val="22"/>
                    </w:rPr>
                    <w:t>Спречити уношење у финансијски и нефинансијски систем имовине за коју се сумња да је стечена кривичним делом, која је намењена финансирању тероризма или ширењу оружја за масовно уништење, односно унапредити откривање такве имовине уколико је већ у систему;</w:t>
                  </w:r>
                </w:p>
                <w:p w:rsidR="005818C0" w:rsidRPr="00C21C2C" w:rsidRDefault="005818C0" w:rsidP="00AC7277">
                  <w:pPr>
                    <w:pStyle w:val="ListParagraph"/>
                    <w:numPr>
                      <w:ilvl w:val="0"/>
                      <w:numId w:val="17"/>
                    </w:numPr>
                    <w:ind w:left="426"/>
                    <w:jc w:val="both"/>
                    <w:rPr>
                      <w:color w:val="auto"/>
                      <w:sz w:val="22"/>
                      <w:szCs w:val="22"/>
                    </w:rPr>
                  </w:pPr>
                  <w:r w:rsidRPr="00C21C2C">
                    <w:rPr>
                      <w:color w:val="auto"/>
                      <w:sz w:val="22"/>
                      <w:szCs w:val="22"/>
                    </w:rPr>
                    <w:t xml:space="preserve">Eфикасно и делотворно кажњавати извршиоце кривичног дела прање новца и одузимати незаконито стечену имовину; </w:t>
                  </w:r>
                </w:p>
                <w:p w:rsidR="005818C0" w:rsidRPr="00C21C2C" w:rsidRDefault="005818C0" w:rsidP="00AC7277">
                  <w:pPr>
                    <w:pStyle w:val="ListParagraph"/>
                    <w:numPr>
                      <w:ilvl w:val="0"/>
                      <w:numId w:val="17"/>
                    </w:numPr>
                    <w:ind w:left="426"/>
                    <w:jc w:val="both"/>
                    <w:rPr>
                      <w:color w:val="auto"/>
                      <w:sz w:val="22"/>
                      <w:szCs w:val="22"/>
                    </w:rPr>
                  </w:pPr>
                  <w:r w:rsidRPr="00C21C2C">
                    <w:rPr>
                      <w:color w:val="auto"/>
                      <w:sz w:val="22"/>
                      <w:szCs w:val="22"/>
                    </w:rPr>
                    <w:t>Уочавати и отклањати претње од финансирања тероризма и кажњавати извршиоце кривичног дела финансирања тероризма.</w:t>
                  </w:r>
                </w:p>
                <w:p w:rsidR="005818C0" w:rsidRDefault="005818C0" w:rsidP="00A146DB">
                  <w:pPr>
                    <w:ind w:left="426"/>
                  </w:pPr>
                </w:p>
              </w:txbxContent>
            </v:textbox>
          </v:shape>
        </w:pict>
      </w:r>
    </w:p>
    <w:p w:rsidR="006B3697" w:rsidRPr="00E95BC4" w:rsidRDefault="006B3697" w:rsidP="00A146DB">
      <w:pPr>
        <w:jc w:val="both"/>
        <w:rPr>
          <w:b/>
          <w:lang w:val="sr-Cyrl-CS"/>
        </w:rPr>
      </w:pPr>
    </w:p>
    <w:p w:rsidR="00A146DB" w:rsidRPr="00E95BC4" w:rsidRDefault="00934E82" w:rsidP="00A146DB">
      <w:pPr>
        <w:jc w:val="both"/>
        <w:rPr>
          <w:b/>
          <w:lang w:val="sr-Cyrl-CS"/>
        </w:rPr>
      </w:pPr>
      <w:r w:rsidRPr="00934E82">
        <w:rPr>
          <w:noProof/>
        </w:rPr>
        <w:pict>
          <v:shape id="Text Box 3" o:spid="_x0000_s1033" type="#_x0000_t202" style="position:absolute;left:0;text-align:left;margin-left:-8.15pt;margin-top:8pt;width:75.2pt;height:61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" fillcolor="#a5a5a5 [2092]" stroked="f" strokecolor="#f2f2f2 [3041]" strokeweight="3pt">
            <v:shadow color="#7f7f7f [1601]" opacity=".5" offset="1pt"/>
            <v:textbox>
              <w:txbxContent>
                <w:p w:rsidR="005818C0" w:rsidRPr="00C21C2C" w:rsidRDefault="005818C0" w:rsidP="00A146DB">
                  <w:pPr>
                    <w:jc w:val="center"/>
                    <w:rPr>
                      <w:b/>
                      <w:bCs/>
                      <w:iCs/>
                      <w:color w:val="FFFFFF" w:themeColor="background1"/>
                      <w:sz w:val="18"/>
                      <w:szCs w:val="18"/>
                    </w:rPr>
                  </w:pPr>
                  <w:r w:rsidRPr="00C21C2C">
                    <w:rPr>
                      <w:b/>
                      <w:bCs/>
                      <w:iCs/>
                      <w:color w:val="FFFFFF" w:themeColor="background1"/>
                      <w:sz w:val="18"/>
                      <w:szCs w:val="18"/>
                    </w:rPr>
                    <w:t>Четири посебна циља Стратегије (2020-2024)</w:t>
                  </w:r>
                </w:p>
                <w:p w:rsidR="005818C0" w:rsidRPr="008C4177" w:rsidRDefault="005818C0" w:rsidP="008C4177">
                  <w:pPr>
                    <w:rPr>
                      <w:color w:val="FFFFFF" w:themeColor="background1"/>
                      <w:sz w:val="20"/>
                    </w:rPr>
                  </w:pPr>
                </w:p>
              </w:txbxContent>
            </v:textbox>
          </v:shape>
        </w:pict>
      </w:r>
    </w:p>
    <w:p w:rsidR="006B3697" w:rsidRPr="00E95BC4" w:rsidRDefault="006B3697" w:rsidP="00A146DB">
      <w:pPr>
        <w:ind w:firstLine="720"/>
        <w:jc w:val="both"/>
        <w:rPr>
          <w:lang w:val="sr-Cyrl-CS"/>
        </w:rPr>
      </w:pPr>
    </w:p>
    <w:p w:rsidR="006B3697" w:rsidRPr="00E95BC4" w:rsidRDefault="006B3697" w:rsidP="00A146DB">
      <w:pPr>
        <w:ind w:firstLine="720"/>
        <w:jc w:val="both"/>
        <w:rPr>
          <w:lang w:val="sr-Cyrl-CS"/>
        </w:rPr>
      </w:pPr>
    </w:p>
    <w:p w:rsidR="006B3697" w:rsidRPr="00E95BC4" w:rsidRDefault="006B3697" w:rsidP="00A146DB">
      <w:pPr>
        <w:ind w:firstLine="720"/>
        <w:jc w:val="both"/>
        <w:rPr>
          <w:lang w:val="sr-Cyrl-CS"/>
        </w:rPr>
      </w:pPr>
    </w:p>
    <w:p w:rsidR="006B3697" w:rsidRPr="00E95BC4" w:rsidRDefault="006B3697" w:rsidP="00A146DB">
      <w:pPr>
        <w:ind w:firstLine="720"/>
        <w:jc w:val="both"/>
        <w:rPr>
          <w:lang w:val="sr-Cyrl-CS"/>
        </w:rPr>
      </w:pPr>
    </w:p>
    <w:p w:rsidR="006B3697" w:rsidRPr="00E95BC4" w:rsidRDefault="006B3697" w:rsidP="00A146DB">
      <w:pPr>
        <w:ind w:firstLine="720"/>
        <w:jc w:val="both"/>
        <w:rPr>
          <w:lang w:val="sr-Cyrl-CS"/>
        </w:rPr>
      </w:pPr>
    </w:p>
    <w:p w:rsidR="006B3697" w:rsidRPr="00E95BC4" w:rsidRDefault="006B3697" w:rsidP="00A146DB">
      <w:pPr>
        <w:ind w:firstLine="720"/>
        <w:jc w:val="both"/>
        <w:rPr>
          <w:lang w:val="sr-Cyrl-CS"/>
        </w:rPr>
      </w:pPr>
    </w:p>
    <w:p w:rsidR="006B3697" w:rsidRPr="00E95BC4" w:rsidRDefault="006B3697" w:rsidP="00A146DB">
      <w:pPr>
        <w:ind w:firstLine="720"/>
        <w:jc w:val="both"/>
        <w:rPr>
          <w:lang w:val="sr-Cyrl-CS"/>
        </w:rPr>
      </w:pPr>
    </w:p>
    <w:p w:rsidR="006B3697" w:rsidRPr="00E95BC4" w:rsidRDefault="006B3697" w:rsidP="00A146DB">
      <w:pPr>
        <w:ind w:firstLine="720"/>
        <w:jc w:val="both"/>
        <w:rPr>
          <w:lang w:val="sr-Cyrl-CS"/>
        </w:rPr>
      </w:pPr>
    </w:p>
    <w:p w:rsidR="006B3697" w:rsidRPr="00E95BC4" w:rsidRDefault="006B3697" w:rsidP="00A146DB">
      <w:pPr>
        <w:ind w:firstLine="720"/>
        <w:jc w:val="both"/>
        <w:rPr>
          <w:lang w:val="sr-Cyrl-CS"/>
        </w:rPr>
      </w:pPr>
    </w:p>
    <w:p w:rsidR="006B3697" w:rsidRPr="00E95BC4" w:rsidRDefault="006B3697" w:rsidP="00A146DB">
      <w:pPr>
        <w:ind w:firstLine="720"/>
        <w:jc w:val="both"/>
        <w:rPr>
          <w:lang w:val="sr-Cyrl-CS"/>
        </w:rPr>
      </w:pPr>
    </w:p>
    <w:p w:rsidR="006B3697" w:rsidRPr="00E95BC4" w:rsidRDefault="006B3697" w:rsidP="00A146DB">
      <w:pPr>
        <w:ind w:firstLine="720"/>
        <w:jc w:val="both"/>
        <w:rPr>
          <w:lang w:val="sr-Cyrl-CS"/>
        </w:rPr>
      </w:pPr>
    </w:p>
    <w:p w:rsidR="000C7714" w:rsidRPr="00E95BC4" w:rsidRDefault="005818C0" w:rsidP="00A146DB">
      <w:pPr>
        <w:ind w:firstLine="720"/>
        <w:jc w:val="both"/>
        <w:rPr>
          <w:lang w:val="sr-Cyrl-CS"/>
        </w:rPr>
      </w:pPr>
      <w:r>
        <w:rPr>
          <w:lang w:val="sr-Cyrl-CS"/>
        </w:rPr>
        <w:t>Za</w:t>
      </w:r>
      <w:r w:rsidR="000C7714" w:rsidRPr="00E95BC4">
        <w:rPr>
          <w:lang w:val="sr-Cyrl-CS"/>
        </w:rPr>
        <w:t xml:space="preserve"> </w:t>
      </w:r>
      <w:r>
        <w:rPr>
          <w:lang w:val="sr-Cyrl-CS"/>
        </w:rPr>
        <w:t>razliku</w:t>
      </w:r>
      <w:r w:rsidR="000C7714" w:rsidRPr="00E95BC4">
        <w:rPr>
          <w:lang w:val="sr-Cyrl-CS"/>
        </w:rPr>
        <w:t xml:space="preserve"> </w:t>
      </w:r>
      <w:r>
        <w:rPr>
          <w:lang w:val="sr-Cyrl-CS"/>
        </w:rPr>
        <w:t>od</w:t>
      </w:r>
      <w:r w:rsidR="000C7714" w:rsidRPr="00E95BC4">
        <w:rPr>
          <w:lang w:val="sr-Cyrl-CS"/>
        </w:rPr>
        <w:t xml:space="preserve"> </w:t>
      </w:r>
      <w:r>
        <w:rPr>
          <w:lang w:val="sr-Cyrl-CS"/>
        </w:rPr>
        <w:t>prethodne</w:t>
      </w:r>
      <w:r w:rsidR="000C7714" w:rsidRPr="00E95BC4">
        <w:rPr>
          <w:lang w:val="sr-Cyrl-CS"/>
        </w:rPr>
        <w:t xml:space="preserve"> </w:t>
      </w:r>
      <w:r>
        <w:rPr>
          <w:lang w:val="sr-Cyrl-CS"/>
        </w:rPr>
        <w:t>strategije</w:t>
      </w:r>
      <w:r w:rsidR="000C7714" w:rsidRPr="00E95BC4">
        <w:rPr>
          <w:lang w:val="sr-Cyrl-CS"/>
        </w:rPr>
        <w:t xml:space="preserve">, </w:t>
      </w:r>
      <w:r>
        <w:rPr>
          <w:lang w:val="sr-Cyrl-CS"/>
        </w:rPr>
        <w:t>koja</w:t>
      </w:r>
      <w:r w:rsidR="000C7714" w:rsidRPr="00E95BC4">
        <w:rPr>
          <w:lang w:val="sr-Cyrl-CS"/>
        </w:rPr>
        <w:t xml:space="preserve"> </w:t>
      </w:r>
      <w:r>
        <w:rPr>
          <w:lang w:val="sr-Cyrl-CS"/>
        </w:rPr>
        <w:t>je</w:t>
      </w:r>
      <w:r w:rsidR="000C7714" w:rsidRPr="00E95BC4">
        <w:rPr>
          <w:lang w:val="sr-Cyrl-CS"/>
        </w:rPr>
        <w:t xml:space="preserve"> </w:t>
      </w:r>
      <w:r>
        <w:rPr>
          <w:lang w:val="sr-Cyrl-CS"/>
        </w:rPr>
        <w:t>bila</w:t>
      </w:r>
      <w:r w:rsidR="000C7714" w:rsidRPr="00E95BC4">
        <w:rPr>
          <w:lang w:val="sr-Cyrl-CS"/>
        </w:rPr>
        <w:t xml:space="preserve"> </w:t>
      </w:r>
      <w:r>
        <w:rPr>
          <w:lang w:val="sr-Cyrl-CS"/>
        </w:rPr>
        <w:t>podeljena</w:t>
      </w:r>
      <w:r w:rsidR="000C7714" w:rsidRPr="00E95BC4">
        <w:rPr>
          <w:lang w:val="sr-Cyrl-CS"/>
        </w:rPr>
        <w:t xml:space="preserve"> </w:t>
      </w:r>
      <w:r>
        <w:rPr>
          <w:lang w:val="sr-Cyrl-CS"/>
        </w:rPr>
        <w:t>na</w:t>
      </w:r>
      <w:r w:rsidR="000C7714" w:rsidRPr="00E95BC4">
        <w:rPr>
          <w:lang w:val="sr-Cyrl-CS"/>
        </w:rPr>
        <w:t xml:space="preserve"> </w:t>
      </w:r>
      <w:r>
        <w:rPr>
          <w:lang w:val="sr-Cyrl-CS"/>
        </w:rPr>
        <w:t>strateške</w:t>
      </w:r>
      <w:r w:rsidR="000C7714" w:rsidRPr="00E95BC4">
        <w:rPr>
          <w:lang w:val="sr-Cyrl-CS"/>
        </w:rPr>
        <w:t xml:space="preserve"> </w:t>
      </w:r>
      <w:r>
        <w:rPr>
          <w:lang w:val="sr-Cyrl-CS"/>
        </w:rPr>
        <w:t>teme</w:t>
      </w:r>
      <w:r w:rsidR="00810794">
        <w:rPr>
          <w:lang w:val="sr-Cyrl-CS"/>
        </w:rPr>
        <w:t>,</w:t>
      </w:r>
      <w:r w:rsidR="000C7714" w:rsidRPr="00E95BC4">
        <w:rPr>
          <w:lang w:val="sr-Cyrl-CS"/>
        </w:rPr>
        <w:t xml:space="preserve"> </w:t>
      </w:r>
      <w:r>
        <w:rPr>
          <w:lang w:val="sr-Cyrl-CS"/>
        </w:rPr>
        <w:t>a</w:t>
      </w:r>
      <w:r w:rsidR="000C7714" w:rsidRPr="00E95BC4">
        <w:rPr>
          <w:lang w:val="sr-Cyrl-CS"/>
        </w:rPr>
        <w:t xml:space="preserve"> </w:t>
      </w:r>
      <w:r>
        <w:rPr>
          <w:lang w:val="sr-Cyrl-CS"/>
        </w:rPr>
        <w:t>potom</w:t>
      </w:r>
      <w:r w:rsidR="000C7714" w:rsidRPr="00E95BC4">
        <w:rPr>
          <w:lang w:val="sr-Cyrl-CS"/>
        </w:rPr>
        <w:t xml:space="preserve"> </w:t>
      </w:r>
      <w:r>
        <w:rPr>
          <w:lang w:val="sr-Cyrl-CS"/>
        </w:rPr>
        <w:t>na</w:t>
      </w:r>
      <w:r w:rsidR="000C7714" w:rsidRPr="00E95BC4">
        <w:rPr>
          <w:lang w:val="sr-Cyrl-CS"/>
        </w:rPr>
        <w:t xml:space="preserve"> </w:t>
      </w:r>
      <w:r>
        <w:rPr>
          <w:lang w:val="sr-Cyrl-CS"/>
        </w:rPr>
        <w:t>ciljeve</w:t>
      </w:r>
      <w:r w:rsidR="000C7714" w:rsidRPr="00E95BC4">
        <w:rPr>
          <w:lang w:val="sr-Cyrl-CS"/>
        </w:rPr>
        <w:t xml:space="preserve">, </w:t>
      </w:r>
      <w:r>
        <w:rPr>
          <w:lang w:val="sr-Cyrl-CS"/>
        </w:rPr>
        <w:t>mere</w:t>
      </w:r>
      <w:r w:rsidR="000C7714" w:rsidRPr="00E95BC4">
        <w:rPr>
          <w:lang w:val="sr-Cyrl-CS"/>
        </w:rPr>
        <w:t xml:space="preserve"> </w:t>
      </w:r>
      <w:r>
        <w:rPr>
          <w:lang w:val="sr-Cyrl-CS"/>
        </w:rPr>
        <w:t>i</w:t>
      </w:r>
      <w:r w:rsidR="000C7714" w:rsidRPr="00E95BC4">
        <w:rPr>
          <w:lang w:val="sr-Cyrl-CS"/>
        </w:rPr>
        <w:t xml:space="preserve"> </w:t>
      </w:r>
      <w:r>
        <w:rPr>
          <w:lang w:val="sr-Cyrl-CS"/>
        </w:rPr>
        <w:t>aktivnosti</w:t>
      </w:r>
      <w:r w:rsidR="000C7714" w:rsidRPr="00E95BC4">
        <w:rPr>
          <w:lang w:val="sr-Cyrl-CS"/>
        </w:rPr>
        <w:t xml:space="preserve">, </w:t>
      </w:r>
      <w:r>
        <w:rPr>
          <w:lang w:val="sr-Cyrl-CS"/>
        </w:rPr>
        <w:t>ova</w:t>
      </w:r>
      <w:r w:rsidR="000C7714" w:rsidRPr="00E95BC4">
        <w:rPr>
          <w:lang w:val="sr-Cyrl-CS"/>
        </w:rPr>
        <w:t xml:space="preserve"> </w:t>
      </w:r>
      <w:r>
        <w:rPr>
          <w:lang w:val="sr-Cyrl-CS"/>
        </w:rPr>
        <w:t>strategija</w:t>
      </w:r>
      <w:r w:rsidR="000C7714" w:rsidRPr="00E95BC4">
        <w:rPr>
          <w:lang w:val="sr-Cyrl-CS"/>
        </w:rPr>
        <w:t xml:space="preserve"> </w:t>
      </w:r>
      <w:r>
        <w:rPr>
          <w:lang w:val="sr-Cyrl-CS"/>
        </w:rPr>
        <w:t>dobila</w:t>
      </w:r>
      <w:r w:rsidR="000C7714" w:rsidRPr="00E95BC4">
        <w:rPr>
          <w:lang w:val="sr-Cyrl-CS"/>
        </w:rPr>
        <w:t xml:space="preserve"> </w:t>
      </w:r>
      <w:r>
        <w:rPr>
          <w:lang w:val="sr-Cyrl-CS"/>
        </w:rPr>
        <w:t>je</w:t>
      </w:r>
      <w:r w:rsidR="000C7714" w:rsidRPr="00E95BC4">
        <w:rPr>
          <w:lang w:val="sr-Cyrl-CS"/>
        </w:rPr>
        <w:t xml:space="preserve"> </w:t>
      </w:r>
      <w:r>
        <w:rPr>
          <w:lang w:val="sr-Cyrl-CS"/>
        </w:rPr>
        <w:t>četiri</w:t>
      </w:r>
      <w:r w:rsidR="000C7714" w:rsidRPr="00E95BC4">
        <w:rPr>
          <w:lang w:val="sr-Cyrl-CS"/>
        </w:rPr>
        <w:t xml:space="preserve"> </w:t>
      </w:r>
      <w:r>
        <w:rPr>
          <w:lang w:val="sr-Cyrl-CS"/>
        </w:rPr>
        <w:t>posebna</w:t>
      </w:r>
      <w:r w:rsidR="000C7714" w:rsidRPr="00E95BC4">
        <w:rPr>
          <w:lang w:val="sr-Cyrl-CS"/>
        </w:rPr>
        <w:t xml:space="preserve"> </w:t>
      </w:r>
      <w:r>
        <w:rPr>
          <w:lang w:val="sr-Cyrl-CS"/>
        </w:rPr>
        <w:t>cilja</w:t>
      </w:r>
      <w:r w:rsidR="000C7714" w:rsidRPr="00E95BC4">
        <w:rPr>
          <w:lang w:val="sr-Cyrl-CS"/>
        </w:rPr>
        <w:t xml:space="preserve"> (</w:t>
      </w:r>
      <w:r>
        <w:rPr>
          <w:lang w:val="sr-Cyrl-CS"/>
        </w:rPr>
        <w:t>koja</w:t>
      </w:r>
      <w:r w:rsidR="00AD151C" w:rsidRPr="00E95BC4">
        <w:rPr>
          <w:lang w:val="sr-Cyrl-CS"/>
        </w:rPr>
        <w:t xml:space="preserve"> </w:t>
      </w:r>
      <w:r>
        <w:rPr>
          <w:lang w:val="sr-Cyrl-CS"/>
        </w:rPr>
        <w:t>u</w:t>
      </w:r>
      <w:r w:rsidR="00AD151C" w:rsidRPr="00E95BC4">
        <w:rPr>
          <w:lang w:val="sr-Cyrl-CS"/>
        </w:rPr>
        <w:t xml:space="preserve"> </w:t>
      </w:r>
      <w:r>
        <w:rPr>
          <w:lang w:val="sr-Cyrl-CS"/>
        </w:rPr>
        <w:t>izvesnoj</w:t>
      </w:r>
      <w:r w:rsidR="00AD151C" w:rsidRPr="00E95BC4">
        <w:rPr>
          <w:lang w:val="sr-Cyrl-CS"/>
        </w:rPr>
        <w:t xml:space="preserve"> </w:t>
      </w:r>
      <w:r>
        <w:rPr>
          <w:lang w:val="sr-Cyrl-CS"/>
        </w:rPr>
        <w:t>meri</w:t>
      </w:r>
      <w:r w:rsidR="000C7714" w:rsidRPr="00E95BC4">
        <w:rPr>
          <w:lang w:val="sr-Cyrl-CS"/>
        </w:rPr>
        <w:t xml:space="preserve"> </w:t>
      </w:r>
      <w:r>
        <w:rPr>
          <w:lang w:val="sr-Cyrl-CS"/>
        </w:rPr>
        <w:t>prate</w:t>
      </w:r>
      <w:r w:rsidR="00254C7E" w:rsidRPr="00E95BC4">
        <w:rPr>
          <w:lang w:val="sr-Cyrl-CS"/>
        </w:rPr>
        <w:t xml:space="preserve"> </w:t>
      </w:r>
      <w:r>
        <w:rPr>
          <w:lang w:val="sr-Cyrl-CS"/>
        </w:rPr>
        <w:t>ranije</w:t>
      </w:r>
      <w:r w:rsidR="00254C7E" w:rsidRPr="00E95BC4">
        <w:rPr>
          <w:lang w:val="sr-Cyrl-CS"/>
        </w:rPr>
        <w:t xml:space="preserve"> </w:t>
      </w:r>
      <w:r>
        <w:rPr>
          <w:lang w:val="sr-Cyrl-CS"/>
        </w:rPr>
        <w:t>strateške</w:t>
      </w:r>
      <w:r w:rsidR="00254C7E" w:rsidRPr="00E95BC4">
        <w:rPr>
          <w:lang w:val="sr-Cyrl-CS"/>
        </w:rPr>
        <w:t xml:space="preserve"> </w:t>
      </w:r>
      <w:r>
        <w:rPr>
          <w:lang w:val="sr-Cyrl-CS"/>
        </w:rPr>
        <w:t>teme</w:t>
      </w:r>
      <w:r w:rsidR="00254C7E" w:rsidRPr="00E95BC4">
        <w:rPr>
          <w:lang w:val="sr-Cyrl-CS"/>
        </w:rPr>
        <w:t xml:space="preserve">). </w:t>
      </w:r>
      <w:r>
        <w:rPr>
          <w:lang w:val="sr-Cyrl-CS"/>
        </w:rPr>
        <w:t>Niže</w:t>
      </w:r>
      <w:r w:rsidR="00254C7E" w:rsidRPr="00E95BC4">
        <w:rPr>
          <w:lang w:val="sr-Cyrl-CS"/>
        </w:rPr>
        <w:t xml:space="preserve"> </w:t>
      </w:r>
      <w:r>
        <w:rPr>
          <w:lang w:val="sr-Cyrl-CS"/>
        </w:rPr>
        <w:t>navedeni</w:t>
      </w:r>
      <w:r w:rsidR="00254C7E" w:rsidRPr="00E95BC4">
        <w:rPr>
          <w:lang w:val="sr-Cyrl-CS"/>
        </w:rPr>
        <w:t xml:space="preserve"> </w:t>
      </w:r>
      <w:r>
        <w:rPr>
          <w:lang w:val="sr-Cyrl-CS"/>
        </w:rPr>
        <w:t>učinci</w:t>
      </w:r>
      <w:r w:rsidR="00254C7E" w:rsidRPr="00E95BC4">
        <w:rPr>
          <w:lang w:val="sr-Cyrl-CS"/>
        </w:rPr>
        <w:t xml:space="preserve"> </w:t>
      </w:r>
      <w:r>
        <w:rPr>
          <w:lang w:val="sr-Cyrl-CS"/>
        </w:rPr>
        <w:t>vezani</w:t>
      </w:r>
      <w:r w:rsidR="00254C7E" w:rsidRPr="00E95BC4">
        <w:rPr>
          <w:lang w:val="sr-Cyrl-CS"/>
        </w:rPr>
        <w:t xml:space="preserve"> </w:t>
      </w:r>
      <w:r>
        <w:rPr>
          <w:lang w:val="sr-Cyrl-CS"/>
        </w:rPr>
        <w:t>su</w:t>
      </w:r>
      <w:r w:rsidR="00254C7E" w:rsidRPr="00E95BC4">
        <w:rPr>
          <w:lang w:val="sr-Cyrl-CS"/>
        </w:rPr>
        <w:t xml:space="preserve"> </w:t>
      </w:r>
      <w:r>
        <w:rPr>
          <w:lang w:val="sr-Cyrl-CS"/>
        </w:rPr>
        <w:t>za</w:t>
      </w:r>
      <w:r w:rsidR="00254C7E" w:rsidRPr="00E95BC4">
        <w:rPr>
          <w:lang w:val="sr-Cyrl-CS"/>
        </w:rPr>
        <w:t xml:space="preserve"> </w:t>
      </w:r>
      <w:r>
        <w:rPr>
          <w:lang w:val="sr-Cyrl-CS"/>
        </w:rPr>
        <w:t>napred</w:t>
      </w:r>
      <w:r w:rsidR="00254C7E" w:rsidRPr="00E95BC4">
        <w:rPr>
          <w:lang w:val="sr-Cyrl-CS"/>
        </w:rPr>
        <w:t xml:space="preserve"> </w:t>
      </w:r>
      <w:r>
        <w:rPr>
          <w:lang w:val="sr-Cyrl-CS"/>
        </w:rPr>
        <w:t>utvrđene</w:t>
      </w:r>
      <w:r w:rsidR="00254C7E" w:rsidRPr="00E95BC4">
        <w:rPr>
          <w:lang w:val="sr-Cyrl-CS"/>
        </w:rPr>
        <w:t xml:space="preserve"> </w:t>
      </w:r>
      <w:r>
        <w:rPr>
          <w:lang w:val="sr-Cyrl-CS"/>
        </w:rPr>
        <w:t>ciljeve</w:t>
      </w:r>
      <w:r w:rsidR="00660A8C" w:rsidRPr="00E95BC4">
        <w:rPr>
          <w:lang w:val="sr-Cyrl-CS"/>
        </w:rPr>
        <w:t>.</w:t>
      </w:r>
    </w:p>
    <w:p w:rsidR="0004492D" w:rsidRPr="00E95BC4" w:rsidRDefault="0004492D" w:rsidP="00285FD7">
      <w:pPr>
        <w:ind w:firstLine="720"/>
        <w:rPr>
          <w:b/>
          <w:lang w:val="sr-Cyrl-CS"/>
        </w:rPr>
      </w:pPr>
    </w:p>
    <w:p w:rsidR="00B150CA" w:rsidRPr="00E95BC4" w:rsidRDefault="005818C0" w:rsidP="00787792">
      <w:pPr>
        <w:pStyle w:val="Heading1"/>
        <w:spacing w:before="0"/>
        <w:ind w:firstLine="720"/>
        <w:rPr>
          <w:rFonts w:ascii="Times New Roman" w:hAnsi="Times New Roman" w:cs="Times New Roman"/>
          <w:color w:val="auto"/>
          <w:sz w:val="24"/>
          <w:szCs w:val="24"/>
          <w:lang w:val="sr-Cyrl-CS"/>
        </w:rPr>
      </w:pPr>
      <w:bookmarkStart w:id="7" w:name="_Toc32409896"/>
      <w:r>
        <w:rPr>
          <w:rFonts w:ascii="Times New Roman" w:hAnsi="Times New Roman" w:cs="Times New Roman"/>
          <w:color w:val="auto"/>
          <w:sz w:val="24"/>
          <w:szCs w:val="24"/>
          <w:lang w:val="sr-Cyrl-CS"/>
        </w:rPr>
        <w:t>Analiza</w:t>
      </w:r>
      <w:r w:rsidR="00B150CA" w:rsidRPr="00E95BC4">
        <w:rPr>
          <w:rFonts w:ascii="Times New Roman" w:hAnsi="Times New Roman" w:cs="Times New Roman"/>
          <w:color w:val="auto"/>
          <w:sz w:val="24"/>
          <w:szCs w:val="24"/>
          <w:lang w:val="sr-Cyrl-CS"/>
        </w:rPr>
        <w:t xml:space="preserve"> </w:t>
      </w:r>
      <w:r>
        <w:rPr>
          <w:rFonts w:ascii="Times New Roman" w:hAnsi="Times New Roman" w:cs="Times New Roman"/>
          <w:color w:val="auto"/>
          <w:sz w:val="24"/>
          <w:szCs w:val="24"/>
          <w:lang w:val="sr-Cyrl-CS"/>
        </w:rPr>
        <w:t>opcija</w:t>
      </w:r>
      <w:r w:rsidR="00B150CA" w:rsidRPr="00E95BC4">
        <w:rPr>
          <w:rFonts w:ascii="Times New Roman" w:hAnsi="Times New Roman" w:cs="Times New Roman"/>
          <w:color w:val="auto"/>
          <w:sz w:val="24"/>
          <w:szCs w:val="24"/>
          <w:lang w:val="sr-Cyrl-CS"/>
        </w:rPr>
        <w:t xml:space="preserve"> </w:t>
      </w:r>
      <w:r>
        <w:rPr>
          <w:rFonts w:ascii="Times New Roman" w:hAnsi="Times New Roman" w:cs="Times New Roman"/>
          <w:color w:val="auto"/>
          <w:sz w:val="24"/>
          <w:szCs w:val="24"/>
          <w:lang w:val="sr-Cyrl-CS"/>
        </w:rPr>
        <w:t>za</w:t>
      </w:r>
      <w:r w:rsidR="00B150CA" w:rsidRPr="00E95BC4">
        <w:rPr>
          <w:rFonts w:ascii="Times New Roman" w:hAnsi="Times New Roman" w:cs="Times New Roman"/>
          <w:color w:val="auto"/>
          <w:sz w:val="24"/>
          <w:szCs w:val="24"/>
          <w:lang w:val="sr-Cyrl-CS"/>
        </w:rPr>
        <w:t xml:space="preserve"> </w:t>
      </w:r>
      <w:r>
        <w:rPr>
          <w:rFonts w:ascii="Times New Roman" w:hAnsi="Times New Roman" w:cs="Times New Roman"/>
          <w:color w:val="auto"/>
          <w:sz w:val="24"/>
          <w:szCs w:val="24"/>
          <w:lang w:val="sr-Cyrl-CS"/>
        </w:rPr>
        <w:t>ostvarivanje</w:t>
      </w:r>
      <w:r w:rsidR="00B150CA" w:rsidRPr="00E95BC4">
        <w:rPr>
          <w:rFonts w:ascii="Times New Roman" w:hAnsi="Times New Roman" w:cs="Times New Roman"/>
          <w:color w:val="auto"/>
          <w:sz w:val="24"/>
          <w:szCs w:val="24"/>
          <w:lang w:val="sr-Cyrl-CS"/>
        </w:rPr>
        <w:t xml:space="preserve"> </w:t>
      </w:r>
      <w:r>
        <w:rPr>
          <w:rFonts w:ascii="Times New Roman" w:hAnsi="Times New Roman" w:cs="Times New Roman"/>
          <w:color w:val="auto"/>
          <w:sz w:val="24"/>
          <w:szCs w:val="24"/>
          <w:lang w:val="sr-Cyrl-CS"/>
        </w:rPr>
        <w:t>ciljeva</w:t>
      </w:r>
      <w:bookmarkEnd w:id="7"/>
    </w:p>
    <w:p w:rsidR="00EB24C3" w:rsidRPr="00E95BC4" w:rsidRDefault="00EB24C3" w:rsidP="00EB24C3">
      <w:pPr>
        <w:jc w:val="both"/>
        <w:rPr>
          <w:b/>
          <w:lang w:val="sr-Cyrl-CS"/>
        </w:rPr>
      </w:pPr>
    </w:p>
    <w:p w:rsidR="00B150CA" w:rsidRPr="00E95BC4" w:rsidRDefault="005818C0" w:rsidP="00EB24C3">
      <w:pPr>
        <w:ind w:firstLine="709"/>
        <w:jc w:val="both"/>
        <w:rPr>
          <w:color w:val="auto"/>
          <w:lang w:val="sr-Cyrl-CS"/>
        </w:rPr>
      </w:pPr>
      <w:r>
        <w:rPr>
          <w:b/>
          <w:lang w:val="sr-Cyrl-CS"/>
        </w:rPr>
        <w:t>Opcija</w:t>
      </w:r>
      <w:r w:rsidR="00424469" w:rsidRPr="00E95BC4">
        <w:rPr>
          <w:b/>
          <w:lang w:val="sr-Cyrl-CS"/>
        </w:rPr>
        <w:t xml:space="preserve"> 1 – </w:t>
      </w:r>
      <w:r w:rsidR="00B150CA" w:rsidRPr="00E95BC4">
        <w:rPr>
          <w:b/>
          <w:i/>
          <w:lang w:val="sr-Cyrl-CS"/>
        </w:rPr>
        <w:t>Status quo</w:t>
      </w:r>
      <w:r w:rsidR="00E04390" w:rsidRPr="00E95BC4">
        <w:rPr>
          <w:lang w:val="sr-Cyrl-CS"/>
        </w:rPr>
        <w:t xml:space="preserve">: </w:t>
      </w:r>
      <w:r>
        <w:rPr>
          <w:lang w:val="sr-Cyrl-CS"/>
        </w:rPr>
        <w:t>Nova</w:t>
      </w:r>
      <w:r w:rsidR="00E04390" w:rsidRPr="00E95BC4">
        <w:rPr>
          <w:lang w:val="sr-Cyrl-CS"/>
        </w:rPr>
        <w:t xml:space="preserve"> </w:t>
      </w:r>
      <w:r>
        <w:rPr>
          <w:lang w:val="sr-Cyrl-CS"/>
        </w:rPr>
        <w:t>strategija</w:t>
      </w:r>
      <w:r w:rsidR="00E04390" w:rsidRPr="00E95BC4">
        <w:rPr>
          <w:lang w:val="sr-Cyrl-CS"/>
        </w:rPr>
        <w:t xml:space="preserve"> </w:t>
      </w:r>
      <w:r>
        <w:rPr>
          <w:lang w:val="sr-Cyrl-CS"/>
        </w:rPr>
        <w:t>se</w:t>
      </w:r>
      <w:r w:rsidR="00E04390" w:rsidRPr="00E95BC4">
        <w:rPr>
          <w:lang w:val="sr-Cyrl-CS"/>
        </w:rPr>
        <w:t xml:space="preserve"> </w:t>
      </w:r>
      <w:r>
        <w:rPr>
          <w:lang w:val="sr-Cyrl-CS"/>
        </w:rPr>
        <w:t>ne</w:t>
      </w:r>
      <w:r w:rsidR="00E04390" w:rsidRPr="00E95BC4">
        <w:rPr>
          <w:lang w:val="sr-Cyrl-CS"/>
        </w:rPr>
        <w:t xml:space="preserve"> </w:t>
      </w:r>
      <w:r>
        <w:rPr>
          <w:lang w:val="sr-Cyrl-CS"/>
        </w:rPr>
        <w:t>usvaja</w:t>
      </w:r>
      <w:r w:rsidR="00E04390" w:rsidRPr="00E95BC4">
        <w:rPr>
          <w:lang w:val="sr-Cyrl-CS"/>
        </w:rPr>
        <w:t xml:space="preserve">, </w:t>
      </w:r>
      <w:r>
        <w:rPr>
          <w:lang w:val="sr-Cyrl-CS"/>
        </w:rPr>
        <w:t>i</w:t>
      </w:r>
      <w:r w:rsidR="00E04390" w:rsidRPr="00E95BC4">
        <w:rPr>
          <w:lang w:val="sr-Cyrl-CS"/>
        </w:rPr>
        <w:t xml:space="preserve"> </w:t>
      </w:r>
      <w:r>
        <w:rPr>
          <w:lang w:val="sr-Cyrl-CS"/>
        </w:rPr>
        <w:t>nastavlja</w:t>
      </w:r>
      <w:r w:rsidR="00E04390" w:rsidRPr="00E95BC4">
        <w:rPr>
          <w:lang w:val="sr-Cyrl-CS"/>
        </w:rPr>
        <w:t xml:space="preserve"> </w:t>
      </w:r>
      <w:r>
        <w:rPr>
          <w:lang w:val="sr-Cyrl-CS"/>
        </w:rPr>
        <w:t>se</w:t>
      </w:r>
      <w:r w:rsidR="00E04390" w:rsidRPr="00E95BC4">
        <w:rPr>
          <w:lang w:val="sr-Cyrl-CS"/>
        </w:rPr>
        <w:t xml:space="preserve"> </w:t>
      </w:r>
      <w:r>
        <w:rPr>
          <w:lang w:val="sr-Cyrl-CS"/>
        </w:rPr>
        <w:t>sprovođenje</w:t>
      </w:r>
      <w:r w:rsidR="00E04390" w:rsidRPr="00E95BC4">
        <w:rPr>
          <w:lang w:val="sr-Cyrl-CS"/>
        </w:rPr>
        <w:t xml:space="preserve"> </w:t>
      </w:r>
      <w:r>
        <w:rPr>
          <w:lang w:val="sr-Cyrl-CS"/>
        </w:rPr>
        <w:t>Akcionog</w:t>
      </w:r>
      <w:r w:rsidR="00E04390" w:rsidRPr="00E95BC4">
        <w:rPr>
          <w:lang w:val="sr-Cyrl-CS"/>
        </w:rPr>
        <w:t xml:space="preserve"> </w:t>
      </w:r>
      <w:r>
        <w:rPr>
          <w:lang w:val="sr-Cyrl-CS"/>
        </w:rPr>
        <w:t>plana</w:t>
      </w:r>
      <w:r w:rsidR="00E04390" w:rsidRPr="00E95BC4">
        <w:rPr>
          <w:lang w:val="sr-Cyrl-CS"/>
        </w:rPr>
        <w:t xml:space="preserve"> </w:t>
      </w:r>
      <w:r>
        <w:rPr>
          <w:lang w:val="sr-Cyrl-CS"/>
        </w:rPr>
        <w:t>uz</w:t>
      </w:r>
      <w:r w:rsidR="000B75F7" w:rsidRPr="00E95BC4">
        <w:rPr>
          <w:lang w:val="sr-Cyrl-CS"/>
        </w:rPr>
        <w:t xml:space="preserve"> </w:t>
      </w:r>
      <w:r>
        <w:rPr>
          <w:lang w:val="sr-Cyrl-CS"/>
        </w:rPr>
        <w:t>procene</w:t>
      </w:r>
      <w:r w:rsidR="000B75F7" w:rsidRPr="00E95BC4">
        <w:rPr>
          <w:lang w:val="sr-Cyrl-CS"/>
        </w:rPr>
        <w:t xml:space="preserve"> </w:t>
      </w:r>
      <w:r>
        <w:rPr>
          <w:lang w:val="sr-Cyrl-CS"/>
        </w:rPr>
        <w:t>rizika</w:t>
      </w:r>
      <w:r w:rsidR="000B75F7" w:rsidRPr="00E95BC4">
        <w:rPr>
          <w:lang w:val="sr-Cyrl-CS"/>
        </w:rPr>
        <w:t xml:space="preserve"> </w:t>
      </w:r>
      <w:r>
        <w:rPr>
          <w:lang w:val="sr-Cyrl-CS"/>
        </w:rPr>
        <w:t>od</w:t>
      </w:r>
      <w:r w:rsidR="000B75F7" w:rsidRPr="00E95BC4">
        <w:rPr>
          <w:lang w:val="sr-Cyrl-CS"/>
        </w:rPr>
        <w:t xml:space="preserve"> </w:t>
      </w:r>
      <w:r>
        <w:rPr>
          <w:lang w:val="sr-Cyrl-CS"/>
        </w:rPr>
        <w:t>pranja</w:t>
      </w:r>
      <w:r w:rsidR="000B75F7" w:rsidRPr="00E95BC4">
        <w:rPr>
          <w:lang w:val="sr-Cyrl-CS"/>
        </w:rPr>
        <w:t xml:space="preserve"> </w:t>
      </w:r>
      <w:r>
        <w:rPr>
          <w:lang w:val="sr-Cyrl-CS"/>
        </w:rPr>
        <w:t>novca</w:t>
      </w:r>
      <w:r w:rsidR="000B75F7" w:rsidRPr="00E95BC4">
        <w:rPr>
          <w:lang w:val="sr-Cyrl-CS"/>
        </w:rPr>
        <w:t xml:space="preserve"> </w:t>
      </w:r>
      <w:r>
        <w:rPr>
          <w:lang w:val="sr-Cyrl-CS"/>
        </w:rPr>
        <w:t>i</w:t>
      </w:r>
      <w:r w:rsidR="000B75F7" w:rsidRPr="00E95BC4">
        <w:rPr>
          <w:lang w:val="sr-Cyrl-CS"/>
        </w:rPr>
        <w:t xml:space="preserve"> </w:t>
      </w:r>
      <w:r>
        <w:rPr>
          <w:lang w:val="sr-Cyrl-CS"/>
        </w:rPr>
        <w:t>finansiranja</w:t>
      </w:r>
      <w:r w:rsidR="000B75F7" w:rsidRPr="00E95BC4">
        <w:rPr>
          <w:lang w:val="sr-Cyrl-CS"/>
        </w:rPr>
        <w:t xml:space="preserve"> </w:t>
      </w:r>
      <w:r>
        <w:rPr>
          <w:lang w:val="sr-Cyrl-CS"/>
        </w:rPr>
        <w:t>terorizma</w:t>
      </w:r>
      <w:r w:rsidR="00E04390" w:rsidRPr="00E95BC4">
        <w:rPr>
          <w:lang w:val="sr-Cyrl-CS"/>
        </w:rPr>
        <w:t xml:space="preserve">. </w:t>
      </w:r>
      <w:r>
        <w:rPr>
          <w:lang w:val="sr-Cyrl-CS"/>
        </w:rPr>
        <w:t>Organi</w:t>
      </w:r>
      <w:r w:rsidR="00E04390" w:rsidRPr="00E95BC4">
        <w:rPr>
          <w:lang w:val="sr-Cyrl-CS"/>
        </w:rPr>
        <w:t xml:space="preserve"> </w:t>
      </w:r>
      <w:r>
        <w:rPr>
          <w:lang w:val="sr-Cyrl-CS"/>
        </w:rPr>
        <w:t>nastavljaju</w:t>
      </w:r>
      <w:r w:rsidR="00E04390" w:rsidRPr="00E95BC4">
        <w:rPr>
          <w:lang w:val="sr-Cyrl-CS"/>
        </w:rPr>
        <w:t xml:space="preserve"> </w:t>
      </w:r>
      <w:r>
        <w:rPr>
          <w:lang w:val="sr-Cyrl-CS"/>
        </w:rPr>
        <w:t>da</w:t>
      </w:r>
      <w:r w:rsidR="00E04390" w:rsidRPr="00E95BC4">
        <w:rPr>
          <w:lang w:val="sr-Cyrl-CS"/>
        </w:rPr>
        <w:t xml:space="preserve"> </w:t>
      </w:r>
      <w:r>
        <w:rPr>
          <w:lang w:val="sr-Cyrl-CS"/>
        </w:rPr>
        <w:t>sprovode</w:t>
      </w:r>
      <w:r w:rsidR="00E04390" w:rsidRPr="00E95BC4">
        <w:rPr>
          <w:lang w:val="sr-Cyrl-CS"/>
        </w:rPr>
        <w:t xml:space="preserve"> </w:t>
      </w:r>
      <w:r>
        <w:rPr>
          <w:lang w:val="sr-Cyrl-CS"/>
        </w:rPr>
        <w:t>preporuke</w:t>
      </w:r>
      <w:r w:rsidR="00E04390" w:rsidRPr="00E95BC4">
        <w:rPr>
          <w:lang w:val="sr-Cyrl-CS"/>
        </w:rPr>
        <w:t xml:space="preserve"> </w:t>
      </w:r>
      <w:r>
        <w:rPr>
          <w:color w:val="auto"/>
          <w:lang w:val="sr-Cyrl-CS"/>
        </w:rPr>
        <w:t>Manivala</w:t>
      </w:r>
      <w:r w:rsidR="00E04390" w:rsidRPr="00E95BC4">
        <w:rPr>
          <w:color w:val="auto"/>
          <w:lang w:val="sr-Cyrl-CS"/>
        </w:rPr>
        <w:t xml:space="preserve"> </w:t>
      </w:r>
      <w:r>
        <w:rPr>
          <w:color w:val="auto"/>
          <w:lang w:val="sr-Cyrl-CS"/>
        </w:rPr>
        <w:t>i</w:t>
      </w:r>
      <w:r w:rsidR="00E04390" w:rsidRPr="00E95BC4">
        <w:rPr>
          <w:color w:val="auto"/>
          <w:lang w:val="sr-Cyrl-CS"/>
        </w:rPr>
        <w:t xml:space="preserve"> </w:t>
      </w:r>
      <w:r>
        <w:rPr>
          <w:color w:val="auto"/>
          <w:lang w:val="sr-Cyrl-CS"/>
        </w:rPr>
        <w:t>u</w:t>
      </w:r>
      <w:r w:rsidR="00E04390" w:rsidRPr="00E95BC4">
        <w:rPr>
          <w:color w:val="auto"/>
          <w:lang w:val="sr-Cyrl-CS"/>
        </w:rPr>
        <w:t xml:space="preserve"> </w:t>
      </w:r>
      <w:r>
        <w:rPr>
          <w:color w:val="auto"/>
          <w:lang w:val="sr-Cyrl-CS"/>
        </w:rPr>
        <w:t>skladu</w:t>
      </w:r>
      <w:r w:rsidR="00E04390" w:rsidRPr="00E95BC4">
        <w:rPr>
          <w:color w:val="auto"/>
          <w:lang w:val="sr-Cyrl-CS"/>
        </w:rPr>
        <w:t xml:space="preserve"> </w:t>
      </w:r>
      <w:r>
        <w:rPr>
          <w:color w:val="auto"/>
          <w:lang w:val="sr-Cyrl-CS"/>
        </w:rPr>
        <w:t>sa</w:t>
      </w:r>
      <w:r w:rsidR="00E04390" w:rsidRPr="00E95BC4">
        <w:rPr>
          <w:color w:val="auto"/>
          <w:lang w:val="sr-Cyrl-CS"/>
        </w:rPr>
        <w:t xml:space="preserve"> </w:t>
      </w:r>
      <w:r>
        <w:rPr>
          <w:color w:val="auto"/>
          <w:lang w:val="sr-Cyrl-CS"/>
        </w:rPr>
        <w:t>svojim</w:t>
      </w:r>
      <w:r w:rsidR="00E04390" w:rsidRPr="00E95BC4">
        <w:rPr>
          <w:color w:val="auto"/>
          <w:lang w:val="sr-Cyrl-CS"/>
        </w:rPr>
        <w:t xml:space="preserve"> </w:t>
      </w:r>
      <w:r>
        <w:rPr>
          <w:color w:val="auto"/>
          <w:lang w:val="sr-Cyrl-CS"/>
        </w:rPr>
        <w:t>nadležnostima</w:t>
      </w:r>
      <w:r w:rsidR="00E04390" w:rsidRPr="00E95BC4">
        <w:rPr>
          <w:color w:val="auto"/>
          <w:lang w:val="sr-Cyrl-CS"/>
        </w:rPr>
        <w:t xml:space="preserve"> </w:t>
      </w:r>
      <w:r>
        <w:rPr>
          <w:color w:val="auto"/>
          <w:lang w:val="sr-Cyrl-CS"/>
        </w:rPr>
        <w:t>prate</w:t>
      </w:r>
      <w:r w:rsidR="00E04390" w:rsidRPr="00E95BC4">
        <w:rPr>
          <w:color w:val="auto"/>
          <w:lang w:val="sr-Cyrl-CS"/>
        </w:rPr>
        <w:t xml:space="preserve"> </w:t>
      </w:r>
      <w:r>
        <w:rPr>
          <w:color w:val="auto"/>
          <w:lang w:val="sr-Cyrl-CS"/>
        </w:rPr>
        <w:t>međunarodne</w:t>
      </w:r>
      <w:r w:rsidR="00E04390" w:rsidRPr="00E95BC4">
        <w:rPr>
          <w:color w:val="auto"/>
          <w:lang w:val="sr-Cyrl-CS"/>
        </w:rPr>
        <w:t xml:space="preserve"> </w:t>
      </w:r>
      <w:r>
        <w:rPr>
          <w:color w:val="auto"/>
          <w:lang w:val="sr-Cyrl-CS"/>
        </w:rPr>
        <w:t>standarde</w:t>
      </w:r>
      <w:r w:rsidR="00E04390" w:rsidRPr="00E95BC4">
        <w:rPr>
          <w:color w:val="auto"/>
          <w:lang w:val="sr-Cyrl-CS"/>
        </w:rPr>
        <w:t xml:space="preserve"> </w:t>
      </w:r>
      <w:r>
        <w:rPr>
          <w:color w:val="auto"/>
          <w:lang w:val="sr-Cyrl-CS"/>
        </w:rPr>
        <w:t>i</w:t>
      </w:r>
      <w:r w:rsidR="00E04390" w:rsidRPr="00E95BC4">
        <w:rPr>
          <w:color w:val="auto"/>
          <w:lang w:val="sr-Cyrl-CS"/>
        </w:rPr>
        <w:t xml:space="preserve"> </w:t>
      </w:r>
      <w:r>
        <w:rPr>
          <w:color w:val="auto"/>
          <w:lang w:val="sr-Cyrl-CS"/>
        </w:rPr>
        <w:t>standarde</w:t>
      </w:r>
      <w:r w:rsidR="00E04390" w:rsidRPr="00E95BC4">
        <w:rPr>
          <w:color w:val="auto"/>
          <w:lang w:val="sr-Cyrl-CS"/>
        </w:rPr>
        <w:t xml:space="preserve"> </w:t>
      </w:r>
      <w:r>
        <w:rPr>
          <w:color w:val="auto"/>
          <w:lang w:val="sr-Cyrl-CS"/>
        </w:rPr>
        <w:t>Evropske</w:t>
      </w:r>
      <w:r w:rsidR="00E04390" w:rsidRPr="00E95BC4">
        <w:rPr>
          <w:color w:val="auto"/>
          <w:lang w:val="sr-Cyrl-CS"/>
        </w:rPr>
        <w:t xml:space="preserve"> </w:t>
      </w:r>
      <w:r>
        <w:rPr>
          <w:color w:val="auto"/>
          <w:lang w:val="sr-Cyrl-CS"/>
        </w:rPr>
        <w:t>unije</w:t>
      </w:r>
      <w:r w:rsidR="00E04390" w:rsidRPr="00E95BC4">
        <w:rPr>
          <w:color w:val="auto"/>
          <w:lang w:val="sr-Cyrl-CS"/>
        </w:rPr>
        <w:t xml:space="preserve">. </w:t>
      </w:r>
      <w:r>
        <w:rPr>
          <w:color w:val="auto"/>
          <w:lang w:val="sr-Cyrl-CS"/>
        </w:rPr>
        <w:t>Koordinaciono</w:t>
      </w:r>
      <w:r w:rsidR="00E04390" w:rsidRPr="00E95BC4">
        <w:rPr>
          <w:color w:val="auto"/>
          <w:lang w:val="sr-Cyrl-CS"/>
        </w:rPr>
        <w:t xml:space="preserve"> </w:t>
      </w:r>
      <w:r>
        <w:rPr>
          <w:color w:val="auto"/>
          <w:lang w:val="sr-Cyrl-CS"/>
        </w:rPr>
        <w:t>telo</w:t>
      </w:r>
      <w:r w:rsidR="00E04390" w:rsidRPr="00E95BC4">
        <w:rPr>
          <w:color w:val="auto"/>
          <w:lang w:val="sr-Cyrl-CS"/>
        </w:rPr>
        <w:t xml:space="preserve"> </w:t>
      </w:r>
      <w:r>
        <w:rPr>
          <w:color w:val="auto"/>
          <w:lang w:val="sr-Cyrl-CS"/>
        </w:rPr>
        <w:t>za</w:t>
      </w:r>
      <w:r w:rsidR="00E04390" w:rsidRPr="00E95BC4">
        <w:rPr>
          <w:color w:val="auto"/>
          <w:lang w:val="sr-Cyrl-CS"/>
        </w:rPr>
        <w:t xml:space="preserve"> </w:t>
      </w:r>
      <w:r>
        <w:rPr>
          <w:color w:val="auto"/>
          <w:lang w:val="sr-Cyrl-CS"/>
        </w:rPr>
        <w:t>sprečavanje</w:t>
      </w:r>
      <w:r w:rsidR="00E04390" w:rsidRPr="00E95BC4">
        <w:rPr>
          <w:color w:val="auto"/>
          <w:lang w:val="sr-Cyrl-CS"/>
        </w:rPr>
        <w:t xml:space="preserve"> </w:t>
      </w:r>
      <w:r>
        <w:rPr>
          <w:color w:val="auto"/>
          <w:lang w:val="sr-Cyrl-CS"/>
        </w:rPr>
        <w:t>pranja</w:t>
      </w:r>
      <w:r w:rsidR="00E04390" w:rsidRPr="00E95BC4">
        <w:rPr>
          <w:color w:val="auto"/>
          <w:lang w:val="sr-Cyrl-CS"/>
        </w:rPr>
        <w:t xml:space="preserve"> </w:t>
      </w:r>
      <w:r>
        <w:rPr>
          <w:color w:val="auto"/>
          <w:lang w:val="sr-Cyrl-CS"/>
        </w:rPr>
        <w:t>novca</w:t>
      </w:r>
      <w:r w:rsidR="00E04390" w:rsidRPr="00E95BC4">
        <w:rPr>
          <w:color w:val="auto"/>
          <w:lang w:val="sr-Cyrl-CS"/>
        </w:rPr>
        <w:t xml:space="preserve"> </w:t>
      </w:r>
      <w:r>
        <w:rPr>
          <w:color w:val="auto"/>
          <w:lang w:val="sr-Cyrl-CS"/>
        </w:rPr>
        <w:t>nastavlja</w:t>
      </w:r>
      <w:r w:rsidR="00E04390" w:rsidRPr="00E95BC4">
        <w:rPr>
          <w:color w:val="auto"/>
          <w:lang w:val="sr-Cyrl-CS"/>
        </w:rPr>
        <w:t xml:space="preserve"> </w:t>
      </w:r>
      <w:r>
        <w:rPr>
          <w:color w:val="auto"/>
          <w:lang w:val="sr-Cyrl-CS"/>
        </w:rPr>
        <w:t>da</w:t>
      </w:r>
      <w:r w:rsidR="00E04390" w:rsidRPr="00E95BC4">
        <w:rPr>
          <w:color w:val="auto"/>
          <w:lang w:val="sr-Cyrl-CS"/>
        </w:rPr>
        <w:t xml:space="preserve"> </w:t>
      </w:r>
      <w:r>
        <w:rPr>
          <w:color w:val="auto"/>
          <w:lang w:val="sr-Cyrl-CS"/>
        </w:rPr>
        <w:t>se</w:t>
      </w:r>
      <w:r w:rsidR="00E04390" w:rsidRPr="00E95BC4">
        <w:rPr>
          <w:color w:val="auto"/>
          <w:lang w:val="sr-Cyrl-CS"/>
        </w:rPr>
        <w:t xml:space="preserve"> </w:t>
      </w:r>
      <w:r>
        <w:rPr>
          <w:color w:val="auto"/>
          <w:lang w:val="sr-Cyrl-CS"/>
        </w:rPr>
        <w:t>sastaje</w:t>
      </w:r>
      <w:r w:rsidR="00E04390" w:rsidRPr="00E95BC4">
        <w:rPr>
          <w:color w:val="auto"/>
          <w:lang w:val="sr-Cyrl-CS"/>
        </w:rPr>
        <w:t xml:space="preserve"> </w:t>
      </w:r>
      <w:r>
        <w:rPr>
          <w:color w:val="auto"/>
          <w:lang w:val="sr-Cyrl-CS"/>
        </w:rPr>
        <w:t>i</w:t>
      </w:r>
      <w:r w:rsidR="00E04390" w:rsidRPr="00E95BC4">
        <w:rPr>
          <w:color w:val="auto"/>
          <w:lang w:val="sr-Cyrl-CS"/>
        </w:rPr>
        <w:t xml:space="preserve"> </w:t>
      </w:r>
      <w:r>
        <w:rPr>
          <w:color w:val="auto"/>
          <w:lang w:val="sr-Cyrl-CS"/>
        </w:rPr>
        <w:t>koordinira</w:t>
      </w:r>
      <w:r w:rsidR="00E04390" w:rsidRPr="00E95BC4">
        <w:rPr>
          <w:color w:val="auto"/>
          <w:lang w:val="sr-Cyrl-CS"/>
        </w:rPr>
        <w:t xml:space="preserve"> </w:t>
      </w:r>
      <w:r>
        <w:rPr>
          <w:color w:val="auto"/>
          <w:lang w:val="sr-Cyrl-CS"/>
        </w:rPr>
        <w:t>sistem</w:t>
      </w:r>
      <w:r w:rsidR="00E04390" w:rsidRPr="00E95BC4">
        <w:rPr>
          <w:color w:val="auto"/>
          <w:lang w:val="sr-Cyrl-CS"/>
        </w:rPr>
        <w:t>.</w:t>
      </w:r>
    </w:p>
    <w:p w:rsidR="00EB24C3" w:rsidRPr="00E95BC4" w:rsidRDefault="005818C0" w:rsidP="00EB24C3">
      <w:pPr>
        <w:tabs>
          <w:tab w:val="left" w:pos="709"/>
        </w:tabs>
        <w:ind w:firstLine="709"/>
        <w:jc w:val="both"/>
        <w:rPr>
          <w:color w:val="auto"/>
          <w:lang w:val="sr-Cyrl-CS"/>
        </w:rPr>
      </w:pPr>
      <w:r>
        <w:rPr>
          <w:color w:val="auto"/>
          <w:lang w:val="sr-Cyrl-CS"/>
        </w:rPr>
        <w:t>Ova</w:t>
      </w:r>
      <w:r w:rsidR="00EB24C3" w:rsidRPr="00E95BC4">
        <w:rPr>
          <w:color w:val="auto"/>
          <w:lang w:val="sr-Cyrl-CS"/>
        </w:rPr>
        <w:t xml:space="preserve"> </w:t>
      </w:r>
      <w:r>
        <w:rPr>
          <w:color w:val="auto"/>
          <w:lang w:val="sr-Cyrl-CS"/>
        </w:rPr>
        <w:t>opcija</w:t>
      </w:r>
      <w:r w:rsidR="00EB24C3" w:rsidRPr="00E95BC4">
        <w:rPr>
          <w:color w:val="auto"/>
          <w:lang w:val="sr-Cyrl-CS"/>
        </w:rPr>
        <w:t xml:space="preserve"> </w:t>
      </w:r>
      <w:r>
        <w:rPr>
          <w:color w:val="auto"/>
          <w:lang w:val="sr-Cyrl-CS"/>
        </w:rPr>
        <w:t>bi</w:t>
      </w:r>
      <w:r w:rsidR="00EB24C3" w:rsidRPr="00E95BC4">
        <w:rPr>
          <w:color w:val="auto"/>
          <w:lang w:val="sr-Cyrl-CS"/>
        </w:rPr>
        <w:t xml:space="preserve"> </w:t>
      </w:r>
      <w:r>
        <w:rPr>
          <w:color w:val="auto"/>
          <w:lang w:val="sr-Cyrl-CS"/>
        </w:rPr>
        <w:t>po</w:t>
      </w:r>
      <w:r w:rsidR="00EB24C3" w:rsidRPr="00E95BC4">
        <w:rPr>
          <w:color w:val="auto"/>
          <w:lang w:val="sr-Cyrl-CS"/>
        </w:rPr>
        <w:t xml:space="preserve"> </w:t>
      </w:r>
      <w:r>
        <w:rPr>
          <w:color w:val="auto"/>
          <w:lang w:val="sr-Cyrl-CS"/>
        </w:rPr>
        <w:t>prirodi</w:t>
      </w:r>
      <w:r w:rsidR="00EB24C3" w:rsidRPr="00E95BC4">
        <w:rPr>
          <w:color w:val="auto"/>
          <w:lang w:val="sr-Cyrl-CS"/>
        </w:rPr>
        <w:t xml:space="preserve"> </w:t>
      </w:r>
      <w:r>
        <w:rPr>
          <w:color w:val="auto"/>
          <w:lang w:val="sr-Cyrl-CS"/>
        </w:rPr>
        <w:t>bila</w:t>
      </w:r>
      <w:r w:rsidR="00EB24C3" w:rsidRPr="00E95BC4">
        <w:rPr>
          <w:color w:val="auto"/>
          <w:lang w:val="sr-Cyrl-CS"/>
        </w:rPr>
        <w:t xml:space="preserve"> </w:t>
      </w:r>
      <w:r>
        <w:rPr>
          <w:color w:val="auto"/>
          <w:lang w:val="sr-Cyrl-CS"/>
        </w:rPr>
        <w:t>prevashodno</w:t>
      </w:r>
      <w:r w:rsidR="00EB24C3" w:rsidRPr="00E95BC4">
        <w:rPr>
          <w:color w:val="auto"/>
          <w:lang w:val="sr-Cyrl-CS"/>
        </w:rPr>
        <w:t xml:space="preserve"> </w:t>
      </w:r>
      <w:r>
        <w:rPr>
          <w:color w:val="auto"/>
          <w:lang w:val="sr-Cyrl-CS"/>
        </w:rPr>
        <w:t>reaktivna</w:t>
      </w:r>
      <w:r w:rsidR="00EB24C3" w:rsidRPr="00E95BC4">
        <w:rPr>
          <w:color w:val="auto"/>
          <w:lang w:val="sr-Cyrl-CS"/>
        </w:rPr>
        <w:t xml:space="preserve"> </w:t>
      </w:r>
      <w:r>
        <w:rPr>
          <w:color w:val="auto"/>
          <w:lang w:val="sr-Cyrl-CS"/>
        </w:rPr>
        <w:t>u</w:t>
      </w:r>
      <w:r w:rsidR="00EB24C3" w:rsidRPr="00E95BC4">
        <w:rPr>
          <w:color w:val="auto"/>
          <w:lang w:val="sr-Cyrl-CS"/>
        </w:rPr>
        <w:t xml:space="preserve"> </w:t>
      </w:r>
      <w:r>
        <w:rPr>
          <w:color w:val="auto"/>
          <w:lang w:val="sr-Cyrl-CS"/>
        </w:rPr>
        <w:t>odnosu</w:t>
      </w:r>
      <w:r w:rsidR="00EB24C3" w:rsidRPr="00E95BC4">
        <w:rPr>
          <w:color w:val="auto"/>
          <w:lang w:val="sr-Cyrl-CS"/>
        </w:rPr>
        <w:t xml:space="preserve"> </w:t>
      </w:r>
      <w:r>
        <w:rPr>
          <w:color w:val="auto"/>
          <w:lang w:val="sr-Cyrl-CS"/>
        </w:rPr>
        <w:t>na</w:t>
      </w:r>
      <w:r w:rsidR="00EB24C3" w:rsidRPr="00E95BC4">
        <w:rPr>
          <w:color w:val="auto"/>
          <w:lang w:val="sr-Cyrl-CS"/>
        </w:rPr>
        <w:t xml:space="preserve"> </w:t>
      </w:r>
      <w:r>
        <w:rPr>
          <w:color w:val="auto"/>
          <w:lang w:val="sr-Cyrl-CS"/>
        </w:rPr>
        <w:t>pretnje</w:t>
      </w:r>
      <w:r w:rsidR="00EB24C3" w:rsidRPr="00E95BC4">
        <w:rPr>
          <w:color w:val="auto"/>
          <w:lang w:val="sr-Cyrl-CS"/>
        </w:rPr>
        <w:t xml:space="preserve"> </w:t>
      </w:r>
      <w:r>
        <w:rPr>
          <w:color w:val="auto"/>
          <w:lang w:val="sr-Cyrl-CS"/>
        </w:rPr>
        <w:t>i</w:t>
      </w:r>
      <w:r w:rsidR="00EB24C3" w:rsidRPr="00E95BC4">
        <w:rPr>
          <w:color w:val="auto"/>
          <w:lang w:val="sr-Cyrl-CS"/>
        </w:rPr>
        <w:t xml:space="preserve"> </w:t>
      </w:r>
      <w:r>
        <w:rPr>
          <w:color w:val="auto"/>
          <w:lang w:val="sr-Cyrl-CS"/>
        </w:rPr>
        <w:t>ranjivosti</w:t>
      </w:r>
      <w:r w:rsidR="00EB24C3" w:rsidRPr="00E95BC4">
        <w:rPr>
          <w:color w:val="auto"/>
          <w:lang w:val="sr-Cyrl-CS"/>
        </w:rPr>
        <w:t xml:space="preserve"> </w:t>
      </w:r>
      <w:r>
        <w:rPr>
          <w:color w:val="auto"/>
          <w:lang w:val="sr-Cyrl-CS"/>
        </w:rPr>
        <w:t>koje</w:t>
      </w:r>
      <w:r w:rsidR="00EB24C3" w:rsidRPr="00E95BC4">
        <w:rPr>
          <w:color w:val="auto"/>
          <w:lang w:val="sr-Cyrl-CS"/>
        </w:rPr>
        <w:t xml:space="preserve"> </w:t>
      </w:r>
      <w:r>
        <w:rPr>
          <w:color w:val="auto"/>
          <w:lang w:val="sr-Cyrl-CS"/>
        </w:rPr>
        <w:t>su</w:t>
      </w:r>
      <w:r w:rsidR="00EB24C3" w:rsidRPr="00E95BC4">
        <w:rPr>
          <w:color w:val="auto"/>
          <w:lang w:val="sr-Cyrl-CS"/>
        </w:rPr>
        <w:t xml:space="preserve"> </w:t>
      </w:r>
      <w:r>
        <w:rPr>
          <w:color w:val="auto"/>
          <w:lang w:val="sr-Cyrl-CS"/>
        </w:rPr>
        <w:t>u</w:t>
      </w:r>
      <w:r w:rsidR="00EB24C3" w:rsidRPr="00E95BC4">
        <w:rPr>
          <w:color w:val="auto"/>
          <w:lang w:val="sr-Cyrl-CS"/>
        </w:rPr>
        <w:t xml:space="preserve"> </w:t>
      </w:r>
      <w:r>
        <w:rPr>
          <w:color w:val="auto"/>
          <w:lang w:val="sr-Cyrl-CS"/>
        </w:rPr>
        <w:t>ovom</w:t>
      </w:r>
      <w:r w:rsidR="00EB24C3" w:rsidRPr="00E95BC4">
        <w:rPr>
          <w:color w:val="auto"/>
          <w:lang w:val="sr-Cyrl-CS"/>
        </w:rPr>
        <w:t xml:space="preserve"> </w:t>
      </w:r>
      <w:r>
        <w:rPr>
          <w:color w:val="auto"/>
          <w:lang w:val="sr-Cyrl-CS"/>
        </w:rPr>
        <w:t>trenutku</w:t>
      </w:r>
      <w:r w:rsidR="00EB24C3" w:rsidRPr="00E95BC4">
        <w:rPr>
          <w:color w:val="auto"/>
          <w:lang w:val="sr-Cyrl-CS"/>
        </w:rPr>
        <w:t xml:space="preserve"> </w:t>
      </w:r>
      <w:r>
        <w:rPr>
          <w:color w:val="auto"/>
          <w:lang w:val="sr-Cyrl-CS"/>
        </w:rPr>
        <w:t>identifikovane</w:t>
      </w:r>
      <w:r w:rsidR="00EB24C3" w:rsidRPr="00E95BC4">
        <w:rPr>
          <w:color w:val="auto"/>
          <w:lang w:val="sr-Cyrl-CS"/>
        </w:rPr>
        <w:t xml:space="preserve">, </w:t>
      </w:r>
      <w:r>
        <w:rPr>
          <w:color w:val="auto"/>
          <w:lang w:val="sr-Cyrl-CS"/>
        </w:rPr>
        <w:t>npr</w:t>
      </w:r>
      <w:r w:rsidR="00EB24C3" w:rsidRPr="00E95BC4">
        <w:rPr>
          <w:color w:val="auto"/>
          <w:lang w:val="sr-Cyrl-CS"/>
        </w:rPr>
        <w:t xml:space="preserve">. </w:t>
      </w:r>
      <w:r>
        <w:rPr>
          <w:color w:val="auto"/>
          <w:lang w:val="sr-Cyrl-CS"/>
        </w:rPr>
        <w:t>u</w:t>
      </w:r>
      <w:r w:rsidR="00EB24C3" w:rsidRPr="00E95BC4">
        <w:rPr>
          <w:color w:val="auto"/>
          <w:lang w:val="sr-Cyrl-CS"/>
        </w:rPr>
        <w:t xml:space="preserve"> </w:t>
      </w:r>
      <w:r>
        <w:rPr>
          <w:color w:val="auto"/>
          <w:lang w:val="sr-Cyrl-CS"/>
        </w:rPr>
        <w:t>procesu</w:t>
      </w:r>
      <w:r w:rsidR="00EB24C3" w:rsidRPr="00E95BC4">
        <w:rPr>
          <w:color w:val="auto"/>
          <w:lang w:val="sr-Cyrl-CS"/>
        </w:rPr>
        <w:t xml:space="preserve"> </w:t>
      </w:r>
      <w:r>
        <w:rPr>
          <w:color w:val="auto"/>
          <w:lang w:val="sr-Cyrl-CS"/>
        </w:rPr>
        <w:t>nacionalne</w:t>
      </w:r>
      <w:r w:rsidR="00EB24C3" w:rsidRPr="00E95BC4">
        <w:rPr>
          <w:color w:val="auto"/>
          <w:lang w:val="sr-Cyrl-CS"/>
        </w:rPr>
        <w:t xml:space="preserve"> </w:t>
      </w:r>
      <w:r>
        <w:rPr>
          <w:color w:val="auto"/>
          <w:lang w:val="sr-Cyrl-CS"/>
        </w:rPr>
        <w:t>procene</w:t>
      </w:r>
      <w:r w:rsidR="00EB24C3" w:rsidRPr="00E95BC4">
        <w:rPr>
          <w:color w:val="auto"/>
          <w:lang w:val="sr-Cyrl-CS"/>
        </w:rPr>
        <w:t xml:space="preserve"> </w:t>
      </w:r>
      <w:r>
        <w:rPr>
          <w:color w:val="auto"/>
          <w:lang w:val="sr-Cyrl-CS"/>
        </w:rPr>
        <w:t>rizika</w:t>
      </w:r>
      <w:r w:rsidR="00EB24C3" w:rsidRPr="00E95BC4">
        <w:rPr>
          <w:color w:val="auto"/>
          <w:lang w:val="sr-Cyrl-CS"/>
        </w:rPr>
        <w:t xml:space="preserve">. </w:t>
      </w:r>
      <w:r>
        <w:rPr>
          <w:color w:val="auto"/>
          <w:lang w:val="sr-Cyrl-CS"/>
        </w:rPr>
        <w:t>Pranje</w:t>
      </w:r>
      <w:r w:rsidR="00EB24C3" w:rsidRPr="00E95BC4">
        <w:rPr>
          <w:color w:val="auto"/>
          <w:lang w:val="sr-Cyrl-CS"/>
        </w:rPr>
        <w:t xml:space="preserve"> </w:t>
      </w:r>
      <w:r>
        <w:rPr>
          <w:color w:val="auto"/>
          <w:lang w:val="sr-Cyrl-CS"/>
        </w:rPr>
        <w:t>novca</w:t>
      </w:r>
      <w:r w:rsidR="00EB24C3" w:rsidRPr="00E95BC4">
        <w:rPr>
          <w:color w:val="auto"/>
          <w:lang w:val="sr-Cyrl-CS"/>
        </w:rPr>
        <w:t xml:space="preserve"> </w:t>
      </w:r>
      <w:r>
        <w:rPr>
          <w:color w:val="auto"/>
          <w:lang w:val="sr-Cyrl-CS"/>
        </w:rPr>
        <w:t>i</w:t>
      </w:r>
      <w:r w:rsidR="00EB24C3" w:rsidRPr="00E95BC4">
        <w:rPr>
          <w:color w:val="auto"/>
          <w:lang w:val="sr-Cyrl-CS"/>
        </w:rPr>
        <w:t xml:space="preserve"> </w:t>
      </w:r>
      <w:r>
        <w:rPr>
          <w:color w:val="auto"/>
          <w:lang w:val="sr-Cyrl-CS"/>
        </w:rPr>
        <w:t>finansiranje</w:t>
      </w:r>
      <w:r w:rsidR="00EB24C3" w:rsidRPr="00E95BC4">
        <w:rPr>
          <w:color w:val="auto"/>
          <w:lang w:val="sr-Cyrl-CS"/>
        </w:rPr>
        <w:t xml:space="preserve"> </w:t>
      </w:r>
      <w:r>
        <w:rPr>
          <w:color w:val="auto"/>
          <w:lang w:val="sr-Cyrl-CS"/>
        </w:rPr>
        <w:t>terorizma</w:t>
      </w:r>
      <w:r w:rsidR="00EB24C3" w:rsidRPr="00E95BC4">
        <w:rPr>
          <w:color w:val="auto"/>
          <w:lang w:val="sr-Cyrl-CS"/>
        </w:rPr>
        <w:t xml:space="preserve"> </w:t>
      </w:r>
      <w:r>
        <w:rPr>
          <w:color w:val="auto"/>
          <w:lang w:val="sr-Cyrl-CS"/>
        </w:rPr>
        <w:t>su</w:t>
      </w:r>
      <w:r w:rsidR="00EB24C3" w:rsidRPr="00E95BC4">
        <w:rPr>
          <w:color w:val="auto"/>
          <w:lang w:val="sr-Cyrl-CS"/>
        </w:rPr>
        <w:t xml:space="preserve"> </w:t>
      </w:r>
      <w:r>
        <w:rPr>
          <w:color w:val="auto"/>
          <w:lang w:val="sr-Cyrl-CS"/>
        </w:rPr>
        <w:t>dinamične</w:t>
      </w:r>
      <w:r w:rsidR="00EB24C3" w:rsidRPr="00E95BC4">
        <w:rPr>
          <w:color w:val="auto"/>
          <w:lang w:val="sr-Cyrl-CS"/>
        </w:rPr>
        <w:t xml:space="preserve"> </w:t>
      </w:r>
      <w:r>
        <w:rPr>
          <w:color w:val="auto"/>
          <w:lang w:val="sr-Cyrl-CS"/>
        </w:rPr>
        <w:t>pretnje</w:t>
      </w:r>
      <w:r w:rsidR="00EB24C3" w:rsidRPr="00E95BC4">
        <w:rPr>
          <w:color w:val="auto"/>
          <w:lang w:val="sr-Cyrl-CS"/>
        </w:rPr>
        <w:t xml:space="preserve"> </w:t>
      </w:r>
      <w:r>
        <w:rPr>
          <w:color w:val="auto"/>
          <w:lang w:val="sr-Cyrl-CS"/>
        </w:rPr>
        <w:t>koje</w:t>
      </w:r>
      <w:r w:rsidR="00EB24C3" w:rsidRPr="00E95BC4">
        <w:rPr>
          <w:color w:val="auto"/>
          <w:lang w:val="sr-Cyrl-CS"/>
        </w:rPr>
        <w:t xml:space="preserve"> </w:t>
      </w:r>
      <w:r>
        <w:rPr>
          <w:color w:val="auto"/>
          <w:lang w:val="sr-Cyrl-CS"/>
        </w:rPr>
        <w:t>se</w:t>
      </w:r>
      <w:r w:rsidR="00EB24C3" w:rsidRPr="00E95BC4">
        <w:rPr>
          <w:color w:val="auto"/>
          <w:lang w:val="sr-Cyrl-CS"/>
        </w:rPr>
        <w:t xml:space="preserve"> </w:t>
      </w:r>
      <w:r>
        <w:rPr>
          <w:color w:val="auto"/>
          <w:lang w:val="sr-Cyrl-CS"/>
        </w:rPr>
        <w:t>mogu</w:t>
      </w:r>
      <w:r w:rsidR="00EB24C3" w:rsidRPr="00E95BC4">
        <w:rPr>
          <w:color w:val="auto"/>
          <w:lang w:val="sr-Cyrl-CS"/>
        </w:rPr>
        <w:t xml:space="preserve"> </w:t>
      </w:r>
      <w:r>
        <w:rPr>
          <w:color w:val="auto"/>
          <w:lang w:val="sr-Cyrl-CS"/>
        </w:rPr>
        <w:t>menjati</w:t>
      </w:r>
      <w:r w:rsidR="00EB24C3" w:rsidRPr="00E95BC4">
        <w:rPr>
          <w:color w:val="auto"/>
          <w:lang w:val="sr-Cyrl-CS"/>
        </w:rPr>
        <w:t xml:space="preserve"> </w:t>
      </w:r>
      <w:r>
        <w:rPr>
          <w:color w:val="auto"/>
          <w:lang w:val="sr-Cyrl-CS"/>
        </w:rPr>
        <w:t>veoma</w:t>
      </w:r>
      <w:r w:rsidR="00EB24C3" w:rsidRPr="00E95BC4">
        <w:rPr>
          <w:color w:val="auto"/>
          <w:lang w:val="sr-Cyrl-CS"/>
        </w:rPr>
        <w:t xml:space="preserve"> </w:t>
      </w:r>
      <w:r>
        <w:rPr>
          <w:color w:val="auto"/>
          <w:lang w:val="sr-Cyrl-CS"/>
        </w:rPr>
        <w:t>brzo</w:t>
      </w:r>
      <w:r w:rsidR="00EB24C3" w:rsidRPr="00E95BC4">
        <w:rPr>
          <w:color w:val="auto"/>
          <w:lang w:val="sr-Cyrl-CS"/>
        </w:rPr>
        <w:t xml:space="preserve"> </w:t>
      </w:r>
      <w:r>
        <w:rPr>
          <w:color w:val="auto"/>
          <w:lang w:val="sr-Cyrl-CS"/>
        </w:rPr>
        <w:t>i</w:t>
      </w:r>
      <w:r w:rsidR="00EB24C3" w:rsidRPr="00E95BC4">
        <w:rPr>
          <w:color w:val="auto"/>
          <w:lang w:val="sr-Cyrl-CS"/>
        </w:rPr>
        <w:t xml:space="preserve"> </w:t>
      </w:r>
      <w:r>
        <w:rPr>
          <w:color w:val="auto"/>
          <w:lang w:val="sr-Cyrl-CS"/>
        </w:rPr>
        <w:t>zahtevaju</w:t>
      </w:r>
      <w:r w:rsidR="00EB24C3" w:rsidRPr="00E95BC4">
        <w:rPr>
          <w:color w:val="auto"/>
          <w:lang w:val="sr-Cyrl-CS"/>
        </w:rPr>
        <w:t xml:space="preserve"> </w:t>
      </w:r>
      <w:r>
        <w:rPr>
          <w:color w:val="auto"/>
          <w:lang w:val="sr-Cyrl-CS"/>
        </w:rPr>
        <w:t>strateški</w:t>
      </w:r>
      <w:r w:rsidR="00EB24C3" w:rsidRPr="00E95BC4">
        <w:rPr>
          <w:color w:val="auto"/>
          <w:lang w:val="sr-Cyrl-CS"/>
        </w:rPr>
        <w:t xml:space="preserve"> </w:t>
      </w:r>
      <w:r>
        <w:rPr>
          <w:color w:val="auto"/>
          <w:lang w:val="sr-Cyrl-CS"/>
        </w:rPr>
        <w:t>odgovor</w:t>
      </w:r>
      <w:r w:rsidR="00EB24C3" w:rsidRPr="00E95BC4">
        <w:rPr>
          <w:color w:val="auto"/>
          <w:lang w:val="sr-Cyrl-CS"/>
        </w:rPr>
        <w:t xml:space="preserve">, </w:t>
      </w:r>
      <w:r>
        <w:rPr>
          <w:color w:val="auto"/>
          <w:lang w:val="sr-Cyrl-CS"/>
        </w:rPr>
        <w:t>koji</w:t>
      </w:r>
      <w:r w:rsidR="00EB24C3" w:rsidRPr="00E95BC4">
        <w:rPr>
          <w:color w:val="auto"/>
          <w:lang w:val="sr-Cyrl-CS"/>
        </w:rPr>
        <w:t xml:space="preserve"> </w:t>
      </w:r>
      <w:r>
        <w:rPr>
          <w:color w:val="auto"/>
          <w:lang w:val="sr-Cyrl-CS"/>
        </w:rPr>
        <w:t>podrazumeva</w:t>
      </w:r>
      <w:r w:rsidR="00EB24C3" w:rsidRPr="00E95BC4">
        <w:rPr>
          <w:color w:val="auto"/>
          <w:lang w:val="sr-Cyrl-CS"/>
        </w:rPr>
        <w:t xml:space="preserve"> </w:t>
      </w:r>
      <w:r>
        <w:rPr>
          <w:color w:val="auto"/>
          <w:lang w:val="sr-Cyrl-CS"/>
        </w:rPr>
        <w:t>i</w:t>
      </w:r>
      <w:r w:rsidR="00EB24C3" w:rsidRPr="00E95BC4">
        <w:rPr>
          <w:color w:val="auto"/>
          <w:lang w:val="sr-Cyrl-CS"/>
        </w:rPr>
        <w:t xml:space="preserve"> </w:t>
      </w:r>
      <w:r>
        <w:rPr>
          <w:color w:val="auto"/>
          <w:lang w:val="sr-Cyrl-CS"/>
        </w:rPr>
        <w:t>angažman</w:t>
      </w:r>
      <w:r w:rsidR="00EB24C3" w:rsidRPr="00E95BC4">
        <w:rPr>
          <w:color w:val="auto"/>
          <w:lang w:val="sr-Cyrl-CS"/>
        </w:rPr>
        <w:t xml:space="preserve"> </w:t>
      </w:r>
      <w:r>
        <w:rPr>
          <w:color w:val="auto"/>
          <w:lang w:val="sr-Cyrl-CS"/>
        </w:rPr>
        <w:t>na</w:t>
      </w:r>
      <w:r w:rsidR="00EB24C3" w:rsidRPr="00E95BC4">
        <w:rPr>
          <w:color w:val="auto"/>
          <w:lang w:val="sr-Cyrl-CS"/>
        </w:rPr>
        <w:t xml:space="preserve"> </w:t>
      </w:r>
      <w:r>
        <w:rPr>
          <w:color w:val="auto"/>
          <w:lang w:val="sr-Cyrl-CS"/>
        </w:rPr>
        <w:t>političkom</w:t>
      </w:r>
      <w:r w:rsidR="00EB24C3" w:rsidRPr="00E95BC4">
        <w:rPr>
          <w:color w:val="auto"/>
          <w:lang w:val="sr-Cyrl-CS"/>
        </w:rPr>
        <w:t xml:space="preserve"> </w:t>
      </w:r>
      <w:r>
        <w:rPr>
          <w:color w:val="auto"/>
          <w:lang w:val="sr-Cyrl-CS"/>
        </w:rPr>
        <w:t>nivou</w:t>
      </w:r>
      <w:r w:rsidR="00EB24C3" w:rsidRPr="00E95BC4">
        <w:rPr>
          <w:color w:val="auto"/>
          <w:lang w:val="sr-Cyrl-CS"/>
        </w:rPr>
        <w:t xml:space="preserve">. </w:t>
      </w:r>
      <w:r>
        <w:rPr>
          <w:color w:val="auto"/>
          <w:lang w:val="sr-Cyrl-CS"/>
        </w:rPr>
        <w:t>Opredeljenjem</w:t>
      </w:r>
      <w:r w:rsidR="00EB24C3" w:rsidRPr="00E95BC4">
        <w:rPr>
          <w:color w:val="auto"/>
          <w:lang w:val="sr-Cyrl-CS"/>
        </w:rPr>
        <w:t xml:space="preserve"> </w:t>
      </w:r>
      <w:r>
        <w:rPr>
          <w:color w:val="auto"/>
          <w:lang w:val="sr-Cyrl-CS"/>
        </w:rPr>
        <w:t>za</w:t>
      </w:r>
      <w:r w:rsidR="00EB24C3" w:rsidRPr="00E95BC4">
        <w:rPr>
          <w:color w:val="auto"/>
          <w:lang w:val="sr-Cyrl-CS"/>
        </w:rPr>
        <w:t xml:space="preserve"> </w:t>
      </w:r>
      <w:r>
        <w:rPr>
          <w:color w:val="auto"/>
          <w:lang w:val="sr-Cyrl-CS"/>
        </w:rPr>
        <w:t>Opciju</w:t>
      </w:r>
      <w:r w:rsidR="00EB24C3" w:rsidRPr="00E95BC4">
        <w:rPr>
          <w:color w:val="auto"/>
          <w:lang w:val="sr-Cyrl-CS"/>
        </w:rPr>
        <w:t xml:space="preserve"> 1 </w:t>
      </w:r>
      <w:r>
        <w:rPr>
          <w:color w:val="auto"/>
          <w:lang w:val="sr-Cyrl-CS"/>
        </w:rPr>
        <w:t>postojao</w:t>
      </w:r>
      <w:r w:rsidR="00EB24C3" w:rsidRPr="00E95BC4">
        <w:rPr>
          <w:color w:val="auto"/>
          <w:lang w:val="sr-Cyrl-CS"/>
        </w:rPr>
        <w:t xml:space="preserve"> </w:t>
      </w:r>
      <w:r>
        <w:rPr>
          <w:color w:val="auto"/>
          <w:lang w:val="sr-Cyrl-CS"/>
        </w:rPr>
        <w:t>bi</w:t>
      </w:r>
      <w:r w:rsidR="00EB24C3" w:rsidRPr="00E95BC4">
        <w:rPr>
          <w:color w:val="auto"/>
          <w:lang w:val="sr-Cyrl-CS"/>
        </w:rPr>
        <w:t xml:space="preserve"> </w:t>
      </w:r>
      <w:r>
        <w:rPr>
          <w:color w:val="auto"/>
          <w:lang w:val="sr-Cyrl-CS"/>
        </w:rPr>
        <w:t>rizik</w:t>
      </w:r>
      <w:r w:rsidR="00EB24C3" w:rsidRPr="00E95BC4">
        <w:rPr>
          <w:color w:val="auto"/>
          <w:lang w:val="sr-Cyrl-CS"/>
        </w:rPr>
        <w:t xml:space="preserve"> </w:t>
      </w:r>
      <w:r>
        <w:rPr>
          <w:color w:val="auto"/>
          <w:lang w:val="sr-Cyrl-CS"/>
        </w:rPr>
        <w:t>da</w:t>
      </w:r>
      <w:r w:rsidR="00EB24C3" w:rsidRPr="00E95BC4">
        <w:rPr>
          <w:color w:val="auto"/>
          <w:lang w:val="sr-Cyrl-CS"/>
        </w:rPr>
        <w:t xml:space="preserve"> </w:t>
      </w:r>
      <w:r>
        <w:rPr>
          <w:color w:val="auto"/>
          <w:lang w:val="sr-Cyrl-CS"/>
        </w:rPr>
        <w:t>javnost</w:t>
      </w:r>
      <w:r w:rsidR="00EB24C3" w:rsidRPr="00E95BC4">
        <w:rPr>
          <w:color w:val="auto"/>
          <w:lang w:val="sr-Cyrl-CS"/>
        </w:rPr>
        <w:t xml:space="preserve"> </w:t>
      </w:r>
      <w:r>
        <w:rPr>
          <w:color w:val="auto"/>
          <w:lang w:val="sr-Cyrl-CS"/>
        </w:rPr>
        <w:t>i</w:t>
      </w:r>
      <w:r w:rsidR="00EB24C3" w:rsidRPr="00E95BC4">
        <w:rPr>
          <w:color w:val="auto"/>
          <w:lang w:val="sr-Cyrl-CS"/>
        </w:rPr>
        <w:t xml:space="preserve"> </w:t>
      </w:r>
      <w:r>
        <w:rPr>
          <w:color w:val="auto"/>
          <w:lang w:val="sr-Cyrl-CS"/>
        </w:rPr>
        <w:t>privatni</w:t>
      </w:r>
      <w:r w:rsidR="00EB24C3" w:rsidRPr="00E95BC4">
        <w:rPr>
          <w:color w:val="auto"/>
          <w:lang w:val="sr-Cyrl-CS"/>
        </w:rPr>
        <w:t xml:space="preserve"> </w:t>
      </w:r>
      <w:r>
        <w:rPr>
          <w:color w:val="auto"/>
          <w:lang w:val="sr-Cyrl-CS"/>
        </w:rPr>
        <w:t>sektor</w:t>
      </w:r>
      <w:r w:rsidR="00EB24C3" w:rsidRPr="00E95BC4">
        <w:rPr>
          <w:color w:val="auto"/>
          <w:lang w:val="sr-Cyrl-CS"/>
        </w:rPr>
        <w:t xml:space="preserve"> </w:t>
      </w:r>
      <w:r>
        <w:rPr>
          <w:color w:val="auto"/>
          <w:lang w:val="sr-Cyrl-CS"/>
        </w:rPr>
        <w:t>ne</w:t>
      </w:r>
      <w:r w:rsidR="00EB24C3" w:rsidRPr="00E95BC4">
        <w:rPr>
          <w:color w:val="auto"/>
          <w:lang w:val="sr-Cyrl-CS"/>
        </w:rPr>
        <w:t xml:space="preserve"> </w:t>
      </w:r>
      <w:r>
        <w:rPr>
          <w:color w:val="auto"/>
          <w:lang w:val="sr-Cyrl-CS"/>
        </w:rPr>
        <w:t>budu</w:t>
      </w:r>
      <w:r w:rsidR="00EB24C3" w:rsidRPr="00E95BC4">
        <w:rPr>
          <w:color w:val="auto"/>
          <w:lang w:val="sr-Cyrl-CS"/>
        </w:rPr>
        <w:t xml:space="preserve"> </w:t>
      </w:r>
      <w:r>
        <w:rPr>
          <w:color w:val="auto"/>
          <w:lang w:val="sr-Cyrl-CS"/>
        </w:rPr>
        <w:t>brzo</w:t>
      </w:r>
      <w:r w:rsidR="00EB24C3" w:rsidRPr="00E95BC4">
        <w:rPr>
          <w:color w:val="auto"/>
          <w:lang w:val="sr-Cyrl-CS"/>
        </w:rPr>
        <w:t xml:space="preserve"> </w:t>
      </w:r>
      <w:r>
        <w:rPr>
          <w:color w:val="auto"/>
          <w:lang w:val="sr-Cyrl-CS"/>
        </w:rPr>
        <w:t>i</w:t>
      </w:r>
      <w:r w:rsidR="00EB24C3" w:rsidRPr="00E95BC4">
        <w:rPr>
          <w:color w:val="auto"/>
          <w:lang w:val="sr-Cyrl-CS"/>
        </w:rPr>
        <w:t xml:space="preserve"> </w:t>
      </w:r>
      <w:r>
        <w:rPr>
          <w:color w:val="auto"/>
          <w:lang w:val="sr-Cyrl-CS"/>
        </w:rPr>
        <w:t>sa</w:t>
      </w:r>
      <w:r w:rsidR="00EB24C3" w:rsidRPr="00E95BC4">
        <w:rPr>
          <w:color w:val="auto"/>
          <w:lang w:val="sr-Cyrl-CS"/>
        </w:rPr>
        <w:t xml:space="preserve"> </w:t>
      </w:r>
      <w:r>
        <w:rPr>
          <w:color w:val="auto"/>
          <w:lang w:val="sr-Cyrl-CS"/>
        </w:rPr>
        <w:t>uspehom</w:t>
      </w:r>
      <w:r w:rsidR="00EB24C3" w:rsidRPr="00E95BC4">
        <w:rPr>
          <w:color w:val="auto"/>
          <w:lang w:val="sr-Cyrl-CS"/>
        </w:rPr>
        <w:t xml:space="preserve"> </w:t>
      </w:r>
      <w:r>
        <w:rPr>
          <w:color w:val="auto"/>
          <w:lang w:val="sr-Cyrl-CS"/>
        </w:rPr>
        <w:t>angažovani</w:t>
      </w:r>
      <w:r w:rsidR="00EB24C3" w:rsidRPr="00E95BC4">
        <w:rPr>
          <w:color w:val="auto"/>
          <w:lang w:val="sr-Cyrl-CS"/>
        </w:rPr>
        <w:t xml:space="preserve"> </w:t>
      </w:r>
      <w:r>
        <w:rPr>
          <w:color w:val="auto"/>
          <w:lang w:val="sr-Cyrl-CS"/>
        </w:rPr>
        <w:t>u</w:t>
      </w:r>
      <w:r w:rsidR="00EB24C3" w:rsidRPr="00E95BC4">
        <w:rPr>
          <w:color w:val="auto"/>
          <w:lang w:val="sr-Cyrl-CS"/>
        </w:rPr>
        <w:t xml:space="preserve"> </w:t>
      </w:r>
      <w:r>
        <w:rPr>
          <w:color w:val="auto"/>
          <w:lang w:val="sr-Cyrl-CS"/>
        </w:rPr>
        <w:t>borbi</w:t>
      </w:r>
      <w:r w:rsidR="00EB24C3" w:rsidRPr="00E95BC4">
        <w:rPr>
          <w:color w:val="auto"/>
          <w:lang w:val="sr-Cyrl-CS"/>
        </w:rPr>
        <w:t xml:space="preserve"> </w:t>
      </w:r>
      <w:r>
        <w:rPr>
          <w:color w:val="auto"/>
          <w:lang w:val="sr-Cyrl-CS"/>
        </w:rPr>
        <w:t>protiv</w:t>
      </w:r>
      <w:r w:rsidR="00EB24C3" w:rsidRPr="00E95BC4">
        <w:rPr>
          <w:color w:val="auto"/>
          <w:lang w:val="sr-Cyrl-CS"/>
        </w:rPr>
        <w:t xml:space="preserve"> </w:t>
      </w:r>
      <w:r>
        <w:rPr>
          <w:color w:val="auto"/>
          <w:lang w:val="sr-Cyrl-CS"/>
        </w:rPr>
        <w:t>takvih</w:t>
      </w:r>
      <w:r w:rsidR="00EB24C3" w:rsidRPr="00E95BC4">
        <w:rPr>
          <w:color w:val="auto"/>
          <w:lang w:val="sr-Cyrl-CS"/>
        </w:rPr>
        <w:t xml:space="preserve"> </w:t>
      </w:r>
      <w:r>
        <w:rPr>
          <w:color w:val="auto"/>
          <w:lang w:val="sr-Cyrl-CS"/>
        </w:rPr>
        <w:t>pretnji</w:t>
      </w:r>
      <w:r w:rsidR="00EB24C3" w:rsidRPr="00E95BC4">
        <w:rPr>
          <w:color w:val="auto"/>
          <w:lang w:val="sr-Cyrl-CS"/>
        </w:rPr>
        <w:t xml:space="preserve">. </w:t>
      </w:r>
      <w:r>
        <w:rPr>
          <w:color w:val="auto"/>
          <w:lang w:val="sr-Cyrl-CS"/>
        </w:rPr>
        <w:t>Ni</w:t>
      </w:r>
      <w:r w:rsidR="00AD151C" w:rsidRPr="00E95BC4">
        <w:rPr>
          <w:color w:val="auto"/>
          <w:lang w:val="sr-Cyrl-CS"/>
        </w:rPr>
        <w:t xml:space="preserve"> </w:t>
      </w:r>
      <w:r>
        <w:rPr>
          <w:color w:val="auto"/>
          <w:lang w:val="sr-Cyrl-CS"/>
        </w:rPr>
        <w:t>relevantne</w:t>
      </w:r>
      <w:r w:rsidR="00AD151C" w:rsidRPr="00E95BC4">
        <w:rPr>
          <w:color w:val="auto"/>
          <w:lang w:val="sr-Cyrl-CS"/>
        </w:rPr>
        <w:t xml:space="preserve"> </w:t>
      </w:r>
      <w:r>
        <w:rPr>
          <w:color w:val="auto"/>
          <w:lang w:val="sr-Cyrl-CS"/>
        </w:rPr>
        <w:t>međunarodne</w:t>
      </w:r>
      <w:r w:rsidR="00AD151C" w:rsidRPr="00E95BC4">
        <w:rPr>
          <w:color w:val="auto"/>
          <w:lang w:val="sr-Cyrl-CS"/>
        </w:rPr>
        <w:t xml:space="preserve"> </w:t>
      </w:r>
      <w:r>
        <w:rPr>
          <w:color w:val="auto"/>
          <w:lang w:val="sr-Cyrl-CS"/>
        </w:rPr>
        <w:t>organizacije</w:t>
      </w:r>
      <w:r w:rsidR="00AD151C" w:rsidRPr="00E95BC4">
        <w:rPr>
          <w:color w:val="auto"/>
          <w:lang w:val="sr-Cyrl-CS"/>
        </w:rPr>
        <w:t xml:space="preserve">, </w:t>
      </w:r>
      <w:r>
        <w:rPr>
          <w:color w:val="auto"/>
          <w:lang w:val="sr-Cyrl-CS"/>
        </w:rPr>
        <w:t>pre</w:t>
      </w:r>
      <w:r w:rsidR="00AD151C" w:rsidRPr="00E95BC4">
        <w:rPr>
          <w:color w:val="auto"/>
          <w:lang w:val="sr-Cyrl-CS"/>
        </w:rPr>
        <w:t xml:space="preserve"> </w:t>
      </w:r>
      <w:r>
        <w:rPr>
          <w:color w:val="auto"/>
          <w:lang w:val="sr-Cyrl-CS"/>
        </w:rPr>
        <w:t>svega</w:t>
      </w:r>
      <w:r w:rsidR="00AD151C" w:rsidRPr="00E95BC4">
        <w:rPr>
          <w:color w:val="auto"/>
          <w:lang w:val="sr-Cyrl-CS"/>
        </w:rPr>
        <w:t xml:space="preserve"> </w:t>
      </w:r>
      <w:r>
        <w:rPr>
          <w:color w:val="auto"/>
          <w:lang w:val="sr-Cyrl-CS"/>
        </w:rPr>
        <w:t>Manival</w:t>
      </w:r>
      <w:r w:rsidR="00AD151C" w:rsidRPr="00E95BC4">
        <w:rPr>
          <w:color w:val="auto"/>
          <w:lang w:val="sr-Cyrl-CS"/>
        </w:rPr>
        <w:t>,</w:t>
      </w:r>
      <w:r w:rsidR="00EB24C3" w:rsidRPr="00E95BC4">
        <w:rPr>
          <w:color w:val="auto"/>
          <w:lang w:val="sr-Cyrl-CS"/>
        </w:rPr>
        <w:t xml:space="preserve"> </w:t>
      </w:r>
      <w:r>
        <w:rPr>
          <w:color w:val="auto"/>
          <w:lang w:val="sr-Cyrl-CS"/>
        </w:rPr>
        <w:t>na</w:t>
      </w:r>
      <w:r w:rsidR="00EB24C3" w:rsidRPr="00E95BC4">
        <w:rPr>
          <w:color w:val="auto"/>
          <w:lang w:val="sr-Cyrl-CS"/>
        </w:rPr>
        <w:t xml:space="preserve"> </w:t>
      </w:r>
      <w:r>
        <w:rPr>
          <w:color w:val="auto"/>
          <w:lang w:val="sr-Cyrl-CS"/>
        </w:rPr>
        <w:t>to</w:t>
      </w:r>
      <w:r w:rsidR="00EB24C3" w:rsidRPr="00E95BC4">
        <w:rPr>
          <w:color w:val="auto"/>
          <w:lang w:val="sr-Cyrl-CS"/>
        </w:rPr>
        <w:t xml:space="preserve"> </w:t>
      </w:r>
      <w:r>
        <w:rPr>
          <w:color w:val="auto"/>
          <w:lang w:val="sr-Cyrl-CS"/>
        </w:rPr>
        <w:t>ne</w:t>
      </w:r>
      <w:r w:rsidR="00EB24C3" w:rsidRPr="00E95BC4">
        <w:rPr>
          <w:color w:val="auto"/>
          <w:lang w:val="sr-Cyrl-CS"/>
        </w:rPr>
        <w:t xml:space="preserve"> </w:t>
      </w:r>
      <w:r>
        <w:rPr>
          <w:color w:val="auto"/>
          <w:lang w:val="sr-Cyrl-CS"/>
        </w:rPr>
        <w:t>bi</w:t>
      </w:r>
      <w:r w:rsidR="00EB24C3" w:rsidRPr="00E95BC4">
        <w:rPr>
          <w:color w:val="auto"/>
          <w:lang w:val="sr-Cyrl-CS"/>
        </w:rPr>
        <w:t xml:space="preserve"> </w:t>
      </w:r>
      <w:r>
        <w:rPr>
          <w:color w:val="auto"/>
          <w:lang w:val="sr-Cyrl-CS"/>
        </w:rPr>
        <w:t>gledao</w:t>
      </w:r>
      <w:r w:rsidR="00EB24C3" w:rsidRPr="00E95BC4">
        <w:rPr>
          <w:color w:val="auto"/>
          <w:lang w:val="sr-Cyrl-CS"/>
        </w:rPr>
        <w:t xml:space="preserve"> </w:t>
      </w:r>
      <w:r>
        <w:rPr>
          <w:color w:val="auto"/>
          <w:lang w:val="sr-Cyrl-CS"/>
        </w:rPr>
        <w:t>sa</w:t>
      </w:r>
      <w:r w:rsidR="00EB24C3" w:rsidRPr="00E95BC4">
        <w:rPr>
          <w:color w:val="auto"/>
          <w:lang w:val="sr-Cyrl-CS"/>
        </w:rPr>
        <w:t xml:space="preserve"> </w:t>
      </w:r>
      <w:r>
        <w:rPr>
          <w:color w:val="auto"/>
          <w:lang w:val="sr-Cyrl-CS"/>
        </w:rPr>
        <w:t>odobravanjem</w:t>
      </w:r>
      <w:r w:rsidR="00AD151C" w:rsidRPr="00E95BC4">
        <w:rPr>
          <w:color w:val="auto"/>
          <w:lang w:val="sr-Cyrl-CS"/>
        </w:rPr>
        <w:t xml:space="preserve"> </w:t>
      </w:r>
      <w:r>
        <w:rPr>
          <w:color w:val="auto"/>
          <w:lang w:val="sr-Cyrl-CS"/>
        </w:rPr>
        <w:t>budući</w:t>
      </w:r>
      <w:r w:rsidR="00AD151C" w:rsidRPr="00E95BC4">
        <w:rPr>
          <w:color w:val="auto"/>
          <w:lang w:val="sr-Cyrl-CS"/>
        </w:rPr>
        <w:t xml:space="preserve"> </w:t>
      </w:r>
      <w:r>
        <w:rPr>
          <w:color w:val="auto"/>
          <w:lang w:val="sr-Cyrl-CS"/>
        </w:rPr>
        <w:t>da</w:t>
      </w:r>
      <w:r w:rsidR="00AD151C" w:rsidRPr="00E95BC4">
        <w:rPr>
          <w:color w:val="auto"/>
          <w:lang w:val="sr-Cyrl-CS"/>
        </w:rPr>
        <w:t xml:space="preserve"> </w:t>
      </w:r>
      <w:r>
        <w:rPr>
          <w:color w:val="auto"/>
          <w:lang w:val="sr-Cyrl-CS"/>
        </w:rPr>
        <w:t>se</w:t>
      </w:r>
      <w:r w:rsidR="00AD151C" w:rsidRPr="00E95BC4">
        <w:rPr>
          <w:color w:val="auto"/>
          <w:lang w:val="sr-Cyrl-CS"/>
        </w:rPr>
        <w:t xml:space="preserve"> </w:t>
      </w:r>
      <w:r>
        <w:rPr>
          <w:color w:val="auto"/>
          <w:lang w:val="sr-Cyrl-CS"/>
        </w:rPr>
        <w:t>od</w:t>
      </w:r>
      <w:r w:rsidR="00AD151C" w:rsidRPr="00E95BC4">
        <w:rPr>
          <w:color w:val="auto"/>
          <w:lang w:val="sr-Cyrl-CS"/>
        </w:rPr>
        <w:t xml:space="preserve"> </w:t>
      </w:r>
      <w:r>
        <w:rPr>
          <w:color w:val="auto"/>
          <w:lang w:val="sr-Cyrl-CS"/>
        </w:rPr>
        <w:t>država</w:t>
      </w:r>
      <w:r w:rsidR="00EB24C3" w:rsidRPr="00E95BC4">
        <w:rPr>
          <w:color w:val="auto"/>
          <w:lang w:val="sr-Cyrl-CS"/>
        </w:rPr>
        <w:t xml:space="preserve"> </w:t>
      </w:r>
      <w:r>
        <w:rPr>
          <w:color w:val="auto"/>
          <w:lang w:val="sr-Cyrl-CS"/>
        </w:rPr>
        <w:t>očekuje</w:t>
      </w:r>
      <w:r w:rsidR="00EB24C3" w:rsidRPr="00E95BC4">
        <w:rPr>
          <w:color w:val="auto"/>
          <w:lang w:val="sr-Cyrl-CS"/>
        </w:rPr>
        <w:t xml:space="preserve"> </w:t>
      </w:r>
      <w:r>
        <w:rPr>
          <w:color w:val="auto"/>
          <w:lang w:val="sr-Cyrl-CS"/>
        </w:rPr>
        <w:t>preduzima</w:t>
      </w:r>
      <w:r w:rsidR="00EB24C3" w:rsidRPr="00E95BC4">
        <w:rPr>
          <w:color w:val="auto"/>
          <w:lang w:val="sr-Cyrl-CS"/>
        </w:rPr>
        <w:t xml:space="preserve"> </w:t>
      </w:r>
      <w:r>
        <w:rPr>
          <w:color w:val="auto"/>
          <w:lang w:val="sr-Cyrl-CS"/>
        </w:rPr>
        <w:t>one</w:t>
      </w:r>
      <w:r w:rsidR="00EB24C3" w:rsidRPr="00E95BC4">
        <w:rPr>
          <w:color w:val="auto"/>
          <w:lang w:val="sr-Cyrl-CS"/>
        </w:rPr>
        <w:t xml:space="preserve"> </w:t>
      </w:r>
      <w:r>
        <w:rPr>
          <w:color w:val="auto"/>
          <w:lang w:val="sr-Cyrl-CS"/>
        </w:rPr>
        <w:t>mere</w:t>
      </w:r>
      <w:r w:rsidR="00EB24C3" w:rsidRPr="00E95BC4">
        <w:rPr>
          <w:color w:val="auto"/>
          <w:lang w:val="sr-Cyrl-CS"/>
        </w:rPr>
        <w:t xml:space="preserve"> </w:t>
      </w:r>
      <w:r>
        <w:rPr>
          <w:color w:val="auto"/>
          <w:lang w:val="sr-Cyrl-CS"/>
        </w:rPr>
        <w:t>u</w:t>
      </w:r>
      <w:r w:rsidR="00EB24C3" w:rsidRPr="00E95BC4">
        <w:rPr>
          <w:color w:val="auto"/>
          <w:lang w:val="sr-Cyrl-CS"/>
        </w:rPr>
        <w:t xml:space="preserve"> </w:t>
      </w:r>
      <w:r>
        <w:rPr>
          <w:color w:val="auto"/>
          <w:lang w:val="sr-Cyrl-CS"/>
        </w:rPr>
        <w:t>borbi</w:t>
      </w:r>
      <w:r w:rsidR="00EB24C3" w:rsidRPr="00E95BC4">
        <w:rPr>
          <w:color w:val="auto"/>
          <w:lang w:val="sr-Cyrl-CS"/>
        </w:rPr>
        <w:t xml:space="preserve"> </w:t>
      </w:r>
      <w:r>
        <w:rPr>
          <w:color w:val="auto"/>
          <w:lang w:val="sr-Cyrl-CS"/>
        </w:rPr>
        <w:t>protiv</w:t>
      </w:r>
      <w:r w:rsidR="00EB24C3" w:rsidRPr="00E95BC4">
        <w:rPr>
          <w:color w:val="auto"/>
          <w:lang w:val="sr-Cyrl-CS"/>
        </w:rPr>
        <w:t xml:space="preserve"> </w:t>
      </w:r>
      <w:r>
        <w:rPr>
          <w:color w:val="auto"/>
          <w:lang w:val="sr-Cyrl-CS"/>
        </w:rPr>
        <w:t>pranja</w:t>
      </w:r>
      <w:r w:rsidR="00EB24C3" w:rsidRPr="00E95BC4">
        <w:rPr>
          <w:color w:val="auto"/>
          <w:lang w:val="sr-Cyrl-CS"/>
        </w:rPr>
        <w:t xml:space="preserve"> </w:t>
      </w:r>
      <w:r>
        <w:rPr>
          <w:color w:val="auto"/>
          <w:lang w:val="sr-Cyrl-CS"/>
        </w:rPr>
        <w:t>novca</w:t>
      </w:r>
      <w:r w:rsidR="00EB24C3" w:rsidRPr="00E95BC4">
        <w:rPr>
          <w:color w:val="auto"/>
          <w:lang w:val="sr-Cyrl-CS"/>
        </w:rPr>
        <w:t xml:space="preserve"> </w:t>
      </w:r>
      <w:r>
        <w:rPr>
          <w:color w:val="auto"/>
          <w:lang w:val="sr-Cyrl-CS"/>
        </w:rPr>
        <w:t>i</w:t>
      </w:r>
      <w:r w:rsidR="00EB24C3" w:rsidRPr="00E95BC4">
        <w:rPr>
          <w:color w:val="auto"/>
          <w:lang w:val="sr-Cyrl-CS"/>
        </w:rPr>
        <w:t xml:space="preserve"> </w:t>
      </w:r>
      <w:r>
        <w:rPr>
          <w:color w:val="auto"/>
          <w:lang w:val="sr-Cyrl-CS"/>
        </w:rPr>
        <w:t>finansiranja</w:t>
      </w:r>
      <w:r w:rsidR="00EB24C3" w:rsidRPr="00E95BC4">
        <w:rPr>
          <w:color w:val="auto"/>
          <w:lang w:val="sr-Cyrl-CS"/>
        </w:rPr>
        <w:t xml:space="preserve"> </w:t>
      </w:r>
      <w:r>
        <w:rPr>
          <w:color w:val="auto"/>
          <w:lang w:val="sr-Cyrl-CS"/>
        </w:rPr>
        <w:t>terorizma</w:t>
      </w:r>
      <w:r w:rsidR="00EB24C3" w:rsidRPr="00E95BC4">
        <w:rPr>
          <w:color w:val="auto"/>
          <w:lang w:val="sr-Cyrl-CS"/>
        </w:rPr>
        <w:t xml:space="preserve"> </w:t>
      </w:r>
      <w:r>
        <w:rPr>
          <w:color w:val="auto"/>
          <w:lang w:val="sr-Cyrl-CS"/>
        </w:rPr>
        <w:t>koje</w:t>
      </w:r>
      <w:r w:rsidR="00EB24C3" w:rsidRPr="00E95BC4">
        <w:rPr>
          <w:color w:val="auto"/>
          <w:lang w:val="sr-Cyrl-CS"/>
        </w:rPr>
        <w:t xml:space="preserve"> </w:t>
      </w:r>
      <w:r>
        <w:rPr>
          <w:color w:val="auto"/>
          <w:lang w:val="sr-Cyrl-CS"/>
        </w:rPr>
        <w:t>odgovaraju</w:t>
      </w:r>
      <w:r w:rsidR="00EB24C3" w:rsidRPr="00E95BC4">
        <w:rPr>
          <w:color w:val="auto"/>
          <w:lang w:val="sr-Cyrl-CS"/>
        </w:rPr>
        <w:t xml:space="preserve"> </w:t>
      </w:r>
      <w:r>
        <w:rPr>
          <w:color w:val="auto"/>
          <w:lang w:val="sr-Cyrl-CS"/>
        </w:rPr>
        <w:t>prirodi</w:t>
      </w:r>
      <w:r w:rsidR="00EB24C3" w:rsidRPr="00E95BC4">
        <w:rPr>
          <w:color w:val="auto"/>
          <w:lang w:val="sr-Cyrl-CS"/>
        </w:rPr>
        <w:t xml:space="preserve"> </w:t>
      </w:r>
      <w:r>
        <w:rPr>
          <w:color w:val="auto"/>
          <w:lang w:val="sr-Cyrl-CS"/>
        </w:rPr>
        <w:t>pretnji</w:t>
      </w:r>
      <w:r w:rsidR="00EB24C3" w:rsidRPr="00E95BC4">
        <w:rPr>
          <w:color w:val="auto"/>
          <w:lang w:val="sr-Cyrl-CS"/>
        </w:rPr>
        <w:t xml:space="preserve"> </w:t>
      </w:r>
      <w:r>
        <w:rPr>
          <w:color w:val="auto"/>
          <w:lang w:val="sr-Cyrl-CS"/>
        </w:rPr>
        <w:t>kojima</w:t>
      </w:r>
      <w:r w:rsidR="00EB24C3" w:rsidRPr="00E95BC4">
        <w:rPr>
          <w:color w:val="auto"/>
          <w:lang w:val="sr-Cyrl-CS"/>
        </w:rPr>
        <w:t xml:space="preserve"> </w:t>
      </w:r>
      <w:r>
        <w:rPr>
          <w:color w:val="auto"/>
          <w:lang w:val="sr-Cyrl-CS"/>
        </w:rPr>
        <w:t>je</w:t>
      </w:r>
      <w:r w:rsidR="00EB24C3" w:rsidRPr="00E95BC4">
        <w:rPr>
          <w:color w:val="auto"/>
          <w:lang w:val="sr-Cyrl-CS"/>
        </w:rPr>
        <w:t xml:space="preserve"> </w:t>
      </w:r>
      <w:r>
        <w:rPr>
          <w:color w:val="auto"/>
          <w:lang w:val="sr-Cyrl-CS"/>
        </w:rPr>
        <w:t>izložena</w:t>
      </w:r>
      <w:r w:rsidR="00EB24C3" w:rsidRPr="00E95BC4">
        <w:rPr>
          <w:color w:val="auto"/>
          <w:lang w:val="sr-Cyrl-CS"/>
        </w:rPr>
        <w:t xml:space="preserve">, </w:t>
      </w:r>
      <w:r>
        <w:rPr>
          <w:color w:val="auto"/>
          <w:lang w:val="sr-Cyrl-CS"/>
        </w:rPr>
        <w:t>i</w:t>
      </w:r>
      <w:r w:rsidR="00EB24C3" w:rsidRPr="00E95BC4">
        <w:rPr>
          <w:color w:val="auto"/>
          <w:lang w:val="sr-Cyrl-CS"/>
        </w:rPr>
        <w:t xml:space="preserve"> </w:t>
      </w:r>
      <w:r>
        <w:rPr>
          <w:color w:val="auto"/>
          <w:lang w:val="sr-Cyrl-CS"/>
        </w:rPr>
        <w:t>to</w:t>
      </w:r>
      <w:r w:rsidR="00EB24C3" w:rsidRPr="00E95BC4">
        <w:rPr>
          <w:color w:val="auto"/>
          <w:lang w:val="sr-Cyrl-CS"/>
        </w:rPr>
        <w:t xml:space="preserve"> </w:t>
      </w:r>
      <w:r>
        <w:rPr>
          <w:color w:val="auto"/>
          <w:lang w:val="sr-Cyrl-CS"/>
        </w:rPr>
        <w:lastRenderedPageBreak/>
        <w:t>koordinisano</w:t>
      </w:r>
      <w:r w:rsidR="00EB24C3" w:rsidRPr="00E95BC4">
        <w:rPr>
          <w:color w:val="auto"/>
          <w:lang w:val="sr-Cyrl-CS"/>
        </w:rPr>
        <w:t xml:space="preserve"> </w:t>
      </w:r>
      <w:r>
        <w:rPr>
          <w:color w:val="auto"/>
          <w:lang w:val="sr-Cyrl-CS"/>
        </w:rPr>
        <w:t>i</w:t>
      </w:r>
      <w:r w:rsidR="00EB24C3" w:rsidRPr="00E95BC4">
        <w:rPr>
          <w:color w:val="auto"/>
          <w:lang w:val="sr-Cyrl-CS"/>
        </w:rPr>
        <w:t xml:space="preserve"> </w:t>
      </w:r>
      <w:r>
        <w:rPr>
          <w:color w:val="auto"/>
          <w:lang w:val="sr-Cyrl-CS"/>
        </w:rPr>
        <w:t>strateški</w:t>
      </w:r>
      <w:r w:rsidR="00EB24C3" w:rsidRPr="00E95BC4">
        <w:rPr>
          <w:color w:val="auto"/>
          <w:lang w:val="sr-Cyrl-CS"/>
        </w:rPr>
        <w:t xml:space="preserve">, </w:t>
      </w:r>
      <w:r>
        <w:rPr>
          <w:color w:val="auto"/>
          <w:lang w:val="sr-Cyrl-CS"/>
        </w:rPr>
        <w:t>pri</w:t>
      </w:r>
      <w:r w:rsidR="00EB24C3" w:rsidRPr="00E95BC4">
        <w:rPr>
          <w:color w:val="auto"/>
          <w:lang w:val="sr-Cyrl-CS"/>
        </w:rPr>
        <w:t xml:space="preserve"> </w:t>
      </w:r>
      <w:r>
        <w:rPr>
          <w:color w:val="auto"/>
          <w:lang w:val="sr-Cyrl-CS"/>
        </w:rPr>
        <w:t>čemu</w:t>
      </w:r>
      <w:r w:rsidR="00EB24C3" w:rsidRPr="00E95BC4">
        <w:rPr>
          <w:color w:val="auto"/>
          <w:lang w:val="sr-Cyrl-CS"/>
        </w:rPr>
        <w:t xml:space="preserve"> </w:t>
      </w:r>
      <w:r>
        <w:rPr>
          <w:color w:val="auto"/>
          <w:lang w:val="sr-Cyrl-CS"/>
        </w:rPr>
        <w:t>bi</w:t>
      </w:r>
      <w:r w:rsidR="00EB24C3" w:rsidRPr="00E95BC4">
        <w:rPr>
          <w:color w:val="auto"/>
          <w:lang w:val="sr-Cyrl-CS"/>
        </w:rPr>
        <w:t xml:space="preserve"> </w:t>
      </w:r>
      <w:r>
        <w:rPr>
          <w:color w:val="auto"/>
          <w:lang w:val="sr-Cyrl-CS"/>
        </w:rPr>
        <w:t>postojao</w:t>
      </w:r>
      <w:r w:rsidR="00EB24C3" w:rsidRPr="00E95BC4">
        <w:rPr>
          <w:color w:val="auto"/>
          <w:lang w:val="sr-Cyrl-CS"/>
        </w:rPr>
        <w:t xml:space="preserve"> </w:t>
      </w:r>
      <w:r>
        <w:rPr>
          <w:color w:val="auto"/>
          <w:lang w:val="sr-Cyrl-CS"/>
        </w:rPr>
        <w:t>rizik</w:t>
      </w:r>
      <w:r w:rsidR="00EB24C3" w:rsidRPr="00E95BC4">
        <w:rPr>
          <w:color w:val="auto"/>
          <w:lang w:val="sr-Cyrl-CS"/>
        </w:rPr>
        <w:t xml:space="preserve"> </w:t>
      </w:r>
      <w:r>
        <w:rPr>
          <w:color w:val="auto"/>
          <w:lang w:val="sr-Cyrl-CS"/>
        </w:rPr>
        <w:t>i</w:t>
      </w:r>
      <w:r w:rsidR="00EB24C3" w:rsidRPr="00E95BC4">
        <w:rPr>
          <w:color w:val="auto"/>
          <w:lang w:val="sr-Cyrl-CS"/>
        </w:rPr>
        <w:t xml:space="preserve"> </w:t>
      </w:r>
      <w:r>
        <w:rPr>
          <w:color w:val="auto"/>
          <w:lang w:val="sr-Cyrl-CS"/>
        </w:rPr>
        <w:t>od</w:t>
      </w:r>
      <w:r w:rsidR="00EB24C3" w:rsidRPr="00E95BC4">
        <w:rPr>
          <w:color w:val="auto"/>
          <w:lang w:val="sr-Cyrl-CS"/>
        </w:rPr>
        <w:t xml:space="preserve"> </w:t>
      </w:r>
      <w:r>
        <w:rPr>
          <w:color w:val="auto"/>
          <w:lang w:val="sr-Cyrl-CS"/>
        </w:rPr>
        <w:t>dodatnih</w:t>
      </w:r>
      <w:r w:rsidR="00EB24C3" w:rsidRPr="00E95BC4">
        <w:rPr>
          <w:color w:val="auto"/>
          <w:lang w:val="sr-Cyrl-CS"/>
        </w:rPr>
        <w:t xml:space="preserve"> </w:t>
      </w:r>
      <w:r>
        <w:rPr>
          <w:color w:val="auto"/>
          <w:lang w:val="sr-Cyrl-CS"/>
        </w:rPr>
        <w:t>mera</w:t>
      </w:r>
      <w:r w:rsidR="00EB24C3" w:rsidRPr="00E95BC4">
        <w:rPr>
          <w:color w:val="auto"/>
          <w:lang w:val="sr-Cyrl-CS"/>
        </w:rPr>
        <w:t xml:space="preserve"> </w:t>
      </w:r>
      <w:r>
        <w:rPr>
          <w:color w:val="auto"/>
          <w:lang w:val="sr-Cyrl-CS"/>
        </w:rPr>
        <w:t>protiv</w:t>
      </w:r>
      <w:r w:rsidR="00EB24C3" w:rsidRPr="00E95BC4">
        <w:rPr>
          <w:color w:val="auto"/>
          <w:lang w:val="sr-Cyrl-CS"/>
        </w:rPr>
        <w:t xml:space="preserve"> </w:t>
      </w:r>
      <w:r>
        <w:rPr>
          <w:lang w:val="sr-Cyrl-CS"/>
        </w:rPr>
        <w:t>Republike</w:t>
      </w:r>
      <w:r w:rsidR="00370282" w:rsidRPr="00E95BC4">
        <w:rPr>
          <w:lang w:val="sr-Cyrl-CS"/>
        </w:rPr>
        <w:t xml:space="preserve"> </w:t>
      </w:r>
      <w:r>
        <w:rPr>
          <w:color w:val="auto"/>
          <w:lang w:val="sr-Cyrl-CS"/>
        </w:rPr>
        <w:t>Srbije</w:t>
      </w:r>
      <w:r w:rsidR="00EB24C3" w:rsidRPr="00E95BC4">
        <w:rPr>
          <w:color w:val="auto"/>
          <w:lang w:val="sr-Cyrl-CS"/>
        </w:rPr>
        <w:t xml:space="preserve"> (</w:t>
      </w:r>
      <w:r>
        <w:rPr>
          <w:color w:val="auto"/>
          <w:lang w:val="sr-Cyrl-CS"/>
        </w:rPr>
        <w:t>kao</w:t>
      </w:r>
      <w:r w:rsidR="00EB24C3" w:rsidRPr="00E95BC4">
        <w:rPr>
          <w:color w:val="auto"/>
          <w:lang w:val="sr-Cyrl-CS"/>
        </w:rPr>
        <w:t xml:space="preserve"> </w:t>
      </w:r>
      <w:r>
        <w:rPr>
          <w:color w:val="auto"/>
          <w:lang w:val="sr-Cyrl-CS"/>
        </w:rPr>
        <w:t>što</w:t>
      </w:r>
      <w:r w:rsidR="00EB24C3" w:rsidRPr="00E95BC4">
        <w:rPr>
          <w:color w:val="auto"/>
          <w:lang w:val="sr-Cyrl-CS"/>
        </w:rPr>
        <w:t xml:space="preserve"> </w:t>
      </w:r>
      <w:r>
        <w:rPr>
          <w:color w:val="auto"/>
          <w:lang w:val="sr-Cyrl-CS"/>
        </w:rPr>
        <w:t>je</w:t>
      </w:r>
      <w:r w:rsidR="00EB24C3" w:rsidRPr="00E95BC4">
        <w:rPr>
          <w:color w:val="auto"/>
          <w:lang w:val="sr-Cyrl-CS"/>
        </w:rPr>
        <w:t xml:space="preserve"> </w:t>
      </w:r>
      <w:r>
        <w:rPr>
          <w:color w:val="auto"/>
          <w:lang w:val="sr-Cyrl-CS"/>
        </w:rPr>
        <w:t>stavljanje</w:t>
      </w:r>
      <w:r w:rsidR="00EB24C3" w:rsidRPr="00E95BC4">
        <w:rPr>
          <w:color w:val="auto"/>
          <w:lang w:val="sr-Cyrl-CS"/>
        </w:rPr>
        <w:t xml:space="preserve"> </w:t>
      </w:r>
      <w:r>
        <w:rPr>
          <w:color w:val="auto"/>
          <w:lang w:val="sr-Cyrl-CS"/>
        </w:rPr>
        <w:t>Srbije</w:t>
      </w:r>
      <w:r w:rsidR="00EB24C3" w:rsidRPr="00E95BC4">
        <w:rPr>
          <w:color w:val="auto"/>
          <w:lang w:val="sr-Cyrl-CS"/>
        </w:rPr>
        <w:t xml:space="preserve"> </w:t>
      </w:r>
      <w:r>
        <w:rPr>
          <w:color w:val="auto"/>
          <w:lang w:val="sr-Cyrl-CS"/>
        </w:rPr>
        <w:t>na</w:t>
      </w:r>
      <w:r w:rsidR="00EB24C3" w:rsidRPr="00E95BC4">
        <w:rPr>
          <w:color w:val="auto"/>
          <w:lang w:val="sr-Cyrl-CS"/>
        </w:rPr>
        <w:t xml:space="preserve"> </w:t>
      </w:r>
      <w:r>
        <w:rPr>
          <w:color w:val="auto"/>
          <w:lang w:val="sr-Cyrl-CS"/>
        </w:rPr>
        <w:t>javnu</w:t>
      </w:r>
      <w:r w:rsidR="00EB24C3" w:rsidRPr="00E95BC4">
        <w:rPr>
          <w:color w:val="auto"/>
          <w:lang w:val="sr-Cyrl-CS"/>
        </w:rPr>
        <w:t xml:space="preserve"> </w:t>
      </w:r>
      <w:r>
        <w:rPr>
          <w:color w:val="auto"/>
          <w:lang w:val="sr-Cyrl-CS"/>
        </w:rPr>
        <w:t>listu</w:t>
      </w:r>
      <w:r w:rsidR="00B70620" w:rsidRPr="00E95BC4">
        <w:rPr>
          <w:color w:val="auto"/>
          <w:lang w:val="sr-Cyrl-CS"/>
        </w:rPr>
        <w:t xml:space="preserve"> </w:t>
      </w:r>
      <w:r>
        <w:rPr>
          <w:color w:val="auto"/>
          <w:lang w:val="sr-Cyrl-CS"/>
        </w:rPr>
        <w:t>država</w:t>
      </w:r>
      <w:r w:rsidR="00B70620" w:rsidRPr="00E95BC4">
        <w:rPr>
          <w:color w:val="auto"/>
          <w:lang w:val="sr-Cyrl-CS"/>
        </w:rPr>
        <w:t xml:space="preserve"> </w:t>
      </w:r>
      <w:r>
        <w:rPr>
          <w:color w:val="auto"/>
          <w:lang w:val="sr-Cyrl-CS"/>
        </w:rPr>
        <w:t>koje</w:t>
      </w:r>
      <w:r w:rsidR="00B70620" w:rsidRPr="00E95BC4">
        <w:rPr>
          <w:color w:val="auto"/>
          <w:lang w:val="sr-Cyrl-CS"/>
        </w:rPr>
        <w:t xml:space="preserve"> </w:t>
      </w:r>
      <w:r>
        <w:rPr>
          <w:color w:val="auto"/>
          <w:lang w:val="sr-Cyrl-CS"/>
        </w:rPr>
        <w:t>ne</w:t>
      </w:r>
      <w:r w:rsidR="00B70620" w:rsidRPr="00E95BC4">
        <w:rPr>
          <w:color w:val="auto"/>
          <w:lang w:val="sr-Cyrl-CS"/>
        </w:rPr>
        <w:t xml:space="preserve"> </w:t>
      </w:r>
      <w:r>
        <w:rPr>
          <w:color w:val="auto"/>
          <w:lang w:val="sr-Cyrl-CS"/>
        </w:rPr>
        <w:t>primenjuju</w:t>
      </w:r>
      <w:r w:rsidR="00B70620" w:rsidRPr="00E95BC4">
        <w:rPr>
          <w:color w:val="auto"/>
          <w:lang w:val="sr-Cyrl-CS"/>
        </w:rPr>
        <w:t xml:space="preserve"> </w:t>
      </w:r>
      <w:r>
        <w:rPr>
          <w:color w:val="auto"/>
          <w:lang w:val="sr-Cyrl-CS"/>
        </w:rPr>
        <w:t>standarde</w:t>
      </w:r>
      <w:r w:rsidR="00EB24C3" w:rsidRPr="00E95BC4">
        <w:rPr>
          <w:color w:val="auto"/>
          <w:lang w:val="sr-Cyrl-CS"/>
        </w:rPr>
        <w:t xml:space="preserve">). </w:t>
      </w:r>
    </w:p>
    <w:p w:rsidR="00EB24C3" w:rsidRPr="00E95BC4" w:rsidRDefault="00EB24C3" w:rsidP="00EB24C3">
      <w:pPr>
        <w:tabs>
          <w:tab w:val="left" w:pos="709"/>
        </w:tabs>
        <w:jc w:val="both"/>
        <w:rPr>
          <w:color w:val="auto"/>
          <w:lang w:val="sr-Cyrl-CS"/>
        </w:rPr>
      </w:pPr>
      <w:r w:rsidRPr="00E95BC4">
        <w:rPr>
          <w:color w:val="auto"/>
          <w:lang w:val="sr-Cyrl-CS"/>
        </w:rPr>
        <w:tab/>
      </w:r>
      <w:r w:rsidR="005818C0">
        <w:rPr>
          <w:color w:val="auto"/>
          <w:lang w:val="sr-Cyrl-CS"/>
        </w:rPr>
        <w:t>Takve</w:t>
      </w:r>
      <w:r w:rsidRPr="00E95BC4">
        <w:rPr>
          <w:color w:val="auto"/>
          <w:lang w:val="sr-Cyrl-CS"/>
        </w:rPr>
        <w:t xml:space="preserve"> </w:t>
      </w:r>
      <w:r w:rsidR="005818C0">
        <w:rPr>
          <w:color w:val="auto"/>
          <w:lang w:val="sr-Cyrl-CS"/>
        </w:rPr>
        <w:t>mere</w:t>
      </w:r>
      <w:r w:rsidRPr="00E95BC4">
        <w:rPr>
          <w:color w:val="auto"/>
          <w:lang w:val="sr-Cyrl-CS"/>
        </w:rPr>
        <w:t xml:space="preserve"> </w:t>
      </w:r>
      <w:r w:rsidR="005818C0">
        <w:rPr>
          <w:color w:val="auto"/>
          <w:lang w:val="sr-Cyrl-CS"/>
        </w:rPr>
        <w:t>bi</w:t>
      </w:r>
      <w:r w:rsidRPr="00E95BC4">
        <w:rPr>
          <w:color w:val="auto"/>
          <w:lang w:val="sr-Cyrl-CS"/>
        </w:rPr>
        <w:t xml:space="preserve"> </w:t>
      </w:r>
      <w:r w:rsidR="005818C0">
        <w:rPr>
          <w:color w:val="auto"/>
          <w:lang w:val="sr-Cyrl-CS"/>
        </w:rPr>
        <w:t>uticale</w:t>
      </w:r>
      <w:r w:rsidRPr="00E95BC4">
        <w:rPr>
          <w:color w:val="auto"/>
          <w:lang w:val="sr-Cyrl-CS"/>
        </w:rPr>
        <w:t xml:space="preserve"> </w:t>
      </w:r>
      <w:r w:rsidR="005818C0">
        <w:rPr>
          <w:color w:val="auto"/>
          <w:lang w:val="sr-Cyrl-CS"/>
        </w:rPr>
        <w:t>na</w:t>
      </w:r>
      <w:r w:rsidRPr="00E95BC4">
        <w:rPr>
          <w:color w:val="auto"/>
          <w:lang w:val="sr-Cyrl-CS"/>
        </w:rPr>
        <w:t xml:space="preserve"> </w:t>
      </w:r>
      <w:r w:rsidR="005818C0">
        <w:rPr>
          <w:color w:val="auto"/>
          <w:lang w:val="sr-Cyrl-CS"/>
        </w:rPr>
        <w:t>privredu</w:t>
      </w:r>
      <w:r w:rsidRPr="00E95BC4">
        <w:rPr>
          <w:color w:val="auto"/>
          <w:lang w:val="sr-Cyrl-CS"/>
        </w:rPr>
        <w:t xml:space="preserve"> </w:t>
      </w:r>
      <w:r w:rsidR="005818C0">
        <w:rPr>
          <w:lang w:val="sr-Cyrl-CS"/>
        </w:rPr>
        <w:t>Republike</w:t>
      </w:r>
      <w:r w:rsidR="00370282" w:rsidRPr="00E95BC4">
        <w:rPr>
          <w:lang w:val="sr-Cyrl-CS"/>
        </w:rPr>
        <w:t xml:space="preserve"> </w:t>
      </w:r>
      <w:r w:rsidR="005818C0">
        <w:rPr>
          <w:color w:val="auto"/>
          <w:lang w:val="sr-Cyrl-CS"/>
        </w:rPr>
        <w:t>Srbije</w:t>
      </w:r>
      <w:r w:rsidRPr="00E95BC4">
        <w:rPr>
          <w:color w:val="auto"/>
          <w:lang w:val="sr-Cyrl-CS"/>
        </w:rPr>
        <w:t xml:space="preserve"> </w:t>
      </w:r>
      <w:r w:rsidR="005818C0">
        <w:rPr>
          <w:color w:val="auto"/>
          <w:lang w:val="sr-Cyrl-CS"/>
        </w:rPr>
        <w:t>tako</w:t>
      </w:r>
      <w:r w:rsidRPr="00E95BC4">
        <w:rPr>
          <w:color w:val="auto"/>
          <w:lang w:val="sr-Cyrl-CS"/>
        </w:rPr>
        <w:t xml:space="preserve"> </w:t>
      </w:r>
      <w:r w:rsidR="005818C0">
        <w:rPr>
          <w:color w:val="auto"/>
          <w:lang w:val="sr-Cyrl-CS"/>
        </w:rPr>
        <w:t>što</w:t>
      </w:r>
      <w:r w:rsidRPr="00E95BC4">
        <w:rPr>
          <w:color w:val="auto"/>
          <w:lang w:val="sr-Cyrl-CS"/>
        </w:rPr>
        <w:t xml:space="preserve"> </w:t>
      </w:r>
      <w:r w:rsidR="005818C0">
        <w:rPr>
          <w:color w:val="auto"/>
          <w:lang w:val="sr-Cyrl-CS"/>
        </w:rPr>
        <w:t>bi</w:t>
      </w:r>
      <w:r w:rsidRPr="00E95BC4">
        <w:rPr>
          <w:color w:val="auto"/>
          <w:lang w:val="sr-Cyrl-CS"/>
        </w:rPr>
        <w:t xml:space="preserve"> </w:t>
      </w:r>
      <w:r w:rsidR="005818C0">
        <w:rPr>
          <w:color w:val="auto"/>
          <w:lang w:val="sr-Cyrl-CS"/>
        </w:rPr>
        <w:t>moglo</w:t>
      </w:r>
      <w:r w:rsidRPr="00E95BC4">
        <w:rPr>
          <w:color w:val="auto"/>
          <w:lang w:val="sr-Cyrl-CS"/>
        </w:rPr>
        <w:t xml:space="preserve"> </w:t>
      </w:r>
      <w:r w:rsidR="005818C0">
        <w:rPr>
          <w:color w:val="auto"/>
          <w:lang w:val="sr-Cyrl-CS"/>
        </w:rPr>
        <w:t>doći</w:t>
      </w:r>
      <w:r w:rsidRPr="00E95BC4">
        <w:rPr>
          <w:color w:val="auto"/>
          <w:lang w:val="sr-Cyrl-CS"/>
        </w:rPr>
        <w:t xml:space="preserve"> </w:t>
      </w:r>
      <w:r w:rsidR="005818C0">
        <w:rPr>
          <w:color w:val="auto"/>
          <w:lang w:val="sr-Cyrl-CS"/>
        </w:rPr>
        <w:t>do</w:t>
      </w:r>
      <w:r w:rsidRPr="00E95BC4">
        <w:rPr>
          <w:color w:val="auto"/>
          <w:lang w:val="sr-Cyrl-CS"/>
        </w:rPr>
        <w:t xml:space="preserve"> </w:t>
      </w:r>
      <w:r w:rsidR="005818C0">
        <w:rPr>
          <w:color w:val="auto"/>
          <w:lang w:val="sr-Cyrl-CS"/>
        </w:rPr>
        <w:t>gubitka</w:t>
      </w:r>
      <w:r w:rsidRPr="00E95BC4">
        <w:rPr>
          <w:color w:val="auto"/>
          <w:lang w:val="sr-Cyrl-CS"/>
        </w:rPr>
        <w:t xml:space="preserve"> </w:t>
      </w:r>
      <w:r w:rsidR="005818C0">
        <w:rPr>
          <w:color w:val="auto"/>
          <w:lang w:val="sr-Cyrl-CS"/>
        </w:rPr>
        <w:t>stranih</w:t>
      </w:r>
      <w:r w:rsidRPr="00E95BC4">
        <w:rPr>
          <w:color w:val="auto"/>
          <w:lang w:val="sr-Cyrl-CS"/>
        </w:rPr>
        <w:t xml:space="preserve"> </w:t>
      </w:r>
      <w:r w:rsidR="005818C0">
        <w:rPr>
          <w:color w:val="auto"/>
          <w:lang w:val="sr-Cyrl-CS"/>
        </w:rPr>
        <w:t>direktnih</w:t>
      </w:r>
      <w:r w:rsidRPr="00E95BC4">
        <w:rPr>
          <w:color w:val="auto"/>
          <w:lang w:val="sr-Cyrl-CS"/>
        </w:rPr>
        <w:t xml:space="preserve"> </w:t>
      </w:r>
      <w:r w:rsidR="005818C0">
        <w:rPr>
          <w:color w:val="auto"/>
          <w:lang w:val="sr-Cyrl-CS"/>
        </w:rPr>
        <w:t>investicija</w:t>
      </w:r>
      <w:r w:rsidRPr="00E95BC4">
        <w:rPr>
          <w:color w:val="auto"/>
          <w:lang w:val="sr-Cyrl-CS"/>
        </w:rPr>
        <w:t xml:space="preserve"> </w:t>
      </w:r>
      <w:r w:rsidR="005818C0">
        <w:rPr>
          <w:color w:val="auto"/>
          <w:lang w:val="sr-Cyrl-CS"/>
        </w:rPr>
        <w:t>i</w:t>
      </w:r>
      <w:r w:rsidRPr="00E95BC4">
        <w:rPr>
          <w:color w:val="auto"/>
          <w:lang w:val="sr-Cyrl-CS"/>
        </w:rPr>
        <w:t xml:space="preserve"> </w:t>
      </w:r>
      <w:r w:rsidR="005818C0">
        <w:rPr>
          <w:color w:val="auto"/>
          <w:lang w:val="sr-Cyrl-CS"/>
        </w:rPr>
        <w:t>povećanja</w:t>
      </w:r>
      <w:r w:rsidRPr="00E95BC4">
        <w:rPr>
          <w:color w:val="auto"/>
          <w:lang w:val="sr-Cyrl-CS"/>
        </w:rPr>
        <w:t xml:space="preserve"> </w:t>
      </w:r>
      <w:r w:rsidR="005818C0">
        <w:rPr>
          <w:color w:val="auto"/>
          <w:lang w:val="sr-Cyrl-CS"/>
        </w:rPr>
        <w:t>troškova</w:t>
      </w:r>
      <w:r w:rsidRPr="00E95BC4">
        <w:rPr>
          <w:color w:val="auto"/>
          <w:lang w:val="sr-Cyrl-CS"/>
        </w:rPr>
        <w:t xml:space="preserve"> </w:t>
      </w:r>
      <w:r w:rsidR="005818C0">
        <w:rPr>
          <w:color w:val="auto"/>
          <w:lang w:val="sr-Cyrl-CS"/>
        </w:rPr>
        <w:t>transakcija</w:t>
      </w:r>
      <w:r w:rsidRPr="00E95BC4">
        <w:rPr>
          <w:color w:val="auto"/>
          <w:lang w:val="sr-Cyrl-CS"/>
        </w:rPr>
        <w:t xml:space="preserve">, </w:t>
      </w:r>
      <w:r w:rsidR="005818C0">
        <w:rPr>
          <w:color w:val="auto"/>
          <w:lang w:val="sr-Cyrl-CS"/>
        </w:rPr>
        <w:t>detaljnijih</w:t>
      </w:r>
      <w:r w:rsidRPr="00E95BC4">
        <w:rPr>
          <w:color w:val="auto"/>
          <w:lang w:val="sr-Cyrl-CS"/>
        </w:rPr>
        <w:t xml:space="preserve"> </w:t>
      </w:r>
      <w:r w:rsidR="005818C0">
        <w:rPr>
          <w:color w:val="auto"/>
          <w:lang w:val="sr-Cyrl-CS"/>
        </w:rPr>
        <w:t>provera</w:t>
      </w:r>
      <w:r w:rsidR="00B70620" w:rsidRPr="00E95BC4">
        <w:rPr>
          <w:color w:val="auto"/>
          <w:lang w:val="sr-Cyrl-CS"/>
        </w:rPr>
        <w:t xml:space="preserve"> </w:t>
      </w:r>
      <w:r w:rsidR="005818C0">
        <w:rPr>
          <w:color w:val="auto"/>
          <w:lang w:val="sr-Cyrl-CS"/>
        </w:rPr>
        <w:t>subjekata</w:t>
      </w:r>
      <w:r w:rsidRPr="00E95BC4">
        <w:rPr>
          <w:color w:val="auto"/>
          <w:lang w:val="sr-Cyrl-CS"/>
        </w:rPr>
        <w:t xml:space="preserve"> </w:t>
      </w:r>
      <w:r w:rsidR="005818C0">
        <w:rPr>
          <w:color w:val="auto"/>
          <w:lang w:val="sr-Cyrl-CS"/>
        </w:rPr>
        <w:t>u</w:t>
      </w:r>
      <w:r w:rsidR="00B70620" w:rsidRPr="00E95BC4">
        <w:rPr>
          <w:color w:val="auto"/>
          <w:lang w:val="sr-Cyrl-CS"/>
        </w:rPr>
        <w:t xml:space="preserve"> </w:t>
      </w:r>
      <w:r w:rsidR="005818C0">
        <w:rPr>
          <w:color w:val="auto"/>
          <w:lang w:val="sr-Cyrl-CS"/>
        </w:rPr>
        <w:t>korespondentskim</w:t>
      </w:r>
      <w:r w:rsidRPr="00E95BC4">
        <w:rPr>
          <w:color w:val="auto"/>
          <w:lang w:val="sr-Cyrl-CS"/>
        </w:rPr>
        <w:t xml:space="preserve"> </w:t>
      </w:r>
      <w:r w:rsidR="005818C0">
        <w:rPr>
          <w:color w:val="auto"/>
          <w:lang w:val="sr-Cyrl-CS"/>
        </w:rPr>
        <w:t>bankarskim</w:t>
      </w:r>
      <w:r w:rsidR="00B70620" w:rsidRPr="00E95BC4">
        <w:rPr>
          <w:color w:val="auto"/>
          <w:lang w:val="sr-Cyrl-CS"/>
        </w:rPr>
        <w:t xml:space="preserve"> </w:t>
      </w:r>
      <w:r w:rsidR="005818C0">
        <w:rPr>
          <w:color w:val="auto"/>
          <w:lang w:val="sr-Cyrl-CS"/>
        </w:rPr>
        <w:t>odnosima</w:t>
      </w:r>
      <w:r w:rsidR="00B70620" w:rsidRPr="00E95BC4">
        <w:rPr>
          <w:color w:val="auto"/>
          <w:lang w:val="sr-Cyrl-CS"/>
        </w:rPr>
        <w:t xml:space="preserve"> </w:t>
      </w:r>
      <w:r w:rsidR="005818C0">
        <w:rPr>
          <w:color w:val="auto"/>
          <w:lang w:val="sr-Cyrl-CS"/>
        </w:rPr>
        <w:t>i</w:t>
      </w:r>
      <w:r w:rsidR="00B70620" w:rsidRPr="00E95BC4">
        <w:rPr>
          <w:color w:val="auto"/>
          <w:lang w:val="sr-Cyrl-CS"/>
        </w:rPr>
        <w:t xml:space="preserve"> </w:t>
      </w:r>
      <w:r w:rsidR="005818C0">
        <w:rPr>
          <w:color w:val="auto"/>
          <w:lang w:val="sr-Cyrl-CS"/>
        </w:rPr>
        <w:t>međunarodnim</w:t>
      </w:r>
      <w:r w:rsidR="00B70620" w:rsidRPr="00E95BC4">
        <w:rPr>
          <w:color w:val="auto"/>
          <w:lang w:val="sr-Cyrl-CS"/>
        </w:rPr>
        <w:t xml:space="preserve"> </w:t>
      </w:r>
      <w:r w:rsidR="005818C0">
        <w:rPr>
          <w:color w:val="auto"/>
          <w:lang w:val="sr-Cyrl-CS"/>
        </w:rPr>
        <w:t>finansijskim</w:t>
      </w:r>
      <w:r w:rsidR="00B70620" w:rsidRPr="00E95BC4">
        <w:rPr>
          <w:color w:val="auto"/>
          <w:lang w:val="sr-Cyrl-CS"/>
        </w:rPr>
        <w:t xml:space="preserve"> </w:t>
      </w:r>
      <w:r w:rsidR="005818C0">
        <w:rPr>
          <w:color w:val="auto"/>
          <w:lang w:val="sr-Cyrl-CS"/>
        </w:rPr>
        <w:t>transferima</w:t>
      </w:r>
      <w:r w:rsidRPr="00E95BC4">
        <w:rPr>
          <w:color w:val="auto"/>
          <w:lang w:val="sr-Cyrl-CS"/>
        </w:rPr>
        <w:t xml:space="preserve">. </w:t>
      </w:r>
      <w:r w:rsidR="005818C0">
        <w:rPr>
          <w:color w:val="auto"/>
          <w:lang w:val="sr-Cyrl-CS"/>
        </w:rPr>
        <w:t>Iako</w:t>
      </w:r>
      <w:r w:rsidRPr="00E95BC4">
        <w:rPr>
          <w:color w:val="auto"/>
          <w:lang w:val="sr-Cyrl-CS"/>
        </w:rPr>
        <w:t xml:space="preserve"> </w:t>
      </w:r>
      <w:r w:rsidR="005818C0">
        <w:rPr>
          <w:color w:val="auto"/>
          <w:lang w:val="sr-Cyrl-CS"/>
        </w:rPr>
        <w:t>se</w:t>
      </w:r>
      <w:r w:rsidRPr="00E95BC4">
        <w:rPr>
          <w:color w:val="auto"/>
          <w:lang w:val="sr-Cyrl-CS"/>
        </w:rPr>
        <w:t xml:space="preserve"> </w:t>
      </w:r>
      <w:r w:rsidR="005818C0">
        <w:rPr>
          <w:color w:val="auto"/>
          <w:lang w:val="sr-Cyrl-CS"/>
        </w:rPr>
        <w:t>ti</w:t>
      </w:r>
      <w:r w:rsidRPr="00E95BC4">
        <w:rPr>
          <w:color w:val="auto"/>
          <w:lang w:val="sr-Cyrl-CS"/>
        </w:rPr>
        <w:t xml:space="preserve"> </w:t>
      </w:r>
      <w:r w:rsidR="005818C0">
        <w:rPr>
          <w:color w:val="auto"/>
          <w:lang w:val="sr-Cyrl-CS"/>
        </w:rPr>
        <w:t>uticaji</w:t>
      </w:r>
      <w:r w:rsidRPr="00E95BC4">
        <w:rPr>
          <w:color w:val="auto"/>
          <w:lang w:val="sr-Cyrl-CS"/>
        </w:rPr>
        <w:t xml:space="preserve"> </w:t>
      </w:r>
      <w:r w:rsidR="005818C0">
        <w:rPr>
          <w:color w:val="auto"/>
          <w:lang w:val="sr-Cyrl-CS"/>
        </w:rPr>
        <w:t>ne</w:t>
      </w:r>
      <w:r w:rsidRPr="00E95BC4">
        <w:rPr>
          <w:color w:val="auto"/>
          <w:lang w:val="sr-Cyrl-CS"/>
        </w:rPr>
        <w:t xml:space="preserve"> </w:t>
      </w:r>
      <w:r w:rsidR="005818C0">
        <w:rPr>
          <w:color w:val="auto"/>
          <w:lang w:val="sr-Cyrl-CS"/>
        </w:rPr>
        <w:t>mogu</w:t>
      </w:r>
      <w:r w:rsidRPr="00E95BC4">
        <w:rPr>
          <w:color w:val="auto"/>
          <w:lang w:val="sr-Cyrl-CS"/>
        </w:rPr>
        <w:t xml:space="preserve"> </w:t>
      </w:r>
      <w:r w:rsidR="005818C0">
        <w:rPr>
          <w:color w:val="auto"/>
          <w:lang w:val="sr-Cyrl-CS"/>
        </w:rPr>
        <w:t>izmeriti</w:t>
      </w:r>
      <w:r w:rsidRPr="00E95BC4">
        <w:rPr>
          <w:color w:val="auto"/>
          <w:lang w:val="sr-Cyrl-CS"/>
        </w:rPr>
        <w:t xml:space="preserve">, </w:t>
      </w:r>
      <w:r w:rsidR="005818C0">
        <w:rPr>
          <w:color w:val="auto"/>
          <w:lang w:val="sr-Cyrl-CS"/>
        </w:rPr>
        <w:t>njihov</w:t>
      </w:r>
      <w:r w:rsidRPr="00E95BC4">
        <w:rPr>
          <w:color w:val="auto"/>
          <w:lang w:val="sr-Cyrl-CS"/>
        </w:rPr>
        <w:t xml:space="preserve"> </w:t>
      </w:r>
      <w:r w:rsidR="005818C0">
        <w:rPr>
          <w:color w:val="auto"/>
          <w:lang w:val="sr-Cyrl-CS"/>
        </w:rPr>
        <w:t>efekat</w:t>
      </w:r>
      <w:r w:rsidRPr="00E95BC4">
        <w:rPr>
          <w:color w:val="auto"/>
          <w:lang w:val="sr-Cyrl-CS"/>
        </w:rPr>
        <w:t xml:space="preserve"> </w:t>
      </w:r>
      <w:r w:rsidR="005818C0">
        <w:rPr>
          <w:color w:val="auto"/>
          <w:lang w:val="sr-Cyrl-CS"/>
        </w:rPr>
        <w:t>na</w:t>
      </w:r>
      <w:r w:rsidRPr="00E95BC4">
        <w:rPr>
          <w:color w:val="auto"/>
          <w:lang w:val="sr-Cyrl-CS"/>
        </w:rPr>
        <w:t xml:space="preserve"> </w:t>
      </w:r>
      <w:r w:rsidR="005818C0">
        <w:rPr>
          <w:color w:val="auto"/>
          <w:lang w:val="sr-Cyrl-CS"/>
        </w:rPr>
        <w:t>državu</w:t>
      </w:r>
      <w:r w:rsidRPr="00E95BC4">
        <w:rPr>
          <w:color w:val="auto"/>
          <w:lang w:val="sr-Cyrl-CS"/>
        </w:rPr>
        <w:t xml:space="preserve"> </w:t>
      </w:r>
      <w:r w:rsidR="005818C0">
        <w:rPr>
          <w:color w:val="auto"/>
          <w:lang w:val="sr-Cyrl-CS"/>
        </w:rPr>
        <w:t>može</w:t>
      </w:r>
      <w:r w:rsidRPr="00E95BC4">
        <w:rPr>
          <w:color w:val="auto"/>
          <w:lang w:val="sr-Cyrl-CS"/>
        </w:rPr>
        <w:t xml:space="preserve"> </w:t>
      </w:r>
      <w:r w:rsidR="005818C0">
        <w:rPr>
          <w:color w:val="auto"/>
          <w:lang w:val="sr-Cyrl-CS"/>
        </w:rPr>
        <w:t>biti</w:t>
      </w:r>
      <w:r w:rsidRPr="00E95BC4">
        <w:rPr>
          <w:color w:val="auto"/>
          <w:lang w:val="sr-Cyrl-CS"/>
        </w:rPr>
        <w:t xml:space="preserve"> </w:t>
      </w:r>
      <w:r w:rsidR="005818C0">
        <w:rPr>
          <w:color w:val="auto"/>
          <w:lang w:val="sr-Cyrl-CS"/>
        </w:rPr>
        <w:t>ozbiljan</w:t>
      </w:r>
      <w:r w:rsidRPr="00E95BC4">
        <w:rPr>
          <w:color w:val="auto"/>
          <w:lang w:val="sr-Cyrl-CS"/>
        </w:rPr>
        <w:t xml:space="preserve">. </w:t>
      </w:r>
      <w:r w:rsidR="005818C0">
        <w:rPr>
          <w:color w:val="auto"/>
          <w:lang w:val="sr-Cyrl-CS"/>
        </w:rPr>
        <w:t>U</w:t>
      </w:r>
      <w:r w:rsidRPr="00E95BC4">
        <w:rPr>
          <w:color w:val="auto"/>
          <w:lang w:val="sr-Cyrl-CS"/>
        </w:rPr>
        <w:t xml:space="preserve"> </w:t>
      </w:r>
      <w:r w:rsidR="005818C0">
        <w:rPr>
          <w:color w:val="auto"/>
          <w:lang w:val="sr-Cyrl-CS"/>
        </w:rPr>
        <w:t>najtežim</w:t>
      </w:r>
      <w:r w:rsidRPr="00E95BC4">
        <w:rPr>
          <w:color w:val="auto"/>
          <w:lang w:val="sr-Cyrl-CS"/>
        </w:rPr>
        <w:t xml:space="preserve"> </w:t>
      </w:r>
      <w:r w:rsidR="005818C0">
        <w:rPr>
          <w:color w:val="auto"/>
          <w:lang w:val="sr-Cyrl-CS"/>
        </w:rPr>
        <w:t>slučajevima</w:t>
      </w:r>
      <w:r w:rsidRPr="00E95BC4">
        <w:rPr>
          <w:color w:val="auto"/>
          <w:lang w:val="sr-Cyrl-CS"/>
        </w:rPr>
        <w:t xml:space="preserve"> </w:t>
      </w:r>
      <w:r w:rsidR="005818C0">
        <w:rPr>
          <w:color w:val="auto"/>
          <w:lang w:val="sr-Cyrl-CS"/>
        </w:rPr>
        <w:t>može</w:t>
      </w:r>
      <w:r w:rsidRPr="00E95BC4">
        <w:rPr>
          <w:color w:val="auto"/>
          <w:lang w:val="sr-Cyrl-CS"/>
        </w:rPr>
        <w:t xml:space="preserve"> </w:t>
      </w:r>
      <w:r w:rsidR="005818C0">
        <w:rPr>
          <w:color w:val="auto"/>
          <w:lang w:val="sr-Cyrl-CS"/>
        </w:rPr>
        <w:t>doći</w:t>
      </w:r>
      <w:r w:rsidRPr="00E95BC4">
        <w:rPr>
          <w:color w:val="auto"/>
          <w:lang w:val="sr-Cyrl-CS"/>
        </w:rPr>
        <w:t xml:space="preserve"> </w:t>
      </w:r>
      <w:r w:rsidR="005818C0">
        <w:rPr>
          <w:color w:val="auto"/>
          <w:lang w:val="sr-Cyrl-CS"/>
        </w:rPr>
        <w:t>do</w:t>
      </w:r>
      <w:r w:rsidRPr="00E95BC4">
        <w:rPr>
          <w:color w:val="auto"/>
          <w:lang w:val="sr-Cyrl-CS"/>
        </w:rPr>
        <w:t xml:space="preserve"> </w:t>
      </w:r>
      <w:r w:rsidR="005818C0">
        <w:rPr>
          <w:color w:val="auto"/>
          <w:lang w:val="sr-Cyrl-CS"/>
        </w:rPr>
        <w:t>kvazi</w:t>
      </w:r>
      <w:r w:rsidRPr="00E95BC4">
        <w:rPr>
          <w:color w:val="auto"/>
          <w:lang w:val="sr-Cyrl-CS"/>
        </w:rPr>
        <w:t>-</w:t>
      </w:r>
      <w:r w:rsidR="005818C0">
        <w:rPr>
          <w:color w:val="auto"/>
          <w:lang w:val="sr-Cyrl-CS"/>
        </w:rPr>
        <w:t>ekonomskih</w:t>
      </w:r>
      <w:r w:rsidRPr="00E95BC4">
        <w:rPr>
          <w:color w:val="auto"/>
          <w:lang w:val="sr-Cyrl-CS"/>
        </w:rPr>
        <w:t xml:space="preserve"> </w:t>
      </w:r>
      <w:r w:rsidR="005818C0">
        <w:rPr>
          <w:color w:val="auto"/>
          <w:lang w:val="sr-Cyrl-CS"/>
        </w:rPr>
        <w:t>sankcija</w:t>
      </w:r>
      <w:r w:rsidRPr="00E95BC4">
        <w:rPr>
          <w:color w:val="auto"/>
          <w:lang w:val="sr-Cyrl-CS"/>
        </w:rPr>
        <w:t xml:space="preserve">. </w:t>
      </w:r>
    </w:p>
    <w:p w:rsidR="00EB24C3" w:rsidRPr="00E95BC4" w:rsidRDefault="00EB24C3" w:rsidP="00EB24C3">
      <w:pPr>
        <w:tabs>
          <w:tab w:val="left" w:pos="709"/>
        </w:tabs>
        <w:jc w:val="both"/>
        <w:rPr>
          <w:color w:val="auto"/>
          <w:lang w:val="sr-Cyrl-CS"/>
        </w:rPr>
      </w:pPr>
      <w:r w:rsidRPr="00E95BC4">
        <w:rPr>
          <w:color w:val="auto"/>
          <w:lang w:val="sr-Cyrl-CS"/>
        </w:rPr>
        <w:tab/>
      </w:r>
      <w:r w:rsidR="005818C0">
        <w:rPr>
          <w:color w:val="auto"/>
          <w:lang w:val="sr-Cyrl-CS"/>
        </w:rPr>
        <w:t>Nepreduzimanje</w:t>
      </w:r>
      <w:r w:rsidRPr="00E95BC4">
        <w:rPr>
          <w:color w:val="auto"/>
          <w:lang w:val="sr-Cyrl-CS"/>
        </w:rPr>
        <w:t xml:space="preserve"> </w:t>
      </w:r>
      <w:r w:rsidR="005818C0">
        <w:rPr>
          <w:color w:val="auto"/>
          <w:lang w:val="sr-Cyrl-CS"/>
        </w:rPr>
        <w:t>delotvornih</w:t>
      </w:r>
      <w:r w:rsidRPr="00E95BC4">
        <w:rPr>
          <w:color w:val="auto"/>
          <w:lang w:val="sr-Cyrl-CS"/>
        </w:rPr>
        <w:t xml:space="preserve"> </w:t>
      </w:r>
      <w:r w:rsidR="005818C0">
        <w:rPr>
          <w:color w:val="auto"/>
          <w:lang w:val="sr-Cyrl-CS"/>
        </w:rPr>
        <w:t>mera</w:t>
      </w:r>
      <w:r w:rsidRPr="00E95BC4">
        <w:rPr>
          <w:color w:val="auto"/>
          <w:lang w:val="sr-Cyrl-CS"/>
        </w:rPr>
        <w:t xml:space="preserve"> </w:t>
      </w:r>
      <w:r w:rsidR="005818C0">
        <w:rPr>
          <w:color w:val="auto"/>
          <w:lang w:val="sr-Cyrl-CS"/>
        </w:rPr>
        <w:t>u</w:t>
      </w:r>
      <w:r w:rsidRPr="00E95BC4">
        <w:rPr>
          <w:color w:val="auto"/>
          <w:lang w:val="sr-Cyrl-CS"/>
        </w:rPr>
        <w:t xml:space="preserve"> </w:t>
      </w:r>
      <w:r w:rsidR="005818C0">
        <w:rPr>
          <w:color w:val="auto"/>
          <w:lang w:val="sr-Cyrl-CS"/>
        </w:rPr>
        <w:t>oblasti</w:t>
      </w:r>
      <w:r w:rsidRPr="00E95BC4">
        <w:rPr>
          <w:color w:val="auto"/>
          <w:lang w:val="sr-Cyrl-CS"/>
        </w:rPr>
        <w:t xml:space="preserve"> </w:t>
      </w:r>
      <w:r w:rsidR="005818C0">
        <w:rPr>
          <w:color w:val="auto"/>
          <w:lang w:val="sr-Cyrl-CS"/>
        </w:rPr>
        <w:t>borbe</w:t>
      </w:r>
      <w:r w:rsidRPr="00E95BC4">
        <w:rPr>
          <w:color w:val="auto"/>
          <w:lang w:val="sr-Cyrl-CS"/>
        </w:rPr>
        <w:t xml:space="preserve"> </w:t>
      </w:r>
      <w:r w:rsidR="005818C0">
        <w:rPr>
          <w:color w:val="auto"/>
          <w:lang w:val="sr-Cyrl-CS"/>
        </w:rPr>
        <w:t>protiv</w:t>
      </w:r>
      <w:r w:rsidRPr="00E95BC4">
        <w:rPr>
          <w:color w:val="auto"/>
          <w:lang w:val="sr-Cyrl-CS"/>
        </w:rPr>
        <w:t xml:space="preserve"> </w:t>
      </w:r>
      <w:r w:rsidR="005818C0">
        <w:rPr>
          <w:color w:val="auto"/>
          <w:lang w:val="sr-Cyrl-CS"/>
        </w:rPr>
        <w:t>pranja</w:t>
      </w:r>
      <w:r w:rsidRPr="00E95BC4">
        <w:rPr>
          <w:color w:val="auto"/>
          <w:lang w:val="sr-Cyrl-CS"/>
        </w:rPr>
        <w:t xml:space="preserve"> </w:t>
      </w:r>
      <w:r w:rsidR="005818C0">
        <w:rPr>
          <w:color w:val="auto"/>
          <w:lang w:val="sr-Cyrl-CS"/>
        </w:rPr>
        <w:t>novca</w:t>
      </w:r>
      <w:r w:rsidRPr="00E95BC4">
        <w:rPr>
          <w:color w:val="auto"/>
          <w:lang w:val="sr-Cyrl-CS"/>
        </w:rPr>
        <w:t xml:space="preserve"> </w:t>
      </w:r>
      <w:r w:rsidR="005818C0">
        <w:rPr>
          <w:color w:val="auto"/>
          <w:lang w:val="sr-Cyrl-CS"/>
        </w:rPr>
        <w:t>i</w:t>
      </w:r>
      <w:r w:rsidRPr="00E95BC4">
        <w:rPr>
          <w:color w:val="auto"/>
          <w:lang w:val="sr-Cyrl-CS"/>
        </w:rPr>
        <w:t xml:space="preserve"> </w:t>
      </w:r>
      <w:r w:rsidR="005818C0">
        <w:rPr>
          <w:color w:val="auto"/>
          <w:lang w:val="sr-Cyrl-CS"/>
        </w:rPr>
        <w:t>finansiranja</w:t>
      </w:r>
      <w:r w:rsidRPr="00E95BC4">
        <w:rPr>
          <w:color w:val="auto"/>
          <w:lang w:val="sr-Cyrl-CS"/>
        </w:rPr>
        <w:t xml:space="preserve"> </w:t>
      </w:r>
      <w:r w:rsidR="005818C0">
        <w:rPr>
          <w:color w:val="auto"/>
          <w:lang w:val="sr-Cyrl-CS"/>
        </w:rPr>
        <w:t>terorizma</w:t>
      </w:r>
      <w:r w:rsidRPr="00E95BC4">
        <w:rPr>
          <w:color w:val="auto"/>
          <w:lang w:val="sr-Cyrl-CS"/>
        </w:rPr>
        <w:t xml:space="preserve"> </w:t>
      </w:r>
      <w:r w:rsidR="005818C0">
        <w:rPr>
          <w:color w:val="auto"/>
          <w:lang w:val="sr-Cyrl-CS"/>
        </w:rPr>
        <w:t>može</w:t>
      </w:r>
      <w:r w:rsidRPr="00E95BC4">
        <w:rPr>
          <w:color w:val="auto"/>
          <w:lang w:val="sr-Cyrl-CS"/>
        </w:rPr>
        <w:t xml:space="preserve"> </w:t>
      </w:r>
      <w:r w:rsidR="005818C0">
        <w:rPr>
          <w:color w:val="auto"/>
          <w:lang w:val="sr-Cyrl-CS"/>
        </w:rPr>
        <w:t>imati</w:t>
      </w:r>
      <w:r w:rsidRPr="00E95BC4">
        <w:rPr>
          <w:color w:val="auto"/>
          <w:lang w:val="sr-Cyrl-CS"/>
        </w:rPr>
        <w:t xml:space="preserve"> </w:t>
      </w:r>
      <w:r w:rsidR="005818C0">
        <w:rPr>
          <w:color w:val="auto"/>
          <w:lang w:val="sr-Cyrl-CS"/>
        </w:rPr>
        <w:t>i</w:t>
      </w:r>
      <w:r w:rsidRPr="00E95BC4">
        <w:rPr>
          <w:color w:val="auto"/>
          <w:lang w:val="sr-Cyrl-CS"/>
        </w:rPr>
        <w:t xml:space="preserve"> </w:t>
      </w:r>
      <w:r w:rsidR="005818C0">
        <w:rPr>
          <w:color w:val="auto"/>
          <w:lang w:val="sr-Cyrl-CS"/>
        </w:rPr>
        <w:t>efekte</w:t>
      </w:r>
      <w:r w:rsidRPr="00E95BC4">
        <w:rPr>
          <w:color w:val="auto"/>
          <w:lang w:val="sr-Cyrl-CS"/>
        </w:rPr>
        <w:t xml:space="preserve"> </w:t>
      </w:r>
      <w:r w:rsidR="005818C0">
        <w:rPr>
          <w:color w:val="auto"/>
          <w:lang w:val="sr-Cyrl-CS"/>
        </w:rPr>
        <w:t>po</w:t>
      </w:r>
      <w:r w:rsidRPr="00E95BC4">
        <w:rPr>
          <w:color w:val="auto"/>
          <w:lang w:val="sr-Cyrl-CS"/>
        </w:rPr>
        <w:t xml:space="preserve"> </w:t>
      </w:r>
      <w:r w:rsidR="005818C0">
        <w:rPr>
          <w:color w:val="auto"/>
          <w:lang w:val="sr-Cyrl-CS"/>
        </w:rPr>
        <w:t>društvo</w:t>
      </w:r>
      <w:r w:rsidRPr="00E95BC4">
        <w:rPr>
          <w:color w:val="auto"/>
          <w:lang w:val="sr-Cyrl-CS"/>
        </w:rPr>
        <w:t xml:space="preserve">, </w:t>
      </w:r>
      <w:r w:rsidR="005818C0">
        <w:rPr>
          <w:color w:val="auto"/>
          <w:lang w:val="sr-Cyrl-CS"/>
        </w:rPr>
        <w:t>naročito</w:t>
      </w:r>
      <w:r w:rsidRPr="00E95BC4">
        <w:rPr>
          <w:color w:val="auto"/>
          <w:lang w:val="sr-Cyrl-CS"/>
        </w:rPr>
        <w:t xml:space="preserve"> </w:t>
      </w:r>
      <w:r w:rsidR="005818C0">
        <w:rPr>
          <w:color w:val="auto"/>
          <w:lang w:val="sr-Cyrl-CS"/>
        </w:rPr>
        <w:t>na</w:t>
      </w:r>
      <w:r w:rsidRPr="00E95BC4">
        <w:rPr>
          <w:color w:val="auto"/>
          <w:lang w:val="sr-Cyrl-CS"/>
        </w:rPr>
        <w:t xml:space="preserve"> </w:t>
      </w:r>
      <w:r w:rsidR="005818C0">
        <w:rPr>
          <w:color w:val="auto"/>
          <w:lang w:val="sr-Cyrl-CS"/>
        </w:rPr>
        <w:t>ranjive</w:t>
      </w:r>
      <w:r w:rsidRPr="00E95BC4">
        <w:rPr>
          <w:color w:val="auto"/>
          <w:lang w:val="sr-Cyrl-CS"/>
        </w:rPr>
        <w:t xml:space="preserve"> </w:t>
      </w:r>
      <w:r w:rsidR="005818C0">
        <w:rPr>
          <w:color w:val="auto"/>
          <w:lang w:val="sr-Cyrl-CS"/>
        </w:rPr>
        <w:t>kategorije</w:t>
      </w:r>
      <w:r w:rsidRPr="00E95BC4">
        <w:rPr>
          <w:color w:val="auto"/>
          <w:lang w:val="sr-Cyrl-CS"/>
        </w:rPr>
        <w:t xml:space="preserve"> </w:t>
      </w:r>
      <w:r w:rsidR="005818C0">
        <w:rPr>
          <w:color w:val="auto"/>
          <w:lang w:val="sr-Cyrl-CS"/>
        </w:rPr>
        <w:t>i</w:t>
      </w:r>
      <w:r w:rsidRPr="00E95BC4">
        <w:rPr>
          <w:color w:val="auto"/>
          <w:lang w:val="sr-Cyrl-CS"/>
        </w:rPr>
        <w:t xml:space="preserve"> </w:t>
      </w:r>
      <w:r w:rsidR="005818C0">
        <w:rPr>
          <w:color w:val="auto"/>
          <w:lang w:val="sr-Cyrl-CS"/>
        </w:rPr>
        <w:t>siromašni</w:t>
      </w:r>
      <w:r w:rsidRPr="00E95BC4">
        <w:rPr>
          <w:color w:val="auto"/>
          <w:lang w:val="sr-Cyrl-CS"/>
        </w:rPr>
        <w:t xml:space="preserve"> </w:t>
      </w:r>
      <w:r w:rsidR="005818C0">
        <w:rPr>
          <w:color w:val="auto"/>
          <w:lang w:val="sr-Cyrl-CS"/>
        </w:rPr>
        <w:t>deo</w:t>
      </w:r>
      <w:r w:rsidRPr="00E95BC4">
        <w:rPr>
          <w:color w:val="auto"/>
          <w:lang w:val="sr-Cyrl-CS"/>
        </w:rPr>
        <w:t xml:space="preserve"> </w:t>
      </w:r>
      <w:r w:rsidR="005818C0">
        <w:rPr>
          <w:color w:val="auto"/>
          <w:lang w:val="sr-Cyrl-CS"/>
        </w:rPr>
        <w:t>stanovništva</w:t>
      </w:r>
      <w:r w:rsidRPr="00E95BC4">
        <w:rPr>
          <w:color w:val="auto"/>
          <w:lang w:val="sr-Cyrl-CS"/>
        </w:rPr>
        <w:t xml:space="preserve"> </w:t>
      </w:r>
      <w:r w:rsidR="005818C0">
        <w:rPr>
          <w:color w:val="auto"/>
          <w:lang w:val="sr-Cyrl-CS"/>
        </w:rPr>
        <w:t>koji</w:t>
      </w:r>
      <w:r w:rsidRPr="00E95BC4">
        <w:rPr>
          <w:color w:val="auto"/>
          <w:lang w:val="sr-Cyrl-CS"/>
        </w:rPr>
        <w:t xml:space="preserve"> </w:t>
      </w:r>
      <w:r w:rsidR="005818C0">
        <w:rPr>
          <w:color w:val="auto"/>
          <w:lang w:val="sr-Cyrl-CS"/>
        </w:rPr>
        <w:t>bi</w:t>
      </w:r>
      <w:r w:rsidRPr="00E95BC4">
        <w:rPr>
          <w:color w:val="auto"/>
          <w:lang w:val="sr-Cyrl-CS"/>
        </w:rPr>
        <w:t xml:space="preserve"> </w:t>
      </w:r>
      <w:r w:rsidR="005818C0">
        <w:rPr>
          <w:color w:val="auto"/>
          <w:lang w:val="sr-Cyrl-CS"/>
        </w:rPr>
        <w:t>podneli</w:t>
      </w:r>
      <w:r w:rsidRPr="00E95BC4">
        <w:rPr>
          <w:color w:val="auto"/>
          <w:lang w:val="sr-Cyrl-CS"/>
        </w:rPr>
        <w:t xml:space="preserve"> </w:t>
      </w:r>
      <w:r w:rsidR="005818C0">
        <w:rPr>
          <w:color w:val="auto"/>
          <w:lang w:val="sr-Cyrl-CS"/>
        </w:rPr>
        <w:t>teret</w:t>
      </w:r>
      <w:r w:rsidRPr="00E95BC4">
        <w:rPr>
          <w:color w:val="auto"/>
          <w:lang w:val="sr-Cyrl-CS"/>
        </w:rPr>
        <w:t xml:space="preserve"> </w:t>
      </w:r>
      <w:r w:rsidR="005818C0">
        <w:rPr>
          <w:color w:val="auto"/>
          <w:lang w:val="sr-Cyrl-CS"/>
        </w:rPr>
        <w:t>poremećaja</w:t>
      </w:r>
      <w:r w:rsidRPr="00E95BC4">
        <w:rPr>
          <w:color w:val="auto"/>
          <w:lang w:val="sr-Cyrl-CS"/>
        </w:rPr>
        <w:t xml:space="preserve"> </w:t>
      </w:r>
      <w:r w:rsidR="005818C0">
        <w:rPr>
          <w:color w:val="auto"/>
          <w:lang w:val="sr-Cyrl-CS"/>
        </w:rPr>
        <w:t>na</w:t>
      </w:r>
      <w:r w:rsidRPr="00E95BC4">
        <w:rPr>
          <w:color w:val="auto"/>
          <w:lang w:val="sr-Cyrl-CS"/>
        </w:rPr>
        <w:t xml:space="preserve"> </w:t>
      </w:r>
      <w:r w:rsidR="005818C0">
        <w:rPr>
          <w:color w:val="auto"/>
          <w:lang w:val="sr-Cyrl-CS"/>
        </w:rPr>
        <w:t>tržištu</w:t>
      </w:r>
      <w:r w:rsidRPr="00E95BC4">
        <w:rPr>
          <w:color w:val="auto"/>
          <w:lang w:val="sr-Cyrl-CS"/>
        </w:rPr>
        <w:t xml:space="preserve"> </w:t>
      </w:r>
      <w:r w:rsidR="005818C0">
        <w:rPr>
          <w:color w:val="auto"/>
          <w:lang w:val="sr-Cyrl-CS"/>
        </w:rPr>
        <w:t>uzrokovanih</w:t>
      </w:r>
      <w:r w:rsidRPr="00E95BC4">
        <w:rPr>
          <w:color w:val="auto"/>
          <w:lang w:val="sr-Cyrl-CS"/>
        </w:rPr>
        <w:t xml:space="preserve"> </w:t>
      </w:r>
      <w:r w:rsidR="005818C0">
        <w:rPr>
          <w:color w:val="auto"/>
          <w:lang w:val="sr-Cyrl-CS"/>
        </w:rPr>
        <w:t>uplivom</w:t>
      </w:r>
      <w:r w:rsidRPr="00E95BC4">
        <w:rPr>
          <w:color w:val="auto"/>
          <w:lang w:val="sr-Cyrl-CS"/>
        </w:rPr>
        <w:t xml:space="preserve"> </w:t>
      </w:r>
      <w:r w:rsidR="005818C0">
        <w:rPr>
          <w:color w:val="auto"/>
          <w:lang w:val="sr-Cyrl-CS"/>
        </w:rPr>
        <w:t>nelegalno</w:t>
      </w:r>
      <w:r w:rsidRPr="00E95BC4">
        <w:rPr>
          <w:color w:val="auto"/>
          <w:lang w:val="sr-Cyrl-CS"/>
        </w:rPr>
        <w:t xml:space="preserve"> </w:t>
      </w:r>
      <w:r w:rsidR="005818C0">
        <w:rPr>
          <w:color w:val="auto"/>
          <w:lang w:val="sr-Cyrl-CS"/>
        </w:rPr>
        <w:t>stečene</w:t>
      </w:r>
      <w:r w:rsidRPr="00E95BC4">
        <w:rPr>
          <w:color w:val="auto"/>
          <w:lang w:val="sr-Cyrl-CS"/>
        </w:rPr>
        <w:t xml:space="preserve"> </w:t>
      </w:r>
      <w:r w:rsidR="005818C0">
        <w:rPr>
          <w:color w:val="auto"/>
          <w:lang w:val="sr-Cyrl-CS"/>
        </w:rPr>
        <w:t>imovine</w:t>
      </w:r>
      <w:r w:rsidRPr="00E95BC4">
        <w:rPr>
          <w:color w:val="auto"/>
          <w:lang w:val="sr-Cyrl-CS"/>
        </w:rPr>
        <w:t xml:space="preserve"> </w:t>
      </w:r>
      <w:r w:rsidR="005818C0">
        <w:rPr>
          <w:color w:val="auto"/>
          <w:lang w:val="sr-Cyrl-CS"/>
        </w:rPr>
        <w:t>i</w:t>
      </w:r>
      <w:r w:rsidRPr="00E95BC4">
        <w:rPr>
          <w:color w:val="auto"/>
          <w:lang w:val="sr-Cyrl-CS"/>
        </w:rPr>
        <w:t xml:space="preserve"> </w:t>
      </w:r>
      <w:r w:rsidR="005818C0">
        <w:rPr>
          <w:color w:val="auto"/>
          <w:lang w:val="sr-Cyrl-CS"/>
        </w:rPr>
        <w:t>korupcijom</w:t>
      </w:r>
      <w:r w:rsidRPr="00E95BC4">
        <w:rPr>
          <w:color w:val="auto"/>
          <w:lang w:val="sr-Cyrl-CS"/>
        </w:rPr>
        <w:t xml:space="preserve">. </w:t>
      </w:r>
      <w:r w:rsidR="005818C0">
        <w:rPr>
          <w:color w:val="auto"/>
          <w:lang w:val="sr-Cyrl-CS"/>
        </w:rPr>
        <w:t>Pranje</w:t>
      </w:r>
      <w:r w:rsidRPr="00E95BC4">
        <w:rPr>
          <w:color w:val="auto"/>
          <w:lang w:val="sr-Cyrl-CS"/>
        </w:rPr>
        <w:t xml:space="preserve"> </w:t>
      </w:r>
      <w:r w:rsidR="005818C0">
        <w:rPr>
          <w:color w:val="auto"/>
          <w:lang w:val="sr-Cyrl-CS"/>
        </w:rPr>
        <w:t>novca</w:t>
      </w:r>
      <w:r w:rsidRPr="00E95BC4">
        <w:rPr>
          <w:color w:val="auto"/>
          <w:lang w:val="sr-Cyrl-CS"/>
        </w:rPr>
        <w:t xml:space="preserve"> </w:t>
      </w:r>
      <w:r w:rsidR="005818C0">
        <w:rPr>
          <w:color w:val="auto"/>
          <w:lang w:val="sr-Cyrl-CS"/>
        </w:rPr>
        <w:t>pogoduje</w:t>
      </w:r>
      <w:r w:rsidRPr="00E95BC4">
        <w:rPr>
          <w:color w:val="auto"/>
          <w:lang w:val="sr-Cyrl-CS"/>
        </w:rPr>
        <w:t xml:space="preserve"> </w:t>
      </w:r>
      <w:r w:rsidR="005818C0">
        <w:rPr>
          <w:color w:val="auto"/>
          <w:lang w:val="sr-Cyrl-CS"/>
        </w:rPr>
        <w:t>vršenju</w:t>
      </w:r>
      <w:r w:rsidRPr="00E95BC4">
        <w:rPr>
          <w:color w:val="auto"/>
          <w:lang w:val="sr-Cyrl-CS"/>
        </w:rPr>
        <w:t xml:space="preserve"> </w:t>
      </w:r>
      <w:r w:rsidR="005818C0">
        <w:rPr>
          <w:color w:val="auto"/>
          <w:lang w:val="sr-Cyrl-CS"/>
        </w:rPr>
        <w:t>kriminalnih</w:t>
      </w:r>
      <w:r w:rsidRPr="00E95BC4">
        <w:rPr>
          <w:color w:val="auto"/>
          <w:lang w:val="sr-Cyrl-CS"/>
        </w:rPr>
        <w:t xml:space="preserve"> </w:t>
      </w:r>
      <w:r w:rsidR="005818C0">
        <w:rPr>
          <w:color w:val="auto"/>
          <w:lang w:val="sr-Cyrl-CS"/>
        </w:rPr>
        <w:t>aktivnosti</w:t>
      </w:r>
      <w:r w:rsidRPr="00E95BC4">
        <w:rPr>
          <w:color w:val="auto"/>
          <w:lang w:val="sr-Cyrl-CS"/>
        </w:rPr>
        <w:t xml:space="preserve">, </w:t>
      </w:r>
      <w:r w:rsidR="005818C0">
        <w:rPr>
          <w:color w:val="auto"/>
          <w:lang w:val="sr-Cyrl-CS"/>
        </w:rPr>
        <w:t>poput</w:t>
      </w:r>
      <w:r w:rsidRPr="00E95BC4">
        <w:rPr>
          <w:color w:val="auto"/>
          <w:lang w:val="sr-Cyrl-CS"/>
        </w:rPr>
        <w:t xml:space="preserve"> </w:t>
      </w:r>
      <w:r w:rsidR="005818C0">
        <w:rPr>
          <w:color w:val="auto"/>
          <w:lang w:val="sr-Cyrl-CS"/>
        </w:rPr>
        <w:t>trgovine</w:t>
      </w:r>
      <w:r w:rsidRPr="00E95BC4">
        <w:rPr>
          <w:color w:val="auto"/>
          <w:lang w:val="sr-Cyrl-CS"/>
        </w:rPr>
        <w:t xml:space="preserve"> </w:t>
      </w:r>
      <w:r w:rsidR="005818C0">
        <w:rPr>
          <w:color w:val="auto"/>
          <w:lang w:val="sr-Cyrl-CS"/>
        </w:rPr>
        <w:t>drogom</w:t>
      </w:r>
      <w:r w:rsidRPr="00E95BC4">
        <w:rPr>
          <w:color w:val="auto"/>
          <w:lang w:val="sr-Cyrl-CS"/>
        </w:rPr>
        <w:t xml:space="preserve">, </w:t>
      </w:r>
      <w:r w:rsidR="005818C0">
        <w:rPr>
          <w:color w:val="auto"/>
          <w:lang w:val="sr-Cyrl-CS"/>
        </w:rPr>
        <w:t>koje</w:t>
      </w:r>
      <w:r w:rsidRPr="00E95BC4">
        <w:rPr>
          <w:color w:val="auto"/>
          <w:lang w:val="sr-Cyrl-CS"/>
        </w:rPr>
        <w:t xml:space="preserve"> </w:t>
      </w:r>
      <w:r w:rsidR="005818C0">
        <w:rPr>
          <w:color w:val="auto"/>
          <w:lang w:val="sr-Cyrl-CS"/>
        </w:rPr>
        <w:t>podrivaju</w:t>
      </w:r>
      <w:r w:rsidRPr="00E95BC4">
        <w:rPr>
          <w:color w:val="auto"/>
          <w:lang w:val="sr-Cyrl-CS"/>
        </w:rPr>
        <w:t xml:space="preserve"> </w:t>
      </w:r>
      <w:r w:rsidR="005818C0">
        <w:rPr>
          <w:color w:val="auto"/>
          <w:lang w:val="sr-Cyrl-CS"/>
        </w:rPr>
        <w:t>društvene</w:t>
      </w:r>
      <w:r w:rsidRPr="00E95BC4">
        <w:rPr>
          <w:color w:val="auto"/>
          <w:lang w:val="sr-Cyrl-CS"/>
        </w:rPr>
        <w:t xml:space="preserve"> </w:t>
      </w:r>
      <w:r w:rsidR="005818C0">
        <w:rPr>
          <w:color w:val="auto"/>
          <w:lang w:val="sr-Cyrl-CS"/>
        </w:rPr>
        <w:t>norme</w:t>
      </w:r>
      <w:r w:rsidRPr="00E95BC4">
        <w:rPr>
          <w:color w:val="auto"/>
          <w:lang w:val="sr-Cyrl-CS"/>
        </w:rPr>
        <w:t xml:space="preserve"> </w:t>
      </w:r>
      <w:r w:rsidR="005818C0">
        <w:rPr>
          <w:color w:val="auto"/>
          <w:lang w:val="sr-Cyrl-CS"/>
        </w:rPr>
        <w:t>i</w:t>
      </w:r>
      <w:r w:rsidRPr="00E95BC4">
        <w:rPr>
          <w:color w:val="auto"/>
          <w:lang w:val="sr-Cyrl-CS"/>
        </w:rPr>
        <w:t xml:space="preserve"> </w:t>
      </w:r>
      <w:r w:rsidR="005818C0">
        <w:rPr>
          <w:color w:val="auto"/>
          <w:lang w:val="sr-Cyrl-CS"/>
        </w:rPr>
        <w:t>napredak</w:t>
      </w:r>
      <w:r w:rsidRPr="00E95BC4">
        <w:rPr>
          <w:color w:val="auto"/>
          <w:lang w:val="sr-Cyrl-CS"/>
        </w:rPr>
        <w:t xml:space="preserve"> </w:t>
      </w:r>
      <w:r w:rsidR="005818C0">
        <w:rPr>
          <w:color w:val="auto"/>
          <w:lang w:val="sr-Cyrl-CS"/>
        </w:rPr>
        <w:t>društva</w:t>
      </w:r>
      <w:r w:rsidRPr="00E95BC4">
        <w:rPr>
          <w:color w:val="auto"/>
          <w:lang w:val="sr-Cyrl-CS"/>
        </w:rPr>
        <w:t xml:space="preserve">. </w:t>
      </w:r>
      <w:r w:rsidR="005818C0">
        <w:rPr>
          <w:color w:val="auto"/>
          <w:lang w:val="sr-Cyrl-CS"/>
        </w:rPr>
        <w:t>Ono</w:t>
      </w:r>
      <w:r w:rsidRPr="00E95BC4">
        <w:rPr>
          <w:color w:val="auto"/>
          <w:lang w:val="sr-Cyrl-CS"/>
        </w:rPr>
        <w:t xml:space="preserve"> </w:t>
      </w:r>
      <w:r w:rsidR="005818C0">
        <w:rPr>
          <w:color w:val="auto"/>
          <w:lang w:val="sr-Cyrl-CS"/>
        </w:rPr>
        <w:t>što</w:t>
      </w:r>
      <w:r w:rsidRPr="00E95BC4">
        <w:rPr>
          <w:color w:val="auto"/>
          <w:lang w:val="sr-Cyrl-CS"/>
        </w:rPr>
        <w:t xml:space="preserve"> </w:t>
      </w:r>
      <w:r w:rsidR="005818C0">
        <w:rPr>
          <w:color w:val="auto"/>
          <w:lang w:val="sr-Cyrl-CS"/>
        </w:rPr>
        <w:t>je</w:t>
      </w:r>
      <w:r w:rsidRPr="00E95BC4">
        <w:rPr>
          <w:color w:val="auto"/>
          <w:lang w:val="sr-Cyrl-CS"/>
        </w:rPr>
        <w:t xml:space="preserve"> </w:t>
      </w:r>
      <w:r w:rsidR="005818C0">
        <w:rPr>
          <w:color w:val="auto"/>
          <w:lang w:val="sr-Cyrl-CS"/>
        </w:rPr>
        <w:t>još</w:t>
      </w:r>
      <w:r w:rsidRPr="00E95BC4">
        <w:rPr>
          <w:color w:val="auto"/>
          <w:lang w:val="sr-Cyrl-CS"/>
        </w:rPr>
        <w:t xml:space="preserve"> </w:t>
      </w:r>
      <w:r w:rsidR="005818C0">
        <w:rPr>
          <w:color w:val="auto"/>
          <w:lang w:val="sr-Cyrl-CS"/>
        </w:rPr>
        <w:t>štetnije</w:t>
      </w:r>
      <w:r w:rsidRPr="00E95BC4">
        <w:rPr>
          <w:color w:val="auto"/>
          <w:lang w:val="sr-Cyrl-CS"/>
        </w:rPr>
        <w:t xml:space="preserve">, </w:t>
      </w:r>
      <w:r w:rsidR="005818C0">
        <w:rPr>
          <w:color w:val="auto"/>
          <w:lang w:val="sr-Cyrl-CS"/>
        </w:rPr>
        <w:t>finansiranjem</w:t>
      </w:r>
      <w:r w:rsidRPr="00E95BC4">
        <w:rPr>
          <w:color w:val="auto"/>
          <w:lang w:val="sr-Cyrl-CS"/>
        </w:rPr>
        <w:t xml:space="preserve"> </w:t>
      </w:r>
      <w:r w:rsidR="005818C0">
        <w:rPr>
          <w:color w:val="auto"/>
          <w:lang w:val="sr-Cyrl-CS"/>
        </w:rPr>
        <w:t>terorizma</w:t>
      </w:r>
      <w:r w:rsidRPr="00E95BC4">
        <w:rPr>
          <w:color w:val="auto"/>
          <w:lang w:val="sr-Cyrl-CS"/>
        </w:rPr>
        <w:t xml:space="preserve"> </w:t>
      </w:r>
      <w:r w:rsidR="005818C0">
        <w:rPr>
          <w:lang w:val="sr-Cyrl-CS"/>
        </w:rPr>
        <w:t>Republika</w:t>
      </w:r>
      <w:r w:rsidR="004A6FEC" w:rsidRPr="00E95BC4">
        <w:rPr>
          <w:lang w:val="sr-Cyrl-CS"/>
        </w:rPr>
        <w:t xml:space="preserve"> </w:t>
      </w:r>
      <w:r w:rsidR="005818C0">
        <w:rPr>
          <w:color w:val="auto"/>
          <w:lang w:val="sr-Cyrl-CS"/>
        </w:rPr>
        <w:t>Srbija</w:t>
      </w:r>
      <w:r w:rsidRPr="00E95BC4">
        <w:rPr>
          <w:color w:val="auto"/>
          <w:lang w:val="sr-Cyrl-CS"/>
        </w:rPr>
        <w:t xml:space="preserve"> </w:t>
      </w:r>
      <w:r w:rsidR="005818C0">
        <w:rPr>
          <w:color w:val="auto"/>
          <w:lang w:val="sr-Cyrl-CS"/>
        </w:rPr>
        <w:t>se</w:t>
      </w:r>
      <w:r w:rsidRPr="00E95BC4">
        <w:rPr>
          <w:color w:val="auto"/>
          <w:lang w:val="sr-Cyrl-CS"/>
        </w:rPr>
        <w:t xml:space="preserve"> </w:t>
      </w:r>
      <w:r w:rsidR="005818C0">
        <w:rPr>
          <w:color w:val="auto"/>
          <w:lang w:val="sr-Cyrl-CS"/>
        </w:rPr>
        <w:t>može</w:t>
      </w:r>
      <w:r w:rsidRPr="00E95BC4">
        <w:rPr>
          <w:color w:val="auto"/>
          <w:lang w:val="sr-Cyrl-CS"/>
        </w:rPr>
        <w:t xml:space="preserve"> </w:t>
      </w:r>
      <w:r w:rsidR="005818C0">
        <w:rPr>
          <w:color w:val="auto"/>
          <w:lang w:val="sr-Cyrl-CS"/>
        </w:rPr>
        <w:t>izložiti</w:t>
      </w:r>
      <w:r w:rsidRPr="00E95BC4">
        <w:rPr>
          <w:color w:val="auto"/>
          <w:lang w:val="sr-Cyrl-CS"/>
        </w:rPr>
        <w:t xml:space="preserve"> </w:t>
      </w:r>
      <w:r w:rsidR="005818C0">
        <w:rPr>
          <w:color w:val="auto"/>
          <w:lang w:val="sr-Cyrl-CS"/>
        </w:rPr>
        <w:t>i</w:t>
      </w:r>
      <w:r w:rsidRPr="00E95BC4">
        <w:rPr>
          <w:color w:val="auto"/>
          <w:lang w:val="sr-Cyrl-CS"/>
        </w:rPr>
        <w:t xml:space="preserve"> </w:t>
      </w:r>
      <w:r w:rsidR="005818C0">
        <w:rPr>
          <w:color w:val="auto"/>
          <w:lang w:val="sr-Cyrl-CS"/>
        </w:rPr>
        <w:t>terorističkim</w:t>
      </w:r>
      <w:r w:rsidRPr="00E95BC4">
        <w:rPr>
          <w:color w:val="auto"/>
          <w:lang w:val="sr-Cyrl-CS"/>
        </w:rPr>
        <w:t xml:space="preserve"> </w:t>
      </w:r>
      <w:r w:rsidR="005818C0">
        <w:rPr>
          <w:color w:val="auto"/>
          <w:lang w:val="sr-Cyrl-CS"/>
        </w:rPr>
        <w:t>aktivnostima</w:t>
      </w:r>
      <w:r w:rsidRPr="00E95BC4">
        <w:rPr>
          <w:color w:val="auto"/>
          <w:lang w:val="sr-Cyrl-CS"/>
        </w:rPr>
        <w:t xml:space="preserve">, </w:t>
      </w:r>
      <w:r w:rsidR="005818C0">
        <w:rPr>
          <w:color w:val="auto"/>
          <w:lang w:val="sr-Cyrl-CS"/>
        </w:rPr>
        <w:t>sa</w:t>
      </w:r>
      <w:r w:rsidRPr="00E95BC4">
        <w:rPr>
          <w:color w:val="auto"/>
          <w:lang w:val="sr-Cyrl-CS"/>
        </w:rPr>
        <w:t xml:space="preserve"> </w:t>
      </w:r>
      <w:r w:rsidR="005818C0">
        <w:rPr>
          <w:color w:val="auto"/>
          <w:lang w:val="sr-Cyrl-CS"/>
        </w:rPr>
        <w:t>svim</w:t>
      </w:r>
      <w:r w:rsidRPr="00E95BC4">
        <w:rPr>
          <w:color w:val="auto"/>
          <w:lang w:val="sr-Cyrl-CS"/>
        </w:rPr>
        <w:t xml:space="preserve"> </w:t>
      </w:r>
      <w:r w:rsidR="005818C0">
        <w:rPr>
          <w:color w:val="auto"/>
          <w:lang w:val="sr-Cyrl-CS"/>
        </w:rPr>
        <w:t>negativnim</w:t>
      </w:r>
      <w:r w:rsidRPr="00E95BC4">
        <w:rPr>
          <w:color w:val="auto"/>
          <w:lang w:val="sr-Cyrl-CS"/>
        </w:rPr>
        <w:t xml:space="preserve"> </w:t>
      </w:r>
      <w:r w:rsidR="005818C0">
        <w:rPr>
          <w:color w:val="auto"/>
          <w:lang w:val="sr-Cyrl-CS"/>
        </w:rPr>
        <w:t>efektima</w:t>
      </w:r>
      <w:r w:rsidRPr="00E95BC4">
        <w:rPr>
          <w:color w:val="auto"/>
          <w:lang w:val="sr-Cyrl-CS"/>
        </w:rPr>
        <w:t xml:space="preserve"> </w:t>
      </w:r>
      <w:r w:rsidR="005818C0">
        <w:rPr>
          <w:color w:val="auto"/>
          <w:lang w:val="sr-Cyrl-CS"/>
        </w:rPr>
        <w:t>koje</w:t>
      </w:r>
      <w:r w:rsidRPr="00E95BC4">
        <w:rPr>
          <w:color w:val="auto"/>
          <w:lang w:val="sr-Cyrl-CS"/>
        </w:rPr>
        <w:t xml:space="preserve"> </w:t>
      </w:r>
      <w:r w:rsidR="005818C0">
        <w:rPr>
          <w:color w:val="auto"/>
          <w:lang w:val="sr-Cyrl-CS"/>
        </w:rPr>
        <w:t>te</w:t>
      </w:r>
      <w:r w:rsidRPr="00E95BC4">
        <w:rPr>
          <w:color w:val="auto"/>
          <w:lang w:val="sr-Cyrl-CS"/>
        </w:rPr>
        <w:t xml:space="preserve"> </w:t>
      </w:r>
      <w:r w:rsidR="005818C0">
        <w:rPr>
          <w:color w:val="auto"/>
          <w:lang w:val="sr-Cyrl-CS"/>
        </w:rPr>
        <w:t>aktivnosti</w:t>
      </w:r>
      <w:r w:rsidRPr="00E95BC4">
        <w:rPr>
          <w:color w:val="auto"/>
          <w:lang w:val="sr-Cyrl-CS"/>
        </w:rPr>
        <w:t xml:space="preserve"> </w:t>
      </w:r>
      <w:r w:rsidR="005818C0">
        <w:rPr>
          <w:color w:val="auto"/>
          <w:lang w:val="sr-Cyrl-CS"/>
        </w:rPr>
        <w:t>sa</w:t>
      </w:r>
      <w:r w:rsidRPr="00E95BC4">
        <w:rPr>
          <w:color w:val="auto"/>
          <w:lang w:val="sr-Cyrl-CS"/>
        </w:rPr>
        <w:t xml:space="preserve"> </w:t>
      </w:r>
      <w:r w:rsidR="005818C0">
        <w:rPr>
          <w:color w:val="auto"/>
          <w:lang w:val="sr-Cyrl-CS"/>
        </w:rPr>
        <w:t>sobom</w:t>
      </w:r>
      <w:r w:rsidRPr="00E95BC4">
        <w:rPr>
          <w:color w:val="auto"/>
          <w:lang w:val="sr-Cyrl-CS"/>
        </w:rPr>
        <w:t xml:space="preserve"> </w:t>
      </w:r>
      <w:r w:rsidR="005818C0">
        <w:rPr>
          <w:color w:val="auto"/>
          <w:lang w:val="sr-Cyrl-CS"/>
        </w:rPr>
        <w:t>nose</w:t>
      </w:r>
      <w:r w:rsidRPr="00E95BC4">
        <w:rPr>
          <w:color w:val="auto"/>
          <w:lang w:val="sr-Cyrl-CS"/>
        </w:rPr>
        <w:t xml:space="preserve">, </w:t>
      </w:r>
      <w:r w:rsidR="005818C0">
        <w:rPr>
          <w:color w:val="auto"/>
          <w:lang w:val="sr-Cyrl-CS"/>
        </w:rPr>
        <w:t>ili</w:t>
      </w:r>
      <w:r w:rsidRPr="00E95BC4">
        <w:rPr>
          <w:color w:val="auto"/>
          <w:lang w:val="sr-Cyrl-CS"/>
        </w:rPr>
        <w:t xml:space="preserve"> </w:t>
      </w:r>
      <w:r w:rsidR="005818C0">
        <w:rPr>
          <w:color w:val="auto"/>
          <w:lang w:val="sr-Cyrl-CS"/>
        </w:rPr>
        <w:t>čak</w:t>
      </w:r>
      <w:r w:rsidRPr="00E95BC4">
        <w:rPr>
          <w:color w:val="auto"/>
          <w:lang w:val="sr-Cyrl-CS"/>
        </w:rPr>
        <w:t xml:space="preserve"> </w:t>
      </w:r>
      <w:r w:rsidR="005818C0">
        <w:rPr>
          <w:color w:val="auto"/>
          <w:lang w:val="sr-Cyrl-CS"/>
        </w:rPr>
        <w:t>međunarodnim</w:t>
      </w:r>
      <w:r w:rsidRPr="00E95BC4">
        <w:rPr>
          <w:color w:val="auto"/>
          <w:lang w:val="sr-Cyrl-CS"/>
        </w:rPr>
        <w:t xml:space="preserve"> </w:t>
      </w:r>
      <w:r w:rsidR="005818C0">
        <w:rPr>
          <w:color w:val="auto"/>
          <w:lang w:val="sr-Cyrl-CS"/>
        </w:rPr>
        <w:t>kontramerama</w:t>
      </w:r>
      <w:r w:rsidRPr="00E95BC4">
        <w:rPr>
          <w:color w:val="auto"/>
          <w:lang w:val="sr-Cyrl-CS"/>
        </w:rPr>
        <w:t xml:space="preserve"> </w:t>
      </w:r>
      <w:r w:rsidR="005818C0">
        <w:rPr>
          <w:color w:val="auto"/>
          <w:lang w:val="sr-Cyrl-CS"/>
        </w:rPr>
        <w:t>ako</w:t>
      </w:r>
      <w:r w:rsidRPr="00E95BC4">
        <w:rPr>
          <w:color w:val="auto"/>
          <w:lang w:val="sr-Cyrl-CS"/>
        </w:rPr>
        <w:t xml:space="preserve"> </w:t>
      </w:r>
      <w:r w:rsidR="005818C0">
        <w:rPr>
          <w:color w:val="auto"/>
          <w:lang w:val="sr-Cyrl-CS"/>
        </w:rPr>
        <w:t>se</w:t>
      </w:r>
      <w:r w:rsidRPr="00E95BC4">
        <w:rPr>
          <w:color w:val="auto"/>
          <w:lang w:val="sr-Cyrl-CS"/>
        </w:rPr>
        <w:t xml:space="preserve"> </w:t>
      </w:r>
      <w:r w:rsidR="005818C0">
        <w:rPr>
          <w:color w:val="auto"/>
          <w:lang w:val="sr-Cyrl-CS"/>
        </w:rPr>
        <w:t>na</w:t>
      </w:r>
      <w:r w:rsidRPr="00E95BC4">
        <w:rPr>
          <w:color w:val="auto"/>
          <w:lang w:val="sr-Cyrl-CS"/>
        </w:rPr>
        <w:t xml:space="preserve"> </w:t>
      </w:r>
      <w:r w:rsidR="005818C0">
        <w:rPr>
          <w:color w:val="auto"/>
          <w:lang w:val="sr-Cyrl-CS"/>
        </w:rPr>
        <w:t>taj</w:t>
      </w:r>
      <w:r w:rsidRPr="00E95BC4">
        <w:rPr>
          <w:color w:val="auto"/>
          <w:lang w:val="sr-Cyrl-CS"/>
        </w:rPr>
        <w:t xml:space="preserve"> </w:t>
      </w:r>
      <w:r w:rsidR="005818C0">
        <w:rPr>
          <w:color w:val="auto"/>
          <w:lang w:val="sr-Cyrl-CS"/>
        </w:rPr>
        <w:t>način</w:t>
      </w:r>
      <w:r w:rsidRPr="00E95BC4">
        <w:rPr>
          <w:color w:val="auto"/>
          <w:lang w:val="sr-Cyrl-CS"/>
        </w:rPr>
        <w:t xml:space="preserve"> </w:t>
      </w:r>
      <w:r w:rsidR="005818C0">
        <w:rPr>
          <w:color w:val="auto"/>
          <w:lang w:val="sr-Cyrl-CS"/>
        </w:rPr>
        <w:t>omogućava</w:t>
      </w:r>
      <w:r w:rsidRPr="00E95BC4">
        <w:rPr>
          <w:color w:val="auto"/>
          <w:lang w:val="sr-Cyrl-CS"/>
        </w:rPr>
        <w:t xml:space="preserve"> </w:t>
      </w:r>
      <w:r w:rsidR="005818C0">
        <w:rPr>
          <w:color w:val="auto"/>
          <w:lang w:val="sr-Cyrl-CS"/>
        </w:rPr>
        <w:t>vršenje</w:t>
      </w:r>
      <w:r w:rsidRPr="00E95BC4">
        <w:rPr>
          <w:color w:val="auto"/>
          <w:lang w:val="sr-Cyrl-CS"/>
        </w:rPr>
        <w:t xml:space="preserve"> </w:t>
      </w:r>
      <w:r w:rsidR="005818C0">
        <w:rPr>
          <w:color w:val="auto"/>
          <w:lang w:val="sr-Cyrl-CS"/>
        </w:rPr>
        <w:t>terorističkih</w:t>
      </w:r>
      <w:r w:rsidRPr="00E95BC4">
        <w:rPr>
          <w:color w:val="auto"/>
          <w:lang w:val="sr-Cyrl-CS"/>
        </w:rPr>
        <w:t xml:space="preserve"> </w:t>
      </w:r>
      <w:r w:rsidR="005818C0">
        <w:rPr>
          <w:color w:val="auto"/>
          <w:lang w:val="sr-Cyrl-CS"/>
        </w:rPr>
        <w:t>aktivnosti</w:t>
      </w:r>
      <w:r w:rsidRPr="00E95BC4">
        <w:rPr>
          <w:color w:val="auto"/>
          <w:lang w:val="sr-Cyrl-CS"/>
        </w:rPr>
        <w:t xml:space="preserve"> </w:t>
      </w:r>
      <w:r w:rsidR="005818C0">
        <w:rPr>
          <w:color w:val="auto"/>
          <w:lang w:val="sr-Cyrl-CS"/>
        </w:rPr>
        <w:t>u</w:t>
      </w:r>
      <w:r w:rsidRPr="00E95BC4">
        <w:rPr>
          <w:color w:val="auto"/>
          <w:lang w:val="sr-Cyrl-CS"/>
        </w:rPr>
        <w:t xml:space="preserve"> </w:t>
      </w:r>
      <w:r w:rsidR="005818C0">
        <w:rPr>
          <w:color w:val="auto"/>
          <w:lang w:val="sr-Cyrl-CS"/>
        </w:rPr>
        <w:t>inostranstvu</w:t>
      </w:r>
      <w:r w:rsidRPr="00E95BC4">
        <w:rPr>
          <w:color w:val="auto"/>
          <w:lang w:val="sr-Cyrl-CS"/>
        </w:rPr>
        <w:t xml:space="preserve">. </w:t>
      </w:r>
    </w:p>
    <w:p w:rsidR="004420AE" w:rsidRPr="00E95BC4" w:rsidRDefault="00EB24C3" w:rsidP="00EB24C3">
      <w:pPr>
        <w:tabs>
          <w:tab w:val="left" w:pos="709"/>
        </w:tabs>
        <w:jc w:val="both"/>
        <w:rPr>
          <w:color w:val="auto"/>
          <w:lang w:val="sr-Cyrl-CS"/>
        </w:rPr>
      </w:pPr>
      <w:r w:rsidRPr="00E95BC4">
        <w:rPr>
          <w:b/>
          <w:color w:val="auto"/>
          <w:lang w:val="sr-Cyrl-CS"/>
        </w:rPr>
        <w:tab/>
      </w:r>
      <w:r w:rsidR="005818C0">
        <w:rPr>
          <w:b/>
          <w:color w:val="auto"/>
          <w:lang w:val="sr-Cyrl-CS"/>
        </w:rPr>
        <w:t>Opcija</w:t>
      </w:r>
      <w:r w:rsidR="00B150CA" w:rsidRPr="00E95BC4">
        <w:rPr>
          <w:b/>
          <w:color w:val="auto"/>
          <w:lang w:val="sr-Cyrl-CS"/>
        </w:rPr>
        <w:t xml:space="preserve"> 2</w:t>
      </w:r>
      <w:r w:rsidR="00E04390" w:rsidRPr="00E95BC4">
        <w:rPr>
          <w:color w:val="auto"/>
          <w:lang w:val="sr-Cyrl-CS"/>
        </w:rPr>
        <w:t>:</w:t>
      </w:r>
      <w:r w:rsidR="00424469" w:rsidRPr="00E95BC4">
        <w:rPr>
          <w:color w:val="auto"/>
          <w:lang w:val="sr-Cyrl-CS"/>
        </w:rPr>
        <w:t xml:space="preserve"> </w:t>
      </w:r>
      <w:r w:rsidR="005818C0">
        <w:rPr>
          <w:color w:val="auto"/>
          <w:lang w:val="sr-Cyrl-CS"/>
        </w:rPr>
        <w:t>Mogući</w:t>
      </w:r>
      <w:r w:rsidR="004420AE" w:rsidRPr="00E95BC4">
        <w:rPr>
          <w:color w:val="auto"/>
          <w:lang w:val="sr-Cyrl-CS"/>
        </w:rPr>
        <w:t xml:space="preserve"> </w:t>
      </w:r>
      <w:r w:rsidR="005818C0">
        <w:rPr>
          <w:color w:val="auto"/>
          <w:lang w:val="sr-Cyrl-CS"/>
        </w:rPr>
        <w:t>pristup</w:t>
      </w:r>
      <w:r w:rsidR="004420AE" w:rsidRPr="00E95BC4">
        <w:rPr>
          <w:color w:val="auto"/>
          <w:lang w:val="sr-Cyrl-CS"/>
        </w:rPr>
        <w:t xml:space="preserve"> </w:t>
      </w:r>
      <w:r w:rsidR="005818C0">
        <w:rPr>
          <w:color w:val="auto"/>
          <w:lang w:val="sr-Cyrl-CS"/>
        </w:rPr>
        <w:t>je</w:t>
      </w:r>
      <w:r w:rsidR="004420AE" w:rsidRPr="00E95BC4">
        <w:rPr>
          <w:color w:val="auto"/>
          <w:lang w:val="sr-Cyrl-CS"/>
        </w:rPr>
        <w:t xml:space="preserve"> </w:t>
      </w:r>
      <w:r w:rsidR="005818C0">
        <w:rPr>
          <w:color w:val="auto"/>
          <w:lang w:val="sr-Cyrl-CS"/>
        </w:rPr>
        <w:t>da</w:t>
      </w:r>
      <w:r w:rsidR="004420AE" w:rsidRPr="00E95BC4">
        <w:rPr>
          <w:color w:val="auto"/>
          <w:lang w:val="sr-Cyrl-CS"/>
        </w:rPr>
        <w:t xml:space="preserve"> </w:t>
      </w:r>
      <w:r w:rsidR="005818C0">
        <w:rPr>
          <w:color w:val="auto"/>
          <w:lang w:val="sr-Cyrl-CS"/>
        </w:rPr>
        <w:t>svaka</w:t>
      </w:r>
      <w:r w:rsidR="00B70620" w:rsidRPr="00E95BC4">
        <w:rPr>
          <w:color w:val="auto"/>
          <w:lang w:val="sr-Cyrl-CS"/>
        </w:rPr>
        <w:t xml:space="preserve"> </w:t>
      </w:r>
      <w:r w:rsidR="005818C0">
        <w:rPr>
          <w:color w:val="auto"/>
          <w:lang w:val="sr-Cyrl-CS"/>
        </w:rPr>
        <w:t>relevantna</w:t>
      </w:r>
      <w:r w:rsidR="00B70620" w:rsidRPr="00E95BC4">
        <w:rPr>
          <w:color w:val="auto"/>
          <w:lang w:val="sr-Cyrl-CS"/>
        </w:rPr>
        <w:t xml:space="preserve"> </w:t>
      </w:r>
      <w:r w:rsidR="005818C0">
        <w:rPr>
          <w:color w:val="auto"/>
          <w:lang w:val="sr-Cyrl-CS"/>
        </w:rPr>
        <w:t>institucija</w:t>
      </w:r>
      <w:r w:rsidR="00B70620" w:rsidRPr="00E95BC4">
        <w:rPr>
          <w:color w:val="auto"/>
          <w:lang w:val="sr-Cyrl-CS"/>
        </w:rPr>
        <w:t xml:space="preserve"> </w:t>
      </w:r>
      <w:r w:rsidR="005818C0">
        <w:rPr>
          <w:color w:val="auto"/>
          <w:lang w:val="sr-Cyrl-CS"/>
        </w:rPr>
        <w:t>zasebno</w:t>
      </w:r>
      <w:r w:rsidR="00B70620" w:rsidRPr="00E95BC4">
        <w:rPr>
          <w:color w:val="auto"/>
          <w:lang w:val="sr-Cyrl-CS"/>
        </w:rPr>
        <w:t xml:space="preserve">, </w:t>
      </w:r>
      <w:r w:rsidR="005818C0">
        <w:rPr>
          <w:color w:val="auto"/>
          <w:lang w:val="sr-Cyrl-CS"/>
        </w:rPr>
        <w:t>u</w:t>
      </w:r>
      <w:r w:rsidR="00B70620" w:rsidRPr="00E95BC4">
        <w:rPr>
          <w:color w:val="auto"/>
          <w:lang w:val="sr-Cyrl-CS"/>
        </w:rPr>
        <w:t xml:space="preserve"> </w:t>
      </w:r>
      <w:r w:rsidR="005818C0">
        <w:rPr>
          <w:color w:val="auto"/>
          <w:lang w:val="sr-Cyrl-CS"/>
        </w:rPr>
        <w:t>okviru</w:t>
      </w:r>
      <w:r w:rsidR="00B70620" w:rsidRPr="00E95BC4">
        <w:rPr>
          <w:color w:val="auto"/>
          <w:lang w:val="sr-Cyrl-CS"/>
        </w:rPr>
        <w:t xml:space="preserve"> </w:t>
      </w:r>
      <w:r w:rsidR="005818C0">
        <w:rPr>
          <w:color w:val="auto"/>
          <w:lang w:val="sr-Cyrl-CS"/>
        </w:rPr>
        <w:t>svog</w:t>
      </w:r>
      <w:r w:rsidR="00B70620" w:rsidRPr="00E95BC4">
        <w:rPr>
          <w:color w:val="auto"/>
          <w:lang w:val="sr-Cyrl-CS"/>
        </w:rPr>
        <w:t xml:space="preserve"> </w:t>
      </w:r>
      <w:r w:rsidR="005818C0">
        <w:rPr>
          <w:color w:val="auto"/>
          <w:lang w:val="sr-Cyrl-CS"/>
        </w:rPr>
        <w:t>delokruga</w:t>
      </w:r>
      <w:r w:rsidR="00B70620" w:rsidRPr="00E95BC4">
        <w:rPr>
          <w:color w:val="auto"/>
          <w:lang w:val="sr-Cyrl-CS"/>
        </w:rPr>
        <w:t xml:space="preserve"> </w:t>
      </w:r>
      <w:r w:rsidR="005818C0">
        <w:rPr>
          <w:color w:val="auto"/>
          <w:lang w:val="sr-Cyrl-CS"/>
        </w:rPr>
        <w:t>rada</w:t>
      </w:r>
      <w:r w:rsidR="00B70620" w:rsidRPr="00E95BC4">
        <w:rPr>
          <w:color w:val="auto"/>
          <w:lang w:val="sr-Cyrl-CS"/>
        </w:rPr>
        <w:t xml:space="preserve"> </w:t>
      </w:r>
      <w:r w:rsidR="005818C0">
        <w:rPr>
          <w:color w:val="auto"/>
          <w:lang w:val="sr-Cyrl-CS"/>
        </w:rPr>
        <w:t>i</w:t>
      </w:r>
      <w:r w:rsidR="00B70620" w:rsidRPr="00E95BC4">
        <w:rPr>
          <w:color w:val="auto"/>
          <w:lang w:val="sr-Cyrl-CS"/>
        </w:rPr>
        <w:t xml:space="preserve"> </w:t>
      </w:r>
      <w:r w:rsidR="005818C0">
        <w:rPr>
          <w:color w:val="auto"/>
          <w:lang w:val="sr-Cyrl-CS"/>
        </w:rPr>
        <w:t>nadležnosti</w:t>
      </w:r>
      <w:r w:rsidR="00B70620" w:rsidRPr="00E95BC4">
        <w:rPr>
          <w:color w:val="auto"/>
          <w:lang w:val="sr-Cyrl-CS"/>
        </w:rPr>
        <w:t xml:space="preserve">, </w:t>
      </w:r>
      <w:r w:rsidR="005818C0">
        <w:rPr>
          <w:color w:val="auto"/>
          <w:lang w:val="sr-Cyrl-CS"/>
        </w:rPr>
        <w:t>donose</w:t>
      </w:r>
      <w:r w:rsidR="00B70620" w:rsidRPr="00E95BC4">
        <w:rPr>
          <w:color w:val="auto"/>
          <w:lang w:val="sr-Cyrl-CS"/>
        </w:rPr>
        <w:t xml:space="preserve"> </w:t>
      </w:r>
      <w:r w:rsidR="005818C0">
        <w:rPr>
          <w:color w:val="auto"/>
          <w:lang w:val="sr-Cyrl-CS"/>
        </w:rPr>
        <w:t>dokumente</w:t>
      </w:r>
      <w:r w:rsidR="004420AE" w:rsidRPr="00E95BC4">
        <w:rPr>
          <w:color w:val="auto"/>
          <w:lang w:val="sr-Cyrl-CS"/>
        </w:rPr>
        <w:t xml:space="preserve"> </w:t>
      </w:r>
      <w:r w:rsidR="005818C0">
        <w:rPr>
          <w:color w:val="auto"/>
          <w:lang w:val="sr-Cyrl-CS"/>
        </w:rPr>
        <w:t>javne</w:t>
      </w:r>
      <w:r w:rsidR="004420AE" w:rsidRPr="00E95BC4">
        <w:rPr>
          <w:color w:val="auto"/>
          <w:lang w:val="sr-Cyrl-CS"/>
        </w:rPr>
        <w:t xml:space="preserve"> </w:t>
      </w:r>
      <w:r w:rsidR="005818C0">
        <w:rPr>
          <w:color w:val="auto"/>
          <w:lang w:val="sr-Cyrl-CS"/>
        </w:rPr>
        <w:t>politike</w:t>
      </w:r>
      <w:r w:rsidR="004420AE" w:rsidRPr="00E95BC4">
        <w:rPr>
          <w:color w:val="auto"/>
          <w:lang w:val="sr-Cyrl-CS"/>
        </w:rPr>
        <w:t xml:space="preserve">. </w:t>
      </w:r>
      <w:r w:rsidR="005818C0">
        <w:rPr>
          <w:color w:val="auto"/>
          <w:lang w:val="sr-Cyrl-CS"/>
        </w:rPr>
        <w:t>Na</w:t>
      </w:r>
      <w:r w:rsidR="004420AE" w:rsidRPr="00E95BC4">
        <w:rPr>
          <w:color w:val="auto"/>
          <w:lang w:val="sr-Cyrl-CS"/>
        </w:rPr>
        <w:t xml:space="preserve"> </w:t>
      </w:r>
      <w:r w:rsidR="005818C0">
        <w:rPr>
          <w:color w:val="auto"/>
          <w:lang w:val="sr-Cyrl-CS"/>
        </w:rPr>
        <w:t>taj</w:t>
      </w:r>
      <w:r w:rsidR="004420AE" w:rsidRPr="00E95BC4">
        <w:rPr>
          <w:color w:val="auto"/>
          <w:lang w:val="sr-Cyrl-CS"/>
        </w:rPr>
        <w:t xml:space="preserve"> </w:t>
      </w:r>
      <w:r w:rsidR="005818C0">
        <w:rPr>
          <w:color w:val="auto"/>
          <w:lang w:val="sr-Cyrl-CS"/>
        </w:rPr>
        <w:t>način</w:t>
      </w:r>
      <w:r w:rsidR="004420AE" w:rsidRPr="00E95BC4">
        <w:rPr>
          <w:color w:val="auto"/>
          <w:lang w:val="sr-Cyrl-CS"/>
        </w:rPr>
        <w:t xml:space="preserve"> </w:t>
      </w:r>
      <w:r w:rsidR="005818C0">
        <w:rPr>
          <w:color w:val="auto"/>
          <w:lang w:val="sr-Cyrl-CS"/>
        </w:rPr>
        <w:t>bi</w:t>
      </w:r>
      <w:r w:rsidR="004420AE" w:rsidRPr="00E95BC4">
        <w:rPr>
          <w:color w:val="auto"/>
          <w:lang w:val="sr-Cyrl-CS"/>
        </w:rPr>
        <w:t xml:space="preserve"> </w:t>
      </w:r>
      <w:r w:rsidR="005818C0">
        <w:rPr>
          <w:color w:val="auto"/>
          <w:lang w:val="sr-Cyrl-CS"/>
        </w:rPr>
        <w:t>se</w:t>
      </w:r>
      <w:r w:rsidR="004420AE" w:rsidRPr="00E95BC4">
        <w:rPr>
          <w:color w:val="auto"/>
          <w:lang w:val="sr-Cyrl-CS"/>
        </w:rPr>
        <w:t xml:space="preserve"> </w:t>
      </w:r>
      <w:r w:rsidR="005818C0">
        <w:rPr>
          <w:color w:val="auto"/>
          <w:lang w:val="sr-Cyrl-CS"/>
        </w:rPr>
        <w:t>donekle</w:t>
      </w:r>
      <w:r w:rsidR="004420AE" w:rsidRPr="00E95BC4">
        <w:rPr>
          <w:color w:val="auto"/>
          <w:lang w:val="sr-Cyrl-CS"/>
        </w:rPr>
        <w:t xml:space="preserve"> </w:t>
      </w:r>
      <w:r w:rsidR="005818C0">
        <w:rPr>
          <w:color w:val="auto"/>
          <w:lang w:val="sr-Cyrl-CS"/>
        </w:rPr>
        <w:t>unapredilo</w:t>
      </w:r>
      <w:r w:rsidR="004420AE" w:rsidRPr="00E95BC4">
        <w:rPr>
          <w:color w:val="auto"/>
          <w:lang w:val="sr-Cyrl-CS"/>
        </w:rPr>
        <w:t xml:space="preserve"> </w:t>
      </w:r>
      <w:r w:rsidR="005818C0">
        <w:rPr>
          <w:color w:val="auto"/>
          <w:lang w:val="sr-Cyrl-CS"/>
        </w:rPr>
        <w:t>stanje</w:t>
      </w:r>
      <w:r w:rsidR="004420AE" w:rsidRPr="00E95BC4">
        <w:rPr>
          <w:color w:val="auto"/>
          <w:lang w:val="sr-Cyrl-CS"/>
        </w:rPr>
        <w:t xml:space="preserve">, </w:t>
      </w:r>
      <w:r w:rsidR="005818C0">
        <w:rPr>
          <w:color w:val="auto"/>
          <w:lang w:val="sr-Cyrl-CS"/>
        </w:rPr>
        <w:t>ali</w:t>
      </w:r>
      <w:r w:rsidR="004420AE" w:rsidRPr="00E95BC4">
        <w:rPr>
          <w:color w:val="auto"/>
          <w:lang w:val="sr-Cyrl-CS"/>
        </w:rPr>
        <w:t xml:space="preserve"> </w:t>
      </w:r>
      <w:r w:rsidR="005818C0">
        <w:rPr>
          <w:color w:val="auto"/>
          <w:lang w:val="sr-Cyrl-CS"/>
        </w:rPr>
        <w:t>bi</w:t>
      </w:r>
      <w:r w:rsidR="004420AE" w:rsidRPr="00E95BC4">
        <w:rPr>
          <w:color w:val="auto"/>
          <w:lang w:val="sr-Cyrl-CS"/>
        </w:rPr>
        <w:t xml:space="preserve"> </w:t>
      </w:r>
      <w:r w:rsidR="005818C0">
        <w:rPr>
          <w:color w:val="auto"/>
          <w:lang w:val="sr-Cyrl-CS"/>
        </w:rPr>
        <w:t>nedostatak</w:t>
      </w:r>
      <w:r w:rsidR="004420AE" w:rsidRPr="00E95BC4">
        <w:rPr>
          <w:color w:val="auto"/>
          <w:lang w:val="sr-Cyrl-CS"/>
        </w:rPr>
        <w:t xml:space="preserve"> </w:t>
      </w:r>
      <w:r w:rsidR="005818C0">
        <w:rPr>
          <w:color w:val="auto"/>
          <w:lang w:val="sr-Cyrl-CS"/>
        </w:rPr>
        <w:t>tog</w:t>
      </w:r>
      <w:r w:rsidR="00B70620" w:rsidRPr="00E95BC4">
        <w:rPr>
          <w:color w:val="auto"/>
          <w:lang w:val="sr-Cyrl-CS"/>
        </w:rPr>
        <w:t xml:space="preserve"> </w:t>
      </w:r>
      <w:r w:rsidR="005818C0">
        <w:rPr>
          <w:color w:val="auto"/>
          <w:lang w:val="sr-Cyrl-CS"/>
        </w:rPr>
        <w:t>pristupa</w:t>
      </w:r>
      <w:r w:rsidR="00B70620" w:rsidRPr="00E95BC4">
        <w:rPr>
          <w:color w:val="auto"/>
          <w:lang w:val="sr-Cyrl-CS"/>
        </w:rPr>
        <w:t xml:space="preserve"> </w:t>
      </w:r>
      <w:r w:rsidR="005818C0">
        <w:rPr>
          <w:color w:val="auto"/>
          <w:lang w:val="sr-Cyrl-CS"/>
        </w:rPr>
        <w:t>bio</w:t>
      </w:r>
      <w:r w:rsidR="004420AE" w:rsidRPr="00E95BC4">
        <w:rPr>
          <w:color w:val="auto"/>
          <w:lang w:val="sr-Cyrl-CS"/>
        </w:rPr>
        <w:t xml:space="preserve"> </w:t>
      </w:r>
      <w:r w:rsidR="005818C0">
        <w:rPr>
          <w:color w:val="auto"/>
          <w:lang w:val="sr-Cyrl-CS"/>
        </w:rPr>
        <w:t>izostanak</w:t>
      </w:r>
      <w:r w:rsidR="004420AE" w:rsidRPr="00E95BC4">
        <w:rPr>
          <w:color w:val="auto"/>
          <w:lang w:val="sr-Cyrl-CS"/>
        </w:rPr>
        <w:t xml:space="preserve"> </w:t>
      </w:r>
      <w:r w:rsidR="005818C0">
        <w:rPr>
          <w:color w:val="auto"/>
          <w:lang w:val="sr-Cyrl-CS"/>
        </w:rPr>
        <w:t>koordinacije</w:t>
      </w:r>
      <w:r w:rsidR="004420AE" w:rsidRPr="00E95BC4">
        <w:rPr>
          <w:color w:val="auto"/>
          <w:lang w:val="sr-Cyrl-CS"/>
        </w:rPr>
        <w:t xml:space="preserve"> </w:t>
      </w:r>
      <w:r w:rsidR="005818C0">
        <w:rPr>
          <w:color w:val="auto"/>
          <w:lang w:val="sr-Cyrl-CS"/>
        </w:rPr>
        <w:t>pri</w:t>
      </w:r>
      <w:r w:rsidR="004420AE" w:rsidRPr="00E95BC4">
        <w:rPr>
          <w:color w:val="auto"/>
          <w:lang w:val="sr-Cyrl-CS"/>
        </w:rPr>
        <w:t xml:space="preserve"> </w:t>
      </w:r>
      <w:r w:rsidR="005818C0">
        <w:rPr>
          <w:color w:val="auto"/>
          <w:lang w:val="sr-Cyrl-CS"/>
        </w:rPr>
        <w:t>čemu</w:t>
      </w:r>
      <w:r w:rsidR="004420AE" w:rsidRPr="00E95BC4">
        <w:rPr>
          <w:color w:val="auto"/>
          <w:lang w:val="sr-Cyrl-CS"/>
        </w:rPr>
        <w:t xml:space="preserve"> </w:t>
      </w:r>
      <w:r w:rsidR="005818C0">
        <w:rPr>
          <w:color w:val="auto"/>
          <w:lang w:val="sr-Cyrl-CS"/>
        </w:rPr>
        <w:t>bi</w:t>
      </w:r>
      <w:r w:rsidR="004420AE" w:rsidRPr="00E95BC4">
        <w:rPr>
          <w:color w:val="auto"/>
          <w:lang w:val="sr-Cyrl-CS"/>
        </w:rPr>
        <w:t xml:space="preserve"> </w:t>
      </w:r>
      <w:r w:rsidR="005818C0">
        <w:rPr>
          <w:color w:val="auto"/>
          <w:lang w:val="sr-Cyrl-CS"/>
        </w:rPr>
        <w:t>puni</w:t>
      </w:r>
      <w:r w:rsidR="004420AE" w:rsidRPr="00E95BC4">
        <w:rPr>
          <w:color w:val="auto"/>
          <w:lang w:val="sr-Cyrl-CS"/>
        </w:rPr>
        <w:t xml:space="preserve"> </w:t>
      </w:r>
      <w:r w:rsidR="005818C0">
        <w:rPr>
          <w:color w:val="auto"/>
          <w:lang w:val="sr-Cyrl-CS"/>
        </w:rPr>
        <w:t>efekti</w:t>
      </w:r>
      <w:r w:rsidR="004420AE" w:rsidRPr="00E95BC4">
        <w:rPr>
          <w:color w:val="auto"/>
          <w:lang w:val="sr-Cyrl-CS"/>
        </w:rPr>
        <w:t xml:space="preserve"> </w:t>
      </w:r>
      <w:r w:rsidR="005818C0">
        <w:rPr>
          <w:color w:val="auto"/>
          <w:lang w:val="sr-Cyrl-CS"/>
        </w:rPr>
        <w:t>takvih</w:t>
      </w:r>
      <w:r w:rsidR="004420AE" w:rsidRPr="00E95BC4">
        <w:rPr>
          <w:color w:val="auto"/>
          <w:lang w:val="sr-Cyrl-CS"/>
        </w:rPr>
        <w:t xml:space="preserve"> </w:t>
      </w:r>
      <w:r w:rsidR="005818C0">
        <w:rPr>
          <w:color w:val="auto"/>
          <w:lang w:val="sr-Cyrl-CS"/>
        </w:rPr>
        <w:t>mera</w:t>
      </w:r>
      <w:r w:rsidR="004420AE" w:rsidRPr="00E95BC4">
        <w:rPr>
          <w:color w:val="auto"/>
          <w:lang w:val="sr-Cyrl-CS"/>
        </w:rPr>
        <w:t xml:space="preserve"> </w:t>
      </w:r>
      <w:r w:rsidR="005818C0">
        <w:rPr>
          <w:color w:val="auto"/>
          <w:lang w:val="sr-Cyrl-CS"/>
        </w:rPr>
        <w:t>mogli</w:t>
      </w:r>
      <w:r w:rsidR="004420AE" w:rsidRPr="00E95BC4">
        <w:rPr>
          <w:color w:val="auto"/>
          <w:lang w:val="sr-Cyrl-CS"/>
        </w:rPr>
        <w:t xml:space="preserve"> </w:t>
      </w:r>
      <w:r w:rsidR="005818C0">
        <w:rPr>
          <w:color w:val="auto"/>
          <w:lang w:val="sr-Cyrl-CS"/>
        </w:rPr>
        <w:t>izostati</w:t>
      </w:r>
      <w:r w:rsidR="004420AE" w:rsidRPr="00E95BC4">
        <w:rPr>
          <w:color w:val="auto"/>
          <w:lang w:val="sr-Cyrl-CS"/>
        </w:rPr>
        <w:t>.</w:t>
      </w:r>
    </w:p>
    <w:p w:rsidR="00EB24C3" w:rsidRPr="00E95BC4" w:rsidRDefault="00EB24C3" w:rsidP="00EB24C3">
      <w:pPr>
        <w:tabs>
          <w:tab w:val="left" w:pos="709"/>
        </w:tabs>
        <w:jc w:val="both"/>
        <w:rPr>
          <w:color w:val="auto"/>
          <w:lang w:val="sr-Cyrl-CS"/>
        </w:rPr>
      </w:pPr>
      <w:r w:rsidRPr="00E95BC4">
        <w:rPr>
          <w:color w:val="auto"/>
          <w:lang w:val="sr-Cyrl-CS"/>
        </w:rPr>
        <w:tab/>
      </w:r>
      <w:r w:rsidR="005818C0">
        <w:rPr>
          <w:color w:val="auto"/>
          <w:lang w:val="sr-Cyrl-CS"/>
        </w:rPr>
        <w:t>Opcijom</w:t>
      </w:r>
      <w:r w:rsidRPr="00E95BC4">
        <w:rPr>
          <w:color w:val="auto"/>
          <w:lang w:val="sr-Cyrl-CS"/>
        </w:rPr>
        <w:t xml:space="preserve"> 2 </w:t>
      </w:r>
      <w:r w:rsidR="005818C0">
        <w:rPr>
          <w:color w:val="auto"/>
          <w:lang w:val="sr-Cyrl-CS"/>
        </w:rPr>
        <w:t>bi</w:t>
      </w:r>
      <w:r w:rsidR="00B70620" w:rsidRPr="00E95BC4">
        <w:rPr>
          <w:color w:val="auto"/>
          <w:lang w:val="sr-Cyrl-CS"/>
        </w:rPr>
        <w:t xml:space="preserve"> </w:t>
      </w:r>
      <w:r w:rsidR="005818C0">
        <w:rPr>
          <w:color w:val="auto"/>
          <w:lang w:val="sr-Cyrl-CS"/>
        </w:rPr>
        <w:t>se</w:t>
      </w:r>
      <w:r w:rsidR="00B70620" w:rsidRPr="00E95BC4">
        <w:rPr>
          <w:color w:val="auto"/>
          <w:lang w:val="sr-Cyrl-CS"/>
        </w:rPr>
        <w:t xml:space="preserve"> </w:t>
      </w:r>
      <w:r w:rsidR="005818C0">
        <w:rPr>
          <w:color w:val="auto"/>
          <w:lang w:val="sr-Cyrl-CS"/>
        </w:rPr>
        <w:t>otklonile</w:t>
      </w:r>
      <w:r w:rsidR="00B70620" w:rsidRPr="00E95BC4">
        <w:rPr>
          <w:color w:val="auto"/>
          <w:lang w:val="sr-Cyrl-CS"/>
        </w:rPr>
        <w:t xml:space="preserve"> </w:t>
      </w:r>
      <w:r w:rsidR="005818C0">
        <w:rPr>
          <w:color w:val="auto"/>
          <w:lang w:val="sr-Cyrl-CS"/>
        </w:rPr>
        <w:t>neke</w:t>
      </w:r>
      <w:r w:rsidRPr="00E95BC4">
        <w:rPr>
          <w:color w:val="auto"/>
          <w:lang w:val="sr-Cyrl-CS"/>
        </w:rPr>
        <w:t xml:space="preserve"> </w:t>
      </w:r>
      <w:r w:rsidR="005818C0">
        <w:rPr>
          <w:color w:val="auto"/>
          <w:lang w:val="sr-Cyrl-CS"/>
        </w:rPr>
        <w:t>slabosti</w:t>
      </w:r>
      <w:r w:rsidRPr="00E95BC4">
        <w:rPr>
          <w:color w:val="auto"/>
          <w:lang w:val="sr-Cyrl-CS"/>
        </w:rPr>
        <w:t xml:space="preserve"> </w:t>
      </w:r>
      <w:r w:rsidR="005818C0">
        <w:rPr>
          <w:color w:val="auto"/>
          <w:lang w:val="sr-Cyrl-CS"/>
        </w:rPr>
        <w:t>Opcije</w:t>
      </w:r>
      <w:r w:rsidRPr="00E95BC4">
        <w:rPr>
          <w:color w:val="auto"/>
          <w:lang w:val="sr-Cyrl-CS"/>
        </w:rPr>
        <w:t xml:space="preserve"> 1 </w:t>
      </w:r>
      <w:r w:rsidR="005818C0">
        <w:rPr>
          <w:color w:val="auto"/>
          <w:lang w:val="sr-Cyrl-CS"/>
        </w:rPr>
        <w:t>tako</w:t>
      </w:r>
      <w:r w:rsidRPr="00E95BC4">
        <w:rPr>
          <w:color w:val="auto"/>
          <w:lang w:val="sr-Cyrl-CS"/>
        </w:rPr>
        <w:t xml:space="preserve"> </w:t>
      </w:r>
      <w:r w:rsidR="005818C0">
        <w:rPr>
          <w:color w:val="auto"/>
          <w:lang w:val="sr-Cyrl-CS"/>
        </w:rPr>
        <w:t>što</w:t>
      </w:r>
      <w:r w:rsidRPr="00E95BC4">
        <w:rPr>
          <w:color w:val="auto"/>
          <w:lang w:val="sr-Cyrl-CS"/>
        </w:rPr>
        <w:t xml:space="preserve"> </w:t>
      </w:r>
      <w:r w:rsidR="005818C0">
        <w:rPr>
          <w:color w:val="auto"/>
          <w:lang w:val="sr-Cyrl-CS"/>
        </w:rPr>
        <w:t>bi</w:t>
      </w:r>
      <w:r w:rsidRPr="00E95BC4">
        <w:rPr>
          <w:color w:val="auto"/>
          <w:lang w:val="sr-Cyrl-CS"/>
        </w:rPr>
        <w:t xml:space="preserve"> </w:t>
      </w:r>
      <w:r w:rsidR="005818C0">
        <w:rPr>
          <w:color w:val="auto"/>
          <w:lang w:val="sr-Cyrl-CS"/>
        </w:rPr>
        <w:t>se</w:t>
      </w:r>
      <w:r w:rsidR="00B70620" w:rsidRPr="00E95BC4">
        <w:rPr>
          <w:color w:val="auto"/>
          <w:lang w:val="sr-Cyrl-CS"/>
        </w:rPr>
        <w:t xml:space="preserve"> </w:t>
      </w:r>
      <w:r w:rsidR="005818C0">
        <w:rPr>
          <w:color w:val="auto"/>
          <w:lang w:val="sr-Cyrl-CS"/>
        </w:rPr>
        <w:t>obezbedilo</w:t>
      </w:r>
      <w:r w:rsidRPr="00E95BC4">
        <w:rPr>
          <w:color w:val="auto"/>
          <w:lang w:val="sr-Cyrl-CS"/>
        </w:rPr>
        <w:t xml:space="preserve"> </w:t>
      </w:r>
      <w:r w:rsidR="005818C0">
        <w:rPr>
          <w:color w:val="auto"/>
          <w:lang w:val="sr-Cyrl-CS"/>
        </w:rPr>
        <w:t>da</w:t>
      </w:r>
      <w:r w:rsidRPr="00E95BC4">
        <w:rPr>
          <w:color w:val="auto"/>
          <w:lang w:val="sr-Cyrl-CS"/>
        </w:rPr>
        <w:t xml:space="preserve"> </w:t>
      </w:r>
      <w:r w:rsidR="005818C0">
        <w:rPr>
          <w:color w:val="auto"/>
          <w:lang w:val="sr-Cyrl-CS"/>
        </w:rPr>
        <w:t>sistem</w:t>
      </w:r>
      <w:r w:rsidRPr="00E95BC4">
        <w:rPr>
          <w:color w:val="auto"/>
          <w:lang w:val="sr-Cyrl-CS"/>
        </w:rPr>
        <w:t xml:space="preserve"> </w:t>
      </w:r>
      <w:r w:rsidR="005818C0">
        <w:rPr>
          <w:color w:val="auto"/>
          <w:lang w:val="sr-Cyrl-CS"/>
        </w:rPr>
        <w:t>za</w:t>
      </w:r>
      <w:r w:rsidRPr="00E95BC4">
        <w:rPr>
          <w:color w:val="auto"/>
          <w:lang w:val="sr-Cyrl-CS"/>
        </w:rPr>
        <w:t xml:space="preserve"> </w:t>
      </w:r>
      <w:r w:rsidR="005818C0">
        <w:rPr>
          <w:color w:val="auto"/>
          <w:lang w:val="sr-Cyrl-CS"/>
        </w:rPr>
        <w:t>borbu</w:t>
      </w:r>
      <w:r w:rsidRPr="00E95BC4">
        <w:rPr>
          <w:color w:val="auto"/>
          <w:lang w:val="sr-Cyrl-CS"/>
        </w:rPr>
        <w:t xml:space="preserve"> </w:t>
      </w:r>
      <w:r w:rsidR="005818C0">
        <w:rPr>
          <w:color w:val="auto"/>
          <w:lang w:val="sr-Cyrl-CS"/>
        </w:rPr>
        <w:t>protiv</w:t>
      </w:r>
      <w:r w:rsidRPr="00E95BC4">
        <w:rPr>
          <w:color w:val="auto"/>
          <w:lang w:val="sr-Cyrl-CS"/>
        </w:rPr>
        <w:t xml:space="preserve"> </w:t>
      </w:r>
      <w:r w:rsidR="005818C0">
        <w:rPr>
          <w:color w:val="auto"/>
          <w:lang w:val="sr-Cyrl-CS"/>
        </w:rPr>
        <w:t>pranja</w:t>
      </w:r>
      <w:r w:rsidRPr="00E95BC4">
        <w:rPr>
          <w:color w:val="auto"/>
          <w:lang w:val="sr-Cyrl-CS"/>
        </w:rPr>
        <w:t xml:space="preserve"> </w:t>
      </w:r>
      <w:r w:rsidR="005818C0">
        <w:rPr>
          <w:color w:val="auto"/>
          <w:lang w:val="sr-Cyrl-CS"/>
        </w:rPr>
        <w:t>novca</w:t>
      </w:r>
      <w:r w:rsidRPr="00E95BC4">
        <w:rPr>
          <w:color w:val="auto"/>
          <w:lang w:val="sr-Cyrl-CS"/>
        </w:rPr>
        <w:t xml:space="preserve"> </w:t>
      </w:r>
      <w:r w:rsidR="005818C0">
        <w:rPr>
          <w:color w:val="auto"/>
          <w:lang w:val="sr-Cyrl-CS"/>
        </w:rPr>
        <w:t>i</w:t>
      </w:r>
      <w:r w:rsidRPr="00E95BC4">
        <w:rPr>
          <w:color w:val="auto"/>
          <w:lang w:val="sr-Cyrl-CS"/>
        </w:rPr>
        <w:t xml:space="preserve"> </w:t>
      </w:r>
      <w:r w:rsidR="005818C0">
        <w:rPr>
          <w:color w:val="auto"/>
          <w:lang w:val="sr-Cyrl-CS"/>
        </w:rPr>
        <w:t>finansiranja</w:t>
      </w:r>
      <w:r w:rsidRPr="00E95BC4">
        <w:rPr>
          <w:color w:val="auto"/>
          <w:lang w:val="sr-Cyrl-CS"/>
        </w:rPr>
        <w:t xml:space="preserve"> </w:t>
      </w:r>
      <w:r w:rsidR="005818C0">
        <w:rPr>
          <w:color w:val="auto"/>
          <w:lang w:val="sr-Cyrl-CS"/>
        </w:rPr>
        <w:t>terorizma</w:t>
      </w:r>
      <w:r w:rsidRPr="00E95BC4">
        <w:rPr>
          <w:color w:val="auto"/>
          <w:lang w:val="sr-Cyrl-CS"/>
        </w:rPr>
        <w:t xml:space="preserve"> </w:t>
      </w:r>
      <w:r w:rsidR="005818C0">
        <w:rPr>
          <w:color w:val="auto"/>
          <w:lang w:val="sr-Cyrl-CS"/>
        </w:rPr>
        <w:t>u</w:t>
      </w:r>
      <w:r w:rsidRPr="00E95BC4">
        <w:rPr>
          <w:color w:val="auto"/>
          <w:lang w:val="sr-Cyrl-CS"/>
        </w:rPr>
        <w:t xml:space="preserve"> </w:t>
      </w:r>
      <w:r w:rsidR="005818C0">
        <w:rPr>
          <w:color w:val="auto"/>
          <w:lang w:val="sr-Cyrl-CS"/>
        </w:rPr>
        <w:t>Srbiji</w:t>
      </w:r>
      <w:r w:rsidRPr="00E95BC4">
        <w:rPr>
          <w:color w:val="auto"/>
          <w:lang w:val="sr-Cyrl-CS"/>
        </w:rPr>
        <w:t xml:space="preserve"> </w:t>
      </w:r>
      <w:r w:rsidR="005818C0">
        <w:rPr>
          <w:color w:val="auto"/>
          <w:lang w:val="sr-Cyrl-CS"/>
        </w:rPr>
        <w:t>bude</w:t>
      </w:r>
      <w:r w:rsidR="00B70620" w:rsidRPr="00E95BC4">
        <w:rPr>
          <w:color w:val="auto"/>
          <w:lang w:val="sr-Cyrl-CS"/>
        </w:rPr>
        <w:t xml:space="preserve"> </w:t>
      </w:r>
      <w:r w:rsidR="005818C0">
        <w:rPr>
          <w:color w:val="auto"/>
          <w:lang w:val="sr-Cyrl-CS"/>
        </w:rPr>
        <w:t>utvrđen</w:t>
      </w:r>
      <w:r w:rsidR="00B70620" w:rsidRPr="00E95BC4">
        <w:rPr>
          <w:color w:val="auto"/>
          <w:lang w:val="sr-Cyrl-CS"/>
        </w:rPr>
        <w:t xml:space="preserve"> </w:t>
      </w:r>
      <w:r w:rsidR="005818C0">
        <w:rPr>
          <w:color w:val="auto"/>
          <w:lang w:val="sr-Cyrl-CS"/>
        </w:rPr>
        <w:t>u</w:t>
      </w:r>
      <w:r w:rsidR="00B70620" w:rsidRPr="00E95BC4">
        <w:rPr>
          <w:color w:val="auto"/>
          <w:lang w:val="sr-Cyrl-CS"/>
        </w:rPr>
        <w:t xml:space="preserve"> </w:t>
      </w:r>
      <w:r w:rsidR="005818C0">
        <w:rPr>
          <w:color w:val="auto"/>
          <w:lang w:val="sr-Cyrl-CS"/>
        </w:rPr>
        <w:t>dokumentu</w:t>
      </w:r>
      <w:r w:rsidR="00B70620" w:rsidRPr="00E95BC4">
        <w:rPr>
          <w:color w:val="auto"/>
          <w:lang w:val="sr-Cyrl-CS"/>
        </w:rPr>
        <w:t xml:space="preserve"> </w:t>
      </w:r>
      <w:r w:rsidR="005818C0">
        <w:rPr>
          <w:color w:val="auto"/>
          <w:lang w:val="sr-Cyrl-CS"/>
        </w:rPr>
        <w:t>javne</w:t>
      </w:r>
      <w:r w:rsidR="00B70620" w:rsidRPr="00E95BC4">
        <w:rPr>
          <w:color w:val="auto"/>
          <w:lang w:val="sr-Cyrl-CS"/>
        </w:rPr>
        <w:t xml:space="preserve"> </w:t>
      </w:r>
      <w:r w:rsidR="005818C0">
        <w:rPr>
          <w:color w:val="auto"/>
          <w:lang w:val="sr-Cyrl-CS"/>
        </w:rPr>
        <w:t>politike</w:t>
      </w:r>
      <w:r w:rsidR="001E4E03" w:rsidRPr="00E95BC4">
        <w:rPr>
          <w:color w:val="auto"/>
          <w:lang w:val="sr-Cyrl-CS"/>
        </w:rPr>
        <w:t xml:space="preserve">, </w:t>
      </w:r>
      <w:r w:rsidR="005818C0">
        <w:rPr>
          <w:color w:val="auto"/>
          <w:lang w:val="sr-Cyrl-CS"/>
        </w:rPr>
        <w:t>uz</w:t>
      </w:r>
      <w:r w:rsidR="001E4E03" w:rsidRPr="00E95BC4">
        <w:rPr>
          <w:color w:val="auto"/>
          <w:lang w:val="sr-Cyrl-CS"/>
        </w:rPr>
        <w:t xml:space="preserve"> </w:t>
      </w:r>
      <w:r w:rsidR="005818C0">
        <w:rPr>
          <w:color w:val="auto"/>
          <w:lang w:val="sr-Cyrl-CS"/>
        </w:rPr>
        <w:t>otežanu</w:t>
      </w:r>
      <w:r w:rsidR="001E4E03" w:rsidRPr="00E95BC4">
        <w:rPr>
          <w:color w:val="auto"/>
          <w:lang w:val="sr-Cyrl-CS"/>
        </w:rPr>
        <w:t xml:space="preserve"> </w:t>
      </w:r>
      <w:r w:rsidR="005818C0">
        <w:rPr>
          <w:color w:val="auto"/>
          <w:lang w:val="sr-Cyrl-CS"/>
        </w:rPr>
        <w:t>koordinaciju</w:t>
      </w:r>
      <w:r w:rsidR="001E4E03" w:rsidRPr="00E95BC4">
        <w:rPr>
          <w:color w:val="auto"/>
          <w:lang w:val="sr-Cyrl-CS"/>
        </w:rPr>
        <w:t xml:space="preserve"> </w:t>
      </w:r>
      <w:r w:rsidR="005818C0">
        <w:rPr>
          <w:color w:val="auto"/>
          <w:lang w:val="sr-Cyrl-CS"/>
        </w:rPr>
        <w:t>i</w:t>
      </w:r>
      <w:r w:rsidR="001E4E03" w:rsidRPr="00E95BC4">
        <w:rPr>
          <w:color w:val="auto"/>
          <w:lang w:val="sr-Cyrl-CS"/>
        </w:rPr>
        <w:t xml:space="preserve"> </w:t>
      </w:r>
      <w:r w:rsidR="005818C0">
        <w:rPr>
          <w:color w:val="auto"/>
          <w:lang w:val="sr-Cyrl-CS"/>
        </w:rPr>
        <w:t>nedovoljno</w:t>
      </w:r>
      <w:r w:rsidR="001E4E03" w:rsidRPr="00E95BC4">
        <w:rPr>
          <w:color w:val="auto"/>
          <w:lang w:val="sr-Cyrl-CS"/>
        </w:rPr>
        <w:t xml:space="preserve"> </w:t>
      </w:r>
      <w:r w:rsidR="005818C0">
        <w:rPr>
          <w:color w:val="auto"/>
          <w:lang w:val="sr-Cyrl-CS"/>
        </w:rPr>
        <w:t>brzo</w:t>
      </w:r>
      <w:r w:rsidR="001E4E03" w:rsidRPr="00E95BC4">
        <w:rPr>
          <w:color w:val="auto"/>
          <w:lang w:val="sr-Cyrl-CS"/>
        </w:rPr>
        <w:t xml:space="preserve"> </w:t>
      </w:r>
      <w:r w:rsidR="005818C0">
        <w:rPr>
          <w:color w:val="auto"/>
          <w:lang w:val="sr-Cyrl-CS"/>
        </w:rPr>
        <w:t>reagovanje</w:t>
      </w:r>
      <w:r w:rsidR="001E4E03" w:rsidRPr="00E95BC4">
        <w:rPr>
          <w:color w:val="auto"/>
          <w:lang w:val="sr-Cyrl-CS"/>
        </w:rPr>
        <w:t xml:space="preserve"> </w:t>
      </w:r>
      <w:r w:rsidR="005818C0">
        <w:rPr>
          <w:color w:val="auto"/>
          <w:lang w:val="sr-Cyrl-CS"/>
        </w:rPr>
        <w:t>na</w:t>
      </w:r>
      <w:r w:rsidRPr="00E95BC4">
        <w:rPr>
          <w:color w:val="auto"/>
          <w:lang w:val="sr-Cyrl-CS"/>
        </w:rPr>
        <w:t xml:space="preserve"> </w:t>
      </w:r>
      <w:r w:rsidR="005818C0">
        <w:rPr>
          <w:color w:val="auto"/>
          <w:lang w:val="sr-Cyrl-CS"/>
        </w:rPr>
        <w:t>pretnje</w:t>
      </w:r>
      <w:r w:rsidRPr="00E95BC4">
        <w:rPr>
          <w:color w:val="auto"/>
          <w:lang w:val="sr-Cyrl-CS"/>
        </w:rPr>
        <w:t xml:space="preserve"> </w:t>
      </w:r>
      <w:r w:rsidR="005818C0">
        <w:rPr>
          <w:color w:val="auto"/>
          <w:lang w:val="sr-Cyrl-CS"/>
        </w:rPr>
        <w:t>i</w:t>
      </w:r>
      <w:r w:rsidRPr="00E95BC4">
        <w:rPr>
          <w:color w:val="auto"/>
          <w:lang w:val="sr-Cyrl-CS"/>
        </w:rPr>
        <w:t xml:space="preserve"> </w:t>
      </w:r>
      <w:r w:rsidR="005818C0">
        <w:rPr>
          <w:color w:val="auto"/>
          <w:lang w:val="sr-Cyrl-CS"/>
        </w:rPr>
        <w:t>ranjivosti</w:t>
      </w:r>
      <w:r w:rsidRPr="00E95BC4">
        <w:rPr>
          <w:color w:val="auto"/>
          <w:lang w:val="sr-Cyrl-CS"/>
        </w:rPr>
        <w:t xml:space="preserve">. </w:t>
      </w:r>
      <w:r w:rsidR="005818C0">
        <w:rPr>
          <w:color w:val="auto"/>
          <w:lang w:val="sr-Cyrl-CS"/>
        </w:rPr>
        <w:t>Na</w:t>
      </w:r>
      <w:r w:rsidRPr="00E95BC4">
        <w:rPr>
          <w:color w:val="auto"/>
          <w:lang w:val="sr-Cyrl-CS"/>
        </w:rPr>
        <w:t xml:space="preserve"> </w:t>
      </w:r>
      <w:r w:rsidR="005818C0">
        <w:rPr>
          <w:color w:val="auto"/>
          <w:lang w:val="sr-Cyrl-CS"/>
        </w:rPr>
        <w:t>delotvorniji</w:t>
      </w:r>
      <w:r w:rsidRPr="00E95BC4">
        <w:rPr>
          <w:color w:val="auto"/>
          <w:lang w:val="sr-Cyrl-CS"/>
        </w:rPr>
        <w:t xml:space="preserve"> </w:t>
      </w:r>
      <w:r w:rsidR="005818C0">
        <w:rPr>
          <w:color w:val="auto"/>
          <w:lang w:val="sr-Cyrl-CS"/>
        </w:rPr>
        <w:t>način</w:t>
      </w:r>
      <w:r w:rsidRPr="00E95BC4">
        <w:rPr>
          <w:color w:val="auto"/>
          <w:lang w:val="sr-Cyrl-CS"/>
        </w:rPr>
        <w:t xml:space="preserve"> </w:t>
      </w:r>
      <w:r w:rsidR="005818C0">
        <w:rPr>
          <w:color w:val="auto"/>
          <w:lang w:val="sr-Cyrl-CS"/>
        </w:rPr>
        <w:t>bi</w:t>
      </w:r>
      <w:r w:rsidRPr="00E95BC4">
        <w:rPr>
          <w:color w:val="auto"/>
          <w:lang w:val="sr-Cyrl-CS"/>
        </w:rPr>
        <w:t xml:space="preserve"> </w:t>
      </w:r>
      <w:r w:rsidR="005818C0">
        <w:rPr>
          <w:color w:val="auto"/>
          <w:lang w:val="sr-Cyrl-CS"/>
        </w:rPr>
        <w:t>se</w:t>
      </w:r>
      <w:r w:rsidRPr="00E95BC4">
        <w:rPr>
          <w:color w:val="auto"/>
          <w:lang w:val="sr-Cyrl-CS"/>
        </w:rPr>
        <w:t xml:space="preserve"> </w:t>
      </w:r>
      <w:r w:rsidR="005818C0">
        <w:rPr>
          <w:color w:val="auto"/>
          <w:lang w:val="sr-Cyrl-CS"/>
        </w:rPr>
        <w:t>rešavali</w:t>
      </w:r>
      <w:r w:rsidRPr="00E95BC4">
        <w:rPr>
          <w:color w:val="auto"/>
          <w:lang w:val="sr-Cyrl-CS"/>
        </w:rPr>
        <w:t xml:space="preserve"> </w:t>
      </w:r>
      <w:r w:rsidR="005818C0">
        <w:rPr>
          <w:color w:val="auto"/>
          <w:lang w:val="sr-Cyrl-CS"/>
        </w:rPr>
        <w:t>napred</w:t>
      </w:r>
      <w:r w:rsidRPr="00E95BC4">
        <w:rPr>
          <w:color w:val="auto"/>
          <w:lang w:val="sr-Cyrl-CS"/>
        </w:rPr>
        <w:t xml:space="preserve"> </w:t>
      </w:r>
      <w:r w:rsidR="005818C0">
        <w:rPr>
          <w:color w:val="auto"/>
          <w:lang w:val="sr-Cyrl-CS"/>
        </w:rPr>
        <w:t>navedeni</w:t>
      </w:r>
      <w:r w:rsidRPr="00E95BC4">
        <w:rPr>
          <w:color w:val="auto"/>
          <w:lang w:val="sr-Cyrl-CS"/>
        </w:rPr>
        <w:t xml:space="preserve"> </w:t>
      </w:r>
      <w:r w:rsidR="005818C0">
        <w:rPr>
          <w:color w:val="auto"/>
          <w:lang w:val="sr-Cyrl-CS"/>
        </w:rPr>
        <w:t>štetni</w:t>
      </w:r>
      <w:r w:rsidRPr="00E95BC4">
        <w:rPr>
          <w:color w:val="auto"/>
          <w:lang w:val="sr-Cyrl-CS"/>
        </w:rPr>
        <w:t xml:space="preserve"> </w:t>
      </w:r>
      <w:r w:rsidR="005818C0">
        <w:rPr>
          <w:color w:val="auto"/>
          <w:lang w:val="sr-Cyrl-CS"/>
        </w:rPr>
        <w:t>finansijski</w:t>
      </w:r>
      <w:r w:rsidRPr="00E95BC4">
        <w:rPr>
          <w:color w:val="auto"/>
          <w:lang w:val="sr-Cyrl-CS"/>
        </w:rPr>
        <w:t xml:space="preserve">, </w:t>
      </w:r>
      <w:r w:rsidR="005818C0">
        <w:rPr>
          <w:color w:val="auto"/>
          <w:lang w:val="sr-Cyrl-CS"/>
        </w:rPr>
        <w:t>ekonomski</w:t>
      </w:r>
      <w:r w:rsidRPr="00E95BC4">
        <w:rPr>
          <w:color w:val="auto"/>
          <w:lang w:val="sr-Cyrl-CS"/>
        </w:rPr>
        <w:t xml:space="preserve"> </w:t>
      </w:r>
      <w:r w:rsidR="005818C0">
        <w:rPr>
          <w:color w:val="auto"/>
          <w:lang w:val="sr-Cyrl-CS"/>
        </w:rPr>
        <w:t>i</w:t>
      </w:r>
      <w:r w:rsidRPr="00E95BC4">
        <w:rPr>
          <w:color w:val="auto"/>
          <w:lang w:val="sr-Cyrl-CS"/>
        </w:rPr>
        <w:t xml:space="preserve"> </w:t>
      </w:r>
      <w:r w:rsidR="005818C0">
        <w:rPr>
          <w:color w:val="auto"/>
          <w:lang w:val="sr-Cyrl-CS"/>
        </w:rPr>
        <w:t>društveni</w:t>
      </w:r>
      <w:r w:rsidRPr="00E95BC4">
        <w:rPr>
          <w:color w:val="auto"/>
          <w:lang w:val="sr-Cyrl-CS"/>
        </w:rPr>
        <w:t xml:space="preserve"> </w:t>
      </w:r>
      <w:r w:rsidR="005818C0">
        <w:rPr>
          <w:color w:val="auto"/>
          <w:lang w:val="sr-Cyrl-CS"/>
        </w:rPr>
        <w:t>uticaji</w:t>
      </w:r>
      <w:r w:rsidRPr="00E95BC4">
        <w:rPr>
          <w:color w:val="auto"/>
          <w:lang w:val="sr-Cyrl-CS"/>
        </w:rPr>
        <w:t xml:space="preserve">. </w:t>
      </w:r>
      <w:r w:rsidR="005818C0">
        <w:rPr>
          <w:color w:val="auto"/>
          <w:lang w:val="sr-Cyrl-CS"/>
        </w:rPr>
        <w:t>Moguće</w:t>
      </w:r>
      <w:r w:rsidRPr="00E95BC4">
        <w:rPr>
          <w:color w:val="auto"/>
          <w:lang w:val="sr-Cyrl-CS"/>
        </w:rPr>
        <w:t xml:space="preserve"> </w:t>
      </w:r>
      <w:r w:rsidR="005818C0">
        <w:rPr>
          <w:color w:val="auto"/>
          <w:lang w:val="sr-Cyrl-CS"/>
        </w:rPr>
        <w:t>je</w:t>
      </w:r>
      <w:r w:rsidRPr="00E95BC4">
        <w:rPr>
          <w:color w:val="auto"/>
          <w:lang w:val="sr-Cyrl-CS"/>
        </w:rPr>
        <w:t xml:space="preserve"> </w:t>
      </w:r>
      <w:r w:rsidR="005818C0">
        <w:rPr>
          <w:color w:val="auto"/>
          <w:lang w:val="sr-Cyrl-CS"/>
        </w:rPr>
        <w:t>da</w:t>
      </w:r>
      <w:r w:rsidRPr="00E95BC4">
        <w:rPr>
          <w:color w:val="auto"/>
          <w:lang w:val="sr-Cyrl-CS"/>
        </w:rPr>
        <w:t xml:space="preserve"> </w:t>
      </w:r>
      <w:r w:rsidR="005818C0">
        <w:rPr>
          <w:color w:val="auto"/>
          <w:lang w:val="sr-Cyrl-CS"/>
        </w:rPr>
        <w:t>bi</w:t>
      </w:r>
      <w:r w:rsidRPr="00E95BC4">
        <w:rPr>
          <w:color w:val="auto"/>
          <w:lang w:val="sr-Cyrl-CS"/>
        </w:rPr>
        <w:t xml:space="preserve"> </w:t>
      </w:r>
      <w:r w:rsidR="005818C0">
        <w:rPr>
          <w:color w:val="auto"/>
          <w:lang w:val="sr-Cyrl-CS"/>
        </w:rPr>
        <w:t>troškovi</w:t>
      </w:r>
      <w:r w:rsidRPr="00E95BC4">
        <w:rPr>
          <w:color w:val="auto"/>
          <w:lang w:val="sr-Cyrl-CS"/>
        </w:rPr>
        <w:t xml:space="preserve"> </w:t>
      </w:r>
      <w:r w:rsidR="005818C0">
        <w:rPr>
          <w:color w:val="auto"/>
          <w:lang w:val="sr-Cyrl-CS"/>
        </w:rPr>
        <w:t>za</w:t>
      </w:r>
      <w:r w:rsidRPr="00E95BC4">
        <w:rPr>
          <w:color w:val="auto"/>
          <w:lang w:val="sr-Cyrl-CS"/>
        </w:rPr>
        <w:t xml:space="preserve"> </w:t>
      </w:r>
      <w:r w:rsidR="005818C0">
        <w:rPr>
          <w:color w:val="auto"/>
          <w:lang w:val="sr-Cyrl-CS"/>
        </w:rPr>
        <w:t>javni</w:t>
      </w:r>
      <w:r w:rsidR="001E4E03" w:rsidRPr="00E95BC4">
        <w:rPr>
          <w:color w:val="auto"/>
          <w:lang w:val="sr-Cyrl-CS"/>
        </w:rPr>
        <w:t xml:space="preserve"> </w:t>
      </w:r>
      <w:r w:rsidR="005818C0">
        <w:rPr>
          <w:color w:val="auto"/>
          <w:lang w:val="sr-Cyrl-CS"/>
        </w:rPr>
        <w:t>sektor</w:t>
      </w:r>
      <w:r w:rsidR="001E4E03" w:rsidRPr="00E95BC4">
        <w:rPr>
          <w:color w:val="auto"/>
          <w:lang w:val="sr-Cyrl-CS"/>
        </w:rPr>
        <w:t xml:space="preserve"> </w:t>
      </w:r>
      <w:r w:rsidR="005818C0">
        <w:rPr>
          <w:color w:val="auto"/>
          <w:lang w:val="sr-Cyrl-CS"/>
        </w:rPr>
        <w:t>bili</w:t>
      </w:r>
      <w:r w:rsidR="001E4E03" w:rsidRPr="00E95BC4">
        <w:rPr>
          <w:color w:val="auto"/>
          <w:lang w:val="sr-Cyrl-CS"/>
        </w:rPr>
        <w:t xml:space="preserve"> </w:t>
      </w:r>
      <w:r w:rsidR="005818C0">
        <w:rPr>
          <w:color w:val="auto"/>
          <w:lang w:val="sr-Cyrl-CS"/>
        </w:rPr>
        <w:t>viši</w:t>
      </w:r>
      <w:r w:rsidR="001E4E03" w:rsidRPr="00E95BC4">
        <w:rPr>
          <w:color w:val="auto"/>
          <w:lang w:val="sr-Cyrl-CS"/>
        </w:rPr>
        <w:t xml:space="preserve"> </w:t>
      </w:r>
      <w:r w:rsidR="005818C0">
        <w:rPr>
          <w:color w:val="auto"/>
          <w:lang w:val="sr-Cyrl-CS"/>
        </w:rPr>
        <w:t>zbog</w:t>
      </w:r>
      <w:r w:rsidR="001E4E03" w:rsidRPr="00E95BC4">
        <w:rPr>
          <w:color w:val="auto"/>
          <w:lang w:val="sr-Cyrl-CS"/>
        </w:rPr>
        <w:t xml:space="preserve"> </w:t>
      </w:r>
      <w:r w:rsidR="005818C0">
        <w:rPr>
          <w:color w:val="auto"/>
          <w:lang w:val="sr-Cyrl-CS"/>
        </w:rPr>
        <w:t>izostanka</w:t>
      </w:r>
      <w:r w:rsidR="001E4E03" w:rsidRPr="00E95BC4">
        <w:rPr>
          <w:color w:val="auto"/>
          <w:lang w:val="sr-Cyrl-CS"/>
        </w:rPr>
        <w:t xml:space="preserve"> </w:t>
      </w:r>
      <w:r w:rsidR="005818C0">
        <w:rPr>
          <w:color w:val="auto"/>
          <w:lang w:val="sr-Cyrl-CS"/>
        </w:rPr>
        <w:t>usklađenog</w:t>
      </w:r>
      <w:r w:rsidR="001E4E03" w:rsidRPr="00E95BC4">
        <w:rPr>
          <w:color w:val="auto"/>
          <w:lang w:val="sr-Cyrl-CS"/>
        </w:rPr>
        <w:t xml:space="preserve"> </w:t>
      </w:r>
      <w:r w:rsidR="005818C0">
        <w:rPr>
          <w:color w:val="auto"/>
          <w:lang w:val="sr-Cyrl-CS"/>
        </w:rPr>
        <w:t>delovanja</w:t>
      </w:r>
      <w:r w:rsidRPr="00E95BC4">
        <w:rPr>
          <w:color w:val="auto"/>
          <w:lang w:val="sr-Cyrl-CS"/>
        </w:rPr>
        <w:t xml:space="preserve">.  </w:t>
      </w:r>
    </w:p>
    <w:p w:rsidR="00EB24C3" w:rsidRPr="00E95BC4" w:rsidRDefault="00EB24C3" w:rsidP="00EB24C3">
      <w:pPr>
        <w:tabs>
          <w:tab w:val="left" w:pos="709"/>
        </w:tabs>
        <w:jc w:val="both"/>
        <w:rPr>
          <w:color w:val="auto"/>
          <w:lang w:val="sr-Cyrl-CS"/>
        </w:rPr>
      </w:pPr>
      <w:r w:rsidRPr="00E95BC4">
        <w:rPr>
          <w:color w:val="auto"/>
          <w:lang w:val="sr-Cyrl-CS"/>
        </w:rPr>
        <w:tab/>
      </w:r>
      <w:r w:rsidR="005818C0">
        <w:rPr>
          <w:color w:val="auto"/>
          <w:lang w:val="sr-Cyrl-CS"/>
        </w:rPr>
        <w:t>Borba</w:t>
      </w:r>
      <w:r w:rsidRPr="00E95BC4">
        <w:rPr>
          <w:color w:val="auto"/>
          <w:lang w:val="sr-Cyrl-CS"/>
        </w:rPr>
        <w:t xml:space="preserve"> </w:t>
      </w:r>
      <w:r w:rsidR="005818C0">
        <w:rPr>
          <w:color w:val="auto"/>
          <w:lang w:val="sr-Cyrl-CS"/>
        </w:rPr>
        <w:t>protiv</w:t>
      </w:r>
      <w:r w:rsidRPr="00E95BC4">
        <w:rPr>
          <w:color w:val="auto"/>
          <w:lang w:val="sr-Cyrl-CS"/>
        </w:rPr>
        <w:t xml:space="preserve"> </w:t>
      </w:r>
      <w:r w:rsidR="005818C0">
        <w:rPr>
          <w:color w:val="auto"/>
          <w:lang w:val="sr-Cyrl-CS"/>
        </w:rPr>
        <w:t>pranja</w:t>
      </w:r>
      <w:r w:rsidRPr="00E95BC4">
        <w:rPr>
          <w:color w:val="auto"/>
          <w:lang w:val="sr-Cyrl-CS"/>
        </w:rPr>
        <w:t xml:space="preserve"> </w:t>
      </w:r>
      <w:r w:rsidR="005818C0">
        <w:rPr>
          <w:color w:val="auto"/>
          <w:lang w:val="sr-Cyrl-CS"/>
        </w:rPr>
        <w:t>novca</w:t>
      </w:r>
      <w:r w:rsidRPr="00E95BC4">
        <w:rPr>
          <w:color w:val="auto"/>
          <w:lang w:val="sr-Cyrl-CS"/>
        </w:rPr>
        <w:t xml:space="preserve"> </w:t>
      </w:r>
      <w:r w:rsidR="005818C0">
        <w:rPr>
          <w:color w:val="auto"/>
          <w:lang w:val="sr-Cyrl-CS"/>
        </w:rPr>
        <w:t>i</w:t>
      </w:r>
      <w:r w:rsidRPr="00E95BC4">
        <w:rPr>
          <w:color w:val="auto"/>
          <w:lang w:val="sr-Cyrl-CS"/>
        </w:rPr>
        <w:t xml:space="preserve"> </w:t>
      </w:r>
      <w:r w:rsidR="005818C0">
        <w:rPr>
          <w:color w:val="auto"/>
          <w:lang w:val="sr-Cyrl-CS"/>
        </w:rPr>
        <w:t>finansiranja</w:t>
      </w:r>
      <w:r w:rsidRPr="00E95BC4">
        <w:rPr>
          <w:color w:val="auto"/>
          <w:lang w:val="sr-Cyrl-CS"/>
        </w:rPr>
        <w:t xml:space="preserve"> </w:t>
      </w:r>
      <w:r w:rsidR="005818C0">
        <w:rPr>
          <w:color w:val="auto"/>
          <w:lang w:val="sr-Cyrl-CS"/>
        </w:rPr>
        <w:t>terorizma</w:t>
      </w:r>
      <w:r w:rsidRPr="00E95BC4">
        <w:rPr>
          <w:color w:val="auto"/>
          <w:lang w:val="sr-Cyrl-CS"/>
        </w:rPr>
        <w:t xml:space="preserve"> </w:t>
      </w:r>
      <w:r w:rsidR="005818C0">
        <w:rPr>
          <w:color w:val="auto"/>
          <w:lang w:val="sr-Cyrl-CS"/>
        </w:rPr>
        <w:t>čvrsto</w:t>
      </w:r>
      <w:r w:rsidRPr="00E95BC4">
        <w:rPr>
          <w:color w:val="auto"/>
          <w:lang w:val="sr-Cyrl-CS"/>
        </w:rPr>
        <w:t xml:space="preserve"> </w:t>
      </w:r>
      <w:r w:rsidR="005818C0">
        <w:rPr>
          <w:color w:val="auto"/>
          <w:lang w:val="sr-Cyrl-CS"/>
        </w:rPr>
        <w:t>bi</w:t>
      </w:r>
      <w:r w:rsidR="001E4E03" w:rsidRPr="00E95BC4">
        <w:rPr>
          <w:color w:val="auto"/>
          <w:lang w:val="sr-Cyrl-CS"/>
        </w:rPr>
        <w:t xml:space="preserve"> </w:t>
      </w:r>
      <w:r w:rsidR="005818C0">
        <w:rPr>
          <w:color w:val="auto"/>
          <w:lang w:val="sr-Cyrl-CS"/>
        </w:rPr>
        <w:t>se</w:t>
      </w:r>
      <w:r w:rsidR="001E4E03" w:rsidRPr="00E95BC4">
        <w:rPr>
          <w:color w:val="auto"/>
          <w:lang w:val="sr-Cyrl-CS"/>
        </w:rPr>
        <w:t xml:space="preserve"> </w:t>
      </w:r>
      <w:r w:rsidR="005818C0">
        <w:rPr>
          <w:color w:val="auto"/>
          <w:lang w:val="sr-Cyrl-CS"/>
        </w:rPr>
        <w:t>na</w:t>
      </w:r>
      <w:r w:rsidR="001E4E03" w:rsidRPr="00E95BC4">
        <w:rPr>
          <w:color w:val="auto"/>
          <w:lang w:val="sr-Cyrl-CS"/>
        </w:rPr>
        <w:t xml:space="preserve"> </w:t>
      </w:r>
      <w:r w:rsidR="005818C0">
        <w:rPr>
          <w:color w:val="auto"/>
          <w:lang w:val="sr-Cyrl-CS"/>
        </w:rPr>
        <w:t>taj</w:t>
      </w:r>
      <w:r w:rsidR="001E4E03" w:rsidRPr="00E95BC4">
        <w:rPr>
          <w:color w:val="auto"/>
          <w:lang w:val="sr-Cyrl-CS"/>
        </w:rPr>
        <w:t xml:space="preserve"> </w:t>
      </w:r>
      <w:r w:rsidR="005818C0">
        <w:rPr>
          <w:color w:val="auto"/>
          <w:lang w:val="sr-Cyrl-CS"/>
        </w:rPr>
        <w:t>način</w:t>
      </w:r>
      <w:r w:rsidR="001E4E03" w:rsidRPr="00E95BC4">
        <w:rPr>
          <w:color w:val="auto"/>
          <w:lang w:val="sr-Cyrl-CS"/>
        </w:rPr>
        <w:t xml:space="preserve"> </w:t>
      </w:r>
      <w:r w:rsidR="005818C0">
        <w:rPr>
          <w:color w:val="auto"/>
          <w:lang w:val="sr-Cyrl-CS"/>
        </w:rPr>
        <w:t>utvrdila</w:t>
      </w:r>
      <w:r w:rsidR="001E4E03" w:rsidRPr="00E95BC4">
        <w:rPr>
          <w:color w:val="auto"/>
          <w:lang w:val="sr-Cyrl-CS"/>
        </w:rPr>
        <w:t xml:space="preserve"> </w:t>
      </w:r>
      <w:r w:rsidR="005818C0">
        <w:rPr>
          <w:color w:val="auto"/>
          <w:lang w:val="sr-Cyrl-CS"/>
        </w:rPr>
        <w:t>kao</w:t>
      </w:r>
      <w:r w:rsidRPr="00E95BC4">
        <w:rPr>
          <w:color w:val="auto"/>
          <w:lang w:val="sr-Cyrl-CS"/>
        </w:rPr>
        <w:t xml:space="preserve"> </w:t>
      </w:r>
      <w:r w:rsidR="005818C0">
        <w:rPr>
          <w:color w:val="auto"/>
          <w:lang w:val="sr-Cyrl-CS"/>
        </w:rPr>
        <w:t>relevantno</w:t>
      </w:r>
      <w:r w:rsidRPr="00E95BC4">
        <w:rPr>
          <w:color w:val="auto"/>
          <w:lang w:val="sr-Cyrl-CS"/>
        </w:rPr>
        <w:t xml:space="preserve"> </w:t>
      </w:r>
      <w:r w:rsidR="005818C0">
        <w:rPr>
          <w:color w:val="auto"/>
          <w:lang w:val="sr-Cyrl-CS"/>
        </w:rPr>
        <w:t>pitanje</w:t>
      </w:r>
      <w:r w:rsidRPr="00E95BC4">
        <w:rPr>
          <w:color w:val="auto"/>
          <w:lang w:val="sr-Cyrl-CS"/>
        </w:rPr>
        <w:t xml:space="preserve"> </w:t>
      </w:r>
      <w:r w:rsidR="005818C0">
        <w:rPr>
          <w:color w:val="auto"/>
          <w:lang w:val="sr-Cyrl-CS"/>
        </w:rPr>
        <w:t>javne</w:t>
      </w:r>
      <w:r w:rsidRPr="00E95BC4">
        <w:rPr>
          <w:color w:val="auto"/>
          <w:lang w:val="sr-Cyrl-CS"/>
        </w:rPr>
        <w:t xml:space="preserve"> </w:t>
      </w:r>
      <w:r w:rsidR="005818C0">
        <w:rPr>
          <w:color w:val="auto"/>
          <w:lang w:val="sr-Cyrl-CS"/>
        </w:rPr>
        <w:t>politike</w:t>
      </w:r>
      <w:r w:rsidRPr="00E95BC4">
        <w:rPr>
          <w:color w:val="auto"/>
          <w:lang w:val="sr-Cyrl-CS"/>
        </w:rPr>
        <w:t xml:space="preserve"> </w:t>
      </w:r>
      <w:r w:rsidR="005818C0">
        <w:rPr>
          <w:color w:val="auto"/>
          <w:lang w:val="sr-Cyrl-CS"/>
        </w:rPr>
        <w:t>koje</w:t>
      </w:r>
      <w:r w:rsidRPr="00E95BC4">
        <w:rPr>
          <w:color w:val="auto"/>
          <w:lang w:val="sr-Cyrl-CS"/>
        </w:rPr>
        <w:t xml:space="preserve"> </w:t>
      </w:r>
      <w:r w:rsidR="005818C0">
        <w:rPr>
          <w:color w:val="auto"/>
          <w:lang w:val="sr-Cyrl-CS"/>
        </w:rPr>
        <w:t>se</w:t>
      </w:r>
      <w:r w:rsidRPr="00E95BC4">
        <w:rPr>
          <w:color w:val="auto"/>
          <w:lang w:val="sr-Cyrl-CS"/>
        </w:rPr>
        <w:t xml:space="preserve">, </w:t>
      </w:r>
      <w:r w:rsidR="005818C0">
        <w:rPr>
          <w:color w:val="auto"/>
          <w:lang w:val="sr-Cyrl-CS"/>
        </w:rPr>
        <w:t>u</w:t>
      </w:r>
      <w:r w:rsidRPr="00E95BC4">
        <w:rPr>
          <w:color w:val="auto"/>
          <w:lang w:val="sr-Cyrl-CS"/>
        </w:rPr>
        <w:t xml:space="preserve"> </w:t>
      </w:r>
      <w:r w:rsidR="005818C0">
        <w:rPr>
          <w:color w:val="auto"/>
          <w:lang w:val="sr-Cyrl-CS"/>
        </w:rPr>
        <w:t>kontekstu</w:t>
      </w:r>
      <w:r w:rsidRPr="00E95BC4">
        <w:rPr>
          <w:color w:val="auto"/>
          <w:lang w:val="sr-Cyrl-CS"/>
        </w:rPr>
        <w:t xml:space="preserve"> </w:t>
      </w:r>
      <w:r w:rsidR="005818C0">
        <w:rPr>
          <w:color w:val="auto"/>
          <w:lang w:val="sr-Cyrl-CS"/>
        </w:rPr>
        <w:t>planskog</w:t>
      </w:r>
      <w:r w:rsidRPr="00E95BC4">
        <w:rPr>
          <w:color w:val="auto"/>
          <w:lang w:val="sr-Cyrl-CS"/>
        </w:rPr>
        <w:t xml:space="preserve"> </w:t>
      </w:r>
      <w:r w:rsidR="005818C0">
        <w:rPr>
          <w:color w:val="auto"/>
          <w:lang w:val="sr-Cyrl-CS"/>
        </w:rPr>
        <w:t>sistema</w:t>
      </w:r>
      <w:r w:rsidRPr="00E95BC4">
        <w:rPr>
          <w:color w:val="auto"/>
          <w:lang w:val="sr-Cyrl-CS"/>
        </w:rPr>
        <w:t xml:space="preserve">, </w:t>
      </w:r>
      <w:r w:rsidR="005818C0">
        <w:rPr>
          <w:color w:val="auto"/>
          <w:lang w:val="sr-Cyrl-CS"/>
        </w:rPr>
        <w:t>rešava</w:t>
      </w:r>
      <w:r w:rsidRPr="00E95BC4">
        <w:rPr>
          <w:color w:val="auto"/>
          <w:lang w:val="sr-Cyrl-CS"/>
        </w:rPr>
        <w:t xml:space="preserve"> </w:t>
      </w:r>
      <w:r w:rsidR="005818C0">
        <w:rPr>
          <w:color w:val="auto"/>
          <w:lang w:val="sr-Cyrl-CS"/>
        </w:rPr>
        <w:t>kroz</w:t>
      </w:r>
      <w:r w:rsidRPr="00E95BC4">
        <w:rPr>
          <w:color w:val="auto"/>
          <w:lang w:val="sr-Cyrl-CS"/>
        </w:rPr>
        <w:t xml:space="preserve"> </w:t>
      </w:r>
      <w:r w:rsidR="005818C0">
        <w:rPr>
          <w:color w:val="auto"/>
          <w:lang w:val="sr-Cyrl-CS"/>
        </w:rPr>
        <w:t>dokumenta</w:t>
      </w:r>
      <w:r w:rsidR="001E4E03" w:rsidRPr="00E95BC4">
        <w:rPr>
          <w:color w:val="auto"/>
          <w:lang w:val="sr-Cyrl-CS"/>
        </w:rPr>
        <w:t xml:space="preserve"> </w:t>
      </w:r>
      <w:r w:rsidR="005818C0">
        <w:rPr>
          <w:color w:val="auto"/>
          <w:lang w:val="sr-Cyrl-CS"/>
        </w:rPr>
        <w:t>javne</w:t>
      </w:r>
      <w:r w:rsidRPr="00E95BC4">
        <w:rPr>
          <w:color w:val="auto"/>
          <w:lang w:val="sr-Cyrl-CS"/>
        </w:rPr>
        <w:t xml:space="preserve"> </w:t>
      </w:r>
      <w:r w:rsidR="005818C0">
        <w:rPr>
          <w:color w:val="auto"/>
          <w:lang w:val="sr-Cyrl-CS"/>
        </w:rPr>
        <w:t>politike</w:t>
      </w:r>
      <w:r w:rsidR="001E4E03" w:rsidRPr="00E95BC4">
        <w:rPr>
          <w:color w:val="auto"/>
          <w:lang w:val="sr-Cyrl-CS"/>
        </w:rPr>
        <w:t xml:space="preserve"> </w:t>
      </w:r>
      <w:r w:rsidR="005818C0">
        <w:rPr>
          <w:color w:val="auto"/>
          <w:lang w:val="sr-Cyrl-CS"/>
        </w:rPr>
        <w:t>posebnih</w:t>
      </w:r>
      <w:r w:rsidR="001E4E03" w:rsidRPr="00E95BC4">
        <w:rPr>
          <w:color w:val="auto"/>
          <w:lang w:val="sr-Cyrl-CS"/>
        </w:rPr>
        <w:t xml:space="preserve"> </w:t>
      </w:r>
      <w:r w:rsidR="005818C0">
        <w:rPr>
          <w:color w:val="auto"/>
          <w:lang w:val="sr-Cyrl-CS"/>
        </w:rPr>
        <w:t>organa</w:t>
      </w:r>
      <w:r w:rsidRPr="00E95BC4">
        <w:rPr>
          <w:color w:val="auto"/>
          <w:lang w:val="sr-Cyrl-CS"/>
        </w:rPr>
        <w:t xml:space="preserve">. </w:t>
      </w:r>
      <w:r w:rsidR="005818C0">
        <w:rPr>
          <w:color w:val="auto"/>
          <w:lang w:val="sr-Cyrl-CS"/>
        </w:rPr>
        <w:t>Međutim</w:t>
      </w:r>
      <w:r w:rsidR="001E4E03" w:rsidRPr="00E95BC4">
        <w:rPr>
          <w:color w:val="auto"/>
          <w:lang w:val="sr-Cyrl-CS"/>
        </w:rPr>
        <w:t xml:space="preserve">, </w:t>
      </w:r>
      <w:r w:rsidR="005818C0">
        <w:rPr>
          <w:color w:val="auto"/>
          <w:lang w:val="sr-Cyrl-CS"/>
        </w:rPr>
        <w:t>na</w:t>
      </w:r>
      <w:r w:rsidRPr="00E95BC4">
        <w:rPr>
          <w:color w:val="auto"/>
          <w:lang w:val="sr-Cyrl-CS"/>
        </w:rPr>
        <w:t xml:space="preserve"> </w:t>
      </w:r>
      <w:r w:rsidR="005818C0">
        <w:rPr>
          <w:color w:val="auto"/>
          <w:lang w:val="sr-Cyrl-CS"/>
        </w:rPr>
        <w:t>borbu</w:t>
      </w:r>
      <w:r w:rsidRPr="00E95BC4">
        <w:rPr>
          <w:color w:val="auto"/>
          <w:lang w:val="sr-Cyrl-CS"/>
        </w:rPr>
        <w:t xml:space="preserve"> </w:t>
      </w:r>
      <w:r w:rsidR="005818C0">
        <w:rPr>
          <w:color w:val="auto"/>
          <w:lang w:val="sr-Cyrl-CS"/>
        </w:rPr>
        <w:t>protiv</w:t>
      </w:r>
      <w:r w:rsidRPr="00E95BC4">
        <w:rPr>
          <w:color w:val="auto"/>
          <w:lang w:val="sr-Cyrl-CS"/>
        </w:rPr>
        <w:t xml:space="preserve"> </w:t>
      </w:r>
      <w:r w:rsidR="005818C0">
        <w:rPr>
          <w:color w:val="auto"/>
          <w:lang w:val="sr-Cyrl-CS"/>
        </w:rPr>
        <w:t>pranja</w:t>
      </w:r>
      <w:r w:rsidRPr="00E95BC4">
        <w:rPr>
          <w:color w:val="auto"/>
          <w:lang w:val="sr-Cyrl-CS"/>
        </w:rPr>
        <w:t xml:space="preserve"> </w:t>
      </w:r>
      <w:r w:rsidR="005818C0">
        <w:rPr>
          <w:color w:val="auto"/>
          <w:lang w:val="sr-Cyrl-CS"/>
        </w:rPr>
        <w:t>novca</w:t>
      </w:r>
      <w:r w:rsidRPr="00E95BC4">
        <w:rPr>
          <w:color w:val="auto"/>
          <w:lang w:val="sr-Cyrl-CS"/>
        </w:rPr>
        <w:t xml:space="preserve"> </w:t>
      </w:r>
      <w:r w:rsidR="005818C0">
        <w:rPr>
          <w:color w:val="auto"/>
          <w:lang w:val="sr-Cyrl-CS"/>
        </w:rPr>
        <w:t>i</w:t>
      </w:r>
      <w:r w:rsidRPr="00E95BC4">
        <w:rPr>
          <w:color w:val="auto"/>
          <w:lang w:val="sr-Cyrl-CS"/>
        </w:rPr>
        <w:t xml:space="preserve"> </w:t>
      </w:r>
      <w:r w:rsidR="005818C0">
        <w:rPr>
          <w:color w:val="auto"/>
          <w:lang w:val="sr-Cyrl-CS"/>
        </w:rPr>
        <w:t>finansiranja</w:t>
      </w:r>
      <w:r w:rsidRPr="00E95BC4">
        <w:rPr>
          <w:color w:val="auto"/>
          <w:lang w:val="sr-Cyrl-CS"/>
        </w:rPr>
        <w:t xml:space="preserve"> </w:t>
      </w:r>
      <w:r w:rsidR="005818C0">
        <w:rPr>
          <w:color w:val="auto"/>
          <w:lang w:val="sr-Cyrl-CS"/>
        </w:rPr>
        <w:t>terorizma</w:t>
      </w:r>
      <w:r w:rsidRPr="00E95BC4">
        <w:rPr>
          <w:color w:val="auto"/>
          <w:lang w:val="sr-Cyrl-CS"/>
        </w:rPr>
        <w:t xml:space="preserve"> </w:t>
      </w:r>
      <w:r w:rsidR="005818C0">
        <w:rPr>
          <w:color w:val="auto"/>
          <w:lang w:val="sr-Cyrl-CS"/>
        </w:rPr>
        <w:t>sve</w:t>
      </w:r>
      <w:r w:rsidRPr="00E95BC4">
        <w:rPr>
          <w:color w:val="auto"/>
          <w:lang w:val="sr-Cyrl-CS"/>
        </w:rPr>
        <w:t xml:space="preserve"> </w:t>
      </w:r>
      <w:r w:rsidR="005818C0">
        <w:rPr>
          <w:color w:val="auto"/>
          <w:lang w:val="sr-Cyrl-CS"/>
        </w:rPr>
        <w:t>više</w:t>
      </w:r>
      <w:r w:rsidRPr="00E95BC4">
        <w:rPr>
          <w:color w:val="auto"/>
          <w:lang w:val="sr-Cyrl-CS"/>
        </w:rPr>
        <w:t xml:space="preserve"> </w:t>
      </w:r>
      <w:r w:rsidR="005818C0">
        <w:rPr>
          <w:color w:val="auto"/>
          <w:lang w:val="sr-Cyrl-CS"/>
        </w:rPr>
        <w:t>se</w:t>
      </w:r>
      <w:r w:rsidRPr="00E95BC4">
        <w:rPr>
          <w:color w:val="auto"/>
          <w:lang w:val="sr-Cyrl-CS"/>
        </w:rPr>
        <w:t xml:space="preserve"> </w:t>
      </w:r>
      <w:r w:rsidR="005818C0">
        <w:rPr>
          <w:color w:val="auto"/>
          <w:lang w:val="sr-Cyrl-CS"/>
        </w:rPr>
        <w:t>gleda</w:t>
      </w:r>
      <w:r w:rsidRPr="00E95BC4">
        <w:rPr>
          <w:color w:val="auto"/>
          <w:lang w:val="sr-Cyrl-CS"/>
        </w:rPr>
        <w:t xml:space="preserve"> </w:t>
      </w:r>
      <w:r w:rsidR="005818C0">
        <w:rPr>
          <w:color w:val="auto"/>
          <w:lang w:val="sr-Cyrl-CS"/>
        </w:rPr>
        <w:t>kao</w:t>
      </w:r>
      <w:r w:rsidRPr="00E95BC4">
        <w:rPr>
          <w:color w:val="auto"/>
          <w:lang w:val="sr-Cyrl-CS"/>
        </w:rPr>
        <w:t xml:space="preserve"> </w:t>
      </w:r>
      <w:r w:rsidR="005818C0">
        <w:rPr>
          <w:color w:val="auto"/>
          <w:lang w:val="sr-Cyrl-CS"/>
        </w:rPr>
        <w:t>na</w:t>
      </w:r>
      <w:r w:rsidRPr="00E95BC4">
        <w:rPr>
          <w:color w:val="auto"/>
          <w:lang w:val="sr-Cyrl-CS"/>
        </w:rPr>
        <w:t xml:space="preserve"> </w:t>
      </w:r>
      <w:r w:rsidR="005818C0">
        <w:rPr>
          <w:color w:val="auto"/>
          <w:lang w:val="sr-Cyrl-CS"/>
        </w:rPr>
        <w:t>pitanje</w:t>
      </w:r>
      <w:r w:rsidRPr="00E95BC4">
        <w:rPr>
          <w:color w:val="auto"/>
          <w:lang w:val="sr-Cyrl-CS"/>
        </w:rPr>
        <w:t xml:space="preserve"> </w:t>
      </w:r>
      <w:r w:rsidR="005818C0">
        <w:rPr>
          <w:color w:val="auto"/>
          <w:lang w:val="sr-Cyrl-CS"/>
        </w:rPr>
        <w:t>koje</w:t>
      </w:r>
      <w:r w:rsidRPr="00E95BC4">
        <w:rPr>
          <w:color w:val="auto"/>
          <w:lang w:val="sr-Cyrl-CS"/>
        </w:rPr>
        <w:t xml:space="preserve"> </w:t>
      </w:r>
      <w:r w:rsidR="005818C0">
        <w:rPr>
          <w:color w:val="auto"/>
          <w:lang w:val="sr-Cyrl-CS"/>
        </w:rPr>
        <w:t>treba</w:t>
      </w:r>
      <w:r w:rsidRPr="00E95BC4">
        <w:rPr>
          <w:color w:val="auto"/>
          <w:lang w:val="sr-Cyrl-CS"/>
        </w:rPr>
        <w:t xml:space="preserve"> </w:t>
      </w:r>
      <w:r w:rsidR="005818C0">
        <w:rPr>
          <w:color w:val="auto"/>
          <w:lang w:val="sr-Cyrl-CS"/>
        </w:rPr>
        <w:t>da</w:t>
      </w:r>
      <w:r w:rsidRPr="00E95BC4">
        <w:rPr>
          <w:color w:val="auto"/>
          <w:lang w:val="sr-Cyrl-CS"/>
        </w:rPr>
        <w:t xml:space="preserve"> </w:t>
      </w:r>
      <w:r w:rsidR="005818C0">
        <w:rPr>
          <w:color w:val="auto"/>
          <w:lang w:val="sr-Cyrl-CS"/>
        </w:rPr>
        <w:t>se</w:t>
      </w:r>
      <w:r w:rsidRPr="00E95BC4">
        <w:rPr>
          <w:color w:val="auto"/>
          <w:lang w:val="sr-Cyrl-CS"/>
        </w:rPr>
        <w:t xml:space="preserve"> </w:t>
      </w:r>
      <w:r w:rsidR="005818C0">
        <w:rPr>
          <w:color w:val="auto"/>
          <w:lang w:val="sr-Cyrl-CS"/>
        </w:rPr>
        <w:t>rešava</w:t>
      </w:r>
      <w:r w:rsidRPr="00E95BC4">
        <w:rPr>
          <w:color w:val="auto"/>
          <w:lang w:val="sr-Cyrl-CS"/>
        </w:rPr>
        <w:t xml:space="preserve"> </w:t>
      </w:r>
      <w:r w:rsidR="005818C0">
        <w:rPr>
          <w:color w:val="auto"/>
          <w:lang w:val="sr-Cyrl-CS"/>
        </w:rPr>
        <w:t>u</w:t>
      </w:r>
      <w:r w:rsidRPr="00E95BC4">
        <w:rPr>
          <w:color w:val="auto"/>
          <w:lang w:val="sr-Cyrl-CS"/>
        </w:rPr>
        <w:t xml:space="preserve"> </w:t>
      </w:r>
      <w:r w:rsidR="005818C0">
        <w:rPr>
          <w:color w:val="auto"/>
          <w:lang w:val="sr-Cyrl-CS"/>
        </w:rPr>
        <w:t>partnerstvu</w:t>
      </w:r>
      <w:r w:rsidRPr="00E95BC4">
        <w:rPr>
          <w:color w:val="auto"/>
          <w:lang w:val="sr-Cyrl-CS"/>
        </w:rPr>
        <w:t xml:space="preserve"> </w:t>
      </w:r>
      <w:r w:rsidR="005818C0">
        <w:rPr>
          <w:color w:val="auto"/>
          <w:lang w:val="sr-Cyrl-CS"/>
        </w:rPr>
        <w:t>između</w:t>
      </w:r>
      <w:r w:rsidRPr="00E95BC4">
        <w:rPr>
          <w:color w:val="auto"/>
          <w:lang w:val="sr-Cyrl-CS"/>
        </w:rPr>
        <w:t xml:space="preserve"> </w:t>
      </w:r>
      <w:r w:rsidR="005818C0">
        <w:rPr>
          <w:color w:val="auto"/>
          <w:lang w:val="sr-Cyrl-CS"/>
        </w:rPr>
        <w:t>javnog</w:t>
      </w:r>
      <w:r w:rsidRPr="00E95BC4">
        <w:rPr>
          <w:color w:val="auto"/>
          <w:lang w:val="sr-Cyrl-CS"/>
        </w:rPr>
        <w:t xml:space="preserve"> </w:t>
      </w:r>
      <w:r w:rsidR="005818C0">
        <w:rPr>
          <w:b/>
          <w:bCs/>
          <w:color w:val="auto"/>
          <w:lang w:val="sr-Cyrl-CS"/>
        </w:rPr>
        <w:t>i</w:t>
      </w:r>
      <w:r w:rsidRPr="00E95BC4">
        <w:rPr>
          <w:b/>
          <w:bCs/>
          <w:color w:val="auto"/>
          <w:lang w:val="sr-Cyrl-CS"/>
        </w:rPr>
        <w:t xml:space="preserve"> </w:t>
      </w:r>
      <w:r w:rsidR="005818C0">
        <w:rPr>
          <w:b/>
          <w:bCs/>
          <w:color w:val="auto"/>
          <w:lang w:val="sr-Cyrl-CS"/>
        </w:rPr>
        <w:t>privatnog</w:t>
      </w:r>
      <w:r w:rsidRPr="00E95BC4">
        <w:rPr>
          <w:b/>
          <w:bCs/>
          <w:color w:val="auto"/>
          <w:lang w:val="sr-Cyrl-CS"/>
        </w:rPr>
        <w:t xml:space="preserve"> </w:t>
      </w:r>
      <w:r w:rsidR="005818C0">
        <w:rPr>
          <w:color w:val="auto"/>
          <w:lang w:val="sr-Cyrl-CS"/>
        </w:rPr>
        <w:t>sektora</w:t>
      </w:r>
      <w:r w:rsidRPr="00E95BC4">
        <w:rPr>
          <w:color w:val="auto"/>
          <w:lang w:val="sr-Cyrl-CS"/>
        </w:rPr>
        <w:t xml:space="preserve">, </w:t>
      </w:r>
      <w:r w:rsidR="005818C0">
        <w:rPr>
          <w:color w:val="auto"/>
          <w:lang w:val="sr-Cyrl-CS"/>
        </w:rPr>
        <w:t>pri</w:t>
      </w:r>
      <w:r w:rsidRPr="00E95BC4">
        <w:rPr>
          <w:color w:val="auto"/>
          <w:lang w:val="sr-Cyrl-CS"/>
        </w:rPr>
        <w:t xml:space="preserve"> </w:t>
      </w:r>
      <w:r w:rsidR="005818C0">
        <w:rPr>
          <w:color w:val="auto"/>
          <w:lang w:val="sr-Cyrl-CS"/>
        </w:rPr>
        <w:t>čemu</w:t>
      </w:r>
      <w:r w:rsidRPr="00E95BC4">
        <w:rPr>
          <w:color w:val="auto"/>
          <w:lang w:val="sr-Cyrl-CS"/>
        </w:rPr>
        <w:t xml:space="preserve"> </w:t>
      </w:r>
      <w:r w:rsidR="005818C0">
        <w:rPr>
          <w:color w:val="auto"/>
          <w:lang w:val="sr-Cyrl-CS"/>
        </w:rPr>
        <w:t>organizacije</w:t>
      </w:r>
      <w:r w:rsidRPr="00E95BC4">
        <w:rPr>
          <w:color w:val="auto"/>
          <w:lang w:val="sr-Cyrl-CS"/>
        </w:rPr>
        <w:t xml:space="preserve"> </w:t>
      </w:r>
      <w:r w:rsidR="005818C0">
        <w:rPr>
          <w:color w:val="auto"/>
          <w:lang w:val="sr-Cyrl-CS"/>
        </w:rPr>
        <w:t>civilnog</w:t>
      </w:r>
      <w:r w:rsidRPr="00E95BC4">
        <w:rPr>
          <w:color w:val="auto"/>
          <w:lang w:val="sr-Cyrl-CS"/>
        </w:rPr>
        <w:t xml:space="preserve"> </w:t>
      </w:r>
      <w:r w:rsidR="005818C0">
        <w:rPr>
          <w:color w:val="auto"/>
          <w:lang w:val="sr-Cyrl-CS"/>
        </w:rPr>
        <w:t>društva</w:t>
      </w:r>
      <w:r w:rsidRPr="00E95BC4">
        <w:rPr>
          <w:color w:val="auto"/>
          <w:lang w:val="sr-Cyrl-CS"/>
        </w:rPr>
        <w:t xml:space="preserve"> </w:t>
      </w:r>
      <w:r w:rsidR="005818C0">
        <w:rPr>
          <w:color w:val="auto"/>
          <w:lang w:val="sr-Cyrl-CS"/>
        </w:rPr>
        <w:t>takođe</w:t>
      </w:r>
      <w:r w:rsidRPr="00E95BC4">
        <w:rPr>
          <w:color w:val="auto"/>
          <w:lang w:val="sr-Cyrl-CS"/>
        </w:rPr>
        <w:t xml:space="preserve"> </w:t>
      </w:r>
      <w:r w:rsidR="005818C0">
        <w:rPr>
          <w:color w:val="auto"/>
          <w:lang w:val="sr-Cyrl-CS"/>
        </w:rPr>
        <w:t>imaju</w:t>
      </w:r>
      <w:r w:rsidRPr="00E95BC4">
        <w:rPr>
          <w:color w:val="auto"/>
          <w:lang w:val="sr-Cyrl-CS"/>
        </w:rPr>
        <w:t xml:space="preserve"> </w:t>
      </w:r>
      <w:r w:rsidR="005818C0">
        <w:rPr>
          <w:color w:val="auto"/>
          <w:lang w:val="sr-Cyrl-CS"/>
        </w:rPr>
        <w:t>odgovarajuću</w:t>
      </w:r>
      <w:r w:rsidRPr="00E95BC4">
        <w:rPr>
          <w:color w:val="auto"/>
          <w:lang w:val="sr-Cyrl-CS"/>
        </w:rPr>
        <w:t xml:space="preserve"> </w:t>
      </w:r>
      <w:r w:rsidR="005818C0">
        <w:rPr>
          <w:color w:val="auto"/>
          <w:lang w:val="sr-Cyrl-CS"/>
        </w:rPr>
        <w:t>ulogu</w:t>
      </w:r>
      <w:r w:rsidRPr="00E95BC4">
        <w:rPr>
          <w:color w:val="auto"/>
          <w:lang w:val="sr-Cyrl-CS"/>
        </w:rPr>
        <w:t xml:space="preserve">. </w:t>
      </w:r>
      <w:r w:rsidR="005818C0">
        <w:rPr>
          <w:color w:val="auto"/>
          <w:lang w:val="sr-Cyrl-CS"/>
        </w:rPr>
        <w:t>Rizici</w:t>
      </w:r>
      <w:r w:rsidRPr="00E95BC4">
        <w:rPr>
          <w:color w:val="auto"/>
          <w:lang w:val="sr-Cyrl-CS"/>
        </w:rPr>
        <w:t xml:space="preserve"> </w:t>
      </w:r>
      <w:r w:rsidR="005818C0">
        <w:rPr>
          <w:color w:val="auto"/>
          <w:lang w:val="sr-Cyrl-CS"/>
        </w:rPr>
        <w:t>koji</w:t>
      </w:r>
      <w:r w:rsidRPr="00E95BC4">
        <w:rPr>
          <w:color w:val="auto"/>
          <w:lang w:val="sr-Cyrl-CS"/>
        </w:rPr>
        <w:t xml:space="preserve"> </w:t>
      </w:r>
      <w:r w:rsidR="005818C0">
        <w:rPr>
          <w:color w:val="auto"/>
          <w:lang w:val="sr-Cyrl-CS"/>
        </w:rPr>
        <w:t>su</w:t>
      </w:r>
      <w:r w:rsidRPr="00E95BC4">
        <w:rPr>
          <w:color w:val="auto"/>
          <w:lang w:val="sr-Cyrl-CS"/>
        </w:rPr>
        <w:t xml:space="preserve"> </w:t>
      </w:r>
      <w:r w:rsidR="005818C0">
        <w:rPr>
          <w:color w:val="auto"/>
          <w:lang w:val="sr-Cyrl-CS"/>
        </w:rPr>
        <w:t>identifikovani</w:t>
      </w:r>
      <w:r w:rsidRPr="00E95BC4">
        <w:rPr>
          <w:color w:val="auto"/>
          <w:lang w:val="sr-Cyrl-CS"/>
        </w:rPr>
        <w:t xml:space="preserve"> </w:t>
      </w:r>
      <w:r w:rsidR="005818C0">
        <w:rPr>
          <w:color w:val="auto"/>
          <w:lang w:val="sr-Cyrl-CS"/>
        </w:rPr>
        <w:t>u</w:t>
      </w:r>
      <w:r w:rsidRPr="00E95BC4">
        <w:rPr>
          <w:color w:val="auto"/>
          <w:lang w:val="sr-Cyrl-CS"/>
        </w:rPr>
        <w:t xml:space="preserve"> </w:t>
      </w:r>
      <w:r w:rsidR="005818C0">
        <w:rPr>
          <w:color w:val="auto"/>
          <w:lang w:val="sr-Cyrl-CS"/>
        </w:rPr>
        <w:t>prethodnom</w:t>
      </w:r>
      <w:r w:rsidRPr="00E95BC4">
        <w:rPr>
          <w:color w:val="auto"/>
          <w:lang w:val="sr-Cyrl-CS"/>
        </w:rPr>
        <w:t xml:space="preserve"> </w:t>
      </w:r>
      <w:r w:rsidR="005818C0">
        <w:rPr>
          <w:color w:val="auto"/>
          <w:lang w:val="sr-Cyrl-CS"/>
        </w:rPr>
        <w:t>delu</w:t>
      </w:r>
      <w:r w:rsidRPr="00E95BC4">
        <w:rPr>
          <w:color w:val="auto"/>
          <w:lang w:val="sr-Cyrl-CS"/>
        </w:rPr>
        <w:t xml:space="preserve"> </w:t>
      </w:r>
      <w:r w:rsidR="005818C0">
        <w:rPr>
          <w:color w:val="auto"/>
          <w:lang w:val="sr-Cyrl-CS"/>
        </w:rPr>
        <w:t>ove</w:t>
      </w:r>
      <w:r w:rsidRPr="00E95BC4">
        <w:rPr>
          <w:color w:val="auto"/>
          <w:lang w:val="sr-Cyrl-CS"/>
        </w:rPr>
        <w:t xml:space="preserve"> </w:t>
      </w:r>
      <w:r w:rsidR="005818C0">
        <w:rPr>
          <w:color w:val="auto"/>
          <w:lang w:val="sr-Cyrl-CS"/>
        </w:rPr>
        <w:t>strategije</w:t>
      </w:r>
      <w:r w:rsidRPr="00E95BC4">
        <w:rPr>
          <w:color w:val="auto"/>
          <w:lang w:val="sr-Cyrl-CS"/>
        </w:rPr>
        <w:t xml:space="preserve"> </w:t>
      </w:r>
      <w:r w:rsidR="005818C0">
        <w:rPr>
          <w:color w:val="auto"/>
          <w:lang w:val="sr-Cyrl-CS"/>
        </w:rPr>
        <w:t>i</w:t>
      </w:r>
      <w:r w:rsidRPr="00E95BC4">
        <w:rPr>
          <w:color w:val="auto"/>
          <w:lang w:val="sr-Cyrl-CS"/>
        </w:rPr>
        <w:t xml:space="preserve"> </w:t>
      </w:r>
      <w:r w:rsidR="005818C0">
        <w:rPr>
          <w:color w:val="auto"/>
          <w:lang w:val="sr-Cyrl-CS"/>
        </w:rPr>
        <w:t>efekti</w:t>
      </w:r>
      <w:r w:rsidRPr="00E95BC4">
        <w:rPr>
          <w:color w:val="auto"/>
          <w:lang w:val="sr-Cyrl-CS"/>
        </w:rPr>
        <w:t xml:space="preserve"> </w:t>
      </w:r>
      <w:r w:rsidR="005818C0">
        <w:rPr>
          <w:color w:val="auto"/>
          <w:lang w:val="sr-Cyrl-CS"/>
        </w:rPr>
        <w:t>koje</w:t>
      </w:r>
      <w:r w:rsidR="00DD0D6E" w:rsidRPr="00E95BC4">
        <w:rPr>
          <w:color w:val="auto"/>
          <w:lang w:val="sr-Cyrl-CS"/>
        </w:rPr>
        <w:t xml:space="preserve"> </w:t>
      </w:r>
      <w:r w:rsidR="005818C0">
        <w:rPr>
          <w:color w:val="auto"/>
          <w:lang w:val="sr-Cyrl-CS"/>
        </w:rPr>
        <w:t>oni</w:t>
      </w:r>
      <w:r w:rsidR="00DD0D6E" w:rsidRPr="00E95BC4">
        <w:rPr>
          <w:color w:val="auto"/>
          <w:lang w:val="sr-Cyrl-CS"/>
        </w:rPr>
        <w:t xml:space="preserve"> </w:t>
      </w:r>
      <w:r w:rsidR="005818C0">
        <w:rPr>
          <w:color w:val="auto"/>
          <w:lang w:val="sr-Cyrl-CS"/>
        </w:rPr>
        <w:t>imaju</w:t>
      </w:r>
      <w:r w:rsidR="00DD0D6E" w:rsidRPr="00E95BC4">
        <w:rPr>
          <w:color w:val="auto"/>
          <w:lang w:val="sr-Cyrl-CS"/>
        </w:rPr>
        <w:t xml:space="preserve"> </w:t>
      </w:r>
      <w:r w:rsidR="005818C0">
        <w:rPr>
          <w:color w:val="auto"/>
          <w:lang w:val="sr-Cyrl-CS"/>
        </w:rPr>
        <w:t>jesu</w:t>
      </w:r>
      <w:r w:rsidRPr="00E95BC4">
        <w:rPr>
          <w:color w:val="auto"/>
          <w:lang w:val="sr-Cyrl-CS"/>
        </w:rPr>
        <w:t xml:space="preserve"> </w:t>
      </w:r>
      <w:r w:rsidR="005818C0">
        <w:rPr>
          <w:color w:val="auto"/>
          <w:lang w:val="sr-Cyrl-CS"/>
        </w:rPr>
        <w:t>ozbiljni</w:t>
      </w:r>
      <w:r w:rsidRPr="00E95BC4">
        <w:rPr>
          <w:color w:val="auto"/>
          <w:lang w:val="sr-Cyrl-CS"/>
        </w:rPr>
        <w:t xml:space="preserve">, </w:t>
      </w:r>
      <w:r w:rsidR="005818C0">
        <w:rPr>
          <w:color w:val="auto"/>
          <w:lang w:val="sr-Cyrl-CS"/>
        </w:rPr>
        <w:t>negativno</w:t>
      </w:r>
      <w:r w:rsidRPr="00E95BC4">
        <w:rPr>
          <w:color w:val="auto"/>
          <w:lang w:val="sr-Cyrl-CS"/>
        </w:rPr>
        <w:t xml:space="preserve"> </w:t>
      </w:r>
      <w:r w:rsidR="005818C0">
        <w:rPr>
          <w:color w:val="auto"/>
          <w:lang w:val="sr-Cyrl-CS"/>
        </w:rPr>
        <w:t>i</w:t>
      </w:r>
      <w:r w:rsidR="00DD0D6E" w:rsidRPr="00E95BC4">
        <w:rPr>
          <w:color w:val="auto"/>
          <w:lang w:val="sr-Cyrl-CS"/>
        </w:rPr>
        <w:t xml:space="preserve"> </w:t>
      </w:r>
      <w:r w:rsidR="005818C0">
        <w:rPr>
          <w:color w:val="auto"/>
          <w:lang w:val="sr-Cyrl-CS"/>
        </w:rPr>
        <w:t>nesrazmerno</w:t>
      </w:r>
      <w:r w:rsidRPr="00E95BC4">
        <w:rPr>
          <w:color w:val="auto"/>
          <w:lang w:val="sr-Cyrl-CS"/>
        </w:rPr>
        <w:t xml:space="preserve"> </w:t>
      </w:r>
      <w:r w:rsidR="005818C0">
        <w:rPr>
          <w:color w:val="auto"/>
          <w:lang w:val="sr-Cyrl-CS"/>
        </w:rPr>
        <w:t>utiču</w:t>
      </w:r>
      <w:r w:rsidRPr="00E95BC4">
        <w:rPr>
          <w:color w:val="auto"/>
          <w:lang w:val="sr-Cyrl-CS"/>
        </w:rPr>
        <w:t xml:space="preserve"> </w:t>
      </w:r>
      <w:r w:rsidR="005818C0">
        <w:rPr>
          <w:color w:val="auto"/>
          <w:lang w:val="sr-Cyrl-CS"/>
        </w:rPr>
        <w:t>na</w:t>
      </w:r>
      <w:r w:rsidRPr="00E95BC4">
        <w:rPr>
          <w:color w:val="auto"/>
          <w:lang w:val="sr-Cyrl-CS"/>
        </w:rPr>
        <w:t xml:space="preserve"> </w:t>
      </w:r>
      <w:r w:rsidR="005818C0">
        <w:rPr>
          <w:color w:val="auto"/>
          <w:lang w:val="sr-Cyrl-CS"/>
        </w:rPr>
        <w:t>ranjive</w:t>
      </w:r>
      <w:r w:rsidRPr="00E95BC4">
        <w:rPr>
          <w:color w:val="auto"/>
          <w:lang w:val="sr-Cyrl-CS"/>
        </w:rPr>
        <w:t xml:space="preserve"> </w:t>
      </w:r>
      <w:r w:rsidR="005818C0">
        <w:rPr>
          <w:color w:val="auto"/>
          <w:lang w:val="sr-Cyrl-CS"/>
        </w:rPr>
        <w:t>delove</w:t>
      </w:r>
      <w:r w:rsidRPr="00E95BC4">
        <w:rPr>
          <w:color w:val="auto"/>
          <w:lang w:val="sr-Cyrl-CS"/>
        </w:rPr>
        <w:t xml:space="preserve"> </w:t>
      </w:r>
      <w:r w:rsidR="005818C0">
        <w:rPr>
          <w:color w:val="auto"/>
          <w:lang w:val="sr-Cyrl-CS"/>
        </w:rPr>
        <w:t>društva</w:t>
      </w:r>
      <w:r w:rsidRPr="00E95BC4">
        <w:rPr>
          <w:color w:val="auto"/>
          <w:lang w:val="sr-Cyrl-CS"/>
        </w:rPr>
        <w:t xml:space="preserve"> </w:t>
      </w:r>
      <w:r w:rsidR="005818C0">
        <w:rPr>
          <w:color w:val="auto"/>
          <w:lang w:val="sr-Cyrl-CS"/>
        </w:rPr>
        <w:t>što</w:t>
      </w:r>
      <w:r w:rsidRPr="00E95BC4">
        <w:rPr>
          <w:color w:val="auto"/>
          <w:lang w:val="sr-Cyrl-CS"/>
        </w:rPr>
        <w:t xml:space="preserve"> </w:t>
      </w:r>
      <w:r w:rsidR="005818C0">
        <w:rPr>
          <w:color w:val="auto"/>
          <w:lang w:val="sr-Cyrl-CS"/>
        </w:rPr>
        <w:t>sve</w:t>
      </w:r>
      <w:r w:rsidRPr="00E95BC4">
        <w:rPr>
          <w:color w:val="auto"/>
          <w:lang w:val="sr-Cyrl-CS"/>
        </w:rPr>
        <w:t xml:space="preserve"> </w:t>
      </w:r>
      <w:r w:rsidR="005818C0">
        <w:rPr>
          <w:color w:val="auto"/>
          <w:lang w:val="sr-Cyrl-CS"/>
        </w:rPr>
        <w:t>uzrokuje</w:t>
      </w:r>
      <w:r w:rsidRPr="00E95BC4">
        <w:rPr>
          <w:color w:val="auto"/>
          <w:lang w:val="sr-Cyrl-CS"/>
        </w:rPr>
        <w:t xml:space="preserve"> </w:t>
      </w:r>
      <w:r w:rsidR="005818C0">
        <w:rPr>
          <w:color w:val="auto"/>
          <w:lang w:val="sr-Cyrl-CS"/>
        </w:rPr>
        <w:t>znatne</w:t>
      </w:r>
      <w:r w:rsidRPr="00E95BC4">
        <w:rPr>
          <w:color w:val="auto"/>
          <w:lang w:val="sr-Cyrl-CS"/>
        </w:rPr>
        <w:t xml:space="preserve"> </w:t>
      </w:r>
      <w:r w:rsidR="005818C0">
        <w:rPr>
          <w:color w:val="auto"/>
          <w:lang w:val="sr-Cyrl-CS"/>
        </w:rPr>
        <w:t>troškove</w:t>
      </w:r>
      <w:r w:rsidRPr="00E95BC4">
        <w:rPr>
          <w:color w:val="auto"/>
          <w:lang w:val="sr-Cyrl-CS"/>
        </w:rPr>
        <w:t xml:space="preserve"> </w:t>
      </w:r>
      <w:r w:rsidR="005818C0">
        <w:rPr>
          <w:color w:val="auto"/>
          <w:lang w:val="sr-Cyrl-CS"/>
        </w:rPr>
        <w:t>za</w:t>
      </w:r>
      <w:r w:rsidRPr="00E95BC4">
        <w:rPr>
          <w:color w:val="auto"/>
          <w:lang w:val="sr-Cyrl-CS"/>
        </w:rPr>
        <w:t xml:space="preserve"> </w:t>
      </w:r>
      <w:r w:rsidR="005818C0">
        <w:rPr>
          <w:color w:val="auto"/>
          <w:lang w:val="sr-Cyrl-CS"/>
        </w:rPr>
        <w:t>javni</w:t>
      </w:r>
      <w:r w:rsidRPr="00E95BC4">
        <w:rPr>
          <w:color w:val="auto"/>
          <w:lang w:val="sr-Cyrl-CS"/>
        </w:rPr>
        <w:t xml:space="preserve"> </w:t>
      </w:r>
      <w:r w:rsidR="005818C0">
        <w:rPr>
          <w:color w:val="auto"/>
          <w:lang w:val="sr-Cyrl-CS"/>
        </w:rPr>
        <w:t>i</w:t>
      </w:r>
      <w:r w:rsidRPr="00E95BC4">
        <w:rPr>
          <w:color w:val="auto"/>
          <w:lang w:val="sr-Cyrl-CS"/>
        </w:rPr>
        <w:t xml:space="preserve"> </w:t>
      </w:r>
      <w:r w:rsidR="005818C0">
        <w:rPr>
          <w:color w:val="auto"/>
          <w:lang w:val="sr-Cyrl-CS"/>
        </w:rPr>
        <w:t>privatni</w:t>
      </w:r>
      <w:r w:rsidRPr="00E95BC4">
        <w:rPr>
          <w:color w:val="auto"/>
          <w:lang w:val="sr-Cyrl-CS"/>
        </w:rPr>
        <w:t xml:space="preserve"> </w:t>
      </w:r>
      <w:r w:rsidR="005818C0">
        <w:rPr>
          <w:color w:val="auto"/>
          <w:lang w:val="sr-Cyrl-CS"/>
        </w:rPr>
        <w:t>sektor</w:t>
      </w:r>
      <w:r w:rsidRPr="00E95BC4">
        <w:rPr>
          <w:color w:val="auto"/>
          <w:lang w:val="sr-Cyrl-CS"/>
        </w:rPr>
        <w:t xml:space="preserve">. </w:t>
      </w:r>
      <w:r w:rsidR="005818C0">
        <w:rPr>
          <w:color w:val="auto"/>
          <w:lang w:val="sr-Cyrl-CS"/>
        </w:rPr>
        <w:t>Otuda</w:t>
      </w:r>
      <w:r w:rsidRPr="00E95BC4">
        <w:rPr>
          <w:color w:val="auto"/>
          <w:lang w:val="sr-Cyrl-CS"/>
        </w:rPr>
        <w:t xml:space="preserve"> </w:t>
      </w:r>
      <w:r w:rsidR="005818C0">
        <w:rPr>
          <w:color w:val="auto"/>
          <w:lang w:val="sr-Cyrl-CS"/>
        </w:rPr>
        <w:t>ne</w:t>
      </w:r>
      <w:r w:rsidRPr="00E95BC4">
        <w:rPr>
          <w:color w:val="auto"/>
          <w:lang w:val="sr-Cyrl-CS"/>
        </w:rPr>
        <w:t xml:space="preserve"> </w:t>
      </w:r>
      <w:r w:rsidR="005818C0">
        <w:rPr>
          <w:color w:val="auto"/>
          <w:lang w:val="sr-Cyrl-CS"/>
        </w:rPr>
        <w:t>bi</w:t>
      </w:r>
      <w:r w:rsidRPr="00E95BC4">
        <w:rPr>
          <w:color w:val="auto"/>
          <w:lang w:val="sr-Cyrl-CS"/>
        </w:rPr>
        <w:t xml:space="preserve"> </w:t>
      </w:r>
      <w:r w:rsidR="005818C0">
        <w:rPr>
          <w:color w:val="auto"/>
          <w:lang w:val="sr-Cyrl-CS"/>
        </w:rPr>
        <w:t>bilo</w:t>
      </w:r>
      <w:r w:rsidRPr="00E95BC4">
        <w:rPr>
          <w:color w:val="auto"/>
          <w:lang w:val="sr-Cyrl-CS"/>
        </w:rPr>
        <w:t xml:space="preserve"> </w:t>
      </w:r>
      <w:r w:rsidR="005818C0">
        <w:rPr>
          <w:color w:val="auto"/>
          <w:lang w:val="sr-Cyrl-CS"/>
        </w:rPr>
        <w:t>ispravno</w:t>
      </w:r>
      <w:r w:rsidRPr="00E95BC4">
        <w:rPr>
          <w:color w:val="auto"/>
          <w:lang w:val="sr-Cyrl-CS"/>
        </w:rPr>
        <w:t xml:space="preserve"> </w:t>
      </w:r>
      <w:r w:rsidR="005818C0">
        <w:rPr>
          <w:color w:val="auto"/>
          <w:lang w:val="sr-Cyrl-CS"/>
        </w:rPr>
        <w:t>rešavati</w:t>
      </w:r>
      <w:r w:rsidRPr="00E95BC4">
        <w:rPr>
          <w:color w:val="auto"/>
          <w:lang w:val="sr-Cyrl-CS"/>
        </w:rPr>
        <w:t xml:space="preserve"> </w:t>
      </w:r>
      <w:r w:rsidR="005818C0">
        <w:rPr>
          <w:color w:val="auto"/>
          <w:lang w:val="sr-Cyrl-CS"/>
        </w:rPr>
        <w:t>ih</w:t>
      </w:r>
      <w:r w:rsidRPr="00E95BC4">
        <w:rPr>
          <w:color w:val="auto"/>
          <w:lang w:val="sr-Cyrl-CS"/>
        </w:rPr>
        <w:t xml:space="preserve"> </w:t>
      </w:r>
      <w:r w:rsidR="005818C0">
        <w:rPr>
          <w:color w:val="auto"/>
          <w:lang w:val="sr-Cyrl-CS"/>
        </w:rPr>
        <w:t>bez</w:t>
      </w:r>
      <w:r w:rsidRPr="00E95BC4">
        <w:rPr>
          <w:color w:val="auto"/>
          <w:lang w:val="sr-Cyrl-CS"/>
        </w:rPr>
        <w:t xml:space="preserve"> </w:t>
      </w:r>
      <w:r w:rsidR="005818C0">
        <w:rPr>
          <w:color w:val="auto"/>
          <w:lang w:val="sr-Cyrl-CS"/>
        </w:rPr>
        <w:t>jasne</w:t>
      </w:r>
      <w:r w:rsidRPr="00E95BC4">
        <w:rPr>
          <w:color w:val="auto"/>
          <w:lang w:val="sr-Cyrl-CS"/>
        </w:rPr>
        <w:t xml:space="preserve"> </w:t>
      </w:r>
      <w:r w:rsidR="005818C0">
        <w:rPr>
          <w:color w:val="auto"/>
          <w:lang w:val="sr-Cyrl-CS"/>
        </w:rPr>
        <w:t>strateške</w:t>
      </w:r>
      <w:r w:rsidRPr="00E95BC4">
        <w:rPr>
          <w:color w:val="auto"/>
          <w:lang w:val="sr-Cyrl-CS"/>
        </w:rPr>
        <w:t xml:space="preserve"> </w:t>
      </w:r>
      <w:r w:rsidR="005818C0">
        <w:rPr>
          <w:color w:val="auto"/>
          <w:lang w:val="sr-Cyrl-CS"/>
        </w:rPr>
        <w:t>vizije</w:t>
      </w:r>
      <w:r w:rsidRPr="00E95BC4">
        <w:rPr>
          <w:color w:val="auto"/>
          <w:lang w:val="sr-Cyrl-CS"/>
        </w:rPr>
        <w:t xml:space="preserve"> </w:t>
      </w:r>
      <w:r w:rsidR="005818C0">
        <w:rPr>
          <w:color w:val="auto"/>
          <w:lang w:val="sr-Cyrl-CS"/>
        </w:rPr>
        <w:t>koju</w:t>
      </w:r>
      <w:r w:rsidRPr="00E95BC4">
        <w:rPr>
          <w:color w:val="auto"/>
          <w:lang w:val="sr-Cyrl-CS"/>
        </w:rPr>
        <w:t xml:space="preserve"> </w:t>
      </w:r>
      <w:r w:rsidR="005818C0">
        <w:rPr>
          <w:color w:val="auto"/>
          <w:lang w:val="sr-Cyrl-CS"/>
        </w:rPr>
        <w:t>Republika</w:t>
      </w:r>
      <w:r w:rsidRPr="00E95BC4">
        <w:rPr>
          <w:color w:val="auto"/>
          <w:lang w:val="sr-Cyrl-CS"/>
        </w:rPr>
        <w:t xml:space="preserve"> </w:t>
      </w:r>
      <w:r w:rsidR="005818C0">
        <w:rPr>
          <w:color w:val="auto"/>
          <w:lang w:val="sr-Cyrl-CS"/>
        </w:rPr>
        <w:t>Srbija</w:t>
      </w:r>
      <w:r w:rsidR="001E4E03" w:rsidRPr="00E95BC4">
        <w:rPr>
          <w:color w:val="auto"/>
          <w:lang w:val="sr-Cyrl-CS"/>
        </w:rPr>
        <w:t xml:space="preserve"> </w:t>
      </w:r>
      <w:r w:rsidR="005818C0">
        <w:rPr>
          <w:color w:val="auto"/>
          <w:lang w:val="sr-Cyrl-CS"/>
        </w:rPr>
        <w:t>treba</w:t>
      </w:r>
      <w:r w:rsidR="001E4E03" w:rsidRPr="00E95BC4">
        <w:rPr>
          <w:color w:val="auto"/>
          <w:lang w:val="sr-Cyrl-CS"/>
        </w:rPr>
        <w:t xml:space="preserve"> </w:t>
      </w:r>
      <w:r w:rsidR="005818C0">
        <w:rPr>
          <w:color w:val="auto"/>
          <w:lang w:val="sr-Cyrl-CS"/>
        </w:rPr>
        <w:t>da</w:t>
      </w:r>
      <w:r w:rsidR="001E4E03" w:rsidRPr="00E95BC4">
        <w:rPr>
          <w:color w:val="auto"/>
          <w:lang w:val="sr-Cyrl-CS"/>
        </w:rPr>
        <w:t xml:space="preserve"> </w:t>
      </w:r>
      <w:r w:rsidR="005818C0">
        <w:rPr>
          <w:color w:val="auto"/>
          <w:lang w:val="sr-Cyrl-CS"/>
        </w:rPr>
        <w:t>ima</w:t>
      </w:r>
      <w:r w:rsidR="001E4E03" w:rsidRPr="00E95BC4">
        <w:rPr>
          <w:color w:val="auto"/>
          <w:lang w:val="sr-Cyrl-CS"/>
        </w:rPr>
        <w:t xml:space="preserve"> </w:t>
      </w:r>
      <w:r w:rsidR="005818C0">
        <w:rPr>
          <w:color w:val="auto"/>
          <w:lang w:val="sr-Cyrl-CS"/>
        </w:rPr>
        <w:t>u</w:t>
      </w:r>
      <w:r w:rsidR="001E4E03" w:rsidRPr="00E95BC4">
        <w:rPr>
          <w:color w:val="auto"/>
          <w:lang w:val="sr-Cyrl-CS"/>
        </w:rPr>
        <w:t xml:space="preserve"> </w:t>
      </w:r>
      <w:r w:rsidR="005818C0">
        <w:rPr>
          <w:color w:val="auto"/>
          <w:lang w:val="sr-Cyrl-CS"/>
        </w:rPr>
        <w:t>ovoj</w:t>
      </w:r>
      <w:r w:rsidR="001E4E03" w:rsidRPr="00E95BC4">
        <w:rPr>
          <w:color w:val="auto"/>
          <w:lang w:val="sr-Cyrl-CS"/>
        </w:rPr>
        <w:t xml:space="preserve"> </w:t>
      </w:r>
      <w:r w:rsidR="005818C0">
        <w:rPr>
          <w:color w:val="auto"/>
          <w:lang w:val="sr-Cyrl-CS"/>
        </w:rPr>
        <w:t>oblasti</w:t>
      </w:r>
      <w:r w:rsidR="001E4E03" w:rsidRPr="00E95BC4">
        <w:rPr>
          <w:color w:val="auto"/>
          <w:lang w:val="sr-Cyrl-CS"/>
        </w:rPr>
        <w:t xml:space="preserve">. </w:t>
      </w:r>
      <w:r w:rsidRPr="00E95BC4">
        <w:rPr>
          <w:color w:val="auto"/>
          <w:lang w:val="sr-Cyrl-CS"/>
        </w:rPr>
        <w:t xml:space="preserve"> </w:t>
      </w:r>
    </w:p>
    <w:p w:rsidR="001E4E03" w:rsidRPr="00E95BC4" w:rsidRDefault="00EB24C3" w:rsidP="00EB24C3">
      <w:pPr>
        <w:tabs>
          <w:tab w:val="left" w:pos="709"/>
        </w:tabs>
        <w:jc w:val="both"/>
        <w:rPr>
          <w:rFonts w:eastAsia="Times New Roman"/>
          <w:color w:val="auto"/>
          <w:kern w:val="0"/>
          <w:lang w:val="sr-Cyrl-CS" w:eastAsia="en-GB"/>
        </w:rPr>
      </w:pPr>
      <w:r w:rsidRPr="00E95BC4">
        <w:rPr>
          <w:rFonts w:eastAsia="Times New Roman"/>
          <w:b/>
          <w:color w:val="auto"/>
          <w:kern w:val="0"/>
          <w:lang w:val="sr-Cyrl-CS" w:eastAsia="en-GB"/>
        </w:rPr>
        <w:tab/>
      </w:r>
      <w:r w:rsidR="005818C0">
        <w:rPr>
          <w:rFonts w:eastAsia="Times New Roman"/>
          <w:b/>
          <w:color w:val="auto"/>
          <w:kern w:val="0"/>
          <w:lang w:val="sr-Cyrl-CS" w:eastAsia="en-GB"/>
        </w:rPr>
        <w:t>Opcija</w:t>
      </w:r>
      <w:r w:rsidR="00424469" w:rsidRPr="00E95BC4">
        <w:rPr>
          <w:rFonts w:eastAsia="Times New Roman"/>
          <w:b/>
          <w:color w:val="auto"/>
          <w:kern w:val="0"/>
          <w:lang w:val="sr-Cyrl-CS" w:eastAsia="en-GB"/>
        </w:rPr>
        <w:t xml:space="preserve"> 3</w:t>
      </w:r>
      <w:r w:rsidR="00424469" w:rsidRPr="00E95BC4">
        <w:rPr>
          <w:rFonts w:eastAsia="Times New Roman"/>
          <w:color w:val="auto"/>
          <w:kern w:val="0"/>
          <w:lang w:val="sr-Cyrl-CS" w:eastAsia="en-GB"/>
        </w:rPr>
        <w:t xml:space="preserve">: </w:t>
      </w:r>
      <w:r w:rsidR="005818C0">
        <w:rPr>
          <w:rFonts w:eastAsia="Times New Roman"/>
          <w:color w:val="auto"/>
          <w:kern w:val="0"/>
          <w:lang w:val="sr-Cyrl-CS" w:eastAsia="en-GB"/>
        </w:rPr>
        <w:t>Doneti</w:t>
      </w:r>
      <w:r w:rsidR="004420AE" w:rsidRPr="00E95BC4">
        <w:rPr>
          <w:rFonts w:eastAsia="Times New Roman"/>
          <w:color w:val="auto"/>
          <w:kern w:val="0"/>
          <w:lang w:val="sr-Cyrl-CS" w:eastAsia="en-GB"/>
        </w:rPr>
        <w:t xml:space="preserve"> </w:t>
      </w:r>
      <w:r w:rsidR="005818C0">
        <w:rPr>
          <w:rFonts w:eastAsia="Times New Roman"/>
          <w:color w:val="auto"/>
          <w:kern w:val="0"/>
          <w:lang w:val="sr-Cyrl-CS" w:eastAsia="en-GB"/>
        </w:rPr>
        <w:t>jedinstveni</w:t>
      </w:r>
      <w:r w:rsidR="004420AE" w:rsidRPr="00E95BC4">
        <w:rPr>
          <w:rFonts w:eastAsia="Times New Roman"/>
          <w:color w:val="auto"/>
          <w:kern w:val="0"/>
          <w:lang w:val="sr-Cyrl-CS" w:eastAsia="en-GB"/>
        </w:rPr>
        <w:t xml:space="preserve"> </w:t>
      </w:r>
      <w:r w:rsidR="005818C0">
        <w:rPr>
          <w:rFonts w:eastAsia="Times New Roman"/>
          <w:color w:val="auto"/>
          <w:kern w:val="0"/>
          <w:lang w:val="sr-Cyrl-CS" w:eastAsia="en-GB"/>
        </w:rPr>
        <w:t>međusektorski</w:t>
      </w:r>
      <w:r w:rsidR="004420AE" w:rsidRPr="00E95BC4">
        <w:rPr>
          <w:rFonts w:eastAsia="Times New Roman"/>
          <w:color w:val="auto"/>
          <w:kern w:val="0"/>
          <w:lang w:val="sr-Cyrl-CS" w:eastAsia="en-GB"/>
        </w:rPr>
        <w:t xml:space="preserve"> </w:t>
      </w:r>
      <w:r w:rsidR="005818C0">
        <w:rPr>
          <w:rFonts w:eastAsia="Times New Roman"/>
          <w:color w:val="auto"/>
          <w:kern w:val="0"/>
          <w:lang w:val="sr-Cyrl-CS" w:eastAsia="en-GB"/>
        </w:rPr>
        <w:t>dokument</w:t>
      </w:r>
      <w:r w:rsidR="004420AE" w:rsidRPr="00E95BC4">
        <w:rPr>
          <w:rFonts w:eastAsia="Times New Roman"/>
          <w:color w:val="auto"/>
          <w:kern w:val="0"/>
          <w:lang w:val="sr-Cyrl-CS" w:eastAsia="en-GB"/>
        </w:rPr>
        <w:t xml:space="preserve"> </w:t>
      </w:r>
      <w:r w:rsidR="005818C0">
        <w:rPr>
          <w:rFonts w:eastAsia="Times New Roman"/>
          <w:color w:val="auto"/>
          <w:kern w:val="0"/>
          <w:lang w:val="sr-Cyrl-CS" w:eastAsia="en-GB"/>
        </w:rPr>
        <w:t>javne</w:t>
      </w:r>
      <w:r w:rsidR="004420AE" w:rsidRPr="00E95BC4">
        <w:rPr>
          <w:rFonts w:eastAsia="Times New Roman"/>
          <w:color w:val="auto"/>
          <w:kern w:val="0"/>
          <w:lang w:val="sr-Cyrl-CS" w:eastAsia="en-GB"/>
        </w:rPr>
        <w:t xml:space="preserve"> </w:t>
      </w:r>
      <w:r w:rsidR="005818C0">
        <w:rPr>
          <w:rFonts w:eastAsia="Times New Roman"/>
          <w:color w:val="auto"/>
          <w:kern w:val="0"/>
          <w:lang w:val="sr-Cyrl-CS" w:eastAsia="en-GB"/>
        </w:rPr>
        <w:t>politike</w:t>
      </w:r>
      <w:r w:rsidR="004420AE" w:rsidRPr="00E95BC4">
        <w:rPr>
          <w:rFonts w:eastAsia="Times New Roman"/>
          <w:color w:val="auto"/>
          <w:kern w:val="0"/>
          <w:lang w:val="sr-Cyrl-CS" w:eastAsia="en-GB"/>
        </w:rPr>
        <w:t xml:space="preserve">. </w:t>
      </w:r>
      <w:r w:rsidR="005818C0">
        <w:rPr>
          <w:rFonts w:eastAsia="Times New Roman"/>
          <w:color w:val="auto"/>
          <w:kern w:val="0"/>
          <w:lang w:val="sr-Cyrl-CS" w:eastAsia="en-GB"/>
        </w:rPr>
        <w:t>Taj</w:t>
      </w:r>
      <w:r w:rsidR="004420AE" w:rsidRPr="00E95BC4">
        <w:rPr>
          <w:rFonts w:eastAsia="Times New Roman"/>
          <w:color w:val="auto"/>
          <w:kern w:val="0"/>
          <w:lang w:val="sr-Cyrl-CS" w:eastAsia="en-GB"/>
        </w:rPr>
        <w:t xml:space="preserve"> </w:t>
      </w:r>
      <w:r w:rsidR="005818C0">
        <w:rPr>
          <w:rFonts w:eastAsia="Times New Roman"/>
          <w:color w:val="auto"/>
          <w:kern w:val="0"/>
          <w:lang w:val="sr-Cyrl-CS" w:eastAsia="en-GB"/>
        </w:rPr>
        <w:t>dokument</w:t>
      </w:r>
      <w:r w:rsidR="004420AE" w:rsidRPr="00E95BC4">
        <w:rPr>
          <w:rFonts w:eastAsia="Times New Roman"/>
          <w:color w:val="auto"/>
          <w:kern w:val="0"/>
          <w:lang w:val="sr-Cyrl-CS" w:eastAsia="en-GB"/>
        </w:rPr>
        <w:t xml:space="preserve"> </w:t>
      </w:r>
      <w:r w:rsidR="005818C0">
        <w:rPr>
          <w:rFonts w:eastAsia="Times New Roman"/>
          <w:color w:val="auto"/>
          <w:kern w:val="0"/>
          <w:lang w:val="sr-Cyrl-CS" w:eastAsia="en-GB"/>
        </w:rPr>
        <w:t>će</w:t>
      </w:r>
      <w:r w:rsidR="004420AE" w:rsidRPr="00E95BC4">
        <w:rPr>
          <w:rFonts w:eastAsia="Times New Roman"/>
          <w:color w:val="auto"/>
          <w:kern w:val="0"/>
          <w:lang w:val="sr-Cyrl-CS" w:eastAsia="en-GB"/>
        </w:rPr>
        <w:t xml:space="preserve"> </w:t>
      </w:r>
      <w:r w:rsidR="005818C0">
        <w:rPr>
          <w:rFonts w:eastAsia="Times New Roman"/>
          <w:color w:val="auto"/>
          <w:kern w:val="0"/>
          <w:lang w:val="sr-Cyrl-CS" w:eastAsia="en-GB"/>
        </w:rPr>
        <w:t>zahtevati</w:t>
      </w:r>
      <w:r w:rsidR="004420AE" w:rsidRPr="00E95BC4">
        <w:rPr>
          <w:rFonts w:eastAsia="Times New Roman"/>
          <w:color w:val="auto"/>
          <w:kern w:val="0"/>
          <w:lang w:val="sr-Cyrl-CS" w:eastAsia="en-GB"/>
        </w:rPr>
        <w:t xml:space="preserve"> </w:t>
      </w:r>
      <w:r w:rsidR="005818C0">
        <w:rPr>
          <w:rFonts w:eastAsia="Times New Roman"/>
          <w:color w:val="auto"/>
          <w:kern w:val="0"/>
          <w:lang w:val="sr-Cyrl-CS" w:eastAsia="en-GB"/>
        </w:rPr>
        <w:t>duže</w:t>
      </w:r>
      <w:r w:rsidR="004420AE" w:rsidRPr="00E95BC4">
        <w:rPr>
          <w:rFonts w:eastAsia="Times New Roman"/>
          <w:color w:val="auto"/>
          <w:kern w:val="0"/>
          <w:lang w:val="sr-Cyrl-CS" w:eastAsia="en-GB"/>
        </w:rPr>
        <w:t xml:space="preserve"> </w:t>
      </w:r>
      <w:r w:rsidR="005818C0">
        <w:rPr>
          <w:rFonts w:eastAsia="Times New Roman"/>
          <w:color w:val="auto"/>
          <w:kern w:val="0"/>
          <w:lang w:val="sr-Cyrl-CS" w:eastAsia="en-GB"/>
        </w:rPr>
        <w:t>vremena</w:t>
      </w:r>
      <w:r w:rsidR="004420AE" w:rsidRPr="00E95BC4">
        <w:rPr>
          <w:rFonts w:eastAsia="Times New Roman"/>
          <w:color w:val="auto"/>
          <w:kern w:val="0"/>
          <w:lang w:val="sr-Cyrl-CS" w:eastAsia="en-GB"/>
        </w:rPr>
        <w:t xml:space="preserve"> </w:t>
      </w:r>
      <w:r w:rsidR="005818C0">
        <w:rPr>
          <w:rFonts w:eastAsia="Times New Roman"/>
          <w:color w:val="auto"/>
          <w:kern w:val="0"/>
          <w:lang w:val="sr-Cyrl-CS" w:eastAsia="en-GB"/>
        </w:rPr>
        <w:t>za</w:t>
      </w:r>
      <w:r w:rsidR="004420AE" w:rsidRPr="00E95BC4">
        <w:rPr>
          <w:rFonts w:eastAsia="Times New Roman"/>
          <w:color w:val="auto"/>
          <w:kern w:val="0"/>
          <w:lang w:val="sr-Cyrl-CS" w:eastAsia="en-GB"/>
        </w:rPr>
        <w:t xml:space="preserve"> </w:t>
      </w:r>
      <w:r w:rsidR="005818C0">
        <w:rPr>
          <w:rFonts w:eastAsia="Times New Roman"/>
          <w:color w:val="auto"/>
          <w:kern w:val="0"/>
          <w:lang w:val="sr-Cyrl-CS" w:eastAsia="en-GB"/>
        </w:rPr>
        <w:t>donošenje</w:t>
      </w:r>
      <w:r w:rsidR="004420AE" w:rsidRPr="00E95BC4">
        <w:rPr>
          <w:rFonts w:eastAsia="Times New Roman"/>
          <w:color w:val="auto"/>
          <w:kern w:val="0"/>
          <w:lang w:val="sr-Cyrl-CS" w:eastAsia="en-GB"/>
        </w:rPr>
        <w:t xml:space="preserve">, </w:t>
      </w:r>
      <w:r w:rsidR="005818C0">
        <w:rPr>
          <w:rFonts w:eastAsia="Times New Roman"/>
          <w:color w:val="auto"/>
          <w:kern w:val="0"/>
          <w:lang w:val="sr-Cyrl-CS" w:eastAsia="en-GB"/>
        </w:rPr>
        <w:t>ali</w:t>
      </w:r>
      <w:r w:rsidR="004420AE" w:rsidRPr="00E95BC4">
        <w:rPr>
          <w:rFonts w:eastAsia="Times New Roman"/>
          <w:color w:val="auto"/>
          <w:kern w:val="0"/>
          <w:lang w:val="sr-Cyrl-CS" w:eastAsia="en-GB"/>
        </w:rPr>
        <w:t xml:space="preserve"> </w:t>
      </w:r>
      <w:r w:rsidR="005818C0">
        <w:rPr>
          <w:rFonts w:eastAsia="Times New Roman"/>
          <w:color w:val="auto"/>
          <w:kern w:val="0"/>
          <w:lang w:val="sr-Cyrl-CS" w:eastAsia="en-GB"/>
        </w:rPr>
        <w:t>će</w:t>
      </w:r>
      <w:r w:rsidR="004420AE" w:rsidRPr="00E95BC4">
        <w:rPr>
          <w:rFonts w:eastAsia="Times New Roman"/>
          <w:color w:val="auto"/>
          <w:kern w:val="0"/>
          <w:lang w:val="sr-Cyrl-CS" w:eastAsia="en-GB"/>
        </w:rPr>
        <w:t xml:space="preserve"> </w:t>
      </w:r>
      <w:r w:rsidR="005818C0">
        <w:rPr>
          <w:rFonts w:eastAsia="Times New Roman"/>
          <w:color w:val="auto"/>
          <w:kern w:val="0"/>
          <w:lang w:val="sr-Cyrl-CS" w:eastAsia="en-GB"/>
        </w:rPr>
        <w:t>puni</w:t>
      </w:r>
      <w:r w:rsidR="004420AE" w:rsidRPr="00E95BC4">
        <w:rPr>
          <w:rFonts w:eastAsia="Times New Roman"/>
          <w:color w:val="auto"/>
          <w:kern w:val="0"/>
          <w:lang w:val="sr-Cyrl-CS" w:eastAsia="en-GB"/>
        </w:rPr>
        <w:t xml:space="preserve"> </w:t>
      </w:r>
      <w:r w:rsidR="005818C0">
        <w:rPr>
          <w:rFonts w:eastAsia="Times New Roman"/>
          <w:color w:val="auto"/>
          <w:kern w:val="0"/>
          <w:lang w:val="sr-Cyrl-CS" w:eastAsia="en-GB"/>
        </w:rPr>
        <w:t>efekti</w:t>
      </w:r>
      <w:r w:rsidR="004420AE" w:rsidRPr="00E95BC4">
        <w:rPr>
          <w:rFonts w:eastAsia="Times New Roman"/>
          <w:color w:val="auto"/>
          <w:kern w:val="0"/>
          <w:lang w:val="sr-Cyrl-CS" w:eastAsia="en-GB"/>
        </w:rPr>
        <w:t xml:space="preserve"> </w:t>
      </w:r>
      <w:r w:rsidR="005818C0">
        <w:rPr>
          <w:rFonts w:eastAsia="Times New Roman"/>
          <w:color w:val="auto"/>
          <w:kern w:val="0"/>
          <w:lang w:val="sr-Cyrl-CS" w:eastAsia="en-GB"/>
        </w:rPr>
        <w:t>tih</w:t>
      </w:r>
      <w:r w:rsidR="004420AE" w:rsidRPr="00E95BC4">
        <w:rPr>
          <w:rFonts w:eastAsia="Times New Roman"/>
          <w:color w:val="auto"/>
          <w:kern w:val="0"/>
          <w:lang w:val="sr-Cyrl-CS" w:eastAsia="en-GB"/>
        </w:rPr>
        <w:t xml:space="preserve"> </w:t>
      </w:r>
      <w:r w:rsidR="005818C0">
        <w:rPr>
          <w:rFonts w:eastAsia="Times New Roman"/>
          <w:color w:val="auto"/>
          <w:kern w:val="0"/>
          <w:lang w:val="sr-Cyrl-CS" w:eastAsia="en-GB"/>
        </w:rPr>
        <w:t>mera</w:t>
      </w:r>
      <w:r w:rsidR="004420AE" w:rsidRPr="00E95BC4">
        <w:rPr>
          <w:rFonts w:eastAsia="Times New Roman"/>
          <w:color w:val="auto"/>
          <w:kern w:val="0"/>
          <w:lang w:val="sr-Cyrl-CS" w:eastAsia="en-GB"/>
        </w:rPr>
        <w:t xml:space="preserve"> </w:t>
      </w:r>
      <w:r w:rsidR="005818C0">
        <w:rPr>
          <w:rFonts w:eastAsia="Times New Roman"/>
          <w:color w:val="auto"/>
          <w:kern w:val="0"/>
          <w:lang w:val="sr-Cyrl-CS" w:eastAsia="en-GB"/>
        </w:rPr>
        <w:t>biti</w:t>
      </w:r>
      <w:r w:rsidR="004420AE" w:rsidRPr="00E95BC4">
        <w:rPr>
          <w:rFonts w:eastAsia="Times New Roman"/>
          <w:color w:val="auto"/>
          <w:kern w:val="0"/>
          <w:lang w:val="sr-Cyrl-CS" w:eastAsia="en-GB"/>
        </w:rPr>
        <w:t xml:space="preserve"> </w:t>
      </w:r>
      <w:r w:rsidR="005818C0">
        <w:rPr>
          <w:rFonts w:eastAsia="Times New Roman"/>
          <w:color w:val="auto"/>
          <w:kern w:val="0"/>
          <w:lang w:val="sr-Cyrl-CS" w:eastAsia="en-GB"/>
        </w:rPr>
        <w:t>obezbeđeni</w:t>
      </w:r>
      <w:r w:rsidR="004420AE" w:rsidRPr="00E95BC4">
        <w:rPr>
          <w:rFonts w:eastAsia="Times New Roman"/>
          <w:color w:val="auto"/>
          <w:kern w:val="0"/>
          <w:lang w:val="sr-Cyrl-CS" w:eastAsia="en-GB"/>
        </w:rPr>
        <w:t xml:space="preserve">. </w:t>
      </w:r>
    </w:p>
    <w:p w:rsidR="00E04390" w:rsidRPr="00E95BC4" w:rsidRDefault="001E4E03" w:rsidP="00EB24C3">
      <w:pPr>
        <w:tabs>
          <w:tab w:val="left" w:pos="709"/>
        </w:tabs>
        <w:jc w:val="both"/>
        <w:rPr>
          <w:rFonts w:eastAsia="Times New Roman"/>
          <w:color w:val="auto"/>
          <w:kern w:val="0"/>
          <w:lang w:val="sr-Cyrl-CS" w:eastAsia="en-GB"/>
        </w:rPr>
      </w:pPr>
      <w:r w:rsidRPr="00E95BC4">
        <w:rPr>
          <w:rFonts w:eastAsia="Times New Roman"/>
          <w:color w:val="auto"/>
          <w:kern w:val="0"/>
          <w:lang w:val="sr-Cyrl-CS" w:eastAsia="en-GB"/>
        </w:rPr>
        <w:tab/>
      </w:r>
      <w:r w:rsidR="005818C0">
        <w:rPr>
          <w:rFonts w:eastAsia="Times New Roman"/>
          <w:color w:val="auto"/>
          <w:kern w:val="0"/>
          <w:lang w:val="sr-Cyrl-CS" w:eastAsia="en-GB"/>
        </w:rPr>
        <w:t>Jedinstveni</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međusektorski</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dokument</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javne</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politike</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u</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kome</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se</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predviđaju</w:t>
      </w:r>
      <w:r w:rsidR="00424469" w:rsidRPr="00E95BC4">
        <w:rPr>
          <w:rFonts w:eastAsia="Times New Roman"/>
          <w:color w:val="auto"/>
          <w:kern w:val="0"/>
          <w:lang w:val="sr-Cyrl-CS" w:eastAsia="en-GB"/>
        </w:rPr>
        <w:t xml:space="preserve"> </w:t>
      </w:r>
      <w:r w:rsidR="005818C0">
        <w:rPr>
          <w:rFonts w:eastAsia="Times New Roman"/>
          <w:color w:val="auto"/>
          <w:kern w:val="0"/>
          <w:lang w:val="sr-Cyrl-CS" w:eastAsia="en-GB"/>
        </w:rPr>
        <w:t>proaktivnije</w:t>
      </w:r>
      <w:r w:rsidR="00424469" w:rsidRPr="00E95BC4">
        <w:rPr>
          <w:rFonts w:eastAsia="Times New Roman"/>
          <w:color w:val="auto"/>
          <w:kern w:val="0"/>
          <w:lang w:val="sr-Cyrl-CS" w:eastAsia="en-GB"/>
        </w:rPr>
        <w:t xml:space="preserve"> </w:t>
      </w:r>
      <w:r w:rsidR="005818C0">
        <w:rPr>
          <w:rFonts w:eastAsia="Times New Roman"/>
          <w:color w:val="auto"/>
          <w:kern w:val="0"/>
          <w:lang w:val="sr-Cyrl-CS" w:eastAsia="en-GB"/>
        </w:rPr>
        <w:t>mere</w:t>
      </w:r>
      <w:r w:rsidR="00424469" w:rsidRPr="00E95BC4">
        <w:rPr>
          <w:rFonts w:eastAsia="Times New Roman"/>
          <w:color w:val="auto"/>
          <w:kern w:val="0"/>
          <w:lang w:val="sr-Cyrl-CS" w:eastAsia="en-GB"/>
        </w:rPr>
        <w:t xml:space="preserve"> </w:t>
      </w:r>
      <w:r w:rsidR="005818C0">
        <w:rPr>
          <w:rFonts w:eastAsia="Times New Roman"/>
          <w:color w:val="auto"/>
          <w:kern w:val="0"/>
          <w:lang w:val="sr-Cyrl-CS" w:eastAsia="en-GB"/>
        </w:rPr>
        <w:t>koje</w:t>
      </w:r>
      <w:r w:rsidR="00424469" w:rsidRPr="00E95BC4">
        <w:rPr>
          <w:rFonts w:eastAsia="Times New Roman"/>
          <w:color w:val="auto"/>
          <w:kern w:val="0"/>
          <w:lang w:val="sr-Cyrl-CS" w:eastAsia="en-GB"/>
        </w:rPr>
        <w:t xml:space="preserve"> </w:t>
      </w:r>
      <w:r w:rsidR="005818C0">
        <w:rPr>
          <w:rFonts w:eastAsia="Times New Roman"/>
          <w:color w:val="auto"/>
          <w:kern w:val="0"/>
          <w:lang w:val="sr-Cyrl-CS" w:eastAsia="en-GB"/>
        </w:rPr>
        <w:t>su</w:t>
      </w:r>
      <w:r w:rsidR="00DD0D6E" w:rsidRPr="00E95BC4">
        <w:rPr>
          <w:rFonts w:eastAsia="Times New Roman"/>
          <w:color w:val="auto"/>
          <w:kern w:val="0"/>
          <w:lang w:val="sr-Cyrl-CS" w:eastAsia="en-GB"/>
        </w:rPr>
        <w:t xml:space="preserve"> </w:t>
      </w:r>
      <w:r w:rsidR="005818C0">
        <w:rPr>
          <w:rFonts w:eastAsia="Times New Roman"/>
          <w:color w:val="auto"/>
          <w:kern w:val="0"/>
          <w:lang w:val="sr-Cyrl-CS" w:eastAsia="en-GB"/>
        </w:rPr>
        <w:t>osmišljene</w:t>
      </w:r>
      <w:r w:rsidR="00424469" w:rsidRPr="00E95BC4">
        <w:rPr>
          <w:rFonts w:eastAsia="Times New Roman"/>
          <w:color w:val="auto"/>
          <w:kern w:val="0"/>
          <w:lang w:val="sr-Cyrl-CS" w:eastAsia="en-GB"/>
        </w:rPr>
        <w:t xml:space="preserve"> </w:t>
      </w:r>
      <w:r w:rsidR="005818C0">
        <w:rPr>
          <w:rFonts w:eastAsia="Times New Roman"/>
          <w:color w:val="auto"/>
          <w:kern w:val="0"/>
          <w:lang w:val="sr-Cyrl-CS" w:eastAsia="en-GB"/>
        </w:rPr>
        <w:t>na</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bazi</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uočenih</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rizika</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od</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pranja</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novca</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i</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finansiranja</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terorizma</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u</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Republici</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Srbiji</w:t>
      </w:r>
      <w:r w:rsidR="004313D4">
        <w:rPr>
          <w:rFonts w:eastAsia="Times New Roman"/>
          <w:color w:val="auto"/>
          <w:kern w:val="0"/>
          <w:lang w:val="sr-Cyrl-CS" w:eastAsia="en-GB"/>
        </w:rPr>
        <w:t>,</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a</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sa</w:t>
      </w:r>
      <w:r w:rsidR="00424469" w:rsidRPr="00E95BC4">
        <w:rPr>
          <w:rFonts w:eastAsia="Times New Roman"/>
          <w:color w:val="auto"/>
          <w:kern w:val="0"/>
          <w:lang w:val="sr-Cyrl-CS" w:eastAsia="en-GB"/>
        </w:rPr>
        <w:t xml:space="preserve"> </w:t>
      </w:r>
      <w:r w:rsidR="005818C0">
        <w:rPr>
          <w:rFonts w:eastAsia="Times New Roman"/>
          <w:color w:val="auto"/>
          <w:kern w:val="0"/>
          <w:lang w:val="sr-Cyrl-CS" w:eastAsia="en-GB"/>
        </w:rPr>
        <w:t>ciljem</w:t>
      </w:r>
      <w:r w:rsidR="00424469" w:rsidRPr="00E95BC4">
        <w:rPr>
          <w:rFonts w:eastAsia="Times New Roman"/>
          <w:color w:val="auto"/>
          <w:kern w:val="0"/>
          <w:lang w:val="sr-Cyrl-CS" w:eastAsia="en-GB"/>
        </w:rPr>
        <w:t xml:space="preserve"> </w:t>
      </w:r>
      <w:r w:rsidR="005818C0">
        <w:rPr>
          <w:rFonts w:eastAsia="Times New Roman"/>
          <w:color w:val="auto"/>
          <w:kern w:val="0"/>
          <w:lang w:val="sr-Cyrl-CS" w:eastAsia="en-GB"/>
        </w:rPr>
        <w:t>njihovog</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smanjenja</w:t>
      </w:r>
      <w:r w:rsidR="00424469" w:rsidRPr="00E95BC4">
        <w:rPr>
          <w:rFonts w:eastAsia="Times New Roman"/>
          <w:color w:val="auto"/>
          <w:kern w:val="0"/>
          <w:lang w:val="sr-Cyrl-CS" w:eastAsia="en-GB"/>
        </w:rPr>
        <w:t xml:space="preserve">. </w:t>
      </w:r>
      <w:r w:rsidR="005818C0">
        <w:rPr>
          <w:rFonts w:eastAsia="Times New Roman"/>
          <w:color w:val="auto"/>
          <w:kern w:val="0"/>
          <w:lang w:val="sr-Cyrl-CS" w:eastAsia="en-GB"/>
        </w:rPr>
        <w:t>Sprovođenjem</w:t>
      </w:r>
      <w:r w:rsidR="00424469" w:rsidRPr="00E95BC4">
        <w:rPr>
          <w:rFonts w:eastAsia="Times New Roman"/>
          <w:color w:val="auto"/>
          <w:kern w:val="0"/>
          <w:lang w:val="sr-Cyrl-CS" w:eastAsia="en-GB"/>
        </w:rPr>
        <w:t xml:space="preserve"> </w:t>
      </w:r>
      <w:r w:rsidR="005818C0">
        <w:rPr>
          <w:rFonts w:eastAsia="Times New Roman"/>
          <w:color w:val="auto"/>
          <w:kern w:val="0"/>
          <w:lang w:val="sr-Cyrl-CS" w:eastAsia="en-GB"/>
        </w:rPr>
        <w:t>tih</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mera</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ojačaće</w:t>
      </w:r>
      <w:r w:rsidR="00424469" w:rsidRPr="00E95BC4">
        <w:rPr>
          <w:rFonts w:eastAsia="Times New Roman"/>
          <w:color w:val="auto"/>
          <w:kern w:val="0"/>
          <w:lang w:val="sr-Cyrl-CS" w:eastAsia="en-GB"/>
        </w:rPr>
        <w:t xml:space="preserve"> </w:t>
      </w:r>
      <w:r w:rsidR="005818C0">
        <w:rPr>
          <w:rFonts w:eastAsia="Times New Roman"/>
          <w:color w:val="auto"/>
          <w:kern w:val="0"/>
          <w:lang w:val="sr-Cyrl-CS" w:eastAsia="en-GB"/>
        </w:rPr>
        <w:t>se</w:t>
      </w:r>
      <w:r w:rsidR="00424469" w:rsidRPr="00E95BC4">
        <w:rPr>
          <w:rFonts w:eastAsia="Times New Roman"/>
          <w:color w:val="auto"/>
          <w:kern w:val="0"/>
          <w:lang w:val="sr-Cyrl-CS" w:eastAsia="en-GB"/>
        </w:rPr>
        <w:t xml:space="preserve"> </w:t>
      </w:r>
      <w:r w:rsidR="005818C0">
        <w:rPr>
          <w:rFonts w:eastAsia="Times New Roman"/>
          <w:color w:val="auto"/>
          <w:kern w:val="0"/>
          <w:lang w:val="sr-Cyrl-CS" w:eastAsia="en-GB"/>
        </w:rPr>
        <w:t>delotvornost</w:t>
      </w:r>
      <w:r w:rsidR="00424469" w:rsidRPr="00E95BC4">
        <w:rPr>
          <w:rFonts w:eastAsia="Times New Roman"/>
          <w:color w:val="auto"/>
          <w:kern w:val="0"/>
          <w:lang w:val="sr-Cyrl-CS" w:eastAsia="en-GB"/>
        </w:rPr>
        <w:t xml:space="preserve"> </w:t>
      </w:r>
      <w:r w:rsidR="005818C0">
        <w:rPr>
          <w:rFonts w:eastAsia="Times New Roman"/>
          <w:color w:val="auto"/>
          <w:kern w:val="0"/>
          <w:lang w:val="sr-Cyrl-CS" w:eastAsia="en-GB"/>
        </w:rPr>
        <w:t>sistema</w:t>
      </w:r>
      <w:r w:rsidR="00424469" w:rsidRPr="00E95BC4">
        <w:rPr>
          <w:rFonts w:eastAsia="Times New Roman"/>
          <w:color w:val="auto"/>
          <w:kern w:val="0"/>
          <w:lang w:val="sr-Cyrl-CS" w:eastAsia="en-GB"/>
        </w:rPr>
        <w:t xml:space="preserve"> </w:t>
      </w:r>
      <w:r w:rsidR="005818C0">
        <w:rPr>
          <w:rFonts w:eastAsia="Times New Roman"/>
          <w:color w:val="auto"/>
          <w:kern w:val="0"/>
          <w:lang w:val="sr-Cyrl-CS" w:eastAsia="en-GB"/>
        </w:rPr>
        <w:t>za</w:t>
      </w:r>
      <w:r w:rsidR="00424469" w:rsidRPr="00E95BC4">
        <w:rPr>
          <w:rFonts w:eastAsia="Times New Roman"/>
          <w:color w:val="auto"/>
          <w:kern w:val="0"/>
          <w:lang w:val="sr-Cyrl-CS" w:eastAsia="en-GB"/>
        </w:rPr>
        <w:t xml:space="preserve"> </w:t>
      </w:r>
      <w:r w:rsidR="005818C0">
        <w:rPr>
          <w:rFonts w:eastAsia="Times New Roman"/>
          <w:color w:val="auto"/>
          <w:kern w:val="0"/>
          <w:lang w:val="sr-Cyrl-CS" w:eastAsia="en-GB"/>
        </w:rPr>
        <w:t>borbu</w:t>
      </w:r>
      <w:r w:rsidR="00424469" w:rsidRPr="00E95BC4">
        <w:rPr>
          <w:rFonts w:eastAsia="Times New Roman"/>
          <w:color w:val="auto"/>
          <w:kern w:val="0"/>
          <w:lang w:val="sr-Cyrl-CS" w:eastAsia="en-GB"/>
        </w:rPr>
        <w:t xml:space="preserve"> </w:t>
      </w:r>
      <w:r w:rsidR="005818C0">
        <w:rPr>
          <w:rFonts w:eastAsia="Times New Roman"/>
          <w:color w:val="auto"/>
          <w:kern w:val="0"/>
          <w:lang w:val="sr-Cyrl-CS" w:eastAsia="en-GB"/>
        </w:rPr>
        <w:t>protiv</w:t>
      </w:r>
      <w:r w:rsidR="00424469" w:rsidRPr="00E95BC4">
        <w:rPr>
          <w:rFonts w:eastAsia="Times New Roman"/>
          <w:color w:val="auto"/>
          <w:kern w:val="0"/>
          <w:lang w:val="sr-Cyrl-CS" w:eastAsia="en-GB"/>
        </w:rPr>
        <w:t xml:space="preserve"> </w:t>
      </w:r>
      <w:r w:rsidR="005818C0">
        <w:rPr>
          <w:rFonts w:eastAsia="Times New Roman"/>
          <w:color w:val="auto"/>
          <w:kern w:val="0"/>
          <w:lang w:val="sr-Cyrl-CS" w:eastAsia="en-GB"/>
        </w:rPr>
        <w:t>pranja</w:t>
      </w:r>
      <w:r w:rsidR="00424469" w:rsidRPr="00E95BC4">
        <w:rPr>
          <w:rFonts w:eastAsia="Times New Roman"/>
          <w:color w:val="auto"/>
          <w:kern w:val="0"/>
          <w:lang w:val="sr-Cyrl-CS" w:eastAsia="en-GB"/>
        </w:rPr>
        <w:t xml:space="preserve"> </w:t>
      </w:r>
      <w:r w:rsidR="005818C0">
        <w:rPr>
          <w:rFonts w:eastAsia="Times New Roman"/>
          <w:color w:val="auto"/>
          <w:kern w:val="0"/>
          <w:lang w:val="sr-Cyrl-CS" w:eastAsia="en-GB"/>
        </w:rPr>
        <w:t>novca</w:t>
      </w:r>
      <w:r w:rsidR="00424469" w:rsidRPr="00E95BC4">
        <w:rPr>
          <w:rFonts w:eastAsia="Times New Roman"/>
          <w:color w:val="auto"/>
          <w:kern w:val="0"/>
          <w:lang w:val="sr-Cyrl-CS" w:eastAsia="en-GB"/>
        </w:rPr>
        <w:t xml:space="preserve"> </w:t>
      </w:r>
      <w:r w:rsidR="005818C0">
        <w:rPr>
          <w:rFonts w:eastAsia="Times New Roman"/>
          <w:color w:val="auto"/>
          <w:kern w:val="0"/>
          <w:lang w:val="sr-Cyrl-CS" w:eastAsia="en-GB"/>
        </w:rPr>
        <w:t>i</w:t>
      </w:r>
      <w:r w:rsidR="00424469" w:rsidRPr="00E95BC4">
        <w:rPr>
          <w:rFonts w:eastAsia="Times New Roman"/>
          <w:color w:val="auto"/>
          <w:kern w:val="0"/>
          <w:lang w:val="sr-Cyrl-CS" w:eastAsia="en-GB"/>
        </w:rPr>
        <w:t xml:space="preserve"> </w:t>
      </w:r>
      <w:r w:rsidR="005818C0">
        <w:rPr>
          <w:rFonts w:eastAsia="Times New Roman"/>
          <w:color w:val="auto"/>
          <w:kern w:val="0"/>
          <w:lang w:val="sr-Cyrl-CS" w:eastAsia="en-GB"/>
        </w:rPr>
        <w:t>finansiranja</w:t>
      </w:r>
      <w:r w:rsidR="00424469" w:rsidRPr="00E95BC4">
        <w:rPr>
          <w:rFonts w:eastAsia="Times New Roman"/>
          <w:color w:val="auto"/>
          <w:kern w:val="0"/>
          <w:lang w:val="sr-Cyrl-CS" w:eastAsia="en-GB"/>
        </w:rPr>
        <w:t xml:space="preserve"> </w:t>
      </w:r>
      <w:r w:rsidR="005818C0">
        <w:rPr>
          <w:rFonts w:eastAsia="Times New Roman"/>
          <w:color w:val="auto"/>
          <w:kern w:val="0"/>
          <w:lang w:val="sr-Cyrl-CS" w:eastAsia="en-GB"/>
        </w:rPr>
        <w:t>terorizma</w:t>
      </w:r>
      <w:r w:rsidR="00424469" w:rsidRPr="00E95BC4">
        <w:rPr>
          <w:rFonts w:eastAsia="Times New Roman"/>
          <w:color w:val="auto"/>
          <w:kern w:val="0"/>
          <w:lang w:val="sr-Cyrl-CS" w:eastAsia="en-GB"/>
        </w:rPr>
        <w:t xml:space="preserve"> </w:t>
      </w:r>
      <w:r w:rsidR="005818C0">
        <w:rPr>
          <w:rFonts w:eastAsia="Times New Roman"/>
          <w:color w:val="auto"/>
          <w:kern w:val="0"/>
          <w:lang w:val="sr-Cyrl-CS" w:eastAsia="en-GB"/>
        </w:rPr>
        <w:t>u</w:t>
      </w:r>
      <w:r w:rsidR="00424469" w:rsidRPr="00E95BC4">
        <w:rPr>
          <w:rFonts w:eastAsia="Times New Roman"/>
          <w:color w:val="auto"/>
          <w:kern w:val="0"/>
          <w:lang w:val="sr-Cyrl-CS" w:eastAsia="en-GB"/>
        </w:rPr>
        <w:t xml:space="preserve"> </w:t>
      </w:r>
      <w:r w:rsidR="005818C0">
        <w:rPr>
          <w:rFonts w:eastAsia="Times New Roman"/>
          <w:color w:val="auto"/>
          <w:kern w:val="0"/>
          <w:lang w:val="sr-Cyrl-CS" w:eastAsia="en-GB"/>
        </w:rPr>
        <w:t>Republici</w:t>
      </w:r>
      <w:r w:rsidR="00424469" w:rsidRPr="00E95BC4">
        <w:rPr>
          <w:rFonts w:eastAsia="Times New Roman"/>
          <w:color w:val="auto"/>
          <w:kern w:val="0"/>
          <w:lang w:val="sr-Cyrl-CS" w:eastAsia="en-GB"/>
        </w:rPr>
        <w:t xml:space="preserve"> </w:t>
      </w:r>
      <w:r w:rsidR="005818C0">
        <w:rPr>
          <w:rFonts w:eastAsia="Times New Roman"/>
          <w:color w:val="auto"/>
          <w:kern w:val="0"/>
          <w:lang w:val="sr-Cyrl-CS" w:eastAsia="en-GB"/>
        </w:rPr>
        <w:t>Srbiji</w:t>
      </w:r>
      <w:r w:rsidR="00424469" w:rsidRPr="00E95BC4">
        <w:rPr>
          <w:rFonts w:eastAsia="Times New Roman"/>
          <w:color w:val="auto"/>
          <w:kern w:val="0"/>
          <w:lang w:val="sr-Cyrl-CS" w:eastAsia="en-GB"/>
        </w:rPr>
        <w:t xml:space="preserve"> </w:t>
      </w:r>
      <w:r w:rsidR="005818C0">
        <w:rPr>
          <w:rFonts w:eastAsia="Times New Roman"/>
          <w:color w:val="auto"/>
          <w:kern w:val="0"/>
          <w:lang w:val="sr-Cyrl-CS" w:eastAsia="en-GB"/>
        </w:rPr>
        <w:t>i</w:t>
      </w:r>
      <w:r w:rsidR="00424469" w:rsidRPr="00E95BC4">
        <w:rPr>
          <w:rFonts w:eastAsia="Times New Roman"/>
          <w:color w:val="auto"/>
          <w:kern w:val="0"/>
          <w:lang w:val="sr-Cyrl-CS" w:eastAsia="en-GB"/>
        </w:rPr>
        <w:t xml:space="preserve"> </w:t>
      </w:r>
      <w:r w:rsidR="005818C0">
        <w:rPr>
          <w:rFonts w:eastAsia="Times New Roman"/>
          <w:color w:val="auto"/>
          <w:kern w:val="0"/>
          <w:lang w:val="sr-Cyrl-CS" w:eastAsia="en-GB"/>
        </w:rPr>
        <w:t>delotvornije</w:t>
      </w:r>
      <w:r w:rsidR="00424469" w:rsidRPr="00E95BC4">
        <w:rPr>
          <w:rFonts w:eastAsia="Times New Roman"/>
          <w:color w:val="auto"/>
          <w:kern w:val="0"/>
          <w:lang w:val="sr-Cyrl-CS" w:eastAsia="en-GB"/>
        </w:rPr>
        <w:t xml:space="preserve"> </w:t>
      </w:r>
      <w:r w:rsidR="005818C0">
        <w:rPr>
          <w:rFonts w:eastAsia="Times New Roman"/>
          <w:color w:val="auto"/>
          <w:kern w:val="0"/>
          <w:lang w:val="sr-Cyrl-CS" w:eastAsia="en-GB"/>
        </w:rPr>
        <w:t>koristiti</w:t>
      </w:r>
      <w:r w:rsidR="00424469" w:rsidRPr="00E95BC4">
        <w:rPr>
          <w:rFonts w:eastAsia="Times New Roman"/>
          <w:color w:val="auto"/>
          <w:kern w:val="0"/>
          <w:lang w:val="sr-Cyrl-CS" w:eastAsia="en-GB"/>
        </w:rPr>
        <w:t xml:space="preserve"> </w:t>
      </w:r>
      <w:r w:rsidR="005818C0">
        <w:rPr>
          <w:rFonts w:eastAsia="Times New Roman"/>
          <w:color w:val="auto"/>
          <w:kern w:val="0"/>
          <w:lang w:val="sr-Cyrl-CS" w:eastAsia="en-GB"/>
        </w:rPr>
        <w:t>resursi</w:t>
      </w:r>
      <w:r w:rsidR="00424469" w:rsidRPr="00E95BC4">
        <w:rPr>
          <w:rFonts w:eastAsia="Times New Roman"/>
          <w:color w:val="auto"/>
          <w:kern w:val="0"/>
          <w:lang w:val="sr-Cyrl-CS" w:eastAsia="en-GB"/>
        </w:rPr>
        <w:t xml:space="preserve"> </w:t>
      </w:r>
      <w:r w:rsidR="005818C0">
        <w:rPr>
          <w:rFonts w:eastAsia="Times New Roman"/>
          <w:color w:val="auto"/>
          <w:kern w:val="0"/>
          <w:lang w:val="sr-Cyrl-CS" w:eastAsia="en-GB"/>
        </w:rPr>
        <w:t>javnog</w:t>
      </w:r>
      <w:r w:rsidR="00424469" w:rsidRPr="00E95BC4">
        <w:rPr>
          <w:rFonts w:eastAsia="Times New Roman"/>
          <w:color w:val="auto"/>
          <w:kern w:val="0"/>
          <w:lang w:val="sr-Cyrl-CS" w:eastAsia="en-GB"/>
        </w:rPr>
        <w:t xml:space="preserve"> </w:t>
      </w:r>
      <w:r w:rsidR="005818C0">
        <w:rPr>
          <w:rFonts w:eastAsia="Times New Roman"/>
          <w:color w:val="auto"/>
          <w:kern w:val="0"/>
          <w:lang w:val="sr-Cyrl-CS" w:eastAsia="en-GB"/>
        </w:rPr>
        <w:t>i</w:t>
      </w:r>
      <w:r w:rsidR="00424469" w:rsidRPr="00E95BC4">
        <w:rPr>
          <w:rFonts w:eastAsia="Times New Roman"/>
          <w:color w:val="auto"/>
          <w:kern w:val="0"/>
          <w:lang w:val="sr-Cyrl-CS" w:eastAsia="en-GB"/>
        </w:rPr>
        <w:t xml:space="preserve"> </w:t>
      </w:r>
      <w:r w:rsidR="005818C0">
        <w:rPr>
          <w:rFonts w:eastAsia="Times New Roman"/>
          <w:color w:val="auto"/>
          <w:kern w:val="0"/>
          <w:lang w:val="sr-Cyrl-CS" w:eastAsia="en-GB"/>
        </w:rPr>
        <w:t>privatnog</w:t>
      </w:r>
      <w:r w:rsidR="00424469" w:rsidRPr="00E95BC4">
        <w:rPr>
          <w:rFonts w:eastAsia="Times New Roman"/>
          <w:color w:val="auto"/>
          <w:kern w:val="0"/>
          <w:lang w:val="sr-Cyrl-CS" w:eastAsia="en-GB"/>
        </w:rPr>
        <w:t xml:space="preserve"> </w:t>
      </w:r>
      <w:r w:rsidR="005818C0">
        <w:rPr>
          <w:rFonts w:eastAsia="Times New Roman"/>
          <w:color w:val="auto"/>
          <w:kern w:val="0"/>
          <w:lang w:val="sr-Cyrl-CS" w:eastAsia="en-GB"/>
        </w:rPr>
        <w:t>sektora</w:t>
      </w:r>
      <w:r w:rsidR="00424469" w:rsidRPr="00E95BC4">
        <w:rPr>
          <w:rFonts w:eastAsia="Times New Roman"/>
          <w:color w:val="auto"/>
          <w:kern w:val="0"/>
          <w:lang w:val="sr-Cyrl-CS" w:eastAsia="en-GB"/>
        </w:rPr>
        <w:t xml:space="preserve">. </w:t>
      </w:r>
      <w:r w:rsidR="005818C0">
        <w:rPr>
          <w:rFonts w:eastAsia="Times New Roman"/>
          <w:color w:val="auto"/>
          <w:kern w:val="0"/>
          <w:lang w:val="sr-Cyrl-CS" w:eastAsia="en-GB"/>
        </w:rPr>
        <w:t>Korist</w:t>
      </w:r>
      <w:r w:rsidR="00424469" w:rsidRPr="00E95BC4">
        <w:rPr>
          <w:rFonts w:eastAsia="Times New Roman"/>
          <w:color w:val="auto"/>
          <w:kern w:val="0"/>
          <w:lang w:val="sr-Cyrl-CS" w:eastAsia="en-GB"/>
        </w:rPr>
        <w:t xml:space="preserve"> </w:t>
      </w:r>
      <w:r w:rsidR="005818C0">
        <w:rPr>
          <w:rFonts w:eastAsia="Times New Roman"/>
          <w:color w:val="auto"/>
          <w:kern w:val="0"/>
          <w:lang w:val="sr-Cyrl-CS" w:eastAsia="en-GB"/>
        </w:rPr>
        <w:t>po</w:t>
      </w:r>
      <w:r w:rsidR="00424469" w:rsidRPr="00E95BC4">
        <w:rPr>
          <w:rFonts w:eastAsia="Times New Roman"/>
          <w:color w:val="auto"/>
          <w:kern w:val="0"/>
          <w:lang w:val="sr-Cyrl-CS" w:eastAsia="en-GB"/>
        </w:rPr>
        <w:t xml:space="preserve"> </w:t>
      </w:r>
      <w:r w:rsidR="005818C0">
        <w:rPr>
          <w:rFonts w:eastAsia="Times New Roman"/>
          <w:color w:val="auto"/>
          <w:kern w:val="0"/>
          <w:lang w:val="sr-Cyrl-CS" w:eastAsia="en-GB"/>
        </w:rPr>
        <w:t>društvo</w:t>
      </w:r>
      <w:r w:rsidR="00424469" w:rsidRPr="00E95BC4">
        <w:rPr>
          <w:rFonts w:eastAsia="Times New Roman"/>
          <w:color w:val="auto"/>
          <w:kern w:val="0"/>
          <w:lang w:val="sr-Cyrl-CS" w:eastAsia="en-GB"/>
        </w:rPr>
        <w:t xml:space="preserve"> </w:t>
      </w:r>
      <w:r w:rsidR="005818C0">
        <w:rPr>
          <w:rFonts w:eastAsia="Times New Roman"/>
          <w:color w:val="auto"/>
          <w:kern w:val="0"/>
          <w:lang w:val="sr-Cyrl-CS" w:eastAsia="en-GB"/>
        </w:rPr>
        <w:t>će</w:t>
      </w:r>
      <w:r w:rsidR="00424469" w:rsidRPr="00E95BC4">
        <w:rPr>
          <w:rFonts w:eastAsia="Times New Roman"/>
          <w:color w:val="auto"/>
          <w:kern w:val="0"/>
          <w:lang w:val="sr-Cyrl-CS" w:eastAsia="en-GB"/>
        </w:rPr>
        <w:t xml:space="preserve"> </w:t>
      </w:r>
      <w:r w:rsidR="005818C0">
        <w:rPr>
          <w:rFonts w:eastAsia="Times New Roman"/>
          <w:color w:val="auto"/>
          <w:kern w:val="0"/>
          <w:lang w:val="sr-Cyrl-CS" w:eastAsia="en-GB"/>
        </w:rPr>
        <w:t>biti</w:t>
      </w:r>
      <w:r w:rsidR="00424469" w:rsidRPr="00E95BC4">
        <w:rPr>
          <w:rFonts w:eastAsia="Times New Roman"/>
          <w:color w:val="auto"/>
          <w:kern w:val="0"/>
          <w:lang w:val="sr-Cyrl-CS" w:eastAsia="en-GB"/>
        </w:rPr>
        <w:t xml:space="preserve"> </w:t>
      </w:r>
      <w:r w:rsidR="005818C0">
        <w:rPr>
          <w:rFonts w:eastAsia="Times New Roman"/>
          <w:color w:val="auto"/>
          <w:kern w:val="0"/>
          <w:lang w:val="sr-Cyrl-CS" w:eastAsia="en-GB"/>
        </w:rPr>
        <w:t>vidljiva</w:t>
      </w:r>
      <w:r w:rsidR="00424469" w:rsidRPr="00E95BC4">
        <w:rPr>
          <w:rFonts w:eastAsia="Times New Roman"/>
          <w:color w:val="auto"/>
          <w:kern w:val="0"/>
          <w:lang w:val="sr-Cyrl-CS" w:eastAsia="en-GB"/>
        </w:rPr>
        <w:t xml:space="preserve">, </w:t>
      </w:r>
      <w:r w:rsidR="005818C0">
        <w:rPr>
          <w:rFonts w:eastAsia="Times New Roman"/>
          <w:color w:val="auto"/>
          <w:kern w:val="0"/>
          <w:lang w:val="sr-Cyrl-CS" w:eastAsia="en-GB"/>
        </w:rPr>
        <w:t>i</w:t>
      </w:r>
      <w:r w:rsidR="00215665" w:rsidRPr="00E95BC4">
        <w:rPr>
          <w:rFonts w:eastAsia="Times New Roman"/>
          <w:color w:val="auto"/>
          <w:kern w:val="0"/>
          <w:lang w:val="sr-Cyrl-CS" w:eastAsia="en-GB"/>
        </w:rPr>
        <w:t xml:space="preserve"> </w:t>
      </w:r>
      <w:r w:rsidR="005818C0">
        <w:rPr>
          <w:rFonts w:eastAsia="Times New Roman"/>
          <w:color w:val="auto"/>
          <w:kern w:val="0"/>
          <w:lang w:val="sr-Cyrl-CS" w:eastAsia="en-GB"/>
        </w:rPr>
        <w:t>nadilazi</w:t>
      </w:r>
      <w:r w:rsidR="00215665" w:rsidRPr="00E95BC4">
        <w:rPr>
          <w:rFonts w:eastAsia="Times New Roman"/>
          <w:color w:val="auto"/>
          <w:kern w:val="0"/>
          <w:lang w:val="sr-Cyrl-CS" w:eastAsia="en-GB"/>
        </w:rPr>
        <w:t xml:space="preserve"> </w:t>
      </w:r>
      <w:r w:rsidR="005818C0">
        <w:rPr>
          <w:rFonts w:eastAsia="Times New Roman"/>
          <w:color w:val="auto"/>
          <w:kern w:val="0"/>
          <w:lang w:val="sr-Cyrl-CS" w:eastAsia="en-GB"/>
        </w:rPr>
        <w:t>neznatne</w:t>
      </w:r>
      <w:r w:rsidR="00215665" w:rsidRPr="00E95BC4">
        <w:rPr>
          <w:rFonts w:eastAsia="Times New Roman"/>
          <w:color w:val="auto"/>
          <w:kern w:val="0"/>
          <w:lang w:val="sr-Cyrl-CS" w:eastAsia="en-GB"/>
        </w:rPr>
        <w:t xml:space="preserve"> </w:t>
      </w:r>
      <w:r w:rsidR="005818C0">
        <w:rPr>
          <w:rFonts w:eastAsia="Times New Roman"/>
          <w:color w:val="auto"/>
          <w:kern w:val="0"/>
          <w:lang w:val="sr-Cyrl-CS" w:eastAsia="en-GB"/>
        </w:rPr>
        <w:t>troškove</w:t>
      </w:r>
      <w:r w:rsidR="00424469" w:rsidRPr="00E95BC4">
        <w:rPr>
          <w:rFonts w:eastAsia="Times New Roman"/>
          <w:color w:val="auto"/>
          <w:kern w:val="0"/>
          <w:lang w:val="sr-Cyrl-CS" w:eastAsia="en-GB"/>
        </w:rPr>
        <w:t xml:space="preserve"> </w:t>
      </w:r>
      <w:r w:rsidR="005818C0">
        <w:rPr>
          <w:rFonts w:eastAsia="Times New Roman"/>
          <w:color w:val="auto"/>
          <w:kern w:val="0"/>
          <w:lang w:val="sr-Cyrl-CS" w:eastAsia="en-GB"/>
        </w:rPr>
        <w:t>mera</w:t>
      </w:r>
      <w:r w:rsidR="00215665" w:rsidRPr="00E95BC4">
        <w:rPr>
          <w:rFonts w:eastAsia="Times New Roman"/>
          <w:color w:val="auto"/>
          <w:kern w:val="0"/>
          <w:lang w:val="sr-Cyrl-CS" w:eastAsia="en-GB"/>
        </w:rPr>
        <w:t xml:space="preserve"> </w:t>
      </w:r>
      <w:r w:rsidR="005818C0">
        <w:rPr>
          <w:rFonts w:eastAsia="Times New Roman"/>
          <w:color w:val="auto"/>
          <w:kern w:val="0"/>
          <w:lang w:val="sr-Cyrl-CS" w:eastAsia="en-GB"/>
        </w:rPr>
        <w:t>koje</w:t>
      </w:r>
      <w:r w:rsidR="00215665" w:rsidRPr="00E95BC4">
        <w:rPr>
          <w:rFonts w:eastAsia="Times New Roman"/>
          <w:color w:val="auto"/>
          <w:kern w:val="0"/>
          <w:lang w:val="sr-Cyrl-CS" w:eastAsia="en-GB"/>
        </w:rPr>
        <w:t xml:space="preserve"> </w:t>
      </w:r>
      <w:r w:rsidR="005818C0">
        <w:rPr>
          <w:rFonts w:eastAsia="Times New Roman"/>
          <w:color w:val="auto"/>
          <w:kern w:val="0"/>
          <w:lang w:val="sr-Cyrl-CS" w:eastAsia="en-GB"/>
        </w:rPr>
        <w:t>se</w:t>
      </w:r>
      <w:r w:rsidR="00215665" w:rsidRPr="00E95BC4">
        <w:rPr>
          <w:rFonts w:eastAsia="Times New Roman"/>
          <w:color w:val="auto"/>
          <w:kern w:val="0"/>
          <w:lang w:val="sr-Cyrl-CS" w:eastAsia="en-GB"/>
        </w:rPr>
        <w:t xml:space="preserve"> </w:t>
      </w:r>
      <w:r w:rsidR="005818C0">
        <w:rPr>
          <w:rFonts w:eastAsia="Times New Roman"/>
          <w:color w:val="auto"/>
          <w:kern w:val="0"/>
          <w:lang w:val="sr-Cyrl-CS" w:eastAsia="en-GB"/>
        </w:rPr>
        <w:t>uglavnom</w:t>
      </w:r>
      <w:r w:rsidR="00215665" w:rsidRPr="00E95BC4">
        <w:rPr>
          <w:rFonts w:eastAsia="Times New Roman"/>
          <w:color w:val="auto"/>
          <w:kern w:val="0"/>
          <w:lang w:val="sr-Cyrl-CS" w:eastAsia="en-GB"/>
        </w:rPr>
        <w:t xml:space="preserve"> </w:t>
      </w:r>
      <w:r w:rsidR="005818C0">
        <w:rPr>
          <w:rFonts w:eastAsia="Times New Roman"/>
          <w:color w:val="auto"/>
          <w:kern w:val="0"/>
          <w:lang w:val="sr-Cyrl-CS" w:eastAsia="en-GB"/>
        </w:rPr>
        <w:t>odnose</w:t>
      </w:r>
      <w:r w:rsidR="00215665" w:rsidRPr="00E95BC4">
        <w:rPr>
          <w:rFonts w:eastAsia="Times New Roman"/>
          <w:color w:val="auto"/>
          <w:kern w:val="0"/>
          <w:lang w:val="sr-Cyrl-CS" w:eastAsia="en-GB"/>
        </w:rPr>
        <w:t xml:space="preserve"> </w:t>
      </w:r>
      <w:r w:rsidR="005818C0">
        <w:rPr>
          <w:rFonts w:eastAsia="Times New Roman"/>
          <w:color w:val="auto"/>
          <w:kern w:val="0"/>
          <w:lang w:val="sr-Cyrl-CS" w:eastAsia="en-GB"/>
        </w:rPr>
        <w:t>na</w:t>
      </w:r>
      <w:r w:rsidR="00215665" w:rsidRPr="00E95BC4">
        <w:rPr>
          <w:rFonts w:eastAsia="Times New Roman"/>
          <w:color w:val="auto"/>
          <w:kern w:val="0"/>
          <w:lang w:val="sr-Cyrl-CS" w:eastAsia="en-GB"/>
        </w:rPr>
        <w:t xml:space="preserve"> </w:t>
      </w:r>
      <w:r w:rsidR="005818C0">
        <w:rPr>
          <w:rFonts w:eastAsia="Times New Roman"/>
          <w:color w:val="auto"/>
          <w:kern w:val="0"/>
          <w:lang w:val="sr-Cyrl-CS" w:eastAsia="en-GB"/>
        </w:rPr>
        <w:t>unapređenje</w:t>
      </w:r>
      <w:r w:rsidR="00424469" w:rsidRPr="00E95BC4">
        <w:rPr>
          <w:rFonts w:eastAsia="Times New Roman"/>
          <w:color w:val="auto"/>
          <w:kern w:val="0"/>
          <w:lang w:val="sr-Cyrl-CS" w:eastAsia="en-GB"/>
        </w:rPr>
        <w:t xml:space="preserve"> </w:t>
      </w:r>
      <w:r w:rsidR="005818C0">
        <w:rPr>
          <w:rFonts w:eastAsia="Times New Roman"/>
          <w:color w:val="auto"/>
          <w:kern w:val="0"/>
          <w:lang w:val="sr-Cyrl-CS" w:eastAsia="en-GB"/>
        </w:rPr>
        <w:t>delotvornosti</w:t>
      </w:r>
      <w:r w:rsidR="00E04390" w:rsidRPr="00E95BC4">
        <w:rPr>
          <w:rFonts w:eastAsia="Times New Roman"/>
          <w:color w:val="auto"/>
          <w:kern w:val="0"/>
          <w:lang w:val="sr-Cyrl-CS" w:eastAsia="en-GB"/>
        </w:rPr>
        <w:t>.</w:t>
      </w:r>
    </w:p>
    <w:p w:rsidR="00EB24C3" w:rsidRPr="00E95BC4" w:rsidRDefault="00EB24C3" w:rsidP="00EB24C3">
      <w:pPr>
        <w:tabs>
          <w:tab w:val="left" w:pos="709"/>
        </w:tabs>
        <w:jc w:val="both"/>
        <w:rPr>
          <w:rFonts w:eastAsia="Times New Roman"/>
          <w:color w:val="auto"/>
          <w:kern w:val="0"/>
          <w:lang w:val="sr-Cyrl-CS" w:eastAsia="en-GB"/>
        </w:rPr>
      </w:pPr>
      <w:r w:rsidRPr="00E95BC4">
        <w:rPr>
          <w:rFonts w:eastAsia="Times New Roman"/>
          <w:color w:val="auto"/>
          <w:kern w:val="0"/>
          <w:lang w:val="sr-Cyrl-CS" w:eastAsia="en-GB"/>
        </w:rPr>
        <w:tab/>
      </w:r>
      <w:r w:rsidR="005818C0">
        <w:rPr>
          <w:rFonts w:eastAsia="Times New Roman"/>
          <w:color w:val="auto"/>
          <w:kern w:val="0"/>
          <w:lang w:val="sr-Cyrl-CS" w:eastAsia="en-GB"/>
        </w:rPr>
        <w:t>U</w:t>
      </w:r>
      <w:r w:rsidR="001E4E03" w:rsidRPr="00E95BC4">
        <w:rPr>
          <w:rFonts w:eastAsia="Times New Roman"/>
          <w:color w:val="auto"/>
          <w:kern w:val="0"/>
          <w:lang w:val="sr-Cyrl-CS" w:eastAsia="en-GB"/>
        </w:rPr>
        <w:t xml:space="preserve"> </w:t>
      </w:r>
      <w:r w:rsidR="005818C0">
        <w:rPr>
          <w:rFonts w:eastAsia="Times New Roman"/>
          <w:color w:val="auto"/>
          <w:kern w:val="0"/>
          <w:lang w:val="sr-Cyrl-CS" w:eastAsia="en-GB"/>
        </w:rPr>
        <w:t>odnosu</w:t>
      </w:r>
      <w:r w:rsidR="001E4E03" w:rsidRPr="00E95BC4">
        <w:rPr>
          <w:rFonts w:eastAsia="Times New Roman"/>
          <w:color w:val="auto"/>
          <w:kern w:val="0"/>
          <w:lang w:val="sr-Cyrl-CS" w:eastAsia="en-GB"/>
        </w:rPr>
        <w:t xml:space="preserve"> </w:t>
      </w:r>
      <w:r w:rsidR="005818C0">
        <w:rPr>
          <w:rFonts w:eastAsia="Times New Roman"/>
          <w:color w:val="auto"/>
          <w:kern w:val="0"/>
          <w:lang w:val="sr-Cyrl-CS" w:eastAsia="en-GB"/>
        </w:rPr>
        <w:t>na</w:t>
      </w:r>
      <w:r w:rsidR="001E4E03" w:rsidRPr="00E95BC4">
        <w:rPr>
          <w:rFonts w:eastAsia="Times New Roman"/>
          <w:color w:val="auto"/>
          <w:kern w:val="0"/>
          <w:lang w:val="sr-Cyrl-CS" w:eastAsia="en-GB"/>
        </w:rPr>
        <w:t xml:space="preserve"> </w:t>
      </w:r>
      <w:r w:rsidR="005818C0">
        <w:rPr>
          <w:rFonts w:eastAsia="Times New Roman"/>
          <w:color w:val="auto"/>
          <w:kern w:val="0"/>
          <w:lang w:val="sr-Cyrl-CS" w:eastAsia="en-GB"/>
        </w:rPr>
        <w:t>Opciju</w:t>
      </w:r>
      <w:r w:rsidR="001E4E03" w:rsidRPr="00E95BC4">
        <w:rPr>
          <w:rFonts w:eastAsia="Times New Roman"/>
          <w:color w:val="auto"/>
          <w:kern w:val="0"/>
          <w:lang w:val="sr-Cyrl-CS" w:eastAsia="en-GB"/>
        </w:rPr>
        <w:t xml:space="preserve"> 2, </w:t>
      </w:r>
      <w:r w:rsidR="005818C0">
        <w:rPr>
          <w:rFonts w:eastAsia="Times New Roman"/>
          <w:color w:val="auto"/>
          <w:kern w:val="0"/>
          <w:lang w:val="sr-Cyrl-CS" w:eastAsia="en-GB"/>
        </w:rPr>
        <w:t>Opcija</w:t>
      </w:r>
      <w:r w:rsidRPr="00E95BC4">
        <w:rPr>
          <w:rFonts w:eastAsia="Times New Roman"/>
          <w:color w:val="auto"/>
          <w:kern w:val="0"/>
          <w:lang w:val="sr-Cyrl-CS" w:eastAsia="en-GB"/>
        </w:rPr>
        <w:t xml:space="preserve"> 3 </w:t>
      </w:r>
      <w:r w:rsidR="005818C0">
        <w:rPr>
          <w:rFonts w:eastAsia="Times New Roman"/>
          <w:color w:val="auto"/>
          <w:kern w:val="0"/>
          <w:lang w:val="sr-Cyrl-CS" w:eastAsia="en-GB"/>
        </w:rPr>
        <w:t>ne</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podrazumeva</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znatnije</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dodatne</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troškove</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budući</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da</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bi</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mere</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verovatno</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bile</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slične</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Ipak</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time</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što</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će</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se</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obezbediti</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da</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se</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aktivnosti</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u</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borbi</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protiv</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pranja</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novca</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i</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finansiranja</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terorizma</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u</w:t>
      </w:r>
      <w:r w:rsidRPr="00E95BC4">
        <w:rPr>
          <w:rFonts w:eastAsia="Times New Roman"/>
          <w:color w:val="auto"/>
          <w:kern w:val="0"/>
          <w:lang w:val="sr-Cyrl-CS" w:eastAsia="en-GB"/>
        </w:rPr>
        <w:t xml:space="preserve"> </w:t>
      </w:r>
      <w:r w:rsidR="005818C0">
        <w:rPr>
          <w:color w:val="auto"/>
          <w:lang w:val="sr-Cyrl-CS"/>
        </w:rPr>
        <w:t>Republi</w:t>
      </w:r>
      <w:r w:rsidR="005818C0">
        <w:rPr>
          <w:color w:val="auto"/>
          <w:lang/>
        </w:rPr>
        <w:t>ci</w:t>
      </w:r>
      <w:r w:rsidR="00121E8F" w:rsidRPr="00E95BC4">
        <w:rPr>
          <w:color w:val="auto"/>
          <w:lang w:val="sr-Cyrl-CS"/>
        </w:rPr>
        <w:t xml:space="preserve"> </w:t>
      </w:r>
      <w:r w:rsidR="005818C0">
        <w:rPr>
          <w:rFonts w:eastAsia="Times New Roman"/>
          <w:color w:val="auto"/>
          <w:kern w:val="0"/>
          <w:lang w:val="sr-Cyrl-CS" w:eastAsia="en-GB"/>
        </w:rPr>
        <w:t>Srbiji</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odvijaju</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u</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skladu</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sa</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opštim</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i</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posebnim</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ciljevima</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jedinstvenog</w:t>
      </w:r>
      <w:r w:rsidR="0086525D" w:rsidRPr="00E95BC4">
        <w:rPr>
          <w:rFonts w:eastAsia="Times New Roman"/>
          <w:color w:val="auto"/>
          <w:kern w:val="0"/>
          <w:lang w:val="sr-Cyrl-CS" w:eastAsia="en-GB"/>
        </w:rPr>
        <w:t xml:space="preserve"> </w:t>
      </w:r>
      <w:r w:rsidR="005818C0">
        <w:rPr>
          <w:rFonts w:eastAsia="Times New Roman"/>
          <w:color w:val="auto"/>
          <w:kern w:val="0"/>
          <w:lang w:val="sr-Cyrl-CS" w:eastAsia="en-GB"/>
        </w:rPr>
        <w:t>međusektorskog</w:t>
      </w:r>
      <w:r w:rsidR="0086525D" w:rsidRPr="00E95BC4">
        <w:rPr>
          <w:rFonts w:eastAsia="Times New Roman"/>
          <w:color w:val="auto"/>
          <w:kern w:val="0"/>
          <w:lang w:val="sr-Cyrl-CS" w:eastAsia="en-GB"/>
        </w:rPr>
        <w:t xml:space="preserve"> </w:t>
      </w:r>
      <w:r w:rsidR="005818C0">
        <w:rPr>
          <w:rFonts w:eastAsia="Times New Roman"/>
          <w:color w:val="auto"/>
          <w:kern w:val="0"/>
          <w:lang w:val="sr-Cyrl-CS" w:eastAsia="en-GB"/>
        </w:rPr>
        <w:t>dokumenta</w:t>
      </w:r>
      <w:r w:rsidR="0086525D" w:rsidRPr="00E95BC4">
        <w:rPr>
          <w:rFonts w:eastAsia="Times New Roman"/>
          <w:color w:val="auto"/>
          <w:kern w:val="0"/>
          <w:lang w:val="sr-Cyrl-CS" w:eastAsia="en-GB"/>
        </w:rPr>
        <w:t xml:space="preserve"> </w:t>
      </w:r>
      <w:r w:rsidR="005818C0">
        <w:rPr>
          <w:rFonts w:eastAsia="Times New Roman"/>
          <w:color w:val="auto"/>
          <w:kern w:val="0"/>
          <w:lang w:val="sr-Cyrl-CS" w:eastAsia="en-GB"/>
        </w:rPr>
        <w:t>javne</w:t>
      </w:r>
      <w:r w:rsidR="0086525D" w:rsidRPr="00E95BC4">
        <w:rPr>
          <w:rFonts w:eastAsia="Times New Roman"/>
          <w:color w:val="auto"/>
          <w:kern w:val="0"/>
          <w:lang w:val="sr-Cyrl-CS" w:eastAsia="en-GB"/>
        </w:rPr>
        <w:t xml:space="preserve"> </w:t>
      </w:r>
      <w:r w:rsidR="005818C0">
        <w:rPr>
          <w:rFonts w:eastAsia="Times New Roman"/>
          <w:color w:val="auto"/>
          <w:kern w:val="0"/>
          <w:lang w:val="sr-Cyrl-CS" w:eastAsia="en-GB"/>
        </w:rPr>
        <w:t>politike</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eventualni</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troškovi</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će</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se</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direktno</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meriti</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u</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odnosu</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na</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iste</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ciljeve</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Kao</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i</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u</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slučaju</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dokumenata</w:t>
      </w:r>
      <w:r w:rsidR="001E4E03" w:rsidRPr="00E95BC4">
        <w:rPr>
          <w:rFonts w:eastAsia="Times New Roman"/>
          <w:color w:val="auto"/>
          <w:kern w:val="0"/>
          <w:lang w:val="sr-Cyrl-CS" w:eastAsia="en-GB"/>
        </w:rPr>
        <w:t xml:space="preserve"> </w:t>
      </w:r>
      <w:r w:rsidR="005818C0">
        <w:rPr>
          <w:rFonts w:eastAsia="Times New Roman"/>
          <w:color w:val="auto"/>
          <w:kern w:val="0"/>
          <w:lang w:val="sr-Cyrl-CS" w:eastAsia="en-GB"/>
        </w:rPr>
        <w:t>javne</w:t>
      </w:r>
      <w:r w:rsidR="001E4E03" w:rsidRPr="00E95BC4">
        <w:rPr>
          <w:rFonts w:eastAsia="Times New Roman"/>
          <w:color w:val="auto"/>
          <w:kern w:val="0"/>
          <w:lang w:val="sr-Cyrl-CS" w:eastAsia="en-GB"/>
        </w:rPr>
        <w:t xml:space="preserve"> </w:t>
      </w:r>
      <w:r w:rsidR="005818C0">
        <w:rPr>
          <w:rFonts w:eastAsia="Times New Roman"/>
          <w:color w:val="auto"/>
          <w:kern w:val="0"/>
          <w:lang w:val="sr-Cyrl-CS" w:eastAsia="en-GB"/>
        </w:rPr>
        <w:t>politike</w:t>
      </w:r>
      <w:r w:rsidR="001E4E03" w:rsidRPr="00E95BC4">
        <w:rPr>
          <w:rFonts w:eastAsia="Times New Roman"/>
          <w:color w:val="auto"/>
          <w:kern w:val="0"/>
          <w:lang w:val="sr-Cyrl-CS" w:eastAsia="en-GB"/>
        </w:rPr>
        <w:t xml:space="preserve"> </w:t>
      </w:r>
      <w:r w:rsidR="005818C0">
        <w:rPr>
          <w:rFonts w:eastAsia="Times New Roman"/>
          <w:color w:val="auto"/>
          <w:kern w:val="0"/>
          <w:lang w:val="sr-Cyrl-CS" w:eastAsia="en-GB"/>
        </w:rPr>
        <w:t>u</w:t>
      </w:r>
      <w:r w:rsidR="001E4E03" w:rsidRPr="00E95BC4">
        <w:rPr>
          <w:rFonts w:eastAsia="Times New Roman"/>
          <w:color w:val="auto"/>
          <w:kern w:val="0"/>
          <w:lang w:val="sr-Cyrl-CS" w:eastAsia="en-GB"/>
        </w:rPr>
        <w:t xml:space="preserve"> </w:t>
      </w:r>
      <w:r w:rsidR="005818C0">
        <w:rPr>
          <w:rFonts w:eastAsia="Times New Roman"/>
          <w:color w:val="auto"/>
          <w:kern w:val="0"/>
          <w:lang w:val="sr-Cyrl-CS" w:eastAsia="en-GB"/>
        </w:rPr>
        <w:t>okviru</w:t>
      </w:r>
      <w:r w:rsidR="001E4E03" w:rsidRPr="00E95BC4">
        <w:rPr>
          <w:rFonts w:eastAsia="Times New Roman"/>
          <w:color w:val="auto"/>
          <w:kern w:val="0"/>
          <w:lang w:val="sr-Cyrl-CS" w:eastAsia="en-GB"/>
        </w:rPr>
        <w:t xml:space="preserve"> </w:t>
      </w:r>
      <w:r w:rsidR="005818C0">
        <w:rPr>
          <w:rFonts w:eastAsia="Times New Roman"/>
          <w:color w:val="auto"/>
          <w:kern w:val="0"/>
          <w:lang w:val="sr-Cyrl-CS" w:eastAsia="en-GB"/>
        </w:rPr>
        <w:lastRenderedPageBreak/>
        <w:t>Opcije</w:t>
      </w:r>
      <w:r w:rsidRPr="00E95BC4">
        <w:rPr>
          <w:rFonts w:eastAsia="Times New Roman"/>
          <w:color w:val="auto"/>
          <w:kern w:val="0"/>
          <w:lang w:val="sr-Cyrl-CS" w:eastAsia="en-GB"/>
        </w:rPr>
        <w:t xml:space="preserve"> 2, </w:t>
      </w:r>
      <w:r w:rsidR="005818C0">
        <w:rPr>
          <w:rFonts w:eastAsia="Times New Roman"/>
          <w:color w:val="auto"/>
          <w:kern w:val="0"/>
          <w:lang w:val="sr-Cyrl-CS" w:eastAsia="en-GB"/>
        </w:rPr>
        <w:t>svi</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subjekti</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u</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sistemu</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borbe</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protiv</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pranja</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novca</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i</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finansiranja</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terorizma</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uključujući</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i</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institucije</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privatnog</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sektora</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i</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civilno</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društvo</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mogu</w:t>
      </w:r>
      <w:r w:rsidR="001E4E03" w:rsidRPr="00E95BC4">
        <w:rPr>
          <w:rFonts w:eastAsia="Times New Roman"/>
          <w:color w:val="auto"/>
          <w:kern w:val="0"/>
          <w:lang w:val="sr-Cyrl-CS" w:eastAsia="en-GB"/>
        </w:rPr>
        <w:t xml:space="preserve"> </w:t>
      </w:r>
      <w:r w:rsidR="005818C0">
        <w:rPr>
          <w:rFonts w:eastAsia="Times New Roman"/>
          <w:color w:val="auto"/>
          <w:kern w:val="0"/>
          <w:lang w:val="sr-Cyrl-CS" w:eastAsia="en-GB"/>
        </w:rPr>
        <w:t>upodobljavati</w:t>
      </w:r>
      <w:r w:rsidR="001E4E03" w:rsidRPr="00E95BC4">
        <w:rPr>
          <w:rFonts w:eastAsia="Times New Roman"/>
          <w:color w:val="auto"/>
          <w:kern w:val="0"/>
          <w:lang w:val="sr-Cyrl-CS" w:eastAsia="en-GB"/>
        </w:rPr>
        <w:t xml:space="preserve"> </w:t>
      </w:r>
      <w:r w:rsidR="005818C0">
        <w:rPr>
          <w:rFonts w:eastAsia="Times New Roman"/>
          <w:color w:val="auto"/>
          <w:kern w:val="0"/>
          <w:lang w:val="sr-Cyrl-CS" w:eastAsia="en-GB"/>
        </w:rPr>
        <w:t>svoje</w:t>
      </w:r>
      <w:r w:rsidR="001E4E03" w:rsidRPr="00E95BC4">
        <w:rPr>
          <w:rFonts w:eastAsia="Times New Roman"/>
          <w:color w:val="auto"/>
          <w:kern w:val="0"/>
          <w:lang w:val="sr-Cyrl-CS" w:eastAsia="en-GB"/>
        </w:rPr>
        <w:t xml:space="preserve"> </w:t>
      </w:r>
      <w:r w:rsidR="005818C0">
        <w:rPr>
          <w:rFonts w:eastAsia="Times New Roman"/>
          <w:color w:val="auto"/>
          <w:kern w:val="0"/>
          <w:lang w:val="sr-Cyrl-CS" w:eastAsia="en-GB"/>
        </w:rPr>
        <w:t>aktivnosti</w:t>
      </w:r>
      <w:r w:rsidR="001E4E03" w:rsidRPr="00E95BC4">
        <w:rPr>
          <w:rFonts w:eastAsia="Times New Roman"/>
          <w:color w:val="auto"/>
          <w:kern w:val="0"/>
          <w:lang w:val="sr-Cyrl-CS" w:eastAsia="en-GB"/>
        </w:rPr>
        <w:t xml:space="preserve"> </w:t>
      </w:r>
      <w:r w:rsidR="005818C0">
        <w:rPr>
          <w:rFonts w:eastAsia="Times New Roman"/>
          <w:color w:val="auto"/>
          <w:kern w:val="0"/>
          <w:lang w:val="sr-Cyrl-CS" w:eastAsia="en-GB"/>
        </w:rPr>
        <w:t>u</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odnosu</w:t>
      </w:r>
      <w:r w:rsidR="00DD0D6E" w:rsidRPr="00E95BC4">
        <w:rPr>
          <w:rFonts w:eastAsia="Times New Roman"/>
          <w:color w:val="auto"/>
          <w:kern w:val="0"/>
          <w:lang w:val="sr-Cyrl-CS" w:eastAsia="en-GB"/>
        </w:rPr>
        <w:t xml:space="preserve"> </w:t>
      </w:r>
      <w:r w:rsidR="005818C0">
        <w:rPr>
          <w:rFonts w:eastAsia="Times New Roman"/>
          <w:color w:val="auto"/>
          <w:kern w:val="0"/>
          <w:lang w:val="sr-Cyrl-CS" w:eastAsia="en-GB"/>
        </w:rPr>
        <w:t>na</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jedinstveni</w:t>
      </w:r>
      <w:r w:rsidR="001E4E03" w:rsidRPr="00E95BC4">
        <w:rPr>
          <w:rFonts w:eastAsia="Times New Roman"/>
          <w:color w:val="auto"/>
          <w:kern w:val="0"/>
          <w:lang w:val="sr-Cyrl-CS" w:eastAsia="en-GB"/>
        </w:rPr>
        <w:t xml:space="preserve"> </w:t>
      </w:r>
      <w:r w:rsidR="005818C0">
        <w:rPr>
          <w:rFonts w:eastAsia="Times New Roman"/>
          <w:color w:val="auto"/>
          <w:kern w:val="0"/>
          <w:lang w:val="sr-Cyrl-CS" w:eastAsia="en-GB"/>
        </w:rPr>
        <w:t>međusektorski</w:t>
      </w:r>
      <w:r w:rsidR="001E4E03" w:rsidRPr="00E95BC4">
        <w:rPr>
          <w:rFonts w:eastAsia="Times New Roman"/>
          <w:color w:val="auto"/>
          <w:kern w:val="0"/>
          <w:lang w:val="sr-Cyrl-CS" w:eastAsia="en-GB"/>
        </w:rPr>
        <w:t xml:space="preserve"> </w:t>
      </w:r>
      <w:r w:rsidR="005818C0">
        <w:rPr>
          <w:rFonts w:eastAsia="Times New Roman"/>
          <w:color w:val="auto"/>
          <w:kern w:val="0"/>
          <w:lang w:val="sr-Cyrl-CS" w:eastAsia="en-GB"/>
        </w:rPr>
        <w:t>dokument</w:t>
      </w:r>
      <w:r w:rsidRPr="00E95BC4">
        <w:rPr>
          <w:rFonts w:eastAsia="Times New Roman"/>
          <w:color w:val="auto"/>
          <w:kern w:val="0"/>
          <w:lang w:val="sr-Cyrl-CS" w:eastAsia="en-GB"/>
        </w:rPr>
        <w:t>.</w:t>
      </w:r>
    </w:p>
    <w:p w:rsidR="00EB24C3" w:rsidRPr="00E95BC4" w:rsidRDefault="00EB24C3" w:rsidP="00EB24C3">
      <w:pPr>
        <w:tabs>
          <w:tab w:val="left" w:pos="709"/>
        </w:tabs>
        <w:jc w:val="both"/>
        <w:rPr>
          <w:rFonts w:eastAsia="Times New Roman"/>
          <w:color w:val="auto"/>
          <w:kern w:val="0"/>
          <w:lang w:val="sr-Cyrl-CS" w:eastAsia="en-GB"/>
        </w:rPr>
      </w:pPr>
      <w:r w:rsidRPr="00E95BC4">
        <w:rPr>
          <w:rFonts w:eastAsia="Times New Roman"/>
          <w:color w:val="auto"/>
          <w:kern w:val="0"/>
          <w:lang w:val="sr-Cyrl-CS" w:eastAsia="en-GB"/>
        </w:rPr>
        <w:tab/>
      </w:r>
      <w:r w:rsidR="005818C0">
        <w:rPr>
          <w:rFonts w:eastAsia="Times New Roman"/>
          <w:color w:val="auto"/>
          <w:kern w:val="0"/>
          <w:lang w:val="sr-Cyrl-CS" w:eastAsia="en-GB"/>
        </w:rPr>
        <w:t>Usvajanjem</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jedinstvenog</w:t>
      </w:r>
      <w:r w:rsidR="001E4E03" w:rsidRPr="00E95BC4">
        <w:rPr>
          <w:rFonts w:eastAsia="Times New Roman"/>
          <w:color w:val="auto"/>
          <w:kern w:val="0"/>
          <w:lang w:val="sr-Cyrl-CS" w:eastAsia="en-GB"/>
        </w:rPr>
        <w:t xml:space="preserve"> </w:t>
      </w:r>
      <w:r w:rsidR="005818C0">
        <w:rPr>
          <w:rFonts w:eastAsia="Times New Roman"/>
          <w:color w:val="auto"/>
          <w:kern w:val="0"/>
          <w:lang w:val="sr-Cyrl-CS" w:eastAsia="en-GB"/>
        </w:rPr>
        <w:t>međusektorskog</w:t>
      </w:r>
      <w:r w:rsidR="001E4E03" w:rsidRPr="00E95BC4">
        <w:rPr>
          <w:rFonts w:eastAsia="Times New Roman"/>
          <w:color w:val="auto"/>
          <w:kern w:val="0"/>
          <w:lang w:val="sr-Cyrl-CS" w:eastAsia="en-GB"/>
        </w:rPr>
        <w:t xml:space="preserve"> </w:t>
      </w:r>
      <w:r w:rsidR="005818C0">
        <w:rPr>
          <w:rFonts w:eastAsia="Times New Roman"/>
          <w:color w:val="auto"/>
          <w:kern w:val="0"/>
          <w:lang w:val="sr-Cyrl-CS" w:eastAsia="en-GB"/>
        </w:rPr>
        <w:t>dokumenta</w:t>
      </w:r>
      <w:r w:rsidR="001E4E03" w:rsidRPr="00E95BC4">
        <w:rPr>
          <w:rFonts w:eastAsia="Times New Roman"/>
          <w:color w:val="auto"/>
          <w:kern w:val="0"/>
          <w:lang w:val="sr-Cyrl-CS" w:eastAsia="en-GB"/>
        </w:rPr>
        <w:t xml:space="preserve"> </w:t>
      </w:r>
      <w:r w:rsidR="005818C0">
        <w:rPr>
          <w:rFonts w:eastAsia="Times New Roman"/>
          <w:color w:val="auto"/>
          <w:kern w:val="0"/>
          <w:lang w:val="sr-Cyrl-CS" w:eastAsia="en-GB"/>
        </w:rPr>
        <w:t>javne</w:t>
      </w:r>
      <w:r w:rsidR="001E4E03" w:rsidRPr="00E95BC4">
        <w:rPr>
          <w:rFonts w:eastAsia="Times New Roman"/>
          <w:color w:val="auto"/>
          <w:kern w:val="0"/>
          <w:lang w:val="sr-Cyrl-CS" w:eastAsia="en-GB"/>
        </w:rPr>
        <w:t xml:space="preserve"> </w:t>
      </w:r>
      <w:r w:rsidR="005818C0">
        <w:rPr>
          <w:rFonts w:eastAsia="Times New Roman"/>
          <w:color w:val="auto"/>
          <w:kern w:val="0"/>
          <w:lang w:val="sr-Cyrl-CS" w:eastAsia="en-GB"/>
        </w:rPr>
        <w:t>politike</w:t>
      </w:r>
      <w:r w:rsidR="001E4E03" w:rsidRPr="00E95BC4">
        <w:rPr>
          <w:rFonts w:eastAsia="Times New Roman"/>
          <w:color w:val="auto"/>
          <w:kern w:val="0"/>
          <w:lang w:val="sr-Cyrl-CS" w:eastAsia="en-GB"/>
        </w:rPr>
        <w:t xml:space="preserve"> </w:t>
      </w:r>
      <w:r w:rsidR="005818C0">
        <w:rPr>
          <w:rFonts w:eastAsia="Times New Roman"/>
          <w:color w:val="auto"/>
          <w:kern w:val="0"/>
          <w:lang w:val="sr-Cyrl-CS" w:eastAsia="en-GB"/>
        </w:rPr>
        <w:t>takođe</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se</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doprinosi</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međunarodnom</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ugledu</w:t>
      </w:r>
      <w:r w:rsidRPr="00E95BC4">
        <w:rPr>
          <w:rFonts w:eastAsia="Times New Roman"/>
          <w:color w:val="auto"/>
          <w:kern w:val="0"/>
          <w:lang w:val="sr-Cyrl-CS" w:eastAsia="en-GB"/>
        </w:rPr>
        <w:t xml:space="preserve"> </w:t>
      </w:r>
      <w:r w:rsidR="005818C0">
        <w:rPr>
          <w:lang w:val="sr-Cyrl-CS"/>
        </w:rPr>
        <w:t>Republike</w:t>
      </w:r>
      <w:r w:rsidR="0081525D" w:rsidRPr="00E95BC4">
        <w:rPr>
          <w:lang w:val="sr-Cyrl-CS"/>
        </w:rPr>
        <w:t xml:space="preserve"> </w:t>
      </w:r>
      <w:r w:rsidR="005818C0">
        <w:rPr>
          <w:rFonts w:eastAsia="Times New Roman"/>
          <w:color w:val="auto"/>
          <w:kern w:val="0"/>
          <w:lang w:val="sr-Cyrl-CS" w:eastAsia="en-GB"/>
        </w:rPr>
        <w:t>Srbije</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Iako</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se</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radi</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o</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prilično</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neopipljivom</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doprinosu</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time</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se</w:t>
      </w:r>
      <w:r w:rsidR="001E4E03" w:rsidRPr="00E95BC4">
        <w:rPr>
          <w:rFonts w:eastAsia="Times New Roman"/>
          <w:color w:val="auto"/>
          <w:kern w:val="0"/>
          <w:lang w:val="sr-Cyrl-CS" w:eastAsia="en-GB"/>
        </w:rPr>
        <w:t xml:space="preserve"> </w:t>
      </w:r>
      <w:r w:rsidR="005818C0">
        <w:rPr>
          <w:rFonts w:eastAsia="Times New Roman"/>
          <w:color w:val="auto"/>
          <w:kern w:val="0"/>
          <w:lang w:val="sr-Cyrl-CS" w:eastAsia="en-GB"/>
        </w:rPr>
        <w:t>šalje</w:t>
      </w:r>
      <w:r w:rsidR="001E4E03" w:rsidRPr="00E95BC4">
        <w:rPr>
          <w:rFonts w:eastAsia="Times New Roman"/>
          <w:color w:val="auto"/>
          <w:kern w:val="0"/>
          <w:lang w:val="sr-Cyrl-CS" w:eastAsia="en-GB"/>
        </w:rPr>
        <w:t xml:space="preserve"> </w:t>
      </w:r>
      <w:r w:rsidR="005818C0">
        <w:rPr>
          <w:rFonts w:eastAsia="Times New Roman"/>
          <w:color w:val="auto"/>
          <w:kern w:val="0"/>
          <w:lang w:val="sr-Cyrl-CS" w:eastAsia="en-GB"/>
        </w:rPr>
        <w:t>jasna</w:t>
      </w:r>
      <w:r w:rsidR="001E4E03" w:rsidRPr="00E95BC4">
        <w:rPr>
          <w:rFonts w:eastAsia="Times New Roman"/>
          <w:color w:val="auto"/>
          <w:kern w:val="0"/>
          <w:lang w:val="sr-Cyrl-CS" w:eastAsia="en-GB"/>
        </w:rPr>
        <w:t xml:space="preserve"> </w:t>
      </w:r>
      <w:r w:rsidR="005818C0">
        <w:rPr>
          <w:rFonts w:eastAsia="Times New Roman"/>
          <w:color w:val="auto"/>
          <w:kern w:val="0"/>
          <w:lang w:val="sr-Cyrl-CS" w:eastAsia="en-GB"/>
        </w:rPr>
        <w:t>poruka</w:t>
      </w:r>
      <w:r w:rsidR="001E4E03" w:rsidRPr="00E95BC4">
        <w:rPr>
          <w:rFonts w:eastAsia="Times New Roman"/>
          <w:color w:val="auto"/>
          <w:kern w:val="0"/>
          <w:lang w:val="sr-Cyrl-CS" w:eastAsia="en-GB"/>
        </w:rPr>
        <w:t xml:space="preserve"> </w:t>
      </w:r>
      <w:r w:rsidR="005818C0">
        <w:rPr>
          <w:rFonts w:eastAsia="Times New Roman"/>
          <w:color w:val="auto"/>
          <w:kern w:val="0"/>
          <w:lang w:val="sr-Cyrl-CS" w:eastAsia="en-GB"/>
        </w:rPr>
        <w:t>međunarodnim</w:t>
      </w:r>
      <w:r w:rsidR="001E4E03" w:rsidRPr="00E95BC4">
        <w:rPr>
          <w:rFonts w:eastAsia="Times New Roman"/>
          <w:color w:val="auto"/>
          <w:kern w:val="0"/>
          <w:lang w:val="sr-Cyrl-CS" w:eastAsia="en-GB"/>
        </w:rPr>
        <w:t xml:space="preserve"> </w:t>
      </w:r>
      <w:r w:rsidR="005818C0">
        <w:rPr>
          <w:rFonts w:eastAsia="Times New Roman"/>
          <w:color w:val="auto"/>
          <w:kern w:val="0"/>
          <w:lang w:val="sr-Cyrl-CS" w:eastAsia="en-GB"/>
        </w:rPr>
        <w:t>partnerima</w:t>
      </w:r>
      <w:r w:rsidR="001E4E03" w:rsidRPr="00E95BC4">
        <w:rPr>
          <w:rFonts w:eastAsia="Times New Roman"/>
          <w:color w:val="auto"/>
          <w:kern w:val="0"/>
          <w:lang w:val="sr-Cyrl-CS" w:eastAsia="en-GB"/>
        </w:rPr>
        <w:t xml:space="preserve"> </w:t>
      </w:r>
      <w:r w:rsidR="005818C0">
        <w:rPr>
          <w:rFonts w:eastAsia="Times New Roman"/>
          <w:color w:val="auto"/>
          <w:kern w:val="0"/>
          <w:lang w:val="sr-Cyrl-CS" w:eastAsia="en-GB"/>
        </w:rPr>
        <w:t>da</w:t>
      </w:r>
      <w:r w:rsidRPr="00E95BC4">
        <w:rPr>
          <w:rFonts w:eastAsia="Times New Roman"/>
          <w:color w:val="auto"/>
          <w:kern w:val="0"/>
          <w:lang w:val="sr-Cyrl-CS" w:eastAsia="en-GB"/>
        </w:rPr>
        <w:t xml:space="preserve"> </w:t>
      </w:r>
      <w:r w:rsidR="005818C0">
        <w:rPr>
          <w:lang w:val="sr-Cyrl-CS"/>
        </w:rPr>
        <w:t>Republika</w:t>
      </w:r>
      <w:r w:rsidR="0081525D" w:rsidRPr="00E95BC4">
        <w:rPr>
          <w:lang w:val="sr-Cyrl-CS"/>
        </w:rPr>
        <w:t xml:space="preserve"> </w:t>
      </w:r>
      <w:r w:rsidR="005818C0">
        <w:rPr>
          <w:rFonts w:eastAsia="Times New Roman"/>
          <w:color w:val="auto"/>
          <w:kern w:val="0"/>
          <w:lang w:val="sr-Cyrl-CS" w:eastAsia="en-GB"/>
        </w:rPr>
        <w:t>Srbija</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ima</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pristup</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borbi</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protiv</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pranja</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novca</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i</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finansiranja</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terorizma</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na</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nacionalnom</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nivou</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i</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da</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se</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taj</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problem</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rešava</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na</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najvišem</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nivou</w:t>
      </w:r>
      <w:r w:rsidRPr="00E95BC4">
        <w:rPr>
          <w:rFonts w:eastAsia="Times New Roman"/>
          <w:color w:val="auto"/>
          <w:kern w:val="0"/>
          <w:lang w:val="sr-Cyrl-CS" w:eastAsia="en-GB"/>
        </w:rPr>
        <w:t xml:space="preserve">. </w:t>
      </w:r>
    </w:p>
    <w:p w:rsidR="00EB24C3" w:rsidRPr="00E95BC4" w:rsidRDefault="001E4E03" w:rsidP="00EB24C3">
      <w:pPr>
        <w:tabs>
          <w:tab w:val="left" w:pos="709"/>
        </w:tabs>
        <w:jc w:val="both"/>
        <w:rPr>
          <w:rFonts w:eastAsia="Times New Roman"/>
          <w:color w:val="auto"/>
          <w:kern w:val="0"/>
          <w:lang w:val="sr-Cyrl-CS" w:eastAsia="en-GB"/>
        </w:rPr>
      </w:pPr>
      <w:r w:rsidRPr="00E95BC4">
        <w:rPr>
          <w:rFonts w:eastAsia="Times New Roman"/>
          <w:color w:val="auto"/>
          <w:kern w:val="0"/>
          <w:lang w:val="sr-Cyrl-CS" w:eastAsia="en-GB"/>
        </w:rPr>
        <w:tab/>
      </w:r>
      <w:r w:rsidR="005818C0">
        <w:rPr>
          <w:rFonts w:eastAsia="Times New Roman"/>
          <w:color w:val="auto"/>
          <w:kern w:val="0"/>
          <w:lang w:val="sr-Cyrl-CS" w:eastAsia="en-GB"/>
        </w:rPr>
        <w:t>Postojanje</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jednog</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posebnog</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i</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jedinstvenog</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međusektorskog</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dokumenta</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javne</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politike</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predstavlja</w:t>
      </w:r>
      <w:r w:rsidR="00EB24C3" w:rsidRPr="00E95BC4">
        <w:rPr>
          <w:rFonts w:eastAsia="Times New Roman"/>
          <w:color w:val="auto"/>
          <w:kern w:val="0"/>
          <w:lang w:val="sr-Cyrl-CS" w:eastAsia="en-GB"/>
        </w:rPr>
        <w:t xml:space="preserve"> </w:t>
      </w:r>
      <w:r w:rsidR="005818C0">
        <w:rPr>
          <w:rFonts w:eastAsia="Times New Roman"/>
          <w:color w:val="auto"/>
          <w:kern w:val="0"/>
          <w:lang w:val="sr-Cyrl-CS" w:eastAsia="en-GB"/>
        </w:rPr>
        <w:t>dokaz</w:t>
      </w:r>
      <w:r w:rsidR="00EB24C3" w:rsidRPr="00E95BC4">
        <w:rPr>
          <w:rFonts w:eastAsia="Times New Roman"/>
          <w:color w:val="auto"/>
          <w:kern w:val="0"/>
          <w:lang w:val="sr-Cyrl-CS" w:eastAsia="en-GB"/>
        </w:rPr>
        <w:t xml:space="preserve"> </w:t>
      </w:r>
      <w:r w:rsidR="005818C0">
        <w:rPr>
          <w:rFonts w:eastAsia="Times New Roman"/>
          <w:color w:val="auto"/>
          <w:kern w:val="0"/>
          <w:lang w:val="sr-Cyrl-CS" w:eastAsia="en-GB"/>
        </w:rPr>
        <w:t>da</w:t>
      </w:r>
      <w:r w:rsidR="00EB24C3" w:rsidRPr="00E95BC4">
        <w:rPr>
          <w:rFonts w:eastAsia="Times New Roman"/>
          <w:color w:val="auto"/>
          <w:kern w:val="0"/>
          <w:lang w:val="sr-Cyrl-CS" w:eastAsia="en-GB"/>
        </w:rPr>
        <w:t xml:space="preserve"> </w:t>
      </w:r>
      <w:r w:rsidR="005818C0">
        <w:rPr>
          <w:rFonts w:eastAsia="Times New Roman"/>
          <w:color w:val="auto"/>
          <w:kern w:val="0"/>
          <w:lang w:val="sr-Cyrl-CS" w:eastAsia="en-GB"/>
        </w:rPr>
        <w:t>država</w:t>
      </w:r>
      <w:r w:rsidR="00EB24C3" w:rsidRPr="00E95BC4">
        <w:rPr>
          <w:rFonts w:eastAsia="Times New Roman"/>
          <w:color w:val="auto"/>
          <w:kern w:val="0"/>
          <w:lang w:val="sr-Cyrl-CS" w:eastAsia="en-GB"/>
        </w:rPr>
        <w:t xml:space="preserve"> </w:t>
      </w:r>
      <w:r w:rsidR="005818C0">
        <w:rPr>
          <w:rFonts w:eastAsia="Times New Roman"/>
          <w:color w:val="auto"/>
          <w:kern w:val="0"/>
          <w:lang w:val="sr-Cyrl-CS" w:eastAsia="en-GB"/>
        </w:rPr>
        <w:t>pristupa</w:t>
      </w:r>
      <w:r w:rsidR="00EB24C3" w:rsidRPr="00E95BC4">
        <w:rPr>
          <w:rFonts w:eastAsia="Times New Roman"/>
          <w:color w:val="auto"/>
          <w:kern w:val="0"/>
          <w:lang w:val="sr-Cyrl-CS" w:eastAsia="en-GB"/>
        </w:rPr>
        <w:t xml:space="preserve"> </w:t>
      </w:r>
      <w:r w:rsidR="005818C0">
        <w:rPr>
          <w:rFonts w:eastAsia="Times New Roman"/>
          <w:color w:val="auto"/>
          <w:kern w:val="0"/>
          <w:lang w:val="sr-Cyrl-CS" w:eastAsia="en-GB"/>
        </w:rPr>
        <w:t>ovom</w:t>
      </w:r>
      <w:r w:rsidR="00EB24C3" w:rsidRPr="00E95BC4">
        <w:rPr>
          <w:rFonts w:eastAsia="Times New Roman"/>
          <w:color w:val="auto"/>
          <w:kern w:val="0"/>
          <w:lang w:val="sr-Cyrl-CS" w:eastAsia="en-GB"/>
        </w:rPr>
        <w:t xml:space="preserve"> </w:t>
      </w:r>
      <w:r w:rsidR="005818C0">
        <w:rPr>
          <w:rFonts w:eastAsia="Times New Roman"/>
          <w:color w:val="auto"/>
          <w:kern w:val="0"/>
          <w:lang w:val="sr-Cyrl-CS" w:eastAsia="en-GB"/>
        </w:rPr>
        <w:t>pitanju</w:t>
      </w:r>
      <w:r w:rsidR="00EB24C3" w:rsidRPr="00E95BC4">
        <w:rPr>
          <w:rFonts w:eastAsia="Times New Roman"/>
          <w:color w:val="auto"/>
          <w:kern w:val="0"/>
          <w:lang w:val="sr-Cyrl-CS" w:eastAsia="en-GB"/>
        </w:rPr>
        <w:t xml:space="preserve"> </w:t>
      </w:r>
      <w:r w:rsidR="005818C0">
        <w:rPr>
          <w:rFonts w:eastAsia="Times New Roman"/>
          <w:color w:val="auto"/>
          <w:kern w:val="0"/>
          <w:lang w:val="sr-Cyrl-CS" w:eastAsia="en-GB"/>
        </w:rPr>
        <w:t>u</w:t>
      </w:r>
      <w:r w:rsidR="00EB24C3" w:rsidRPr="00E95BC4">
        <w:rPr>
          <w:rFonts w:eastAsia="Times New Roman"/>
          <w:color w:val="auto"/>
          <w:kern w:val="0"/>
          <w:lang w:val="sr-Cyrl-CS" w:eastAsia="en-GB"/>
        </w:rPr>
        <w:t xml:space="preserve"> </w:t>
      </w:r>
      <w:r w:rsidR="005818C0">
        <w:rPr>
          <w:rFonts w:eastAsia="Times New Roman"/>
          <w:color w:val="auto"/>
          <w:kern w:val="0"/>
          <w:lang w:val="sr-Cyrl-CS" w:eastAsia="en-GB"/>
        </w:rPr>
        <w:t>skladu</w:t>
      </w:r>
      <w:r w:rsidR="00EB24C3" w:rsidRPr="00E95BC4">
        <w:rPr>
          <w:rFonts w:eastAsia="Times New Roman"/>
          <w:color w:val="auto"/>
          <w:kern w:val="0"/>
          <w:lang w:val="sr-Cyrl-CS" w:eastAsia="en-GB"/>
        </w:rPr>
        <w:t xml:space="preserve"> </w:t>
      </w:r>
      <w:r w:rsidR="005818C0">
        <w:rPr>
          <w:rFonts w:eastAsia="Times New Roman"/>
          <w:color w:val="auto"/>
          <w:kern w:val="0"/>
          <w:lang w:val="sr-Cyrl-CS" w:eastAsia="en-GB"/>
        </w:rPr>
        <w:t>sa</w:t>
      </w:r>
      <w:r w:rsidR="00EB24C3" w:rsidRPr="00E95BC4">
        <w:rPr>
          <w:rFonts w:eastAsia="Times New Roman"/>
          <w:color w:val="auto"/>
          <w:kern w:val="0"/>
          <w:lang w:val="sr-Cyrl-CS" w:eastAsia="en-GB"/>
        </w:rPr>
        <w:t xml:space="preserve"> </w:t>
      </w:r>
      <w:r w:rsidR="005818C0">
        <w:rPr>
          <w:rFonts w:eastAsia="Times New Roman"/>
          <w:color w:val="auto"/>
          <w:kern w:val="0"/>
          <w:lang w:val="sr-Cyrl-CS" w:eastAsia="en-GB"/>
        </w:rPr>
        <w:t>uočenim</w:t>
      </w:r>
      <w:r w:rsidR="00EB24C3" w:rsidRPr="00E95BC4">
        <w:rPr>
          <w:rFonts w:eastAsia="Times New Roman"/>
          <w:color w:val="auto"/>
          <w:kern w:val="0"/>
          <w:lang w:val="sr-Cyrl-CS" w:eastAsia="en-GB"/>
        </w:rPr>
        <w:t xml:space="preserve"> </w:t>
      </w:r>
      <w:r w:rsidR="005818C0">
        <w:rPr>
          <w:rFonts w:eastAsia="Times New Roman"/>
          <w:color w:val="auto"/>
          <w:kern w:val="0"/>
          <w:lang w:val="sr-Cyrl-CS" w:eastAsia="en-GB"/>
        </w:rPr>
        <w:t>i</w:t>
      </w:r>
      <w:r w:rsidR="00EB24C3" w:rsidRPr="00E95BC4">
        <w:rPr>
          <w:rFonts w:eastAsia="Times New Roman"/>
          <w:color w:val="auto"/>
          <w:kern w:val="0"/>
          <w:lang w:val="sr-Cyrl-CS" w:eastAsia="en-GB"/>
        </w:rPr>
        <w:t xml:space="preserve"> </w:t>
      </w:r>
      <w:r w:rsidR="005818C0">
        <w:rPr>
          <w:rFonts w:eastAsia="Times New Roman"/>
          <w:color w:val="auto"/>
          <w:kern w:val="0"/>
          <w:lang w:val="sr-Cyrl-CS" w:eastAsia="en-GB"/>
        </w:rPr>
        <w:t>procenjenim</w:t>
      </w:r>
      <w:r w:rsidR="00EB24C3" w:rsidRPr="00E95BC4">
        <w:rPr>
          <w:rFonts w:eastAsia="Times New Roman"/>
          <w:color w:val="auto"/>
          <w:kern w:val="0"/>
          <w:lang w:val="sr-Cyrl-CS" w:eastAsia="en-GB"/>
        </w:rPr>
        <w:t xml:space="preserve"> </w:t>
      </w:r>
      <w:r w:rsidR="005818C0">
        <w:rPr>
          <w:rFonts w:eastAsia="Times New Roman"/>
          <w:color w:val="auto"/>
          <w:kern w:val="0"/>
          <w:lang w:val="sr-Cyrl-CS" w:eastAsia="en-GB"/>
        </w:rPr>
        <w:t>rizicima</w:t>
      </w:r>
      <w:r w:rsidR="00EB24C3" w:rsidRPr="00E95BC4">
        <w:rPr>
          <w:rFonts w:eastAsia="Times New Roman"/>
          <w:color w:val="auto"/>
          <w:kern w:val="0"/>
          <w:lang w:val="sr-Cyrl-CS" w:eastAsia="en-GB"/>
        </w:rPr>
        <w:t xml:space="preserve"> </w:t>
      </w:r>
      <w:r w:rsidR="005818C0">
        <w:rPr>
          <w:rFonts w:eastAsia="Times New Roman"/>
          <w:color w:val="auto"/>
          <w:kern w:val="0"/>
          <w:lang w:val="sr-Cyrl-CS" w:eastAsia="en-GB"/>
        </w:rPr>
        <w:t>i</w:t>
      </w:r>
      <w:r w:rsidR="00EB24C3" w:rsidRPr="00E95BC4">
        <w:rPr>
          <w:rFonts w:eastAsia="Times New Roman"/>
          <w:color w:val="auto"/>
          <w:kern w:val="0"/>
          <w:lang w:val="sr-Cyrl-CS" w:eastAsia="en-GB"/>
        </w:rPr>
        <w:t xml:space="preserve"> </w:t>
      </w:r>
      <w:r w:rsidR="005818C0">
        <w:rPr>
          <w:rFonts w:eastAsia="Times New Roman"/>
          <w:color w:val="auto"/>
          <w:kern w:val="0"/>
          <w:lang w:val="sr-Cyrl-CS" w:eastAsia="en-GB"/>
        </w:rPr>
        <w:t>u</w:t>
      </w:r>
      <w:r w:rsidR="00EB24C3" w:rsidRPr="00E95BC4">
        <w:rPr>
          <w:rFonts w:eastAsia="Times New Roman"/>
          <w:color w:val="auto"/>
          <w:kern w:val="0"/>
          <w:lang w:val="sr-Cyrl-CS" w:eastAsia="en-GB"/>
        </w:rPr>
        <w:t xml:space="preserve"> </w:t>
      </w:r>
      <w:r w:rsidR="005818C0">
        <w:rPr>
          <w:rFonts w:eastAsia="Times New Roman"/>
          <w:color w:val="auto"/>
          <w:kern w:val="0"/>
          <w:lang w:val="sr-Cyrl-CS" w:eastAsia="en-GB"/>
        </w:rPr>
        <w:t>koordinaciji</w:t>
      </w:r>
      <w:r w:rsidR="00EB24C3" w:rsidRPr="00E95BC4">
        <w:rPr>
          <w:rFonts w:eastAsia="Times New Roman"/>
          <w:color w:val="auto"/>
          <w:kern w:val="0"/>
          <w:lang w:val="sr-Cyrl-CS" w:eastAsia="en-GB"/>
        </w:rPr>
        <w:t xml:space="preserve"> </w:t>
      </w:r>
      <w:r w:rsidR="005818C0">
        <w:rPr>
          <w:rFonts w:eastAsia="Times New Roman"/>
          <w:color w:val="auto"/>
          <w:kern w:val="0"/>
          <w:lang w:val="sr-Cyrl-CS" w:eastAsia="en-GB"/>
        </w:rPr>
        <w:t>svih</w:t>
      </w:r>
      <w:r w:rsidR="00EB24C3" w:rsidRPr="00E95BC4">
        <w:rPr>
          <w:rFonts w:eastAsia="Times New Roman"/>
          <w:color w:val="auto"/>
          <w:kern w:val="0"/>
          <w:lang w:val="sr-Cyrl-CS" w:eastAsia="en-GB"/>
        </w:rPr>
        <w:t xml:space="preserve"> </w:t>
      </w:r>
      <w:r w:rsidR="005818C0">
        <w:rPr>
          <w:rFonts w:eastAsia="Times New Roman"/>
          <w:color w:val="auto"/>
          <w:kern w:val="0"/>
          <w:lang w:val="sr-Cyrl-CS" w:eastAsia="en-GB"/>
        </w:rPr>
        <w:t>relevantnih</w:t>
      </w:r>
      <w:r w:rsidR="00EB24C3" w:rsidRPr="00E95BC4">
        <w:rPr>
          <w:rFonts w:eastAsia="Times New Roman"/>
          <w:color w:val="auto"/>
          <w:kern w:val="0"/>
          <w:lang w:val="sr-Cyrl-CS" w:eastAsia="en-GB"/>
        </w:rPr>
        <w:t xml:space="preserve"> </w:t>
      </w:r>
      <w:r w:rsidR="005818C0">
        <w:rPr>
          <w:rFonts w:eastAsia="Times New Roman"/>
          <w:color w:val="auto"/>
          <w:kern w:val="0"/>
          <w:lang w:val="sr-Cyrl-CS" w:eastAsia="en-GB"/>
        </w:rPr>
        <w:t>institucija</w:t>
      </w:r>
      <w:r w:rsidR="00EB24C3" w:rsidRPr="00E95BC4">
        <w:rPr>
          <w:rFonts w:eastAsia="Times New Roman"/>
          <w:color w:val="auto"/>
          <w:kern w:val="0"/>
          <w:lang w:val="sr-Cyrl-CS" w:eastAsia="en-GB"/>
        </w:rPr>
        <w:t xml:space="preserve">, </w:t>
      </w:r>
      <w:r w:rsidR="005818C0">
        <w:rPr>
          <w:rFonts w:eastAsia="Times New Roman"/>
          <w:color w:val="auto"/>
          <w:kern w:val="0"/>
          <w:lang w:val="sr-Cyrl-CS" w:eastAsia="en-GB"/>
        </w:rPr>
        <w:t>kao</w:t>
      </w:r>
      <w:r w:rsidR="00EB24C3" w:rsidRPr="00E95BC4">
        <w:rPr>
          <w:rFonts w:eastAsia="Times New Roman"/>
          <w:color w:val="auto"/>
          <w:kern w:val="0"/>
          <w:lang w:val="sr-Cyrl-CS" w:eastAsia="en-GB"/>
        </w:rPr>
        <w:t xml:space="preserve"> </w:t>
      </w:r>
      <w:r w:rsidR="005818C0">
        <w:rPr>
          <w:rFonts w:eastAsia="Times New Roman"/>
          <w:color w:val="auto"/>
          <w:kern w:val="0"/>
          <w:lang w:val="sr-Cyrl-CS" w:eastAsia="en-GB"/>
        </w:rPr>
        <w:t>i</w:t>
      </w:r>
      <w:r w:rsidR="00EB24C3" w:rsidRPr="00E95BC4">
        <w:rPr>
          <w:rFonts w:eastAsia="Times New Roman"/>
          <w:color w:val="auto"/>
          <w:kern w:val="0"/>
          <w:lang w:val="sr-Cyrl-CS" w:eastAsia="en-GB"/>
        </w:rPr>
        <w:t xml:space="preserve"> </w:t>
      </w:r>
      <w:r w:rsidR="005818C0">
        <w:rPr>
          <w:rFonts w:eastAsia="Times New Roman"/>
          <w:color w:val="auto"/>
          <w:kern w:val="0"/>
          <w:lang w:val="sr-Cyrl-CS" w:eastAsia="en-GB"/>
        </w:rPr>
        <w:t>postojanja</w:t>
      </w:r>
      <w:r w:rsidR="00DD0D6E" w:rsidRPr="00E95BC4">
        <w:rPr>
          <w:rFonts w:eastAsia="Times New Roman"/>
          <w:color w:val="auto"/>
          <w:kern w:val="0"/>
          <w:lang w:val="sr-Cyrl-CS" w:eastAsia="en-GB"/>
        </w:rPr>
        <w:t xml:space="preserve"> </w:t>
      </w:r>
      <w:r w:rsidR="005818C0">
        <w:rPr>
          <w:rFonts w:eastAsia="Times New Roman"/>
          <w:color w:val="auto"/>
          <w:kern w:val="0"/>
          <w:lang w:val="sr-Cyrl-CS" w:eastAsia="en-GB"/>
        </w:rPr>
        <w:t>značajnog</w:t>
      </w:r>
      <w:r w:rsidR="00EB24C3" w:rsidRPr="00E95BC4">
        <w:rPr>
          <w:rFonts w:eastAsia="Times New Roman"/>
          <w:color w:val="auto"/>
          <w:kern w:val="0"/>
          <w:lang w:val="sr-Cyrl-CS" w:eastAsia="en-GB"/>
        </w:rPr>
        <w:t xml:space="preserve"> </w:t>
      </w:r>
      <w:r w:rsidR="005818C0">
        <w:rPr>
          <w:rFonts w:eastAsia="Times New Roman"/>
          <w:color w:val="auto"/>
          <w:kern w:val="0"/>
          <w:lang w:val="sr-Cyrl-CS" w:eastAsia="en-GB"/>
        </w:rPr>
        <w:t>opredeljenja</w:t>
      </w:r>
      <w:r w:rsidR="00EB24C3" w:rsidRPr="00E95BC4">
        <w:rPr>
          <w:rFonts w:eastAsia="Times New Roman"/>
          <w:color w:val="auto"/>
          <w:kern w:val="0"/>
          <w:lang w:val="sr-Cyrl-CS" w:eastAsia="en-GB"/>
        </w:rPr>
        <w:t xml:space="preserve"> </w:t>
      </w:r>
      <w:r w:rsidR="005818C0">
        <w:rPr>
          <w:rFonts w:eastAsia="Times New Roman"/>
          <w:color w:val="auto"/>
          <w:kern w:val="0"/>
          <w:lang w:val="sr-Cyrl-CS" w:eastAsia="en-GB"/>
        </w:rPr>
        <w:t>na</w:t>
      </w:r>
      <w:r w:rsidR="00EB24C3" w:rsidRPr="00E95BC4">
        <w:rPr>
          <w:rFonts w:eastAsia="Times New Roman"/>
          <w:color w:val="auto"/>
          <w:kern w:val="0"/>
          <w:lang w:val="sr-Cyrl-CS" w:eastAsia="en-GB"/>
        </w:rPr>
        <w:t xml:space="preserve"> </w:t>
      </w:r>
      <w:r w:rsidR="005818C0">
        <w:rPr>
          <w:rFonts w:eastAsia="Times New Roman"/>
          <w:color w:val="auto"/>
          <w:kern w:val="0"/>
          <w:lang w:val="sr-Cyrl-CS" w:eastAsia="en-GB"/>
        </w:rPr>
        <w:t>visokom</w:t>
      </w:r>
      <w:r w:rsidR="00EB24C3" w:rsidRPr="00E95BC4">
        <w:rPr>
          <w:rFonts w:eastAsia="Times New Roman"/>
          <w:color w:val="auto"/>
          <w:kern w:val="0"/>
          <w:lang w:val="sr-Cyrl-CS" w:eastAsia="en-GB"/>
        </w:rPr>
        <w:t xml:space="preserve"> </w:t>
      </w:r>
      <w:r w:rsidR="005818C0">
        <w:rPr>
          <w:rFonts w:eastAsia="Times New Roman"/>
          <w:color w:val="auto"/>
          <w:kern w:val="0"/>
          <w:lang w:val="sr-Cyrl-CS" w:eastAsia="en-GB"/>
        </w:rPr>
        <w:t>političkom</w:t>
      </w:r>
      <w:r w:rsidR="00EB24C3" w:rsidRPr="00E95BC4">
        <w:rPr>
          <w:rFonts w:eastAsia="Times New Roman"/>
          <w:color w:val="auto"/>
          <w:kern w:val="0"/>
          <w:lang w:val="sr-Cyrl-CS" w:eastAsia="en-GB"/>
        </w:rPr>
        <w:t xml:space="preserve"> </w:t>
      </w:r>
      <w:r w:rsidR="005818C0">
        <w:rPr>
          <w:rFonts w:eastAsia="Times New Roman"/>
          <w:color w:val="auto"/>
          <w:kern w:val="0"/>
          <w:lang w:val="sr-Cyrl-CS" w:eastAsia="en-GB"/>
        </w:rPr>
        <w:t>nivou</w:t>
      </w:r>
      <w:r w:rsidR="00EB24C3" w:rsidRPr="00E95BC4">
        <w:rPr>
          <w:rFonts w:eastAsia="Times New Roman"/>
          <w:color w:val="auto"/>
          <w:kern w:val="0"/>
          <w:lang w:val="sr-Cyrl-CS" w:eastAsia="en-GB"/>
        </w:rPr>
        <w:t xml:space="preserve"> </w:t>
      </w:r>
      <w:r w:rsidR="005818C0">
        <w:rPr>
          <w:rFonts w:eastAsia="Times New Roman"/>
          <w:color w:val="auto"/>
          <w:kern w:val="0"/>
          <w:lang w:val="sr-Cyrl-CS" w:eastAsia="en-GB"/>
        </w:rPr>
        <w:t>za</w:t>
      </w:r>
      <w:r w:rsidR="00EB24C3" w:rsidRPr="00E95BC4">
        <w:rPr>
          <w:rFonts w:eastAsia="Times New Roman"/>
          <w:color w:val="auto"/>
          <w:kern w:val="0"/>
          <w:lang w:val="sr-Cyrl-CS" w:eastAsia="en-GB"/>
        </w:rPr>
        <w:t xml:space="preserve"> </w:t>
      </w:r>
      <w:r w:rsidR="005818C0">
        <w:rPr>
          <w:rFonts w:eastAsia="Times New Roman"/>
          <w:color w:val="auto"/>
          <w:kern w:val="0"/>
          <w:lang w:val="sr-Cyrl-CS" w:eastAsia="en-GB"/>
        </w:rPr>
        <w:t>rešavanje</w:t>
      </w:r>
      <w:r w:rsidR="00EB24C3" w:rsidRPr="00E95BC4">
        <w:rPr>
          <w:rFonts w:eastAsia="Times New Roman"/>
          <w:color w:val="auto"/>
          <w:kern w:val="0"/>
          <w:lang w:val="sr-Cyrl-CS" w:eastAsia="en-GB"/>
        </w:rPr>
        <w:t xml:space="preserve"> </w:t>
      </w:r>
      <w:r w:rsidR="005818C0">
        <w:rPr>
          <w:rFonts w:eastAsia="Times New Roman"/>
          <w:color w:val="auto"/>
          <w:kern w:val="0"/>
          <w:lang w:val="sr-Cyrl-CS" w:eastAsia="en-GB"/>
        </w:rPr>
        <w:t>ovih</w:t>
      </w:r>
      <w:r w:rsidR="00EB24C3" w:rsidRPr="00E95BC4">
        <w:rPr>
          <w:rFonts w:eastAsia="Times New Roman"/>
          <w:color w:val="auto"/>
          <w:kern w:val="0"/>
          <w:lang w:val="sr-Cyrl-CS" w:eastAsia="en-GB"/>
        </w:rPr>
        <w:t xml:space="preserve"> </w:t>
      </w:r>
      <w:r w:rsidR="005818C0">
        <w:rPr>
          <w:rFonts w:eastAsia="Times New Roman"/>
          <w:color w:val="auto"/>
          <w:kern w:val="0"/>
          <w:lang w:val="sr-Cyrl-CS" w:eastAsia="en-GB"/>
        </w:rPr>
        <w:t>pitanja</w:t>
      </w:r>
      <w:r w:rsidR="00EB24C3" w:rsidRPr="00E95BC4">
        <w:rPr>
          <w:rFonts w:eastAsia="Times New Roman"/>
          <w:color w:val="auto"/>
          <w:kern w:val="0"/>
          <w:lang w:val="sr-Cyrl-CS" w:eastAsia="en-GB"/>
        </w:rPr>
        <w:t xml:space="preserve">, </w:t>
      </w:r>
      <w:r w:rsidR="005818C0">
        <w:rPr>
          <w:rFonts w:eastAsia="Times New Roman"/>
          <w:color w:val="auto"/>
          <w:kern w:val="0"/>
          <w:lang w:val="sr-Cyrl-CS" w:eastAsia="en-GB"/>
        </w:rPr>
        <w:t>što</w:t>
      </w:r>
      <w:r w:rsidR="00EB24C3" w:rsidRPr="00E95BC4">
        <w:rPr>
          <w:rFonts w:eastAsia="Times New Roman"/>
          <w:color w:val="auto"/>
          <w:kern w:val="0"/>
          <w:lang w:val="sr-Cyrl-CS" w:eastAsia="en-GB"/>
        </w:rPr>
        <w:t xml:space="preserve"> </w:t>
      </w:r>
      <w:r w:rsidR="005818C0">
        <w:rPr>
          <w:rFonts w:eastAsia="Times New Roman"/>
          <w:color w:val="auto"/>
          <w:kern w:val="0"/>
          <w:lang w:val="sr-Cyrl-CS" w:eastAsia="en-GB"/>
        </w:rPr>
        <w:t>se</w:t>
      </w:r>
      <w:r w:rsidR="00EB24C3" w:rsidRPr="00E95BC4">
        <w:rPr>
          <w:rFonts w:eastAsia="Times New Roman"/>
          <w:color w:val="auto"/>
          <w:kern w:val="0"/>
          <w:lang w:val="sr-Cyrl-CS" w:eastAsia="en-GB"/>
        </w:rPr>
        <w:t xml:space="preserve"> </w:t>
      </w:r>
      <w:r w:rsidR="005818C0">
        <w:rPr>
          <w:rFonts w:eastAsia="Times New Roman"/>
          <w:color w:val="auto"/>
          <w:kern w:val="0"/>
          <w:lang w:val="sr-Cyrl-CS" w:eastAsia="en-GB"/>
        </w:rPr>
        <w:t>očekuje</w:t>
      </w:r>
      <w:r w:rsidR="00EB24C3" w:rsidRPr="00E95BC4">
        <w:rPr>
          <w:rFonts w:eastAsia="Times New Roman"/>
          <w:color w:val="auto"/>
          <w:kern w:val="0"/>
          <w:lang w:val="sr-Cyrl-CS" w:eastAsia="en-GB"/>
        </w:rPr>
        <w:t xml:space="preserve"> </w:t>
      </w:r>
      <w:r w:rsidR="005818C0">
        <w:rPr>
          <w:rFonts w:eastAsia="Times New Roman"/>
          <w:color w:val="auto"/>
          <w:kern w:val="0"/>
          <w:lang w:val="sr-Cyrl-CS" w:eastAsia="en-GB"/>
        </w:rPr>
        <w:t>od</w:t>
      </w:r>
      <w:r w:rsidR="00EB24C3" w:rsidRPr="00E95BC4">
        <w:rPr>
          <w:rFonts w:eastAsia="Times New Roman"/>
          <w:color w:val="auto"/>
          <w:kern w:val="0"/>
          <w:lang w:val="sr-Cyrl-CS" w:eastAsia="en-GB"/>
        </w:rPr>
        <w:t xml:space="preserve"> </w:t>
      </w:r>
      <w:r w:rsidR="005818C0">
        <w:rPr>
          <w:rFonts w:eastAsia="Times New Roman"/>
          <w:color w:val="auto"/>
          <w:kern w:val="0"/>
          <w:lang w:val="sr-Cyrl-CS" w:eastAsia="en-GB"/>
        </w:rPr>
        <w:t>država</w:t>
      </w:r>
      <w:r w:rsidR="00EB24C3" w:rsidRPr="00E95BC4">
        <w:rPr>
          <w:rFonts w:eastAsia="Times New Roman"/>
          <w:color w:val="auto"/>
          <w:kern w:val="0"/>
          <w:lang w:val="sr-Cyrl-CS" w:eastAsia="en-GB"/>
        </w:rPr>
        <w:t xml:space="preserve"> </w:t>
      </w:r>
      <w:r w:rsidR="005818C0">
        <w:rPr>
          <w:rFonts w:eastAsia="Times New Roman"/>
          <w:color w:val="auto"/>
          <w:kern w:val="0"/>
          <w:lang w:val="sr-Cyrl-CS" w:eastAsia="en-GB"/>
        </w:rPr>
        <w:t>koje</w:t>
      </w:r>
      <w:r w:rsidR="00EB24C3" w:rsidRPr="00E95BC4">
        <w:rPr>
          <w:rFonts w:eastAsia="Times New Roman"/>
          <w:color w:val="auto"/>
          <w:kern w:val="0"/>
          <w:lang w:val="sr-Cyrl-CS" w:eastAsia="en-GB"/>
        </w:rPr>
        <w:t xml:space="preserve"> </w:t>
      </w:r>
      <w:r w:rsidR="005818C0">
        <w:rPr>
          <w:rFonts w:eastAsia="Times New Roman"/>
          <w:color w:val="auto"/>
          <w:kern w:val="0"/>
          <w:lang w:val="sr-Cyrl-CS" w:eastAsia="en-GB"/>
        </w:rPr>
        <w:t>su</w:t>
      </w:r>
      <w:r w:rsidR="00EB24C3" w:rsidRPr="00E95BC4">
        <w:rPr>
          <w:rFonts w:eastAsia="Times New Roman"/>
          <w:color w:val="auto"/>
          <w:kern w:val="0"/>
          <w:lang w:val="sr-Cyrl-CS" w:eastAsia="en-GB"/>
        </w:rPr>
        <w:t xml:space="preserve"> </w:t>
      </w:r>
      <w:r w:rsidR="005818C0">
        <w:rPr>
          <w:rFonts w:eastAsia="Times New Roman"/>
          <w:color w:val="auto"/>
          <w:kern w:val="0"/>
          <w:lang w:val="sr-Cyrl-CS" w:eastAsia="en-GB"/>
        </w:rPr>
        <w:t>posvećene</w:t>
      </w:r>
      <w:r w:rsidR="00EB24C3" w:rsidRPr="00E95BC4">
        <w:rPr>
          <w:rFonts w:eastAsia="Times New Roman"/>
          <w:color w:val="auto"/>
          <w:kern w:val="0"/>
          <w:lang w:val="sr-Cyrl-CS" w:eastAsia="en-GB"/>
        </w:rPr>
        <w:t xml:space="preserve"> </w:t>
      </w:r>
      <w:r w:rsidR="005818C0">
        <w:rPr>
          <w:rFonts w:eastAsia="Times New Roman"/>
          <w:color w:val="auto"/>
          <w:kern w:val="0"/>
          <w:lang w:val="sr-Cyrl-CS" w:eastAsia="en-GB"/>
        </w:rPr>
        <w:t>globalnoj</w:t>
      </w:r>
      <w:r w:rsidR="00EB24C3" w:rsidRPr="00E95BC4">
        <w:rPr>
          <w:rFonts w:eastAsia="Times New Roman"/>
          <w:color w:val="auto"/>
          <w:kern w:val="0"/>
          <w:lang w:val="sr-Cyrl-CS" w:eastAsia="en-GB"/>
        </w:rPr>
        <w:t xml:space="preserve"> </w:t>
      </w:r>
      <w:r w:rsidR="005818C0">
        <w:rPr>
          <w:rFonts w:eastAsia="Times New Roman"/>
          <w:color w:val="auto"/>
          <w:kern w:val="0"/>
          <w:lang w:val="sr-Cyrl-CS" w:eastAsia="en-GB"/>
        </w:rPr>
        <w:t>borbi</w:t>
      </w:r>
      <w:r w:rsidR="00EB24C3" w:rsidRPr="00E95BC4">
        <w:rPr>
          <w:rFonts w:eastAsia="Times New Roman"/>
          <w:color w:val="auto"/>
          <w:kern w:val="0"/>
          <w:lang w:val="sr-Cyrl-CS" w:eastAsia="en-GB"/>
        </w:rPr>
        <w:t xml:space="preserve"> </w:t>
      </w:r>
      <w:r w:rsidR="005818C0">
        <w:rPr>
          <w:rFonts w:eastAsia="Times New Roman"/>
          <w:color w:val="auto"/>
          <w:kern w:val="0"/>
          <w:lang w:val="sr-Cyrl-CS" w:eastAsia="en-GB"/>
        </w:rPr>
        <w:t>protiv</w:t>
      </w:r>
      <w:r w:rsidR="00EB24C3" w:rsidRPr="00E95BC4">
        <w:rPr>
          <w:rFonts w:eastAsia="Times New Roman"/>
          <w:color w:val="auto"/>
          <w:kern w:val="0"/>
          <w:lang w:val="sr-Cyrl-CS" w:eastAsia="en-GB"/>
        </w:rPr>
        <w:t xml:space="preserve"> </w:t>
      </w:r>
      <w:r w:rsidR="005818C0">
        <w:rPr>
          <w:rFonts w:eastAsia="Times New Roman"/>
          <w:color w:val="auto"/>
          <w:kern w:val="0"/>
          <w:lang w:val="sr-Cyrl-CS" w:eastAsia="en-GB"/>
        </w:rPr>
        <w:t>pranja</w:t>
      </w:r>
      <w:r w:rsidR="00EB24C3" w:rsidRPr="00E95BC4">
        <w:rPr>
          <w:rFonts w:eastAsia="Times New Roman"/>
          <w:color w:val="auto"/>
          <w:kern w:val="0"/>
          <w:lang w:val="sr-Cyrl-CS" w:eastAsia="en-GB"/>
        </w:rPr>
        <w:t xml:space="preserve"> </w:t>
      </w:r>
      <w:r w:rsidR="005818C0">
        <w:rPr>
          <w:rFonts w:eastAsia="Times New Roman"/>
          <w:color w:val="auto"/>
          <w:kern w:val="0"/>
          <w:lang w:val="sr-Cyrl-CS" w:eastAsia="en-GB"/>
        </w:rPr>
        <w:t>novca</w:t>
      </w:r>
      <w:r w:rsidR="00EB24C3" w:rsidRPr="00E95BC4">
        <w:rPr>
          <w:rFonts w:eastAsia="Times New Roman"/>
          <w:color w:val="auto"/>
          <w:kern w:val="0"/>
          <w:lang w:val="sr-Cyrl-CS" w:eastAsia="en-GB"/>
        </w:rPr>
        <w:t xml:space="preserve"> </w:t>
      </w:r>
      <w:r w:rsidR="005818C0">
        <w:rPr>
          <w:rFonts w:eastAsia="Times New Roman"/>
          <w:color w:val="auto"/>
          <w:kern w:val="0"/>
          <w:lang w:val="sr-Cyrl-CS" w:eastAsia="en-GB"/>
        </w:rPr>
        <w:t>i</w:t>
      </w:r>
      <w:r w:rsidR="00EB24C3" w:rsidRPr="00E95BC4">
        <w:rPr>
          <w:rFonts w:eastAsia="Times New Roman"/>
          <w:color w:val="auto"/>
          <w:kern w:val="0"/>
          <w:lang w:val="sr-Cyrl-CS" w:eastAsia="en-GB"/>
        </w:rPr>
        <w:t xml:space="preserve"> </w:t>
      </w:r>
      <w:r w:rsidR="005818C0">
        <w:rPr>
          <w:rFonts w:eastAsia="Times New Roman"/>
          <w:color w:val="auto"/>
          <w:kern w:val="0"/>
          <w:lang w:val="sr-Cyrl-CS" w:eastAsia="en-GB"/>
        </w:rPr>
        <w:t>finansiranja</w:t>
      </w:r>
      <w:r w:rsidR="00EB24C3" w:rsidRPr="00E95BC4">
        <w:rPr>
          <w:rFonts w:eastAsia="Times New Roman"/>
          <w:color w:val="auto"/>
          <w:kern w:val="0"/>
          <w:lang w:val="sr-Cyrl-CS" w:eastAsia="en-GB"/>
        </w:rPr>
        <w:t xml:space="preserve"> </w:t>
      </w:r>
      <w:r w:rsidR="005818C0">
        <w:rPr>
          <w:rFonts w:eastAsia="Times New Roman"/>
          <w:color w:val="auto"/>
          <w:kern w:val="0"/>
          <w:lang w:val="sr-Cyrl-CS" w:eastAsia="en-GB"/>
        </w:rPr>
        <w:t>terorizma</w:t>
      </w:r>
      <w:r w:rsidR="00EB24C3" w:rsidRPr="00E95BC4">
        <w:rPr>
          <w:rFonts w:eastAsia="Times New Roman"/>
          <w:color w:val="auto"/>
          <w:kern w:val="0"/>
          <w:lang w:val="sr-Cyrl-CS" w:eastAsia="en-GB"/>
        </w:rPr>
        <w:t xml:space="preserve">. </w:t>
      </w:r>
    </w:p>
    <w:p w:rsidR="00EB24C3" w:rsidRPr="00E95BC4" w:rsidRDefault="00EB24C3" w:rsidP="00EB24C3">
      <w:pPr>
        <w:tabs>
          <w:tab w:val="left" w:pos="709"/>
        </w:tabs>
        <w:jc w:val="both"/>
        <w:rPr>
          <w:rFonts w:eastAsia="Times New Roman"/>
          <w:color w:val="auto"/>
          <w:kern w:val="0"/>
          <w:lang w:val="sr-Cyrl-CS" w:eastAsia="en-GB"/>
        </w:rPr>
      </w:pPr>
    </w:p>
    <w:p w:rsidR="004420AE" w:rsidRPr="00E95BC4" w:rsidRDefault="005818C0" w:rsidP="004420AE">
      <w:pPr>
        <w:pStyle w:val="Heading1"/>
        <w:spacing w:before="0"/>
        <w:ind w:firstLine="720"/>
        <w:rPr>
          <w:rFonts w:ascii="Times New Roman" w:hAnsi="Times New Roman" w:cs="Times New Roman"/>
          <w:color w:val="auto"/>
          <w:sz w:val="24"/>
          <w:szCs w:val="24"/>
          <w:lang w:val="sr-Cyrl-CS"/>
        </w:rPr>
      </w:pPr>
      <w:bookmarkStart w:id="8" w:name="_Toc32409897"/>
      <w:r>
        <w:rPr>
          <w:rFonts w:ascii="Times New Roman" w:hAnsi="Times New Roman" w:cs="Times New Roman"/>
          <w:color w:val="auto"/>
          <w:sz w:val="24"/>
          <w:szCs w:val="24"/>
          <w:lang w:val="sr-Cyrl-CS"/>
        </w:rPr>
        <w:t>Izbor</w:t>
      </w:r>
      <w:r w:rsidR="004420AE" w:rsidRPr="00E95BC4">
        <w:rPr>
          <w:rFonts w:ascii="Times New Roman" w:hAnsi="Times New Roman" w:cs="Times New Roman"/>
          <w:color w:val="auto"/>
          <w:sz w:val="24"/>
          <w:szCs w:val="24"/>
          <w:lang w:val="sr-Cyrl-CS"/>
        </w:rPr>
        <w:t xml:space="preserve"> </w:t>
      </w:r>
      <w:r>
        <w:rPr>
          <w:rFonts w:ascii="Times New Roman" w:hAnsi="Times New Roman" w:cs="Times New Roman"/>
          <w:color w:val="auto"/>
          <w:sz w:val="24"/>
          <w:szCs w:val="24"/>
          <w:lang w:val="sr-Cyrl-CS"/>
        </w:rPr>
        <w:t>optimalne</w:t>
      </w:r>
      <w:r w:rsidR="004420AE" w:rsidRPr="00E95BC4">
        <w:rPr>
          <w:rFonts w:ascii="Times New Roman" w:hAnsi="Times New Roman" w:cs="Times New Roman"/>
          <w:color w:val="auto"/>
          <w:sz w:val="24"/>
          <w:szCs w:val="24"/>
          <w:lang w:val="sr-Cyrl-CS"/>
        </w:rPr>
        <w:t xml:space="preserve"> </w:t>
      </w:r>
      <w:r>
        <w:rPr>
          <w:rFonts w:ascii="Times New Roman" w:hAnsi="Times New Roman" w:cs="Times New Roman"/>
          <w:color w:val="auto"/>
          <w:sz w:val="24"/>
          <w:szCs w:val="24"/>
          <w:lang w:val="sr-Cyrl-CS"/>
        </w:rPr>
        <w:t>opcije</w:t>
      </w:r>
      <w:bookmarkEnd w:id="8"/>
    </w:p>
    <w:p w:rsidR="004420AE" w:rsidRPr="00E95BC4" w:rsidRDefault="004420AE" w:rsidP="00EB24C3">
      <w:pPr>
        <w:tabs>
          <w:tab w:val="left" w:pos="709"/>
        </w:tabs>
        <w:jc w:val="both"/>
        <w:rPr>
          <w:rFonts w:eastAsia="Times New Roman"/>
          <w:color w:val="auto"/>
          <w:kern w:val="0"/>
          <w:lang w:val="sr-Cyrl-CS" w:eastAsia="en-GB"/>
        </w:rPr>
      </w:pPr>
    </w:p>
    <w:p w:rsidR="00206857" w:rsidRPr="00E95BC4" w:rsidRDefault="004420AE" w:rsidP="00EB24C3">
      <w:pPr>
        <w:tabs>
          <w:tab w:val="left" w:pos="709"/>
        </w:tabs>
        <w:jc w:val="both"/>
        <w:rPr>
          <w:rFonts w:eastAsia="Times New Roman"/>
          <w:color w:val="auto"/>
          <w:kern w:val="0"/>
          <w:lang w:val="sr-Cyrl-CS" w:eastAsia="en-GB"/>
        </w:rPr>
      </w:pPr>
      <w:r w:rsidRPr="00E95BC4">
        <w:rPr>
          <w:rFonts w:eastAsia="Times New Roman"/>
          <w:color w:val="auto"/>
          <w:kern w:val="0"/>
          <w:lang w:val="sr-Cyrl-CS" w:eastAsia="en-GB"/>
        </w:rPr>
        <w:tab/>
      </w:r>
      <w:r w:rsidR="005818C0">
        <w:rPr>
          <w:rFonts w:eastAsia="Times New Roman"/>
          <w:color w:val="auto"/>
          <w:kern w:val="0"/>
          <w:lang w:val="sr-Cyrl-CS" w:eastAsia="en-GB"/>
        </w:rPr>
        <w:t>U</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okviru</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konsultativnog</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procesa</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i</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ekspertske</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procene</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utvrđeno</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je</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da</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je</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najoptimalnije</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opredeliti</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se</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za</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Opciju</w:t>
      </w:r>
      <w:r w:rsidRPr="00E95BC4">
        <w:rPr>
          <w:rFonts w:eastAsia="Times New Roman"/>
          <w:color w:val="auto"/>
          <w:kern w:val="0"/>
          <w:lang w:val="sr-Cyrl-CS" w:eastAsia="en-GB"/>
        </w:rPr>
        <w:t xml:space="preserve"> 3, </w:t>
      </w:r>
      <w:r w:rsidR="005818C0">
        <w:rPr>
          <w:rFonts w:eastAsia="Times New Roman"/>
          <w:color w:val="auto"/>
          <w:kern w:val="0"/>
          <w:lang w:val="sr-Cyrl-CS" w:eastAsia="en-GB"/>
        </w:rPr>
        <w:t>tj</w:t>
      </w:r>
      <w:r w:rsidR="00D17E15" w:rsidRPr="00E95BC4">
        <w:rPr>
          <w:rFonts w:eastAsia="Times New Roman"/>
          <w:color w:val="auto"/>
          <w:kern w:val="0"/>
          <w:lang w:val="sr-Cyrl-CS" w:eastAsia="en-GB"/>
        </w:rPr>
        <w:t>.</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doneti</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jedinstveni</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međusektorski</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dokument</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javne</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politike</w:t>
      </w:r>
      <w:r w:rsidR="000F7156">
        <w:rPr>
          <w:rFonts w:eastAsia="Times New Roman"/>
          <w:color w:val="auto"/>
          <w:kern w:val="0"/>
          <w:lang w:val="sr-Cyrl-CS" w:eastAsia="en-GB"/>
        </w:rPr>
        <w:t>,</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odnosno</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međusektorsku</w:t>
      </w:r>
      <w:r w:rsidRPr="00E95BC4">
        <w:rPr>
          <w:rFonts w:eastAsia="Times New Roman"/>
          <w:color w:val="auto"/>
          <w:kern w:val="0"/>
          <w:lang w:val="sr-Cyrl-CS" w:eastAsia="en-GB"/>
        </w:rPr>
        <w:t xml:space="preserve"> </w:t>
      </w:r>
      <w:r w:rsidR="005818C0">
        <w:rPr>
          <w:rFonts w:eastAsia="Times New Roman"/>
          <w:color w:val="auto"/>
          <w:kern w:val="0"/>
          <w:lang w:val="sr-Cyrl-CS" w:eastAsia="en-GB"/>
        </w:rPr>
        <w:t>strategiju</w:t>
      </w:r>
      <w:r w:rsidRPr="00E95BC4">
        <w:rPr>
          <w:rFonts w:eastAsia="Times New Roman"/>
          <w:color w:val="auto"/>
          <w:kern w:val="0"/>
          <w:lang w:val="sr-Cyrl-CS" w:eastAsia="en-GB"/>
        </w:rPr>
        <w:t>.</w:t>
      </w:r>
    </w:p>
    <w:p w:rsidR="00EB24C3" w:rsidRPr="00E95BC4" w:rsidRDefault="00EB24C3" w:rsidP="00EB24C3">
      <w:pPr>
        <w:tabs>
          <w:tab w:val="left" w:pos="709"/>
        </w:tabs>
        <w:jc w:val="both"/>
        <w:rPr>
          <w:lang w:val="sr-Cyrl-CS"/>
        </w:rPr>
      </w:pPr>
    </w:p>
    <w:p w:rsidR="00A278FF" w:rsidRPr="00E95BC4" w:rsidRDefault="005818C0" w:rsidP="00285FD7">
      <w:pPr>
        <w:pStyle w:val="Heading1"/>
        <w:spacing w:before="0"/>
        <w:ind w:firstLine="720"/>
        <w:rPr>
          <w:rFonts w:ascii="Times New Roman" w:hAnsi="Times New Roman" w:cs="Times New Roman"/>
          <w:sz w:val="24"/>
          <w:szCs w:val="24"/>
          <w:lang w:val="sr-Cyrl-CS"/>
        </w:rPr>
      </w:pPr>
      <w:bookmarkStart w:id="9" w:name="_Toc32409898"/>
      <w:r>
        <w:rPr>
          <w:rFonts w:ascii="Times New Roman" w:hAnsi="Times New Roman" w:cs="Times New Roman"/>
          <w:color w:val="auto"/>
          <w:sz w:val="24"/>
          <w:szCs w:val="24"/>
          <w:lang w:val="sr-Cyrl-CS"/>
        </w:rPr>
        <w:t>Mere</w:t>
      </w:r>
      <w:r w:rsidR="00A278FF" w:rsidRPr="00E95BC4">
        <w:rPr>
          <w:rFonts w:ascii="Times New Roman" w:hAnsi="Times New Roman" w:cs="Times New Roman"/>
          <w:color w:val="auto"/>
          <w:sz w:val="24"/>
          <w:szCs w:val="24"/>
          <w:lang w:val="sr-Cyrl-CS"/>
        </w:rPr>
        <w:t xml:space="preserve"> </w:t>
      </w:r>
      <w:r>
        <w:rPr>
          <w:rFonts w:ascii="Times New Roman" w:hAnsi="Times New Roman" w:cs="Times New Roman"/>
          <w:color w:val="auto"/>
          <w:sz w:val="24"/>
          <w:szCs w:val="24"/>
          <w:lang w:val="sr-Cyrl-CS"/>
        </w:rPr>
        <w:t>za</w:t>
      </w:r>
      <w:r w:rsidR="00A278FF" w:rsidRPr="00E95BC4">
        <w:rPr>
          <w:rFonts w:ascii="Times New Roman" w:hAnsi="Times New Roman" w:cs="Times New Roman"/>
          <w:color w:val="auto"/>
          <w:sz w:val="24"/>
          <w:szCs w:val="24"/>
          <w:lang w:val="sr-Cyrl-CS"/>
        </w:rPr>
        <w:t xml:space="preserve"> </w:t>
      </w:r>
      <w:r>
        <w:rPr>
          <w:rFonts w:ascii="Times New Roman" w:hAnsi="Times New Roman" w:cs="Times New Roman"/>
          <w:color w:val="auto"/>
          <w:sz w:val="24"/>
          <w:szCs w:val="24"/>
          <w:lang w:val="sr-Cyrl-CS"/>
        </w:rPr>
        <w:t>ostvarivanje</w:t>
      </w:r>
      <w:r w:rsidR="00A278FF" w:rsidRPr="00E95BC4">
        <w:rPr>
          <w:rFonts w:ascii="Times New Roman" w:hAnsi="Times New Roman" w:cs="Times New Roman"/>
          <w:color w:val="auto"/>
          <w:sz w:val="24"/>
          <w:szCs w:val="24"/>
          <w:lang w:val="sr-Cyrl-CS"/>
        </w:rPr>
        <w:t xml:space="preserve"> </w:t>
      </w:r>
      <w:r>
        <w:rPr>
          <w:rFonts w:ascii="Times New Roman" w:hAnsi="Times New Roman" w:cs="Times New Roman"/>
          <w:color w:val="auto"/>
          <w:sz w:val="24"/>
          <w:szCs w:val="24"/>
          <w:lang w:val="sr-Cyrl-CS"/>
        </w:rPr>
        <w:t>cilja</w:t>
      </w:r>
      <w:r w:rsidR="00A278FF" w:rsidRPr="00E95BC4">
        <w:rPr>
          <w:rFonts w:ascii="Times New Roman" w:hAnsi="Times New Roman" w:cs="Times New Roman"/>
          <w:color w:val="auto"/>
          <w:sz w:val="24"/>
          <w:szCs w:val="24"/>
          <w:lang w:val="sr-Cyrl-CS"/>
        </w:rPr>
        <w:t xml:space="preserve"> </w:t>
      </w:r>
      <w:r>
        <w:rPr>
          <w:rFonts w:ascii="Times New Roman" w:hAnsi="Times New Roman" w:cs="Times New Roman"/>
          <w:color w:val="auto"/>
          <w:sz w:val="24"/>
          <w:szCs w:val="24"/>
          <w:lang w:val="sr-Cyrl-CS"/>
        </w:rPr>
        <w:t>i</w:t>
      </w:r>
      <w:r w:rsidR="00A278FF" w:rsidRPr="00E95BC4">
        <w:rPr>
          <w:rFonts w:ascii="Times New Roman" w:hAnsi="Times New Roman" w:cs="Times New Roman"/>
          <w:color w:val="auto"/>
          <w:sz w:val="24"/>
          <w:szCs w:val="24"/>
          <w:lang w:val="sr-Cyrl-CS"/>
        </w:rPr>
        <w:t xml:space="preserve"> </w:t>
      </w:r>
      <w:r>
        <w:rPr>
          <w:rFonts w:ascii="Times New Roman" w:hAnsi="Times New Roman" w:cs="Times New Roman"/>
          <w:color w:val="auto"/>
          <w:sz w:val="24"/>
          <w:szCs w:val="24"/>
          <w:lang w:val="sr-Cyrl-CS"/>
        </w:rPr>
        <w:t>analiza</w:t>
      </w:r>
      <w:r w:rsidR="00A278FF" w:rsidRPr="00E95BC4">
        <w:rPr>
          <w:rFonts w:ascii="Times New Roman" w:hAnsi="Times New Roman" w:cs="Times New Roman"/>
          <w:color w:val="auto"/>
          <w:sz w:val="24"/>
          <w:szCs w:val="24"/>
          <w:lang w:val="sr-Cyrl-CS"/>
        </w:rPr>
        <w:t xml:space="preserve"> </w:t>
      </w:r>
      <w:r>
        <w:rPr>
          <w:rFonts w:ascii="Times New Roman" w:hAnsi="Times New Roman" w:cs="Times New Roman"/>
          <w:color w:val="auto"/>
          <w:sz w:val="24"/>
          <w:szCs w:val="24"/>
          <w:lang w:val="sr-Cyrl-CS"/>
        </w:rPr>
        <w:t>njihovih</w:t>
      </w:r>
      <w:r w:rsidR="00A278FF" w:rsidRPr="00E95BC4">
        <w:rPr>
          <w:rFonts w:ascii="Times New Roman" w:hAnsi="Times New Roman" w:cs="Times New Roman"/>
          <w:color w:val="auto"/>
          <w:sz w:val="24"/>
          <w:szCs w:val="24"/>
          <w:lang w:val="sr-Cyrl-CS"/>
        </w:rPr>
        <w:t xml:space="preserve"> </w:t>
      </w:r>
      <w:r>
        <w:rPr>
          <w:rFonts w:ascii="Times New Roman" w:hAnsi="Times New Roman" w:cs="Times New Roman"/>
          <w:color w:val="auto"/>
          <w:sz w:val="24"/>
          <w:szCs w:val="24"/>
          <w:lang w:val="sr-Cyrl-CS"/>
        </w:rPr>
        <w:t>efekata</w:t>
      </w:r>
      <w:bookmarkEnd w:id="9"/>
    </w:p>
    <w:p w:rsidR="0004492D" w:rsidRPr="00E95BC4" w:rsidRDefault="0004492D" w:rsidP="00285FD7">
      <w:pPr>
        <w:pStyle w:val="ListParagraph"/>
        <w:tabs>
          <w:tab w:val="left" w:pos="990"/>
        </w:tabs>
        <w:ind w:left="1080"/>
        <w:jc w:val="both"/>
        <w:rPr>
          <w:rFonts w:eastAsia="Times New Roman"/>
          <w:color w:val="auto"/>
          <w:kern w:val="0"/>
          <w:lang w:val="sr-Cyrl-CS" w:eastAsia="en-GB"/>
        </w:rPr>
      </w:pPr>
    </w:p>
    <w:p w:rsidR="001B60B1" w:rsidRPr="00E95BC4" w:rsidRDefault="005818C0" w:rsidP="001B60B1">
      <w:pPr>
        <w:jc w:val="both"/>
        <w:rPr>
          <w:lang w:val="sr-Cyrl-CS"/>
        </w:rPr>
      </w:pPr>
      <w:r>
        <w:rPr>
          <w:lang w:val="sr-Cyrl-CS"/>
        </w:rPr>
        <w:t>U</w:t>
      </w:r>
      <w:r w:rsidR="001B60B1" w:rsidRPr="00E95BC4">
        <w:rPr>
          <w:lang w:val="sr-Cyrl-CS"/>
        </w:rPr>
        <w:t xml:space="preserve"> </w:t>
      </w:r>
      <w:r>
        <w:rPr>
          <w:lang w:val="sr-Cyrl-CS"/>
        </w:rPr>
        <w:t>nastavku</w:t>
      </w:r>
      <w:r w:rsidR="001B60B1" w:rsidRPr="00E95BC4">
        <w:rPr>
          <w:lang w:val="sr-Cyrl-CS"/>
        </w:rPr>
        <w:t xml:space="preserve"> </w:t>
      </w:r>
      <w:r>
        <w:rPr>
          <w:lang w:val="sr-Cyrl-CS"/>
        </w:rPr>
        <w:t>se</w:t>
      </w:r>
      <w:r w:rsidR="001B60B1" w:rsidRPr="00E95BC4">
        <w:rPr>
          <w:lang w:val="sr-Cyrl-CS"/>
        </w:rPr>
        <w:t xml:space="preserve"> </w:t>
      </w:r>
      <w:r>
        <w:rPr>
          <w:lang w:val="sr-Cyrl-CS"/>
        </w:rPr>
        <w:t>navode</w:t>
      </w:r>
      <w:r w:rsidR="001B60B1" w:rsidRPr="00E95BC4">
        <w:rPr>
          <w:lang w:val="sr-Cyrl-CS"/>
        </w:rPr>
        <w:t xml:space="preserve"> </w:t>
      </w:r>
      <w:r>
        <w:rPr>
          <w:lang w:val="sr-Cyrl-CS"/>
        </w:rPr>
        <w:t>mere</w:t>
      </w:r>
      <w:r w:rsidR="001B60B1" w:rsidRPr="00E95BC4">
        <w:rPr>
          <w:lang w:val="sr-Cyrl-CS"/>
        </w:rPr>
        <w:t xml:space="preserve"> </w:t>
      </w:r>
      <w:r>
        <w:rPr>
          <w:lang w:val="sr-Cyrl-CS"/>
        </w:rPr>
        <w:t>kojima</w:t>
      </w:r>
      <w:r w:rsidR="001B60B1" w:rsidRPr="00E95BC4">
        <w:rPr>
          <w:lang w:val="sr-Cyrl-CS"/>
        </w:rPr>
        <w:t xml:space="preserve"> </w:t>
      </w:r>
      <w:r>
        <w:rPr>
          <w:lang w:val="sr-Cyrl-CS"/>
        </w:rPr>
        <w:t>se</w:t>
      </w:r>
      <w:r w:rsidR="001B60B1" w:rsidRPr="00E95BC4">
        <w:rPr>
          <w:lang w:val="sr-Cyrl-CS"/>
        </w:rPr>
        <w:t xml:space="preserve"> </w:t>
      </w:r>
      <w:r>
        <w:rPr>
          <w:lang w:val="sr-Cyrl-CS"/>
        </w:rPr>
        <w:t>postižu</w:t>
      </w:r>
      <w:r w:rsidR="001B60B1" w:rsidRPr="00E95BC4">
        <w:rPr>
          <w:lang w:val="sr-Cyrl-CS"/>
        </w:rPr>
        <w:t xml:space="preserve"> </w:t>
      </w:r>
      <w:r>
        <w:rPr>
          <w:lang w:val="sr-Cyrl-CS"/>
        </w:rPr>
        <w:t>utvrđeni</w:t>
      </w:r>
      <w:r w:rsidR="001B60B1" w:rsidRPr="00E95BC4">
        <w:rPr>
          <w:lang w:val="sr-Cyrl-CS"/>
        </w:rPr>
        <w:t xml:space="preserve"> </w:t>
      </w:r>
      <w:r>
        <w:rPr>
          <w:lang w:val="sr-Cyrl-CS"/>
        </w:rPr>
        <w:t>posebni</w:t>
      </w:r>
      <w:r w:rsidR="001B60B1" w:rsidRPr="00E95BC4">
        <w:rPr>
          <w:lang w:val="sr-Cyrl-CS"/>
        </w:rPr>
        <w:t xml:space="preserve"> </w:t>
      </w:r>
      <w:r>
        <w:rPr>
          <w:lang w:val="sr-Cyrl-CS"/>
        </w:rPr>
        <w:t>ciljevi</w:t>
      </w:r>
      <w:r w:rsidR="001B60B1" w:rsidRPr="00E95BC4">
        <w:rPr>
          <w:lang w:val="sr-Cyrl-CS"/>
        </w:rPr>
        <w:t xml:space="preserve"> </w:t>
      </w:r>
      <w:r>
        <w:rPr>
          <w:lang w:val="sr-Cyrl-CS"/>
        </w:rPr>
        <w:t>Strategije</w:t>
      </w:r>
      <w:r w:rsidR="001B60B1" w:rsidRPr="00E95BC4">
        <w:rPr>
          <w:lang w:val="sr-Cyrl-CS"/>
        </w:rPr>
        <w:t xml:space="preserve">. </w:t>
      </w:r>
    </w:p>
    <w:p w:rsidR="001B60B1" w:rsidRPr="00E95BC4" w:rsidRDefault="001B60B1" w:rsidP="001B60B1">
      <w:pPr>
        <w:jc w:val="both"/>
        <w:rPr>
          <w:lang w:val="sr-Cyrl-CS"/>
        </w:rPr>
      </w:pPr>
    </w:p>
    <w:p w:rsidR="001B60B1" w:rsidRPr="00E95BC4" w:rsidRDefault="00934E82" w:rsidP="001B60B1">
      <w:pPr>
        <w:jc w:val="both"/>
        <w:rPr>
          <w:lang w:val="sr-Cyrl-CS"/>
        </w:rPr>
      </w:pPr>
      <w:r>
        <w:rPr>
          <w:noProof/>
        </w:rPr>
        <w:pict>
          <v:shape id="Text Box 6" o:spid="_x0000_s1034" type="#_x0000_t202" style="position:absolute;left:0;text-align:left;margin-left:-7.5pt;margin-top:.55pt;width:138.75pt;height:151.6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" fillcolor="#a5a5a5 [2092]" stroked="f" strokecolor="#f2f2f2 [3041]" strokeweight="3pt">
            <v:shadow color="#7f7f7f [1601]" opacity=".5" offset="1pt"/>
            <v:textbox>
              <w:txbxContent>
                <w:p w:rsidR="005818C0" w:rsidRPr="0074155A" w:rsidRDefault="005818C0" w:rsidP="001B60B1">
                  <w:pPr>
                    <w:jc w:val="both"/>
                    <w:rPr>
                      <w:color w:val="FFFFFF" w:themeColor="background1"/>
                      <w:sz w:val="16"/>
                      <w:szCs w:val="16"/>
                    </w:rPr>
                  </w:pPr>
                  <w:r w:rsidRPr="0074155A">
                    <w:rPr>
                      <w:b/>
                      <w:color w:val="FFFFFF" w:themeColor="background1"/>
                      <w:sz w:val="16"/>
                      <w:szCs w:val="16"/>
                    </w:rPr>
                    <w:t xml:space="preserve">Посебни циљ 1: </w:t>
                  </w:r>
                  <w:r w:rsidRPr="0074155A">
                    <w:rPr>
                      <w:color w:val="FFFFFF" w:themeColor="background1"/>
                      <w:sz w:val="16"/>
                      <w:szCs w:val="16"/>
                    </w:rPr>
                    <w:t>Смањивати ризике од прања новца, финансирања тероризма и ширења оружја за масовно уништење кроз континуирано унапређење стратешког, законодавног и институционалног оквира, координацију и сарадњу свих учесника у систему борбе против прања новца и финансирања тероризма и међународну сарадњу</w:t>
                  </w:r>
                </w:p>
                <w:p w:rsidR="005818C0" w:rsidRPr="001B60B1" w:rsidRDefault="005818C0" w:rsidP="001B60B1">
                  <w:pPr>
                    <w:rPr>
                      <w:color w:val="FFFFFF" w:themeColor="background1"/>
                      <w:sz w:val="16"/>
                      <w:szCs w:val="16"/>
                    </w:rPr>
                  </w:pPr>
                </w:p>
              </w:txbxContent>
            </v:textbox>
            <w10:wrap type="square"/>
          </v:shape>
        </w:pict>
      </w:r>
      <w:r w:rsidR="005818C0">
        <w:rPr>
          <w:b/>
          <w:lang w:val="sr-Cyrl-CS"/>
        </w:rPr>
        <w:t>Mera</w:t>
      </w:r>
      <w:r w:rsidR="001B60B1" w:rsidRPr="00E95BC4">
        <w:rPr>
          <w:b/>
          <w:lang w:val="sr-Cyrl-CS"/>
        </w:rPr>
        <w:t xml:space="preserve"> 1.1:</w:t>
      </w:r>
      <w:r w:rsidR="001B60B1" w:rsidRPr="00E95BC4">
        <w:rPr>
          <w:lang w:val="sr-Cyrl-CS"/>
        </w:rPr>
        <w:t xml:space="preserve"> </w:t>
      </w:r>
      <w:r w:rsidR="005818C0">
        <w:rPr>
          <w:lang w:val="sr-Cyrl-CS"/>
        </w:rPr>
        <w:t>Održavanje</w:t>
      </w:r>
      <w:r w:rsidR="001B60B1" w:rsidRPr="00E95BC4">
        <w:rPr>
          <w:lang w:val="sr-Cyrl-CS"/>
        </w:rPr>
        <w:t xml:space="preserve"> </w:t>
      </w:r>
      <w:r w:rsidR="005818C0">
        <w:rPr>
          <w:lang w:val="sr-Cyrl-CS"/>
        </w:rPr>
        <w:t>i</w:t>
      </w:r>
      <w:r w:rsidR="001B60B1" w:rsidRPr="00E95BC4">
        <w:rPr>
          <w:lang w:val="sr-Cyrl-CS"/>
        </w:rPr>
        <w:t xml:space="preserve"> </w:t>
      </w:r>
      <w:r w:rsidR="005818C0">
        <w:rPr>
          <w:lang w:val="sr-Cyrl-CS"/>
        </w:rPr>
        <w:t>unapređenje</w:t>
      </w:r>
      <w:r w:rsidR="001B60B1" w:rsidRPr="00E95BC4">
        <w:rPr>
          <w:lang w:val="sr-Cyrl-CS"/>
        </w:rPr>
        <w:t xml:space="preserve"> </w:t>
      </w:r>
      <w:r w:rsidR="005818C0">
        <w:rPr>
          <w:lang w:val="sr-Cyrl-CS"/>
        </w:rPr>
        <w:t>sveobuhvatnog</w:t>
      </w:r>
      <w:r w:rsidR="001B60B1" w:rsidRPr="00E95BC4">
        <w:rPr>
          <w:lang w:val="sr-Cyrl-CS"/>
        </w:rPr>
        <w:t xml:space="preserve"> </w:t>
      </w:r>
      <w:r w:rsidR="005818C0">
        <w:rPr>
          <w:lang w:val="sr-Cyrl-CS"/>
        </w:rPr>
        <w:t>razumevanja</w:t>
      </w:r>
      <w:r w:rsidR="001B60B1" w:rsidRPr="00E95BC4">
        <w:rPr>
          <w:lang w:val="sr-Cyrl-CS"/>
        </w:rPr>
        <w:t xml:space="preserve"> </w:t>
      </w:r>
      <w:r w:rsidR="005818C0">
        <w:rPr>
          <w:lang w:val="sr-Cyrl-CS"/>
        </w:rPr>
        <w:t>rizika</w:t>
      </w:r>
      <w:r w:rsidR="001B60B1" w:rsidRPr="00E95BC4">
        <w:rPr>
          <w:lang w:val="sr-Cyrl-CS"/>
        </w:rPr>
        <w:t xml:space="preserve"> </w:t>
      </w:r>
      <w:r w:rsidR="005818C0">
        <w:rPr>
          <w:lang w:val="sr-Cyrl-CS"/>
        </w:rPr>
        <w:t>od</w:t>
      </w:r>
      <w:r w:rsidR="001B60B1" w:rsidRPr="00E95BC4">
        <w:rPr>
          <w:lang w:val="sr-Cyrl-CS"/>
        </w:rPr>
        <w:t xml:space="preserve"> </w:t>
      </w:r>
      <w:r w:rsidR="005818C0">
        <w:rPr>
          <w:lang w:val="sr-Cyrl-CS"/>
        </w:rPr>
        <w:t>pranja</w:t>
      </w:r>
      <w:r w:rsidR="001B60B1" w:rsidRPr="00E95BC4">
        <w:rPr>
          <w:lang w:val="sr-Cyrl-CS"/>
        </w:rPr>
        <w:t xml:space="preserve"> </w:t>
      </w:r>
      <w:r w:rsidR="005818C0">
        <w:rPr>
          <w:lang w:val="sr-Cyrl-CS"/>
        </w:rPr>
        <w:t>novca</w:t>
      </w:r>
      <w:r w:rsidR="001B60B1" w:rsidRPr="00E95BC4">
        <w:rPr>
          <w:lang w:val="sr-Cyrl-CS"/>
        </w:rPr>
        <w:t xml:space="preserve"> </w:t>
      </w:r>
      <w:r w:rsidR="005818C0">
        <w:rPr>
          <w:lang w:val="sr-Cyrl-CS"/>
        </w:rPr>
        <w:t>i</w:t>
      </w:r>
      <w:r w:rsidR="001B60B1" w:rsidRPr="00E95BC4">
        <w:rPr>
          <w:lang w:val="sr-Cyrl-CS"/>
        </w:rPr>
        <w:t xml:space="preserve"> </w:t>
      </w:r>
      <w:r w:rsidR="005818C0">
        <w:rPr>
          <w:lang w:val="sr-Cyrl-CS"/>
        </w:rPr>
        <w:t>finansiranja</w:t>
      </w:r>
      <w:r w:rsidR="001B60B1" w:rsidRPr="00E95BC4">
        <w:rPr>
          <w:lang w:val="sr-Cyrl-CS"/>
        </w:rPr>
        <w:t xml:space="preserve"> </w:t>
      </w:r>
      <w:r w:rsidR="005818C0">
        <w:rPr>
          <w:lang w:val="sr-Cyrl-CS"/>
        </w:rPr>
        <w:t>terorizma</w:t>
      </w:r>
      <w:r w:rsidR="001B60B1" w:rsidRPr="00E95BC4">
        <w:rPr>
          <w:lang w:val="sr-Cyrl-CS"/>
        </w:rPr>
        <w:t xml:space="preserve"> </w:t>
      </w:r>
      <w:r w:rsidR="005818C0">
        <w:rPr>
          <w:lang w:val="sr-Cyrl-CS"/>
        </w:rPr>
        <w:t>u</w:t>
      </w:r>
      <w:r w:rsidR="001B60B1" w:rsidRPr="00E95BC4">
        <w:rPr>
          <w:lang w:val="sr-Cyrl-CS"/>
        </w:rPr>
        <w:t xml:space="preserve"> </w:t>
      </w:r>
      <w:r w:rsidR="005818C0">
        <w:rPr>
          <w:lang w:val="sr-Cyrl-CS"/>
        </w:rPr>
        <w:t>Republici</w:t>
      </w:r>
      <w:r w:rsidR="001B60B1" w:rsidRPr="00E95BC4">
        <w:rPr>
          <w:lang w:val="sr-Cyrl-CS"/>
        </w:rPr>
        <w:t xml:space="preserve"> </w:t>
      </w:r>
      <w:r w:rsidR="005818C0">
        <w:rPr>
          <w:lang w:val="sr-Cyrl-CS"/>
        </w:rPr>
        <w:t>Srbiji</w:t>
      </w:r>
      <w:r w:rsidR="004A1E65" w:rsidRPr="00E95BC4">
        <w:rPr>
          <w:lang w:val="sr-Cyrl-CS"/>
        </w:rPr>
        <w:t>;</w:t>
      </w:r>
    </w:p>
    <w:p w:rsidR="001B60B1" w:rsidRPr="00E95BC4" w:rsidRDefault="005818C0" w:rsidP="001B60B1">
      <w:pPr>
        <w:jc w:val="both"/>
        <w:rPr>
          <w:lang w:val="sr-Cyrl-CS"/>
        </w:rPr>
      </w:pPr>
      <w:r>
        <w:rPr>
          <w:b/>
          <w:lang w:val="sr-Cyrl-CS"/>
        </w:rPr>
        <w:t>Mera</w:t>
      </w:r>
      <w:r w:rsidR="001B60B1" w:rsidRPr="00E95BC4">
        <w:rPr>
          <w:b/>
          <w:lang w:val="sr-Cyrl-CS"/>
        </w:rPr>
        <w:t xml:space="preserve"> 1.2:</w:t>
      </w:r>
      <w:r w:rsidR="001B60B1" w:rsidRPr="00E95BC4">
        <w:rPr>
          <w:lang w:val="sr-Cyrl-CS"/>
        </w:rPr>
        <w:t xml:space="preserve"> </w:t>
      </w:r>
      <w:r>
        <w:rPr>
          <w:lang w:val="sr-Cyrl-CS"/>
        </w:rPr>
        <w:t>Smanjivanje</w:t>
      </w:r>
      <w:r w:rsidR="001B60B1" w:rsidRPr="00E95BC4">
        <w:rPr>
          <w:lang w:val="sr-Cyrl-CS"/>
        </w:rPr>
        <w:t xml:space="preserve"> </w:t>
      </w:r>
      <w:r>
        <w:rPr>
          <w:lang w:val="sr-Cyrl-CS"/>
        </w:rPr>
        <w:t>prepoznatih</w:t>
      </w:r>
      <w:r w:rsidR="001B60B1" w:rsidRPr="00E95BC4">
        <w:rPr>
          <w:lang w:val="sr-Cyrl-CS"/>
        </w:rPr>
        <w:t xml:space="preserve"> </w:t>
      </w:r>
      <w:r>
        <w:rPr>
          <w:lang w:val="sr-Cyrl-CS"/>
        </w:rPr>
        <w:t>rizika</w:t>
      </w:r>
      <w:r w:rsidR="001B60B1" w:rsidRPr="00E95BC4">
        <w:rPr>
          <w:lang w:val="sr-Cyrl-CS"/>
        </w:rPr>
        <w:t xml:space="preserve"> </w:t>
      </w:r>
      <w:r>
        <w:rPr>
          <w:lang w:val="sr-Cyrl-CS"/>
        </w:rPr>
        <w:t>i</w:t>
      </w:r>
      <w:r w:rsidR="001B60B1" w:rsidRPr="00E95BC4">
        <w:rPr>
          <w:lang w:val="sr-Cyrl-CS"/>
        </w:rPr>
        <w:t xml:space="preserve"> </w:t>
      </w:r>
      <w:r>
        <w:rPr>
          <w:lang w:val="sr-Cyrl-CS"/>
        </w:rPr>
        <w:t>kontinuirano</w:t>
      </w:r>
      <w:r w:rsidR="001B60B1" w:rsidRPr="00E95BC4">
        <w:rPr>
          <w:lang w:val="sr-Cyrl-CS"/>
        </w:rPr>
        <w:t xml:space="preserve"> </w:t>
      </w:r>
      <w:r>
        <w:rPr>
          <w:lang w:val="sr-Cyrl-CS"/>
        </w:rPr>
        <w:t>prepoznavanje</w:t>
      </w:r>
      <w:r w:rsidR="001B60B1" w:rsidRPr="00E95BC4">
        <w:rPr>
          <w:lang w:val="sr-Cyrl-CS"/>
        </w:rPr>
        <w:t xml:space="preserve"> </w:t>
      </w:r>
      <w:r>
        <w:rPr>
          <w:lang w:val="sr-Cyrl-CS"/>
        </w:rPr>
        <w:t>novih</w:t>
      </w:r>
      <w:r w:rsidR="001B60B1" w:rsidRPr="00E95BC4">
        <w:rPr>
          <w:lang w:val="sr-Cyrl-CS"/>
        </w:rPr>
        <w:t xml:space="preserve"> </w:t>
      </w:r>
      <w:r>
        <w:rPr>
          <w:lang w:val="sr-Cyrl-CS"/>
        </w:rPr>
        <w:t>pretnji</w:t>
      </w:r>
      <w:r w:rsidR="001B60B1" w:rsidRPr="00E95BC4">
        <w:rPr>
          <w:lang w:val="sr-Cyrl-CS"/>
        </w:rPr>
        <w:t xml:space="preserve"> </w:t>
      </w:r>
      <w:r>
        <w:rPr>
          <w:lang w:val="sr-Cyrl-CS"/>
        </w:rPr>
        <w:t>i</w:t>
      </w:r>
      <w:r w:rsidR="001B60B1" w:rsidRPr="00E95BC4">
        <w:rPr>
          <w:lang w:val="sr-Cyrl-CS"/>
        </w:rPr>
        <w:t xml:space="preserve"> </w:t>
      </w:r>
      <w:r>
        <w:rPr>
          <w:lang w:val="sr-Cyrl-CS"/>
        </w:rPr>
        <w:t>ranjivosti</w:t>
      </w:r>
      <w:r w:rsidR="004A1E65" w:rsidRPr="00E95BC4">
        <w:rPr>
          <w:lang w:val="sr-Cyrl-CS"/>
        </w:rPr>
        <w:t>;</w:t>
      </w:r>
    </w:p>
    <w:p w:rsidR="001B60B1" w:rsidRPr="00E95BC4" w:rsidRDefault="005818C0" w:rsidP="001B60B1">
      <w:pPr>
        <w:jc w:val="both"/>
        <w:rPr>
          <w:lang w:val="sr-Cyrl-CS"/>
        </w:rPr>
      </w:pPr>
      <w:r>
        <w:rPr>
          <w:b/>
          <w:lang w:val="sr-Cyrl-CS"/>
        </w:rPr>
        <w:t>Mera</w:t>
      </w:r>
      <w:r w:rsidR="001B60B1" w:rsidRPr="00E95BC4">
        <w:rPr>
          <w:b/>
          <w:lang w:val="sr-Cyrl-CS"/>
        </w:rPr>
        <w:t xml:space="preserve"> 1.</w:t>
      </w:r>
      <w:r w:rsidR="004A1E65" w:rsidRPr="00E95BC4">
        <w:rPr>
          <w:b/>
          <w:lang w:val="sr-Cyrl-CS"/>
        </w:rPr>
        <w:t>3</w:t>
      </w:r>
      <w:r w:rsidR="001B60B1" w:rsidRPr="00E95BC4">
        <w:rPr>
          <w:b/>
          <w:lang w:val="sr-Cyrl-CS"/>
        </w:rPr>
        <w:t>:</w:t>
      </w:r>
      <w:r w:rsidR="001B60B1" w:rsidRPr="00E95BC4">
        <w:rPr>
          <w:lang w:val="sr-Cyrl-CS"/>
        </w:rPr>
        <w:t xml:space="preserve"> </w:t>
      </w:r>
      <w:r>
        <w:rPr>
          <w:lang w:val="sr-Cyrl-CS"/>
        </w:rPr>
        <w:t>Razrađivanje</w:t>
      </w:r>
      <w:r w:rsidR="001B60B1" w:rsidRPr="00E95BC4">
        <w:rPr>
          <w:lang w:val="sr-Cyrl-CS"/>
        </w:rPr>
        <w:t xml:space="preserve"> </w:t>
      </w:r>
      <w:r>
        <w:rPr>
          <w:lang w:val="sr-Cyrl-CS"/>
        </w:rPr>
        <w:t>mehanizama</w:t>
      </w:r>
      <w:r w:rsidR="001B60B1" w:rsidRPr="00E95BC4">
        <w:rPr>
          <w:lang w:val="sr-Cyrl-CS"/>
        </w:rPr>
        <w:t xml:space="preserve"> </w:t>
      </w:r>
      <w:r>
        <w:rPr>
          <w:lang w:val="sr-Cyrl-CS"/>
        </w:rPr>
        <w:t>koordinacije</w:t>
      </w:r>
      <w:r w:rsidR="001B60B1" w:rsidRPr="00E95BC4">
        <w:rPr>
          <w:lang w:val="sr-Cyrl-CS"/>
        </w:rPr>
        <w:t xml:space="preserve"> </w:t>
      </w:r>
      <w:r>
        <w:rPr>
          <w:lang w:val="sr-Cyrl-CS"/>
        </w:rPr>
        <w:t>i</w:t>
      </w:r>
      <w:r w:rsidR="001B60B1" w:rsidRPr="00E95BC4">
        <w:rPr>
          <w:lang w:val="sr-Cyrl-CS"/>
        </w:rPr>
        <w:t xml:space="preserve"> </w:t>
      </w:r>
      <w:r>
        <w:rPr>
          <w:lang w:val="sr-Cyrl-CS"/>
        </w:rPr>
        <w:t>saradnje</w:t>
      </w:r>
      <w:r w:rsidR="001B60B1" w:rsidRPr="00E95BC4">
        <w:rPr>
          <w:lang w:val="sr-Cyrl-CS"/>
        </w:rPr>
        <w:t xml:space="preserve"> </w:t>
      </w:r>
      <w:r>
        <w:rPr>
          <w:lang w:val="sr-Cyrl-CS"/>
        </w:rPr>
        <w:t>između</w:t>
      </w:r>
      <w:r w:rsidR="001B60B1" w:rsidRPr="00E95BC4">
        <w:rPr>
          <w:lang w:val="sr-Cyrl-CS"/>
        </w:rPr>
        <w:t xml:space="preserve"> </w:t>
      </w:r>
      <w:r>
        <w:rPr>
          <w:lang w:val="sr-Cyrl-CS"/>
        </w:rPr>
        <w:t>organa</w:t>
      </w:r>
      <w:r w:rsidR="001B60B1" w:rsidRPr="00E95BC4">
        <w:rPr>
          <w:lang w:val="sr-Cyrl-CS"/>
        </w:rPr>
        <w:t xml:space="preserve"> </w:t>
      </w:r>
      <w:r>
        <w:rPr>
          <w:lang w:val="sr-Cyrl-CS"/>
        </w:rPr>
        <w:t>nadležnih</w:t>
      </w:r>
      <w:r w:rsidR="001B60B1" w:rsidRPr="00E95BC4">
        <w:rPr>
          <w:lang w:val="sr-Cyrl-CS"/>
        </w:rPr>
        <w:t xml:space="preserve"> </w:t>
      </w:r>
      <w:r>
        <w:rPr>
          <w:lang w:val="sr-Cyrl-CS"/>
        </w:rPr>
        <w:t>za</w:t>
      </w:r>
      <w:r w:rsidR="001B60B1" w:rsidRPr="00E95BC4">
        <w:rPr>
          <w:lang w:val="sr-Cyrl-CS"/>
        </w:rPr>
        <w:t xml:space="preserve"> </w:t>
      </w:r>
      <w:r>
        <w:rPr>
          <w:lang w:val="sr-Cyrl-CS"/>
        </w:rPr>
        <w:t>nadzor</w:t>
      </w:r>
      <w:r w:rsidR="001B60B1" w:rsidRPr="00E95BC4">
        <w:rPr>
          <w:lang w:val="sr-Cyrl-CS"/>
        </w:rPr>
        <w:t xml:space="preserve">, </w:t>
      </w:r>
      <w:r>
        <w:rPr>
          <w:lang w:val="sr-Cyrl-CS"/>
        </w:rPr>
        <w:t>finansijskoobaveštajne</w:t>
      </w:r>
      <w:r w:rsidR="001B60B1" w:rsidRPr="00E95BC4">
        <w:rPr>
          <w:lang w:val="sr-Cyrl-CS"/>
        </w:rPr>
        <w:t xml:space="preserve"> </w:t>
      </w:r>
      <w:r>
        <w:rPr>
          <w:lang w:val="sr-Cyrl-CS"/>
        </w:rPr>
        <w:t>poslove</w:t>
      </w:r>
      <w:r w:rsidR="001B60B1" w:rsidRPr="00E95BC4">
        <w:rPr>
          <w:lang w:val="sr-Cyrl-CS"/>
        </w:rPr>
        <w:t xml:space="preserve">, </w:t>
      </w:r>
      <w:r>
        <w:rPr>
          <w:lang w:val="sr-Cyrl-CS"/>
        </w:rPr>
        <w:t>istrage</w:t>
      </w:r>
      <w:r w:rsidR="001B60B1" w:rsidRPr="00E95BC4">
        <w:rPr>
          <w:lang w:val="sr-Cyrl-CS"/>
        </w:rPr>
        <w:t xml:space="preserve">, </w:t>
      </w:r>
      <w:r>
        <w:rPr>
          <w:lang w:val="sr-Cyrl-CS"/>
        </w:rPr>
        <w:t>postupke</w:t>
      </w:r>
      <w:r w:rsidR="001B60B1" w:rsidRPr="00E95BC4">
        <w:rPr>
          <w:lang w:val="sr-Cyrl-CS"/>
        </w:rPr>
        <w:t xml:space="preserve"> </w:t>
      </w:r>
      <w:r>
        <w:rPr>
          <w:lang w:val="sr-Cyrl-CS"/>
        </w:rPr>
        <w:t>za</w:t>
      </w:r>
      <w:r w:rsidR="001B60B1" w:rsidRPr="00E95BC4">
        <w:rPr>
          <w:lang w:val="sr-Cyrl-CS"/>
        </w:rPr>
        <w:t xml:space="preserve"> </w:t>
      </w:r>
      <w:r>
        <w:rPr>
          <w:lang w:val="sr-Cyrl-CS"/>
        </w:rPr>
        <w:t>pranje</w:t>
      </w:r>
      <w:r w:rsidR="001B60B1" w:rsidRPr="00E95BC4">
        <w:rPr>
          <w:lang w:val="sr-Cyrl-CS"/>
        </w:rPr>
        <w:t xml:space="preserve"> </w:t>
      </w:r>
      <w:r>
        <w:rPr>
          <w:lang w:val="sr-Cyrl-CS"/>
        </w:rPr>
        <w:t>novca</w:t>
      </w:r>
      <w:r w:rsidR="001B60B1" w:rsidRPr="00E95BC4">
        <w:rPr>
          <w:lang w:val="sr-Cyrl-CS"/>
        </w:rPr>
        <w:t xml:space="preserve"> </w:t>
      </w:r>
      <w:r>
        <w:rPr>
          <w:lang w:val="sr-Cyrl-CS"/>
        </w:rPr>
        <w:t>i</w:t>
      </w:r>
      <w:r w:rsidR="001B60B1" w:rsidRPr="00E95BC4">
        <w:rPr>
          <w:lang w:val="sr-Cyrl-CS"/>
        </w:rPr>
        <w:t xml:space="preserve"> </w:t>
      </w:r>
      <w:r>
        <w:rPr>
          <w:lang w:val="sr-Cyrl-CS"/>
        </w:rPr>
        <w:t>finansiranje</w:t>
      </w:r>
      <w:r w:rsidR="001B60B1" w:rsidRPr="00E95BC4">
        <w:rPr>
          <w:lang w:val="sr-Cyrl-CS"/>
        </w:rPr>
        <w:t xml:space="preserve"> </w:t>
      </w:r>
      <w:r>
        <w:rPr>
          <w:lang w:val="sr-Cyrl-CS"/>
        </w:rPr>
        <w:t>terorizma</w:t>
      </w:r>
      <w:r w:rsidR="001B60B1" w:rsidRPr="00E95BC4">
        <w:rPr>
          <w:lang w:val="sr-Cyrl-CS"/>
        </w:rPr>
        <w:t xml:space="preserve"> </w:t>
      </w:r>
      <w:r>
        <w:rPr>
          <w:lang w:val="sr-Cyrl-CS"/>
        </w:rPr>
        <w:t>i</w:t>
      </w:r>
      <w:r w:rsidR="001B60B1" w:rsidRPr="00E95BC4">
        <w:rPr>
          <w:lang w:val="sr-Cyrl-CS"/>
        </w:rPr>
        <w:t xml:space="preserve"> </w:t>
      </w:r>
      <w:r>
        <w:rPr>
          <w:lang w:val="sr-Cyrl-CS"/>
        </w:rPr>
        <w:t>oduzimanje</w:t>
      </w:r>
      <w:r w:rsidR="001B60B1" w:rsidRPr="00E95BC4">
        <w:rPr>
          <w:lang w:val="sr-Cyrl-CS"/>
        </w:rPr>
        <w:t xml:space="preserve"> </w:t>
      </w:r>
      <w:r>
        <w:rPr>
          <w:lang w:val="sr-Cyrl-CS"/>
        </w:rPr>
        <w:t>imovine</w:t>
      </w:r>
      <w:r w:rsidR="004A1E65" w:rsidRPr="00E95BC4">
        <w:rPr>
          <w:lang w:val="sr-Cyrl-CS"/>
        </w:rPr>
        <w:t xml:space="preserve"> </w:t>
      </w:r>
      <w:r>
        <w:rPr>
          <w:lang w:val="sr-Cyrl-CS"/>
        </w:rPr>
        <w:t>i</w:t>
      </w:r>
      <w:r w:rsidR="004A1E65" w:rsidRPr="00E95BC4">
        <w:rPr>
          <w:lang w:val="sr-Cyrl-CS"/>
        </w:rPr>
        <w:t xml:space="preserve"> </w:t>
      </w:r>
      <w:r>
        <w:rPr>
          <w:lang w:val="sr-Cyrl-CS"/>
        </w:rPr>
        <w:t>unapređenje</w:t>
      </w:r>
      <w:r w:rsidR="004A1E65" w:rsidRPr="00E95BC4">
        <w:rPr>
          <w:lang w:val="sr-Cyrl-CS"/>
        </w:rPr>
        <w:t xml:space="preserve"> </w:t>
      </w:r>
      <w:r>
        <w:rPr>
          <w:lang w:val="sr-Cyrl-CS"/>
        </w:rPr>
        <w:t>međunarodne</w:t>
      </w:r>
      <w:r w:rsidR="004A1E65" w:rsidRPr="00E95BC4">
        <w:rPr>
          <w:lang w:val="sr-Cyrl-CS"/>
        </w:rPr>
        <w:t xml:space="preserve"> </w:t>
      </w:r>
      <w:r>
        <w:rPr>
          <w:lang w:val="sr-Cyrl-CS"/>
        </w:rPr>
        <w:t>saradnje</w:t>
      </w:r>
      <w:r w:rsidR="004A1E65" w:rsidRPr="00E95BC4">
        <w:rPr>
          <w:lang w:val="sr-Cyrl-CS"/>
        </w:rPr>
        <w:t>;</w:t>
      </w:r>
    </w:p>
    <w:p w:rsidR="001B60B1" w:rsidRPr="00E95BC4" w:rsidRDefault="005818C0" w:rsidP="001B60B1">
      <w:pPr>
        <w:jc w:val="both"/>
        <w:rPr>
          <w:lang w:val="sr-Cyrl-CS"/>
        </w:rPr>
      </w:pPr>
      <w:r>
        <w:rPr>
          <w:b/>
          <w:lang w:val="sr-Cyrl-CS"/>
        </w:rPr>
        <w:t>Mera</w:t>
      </w:r>
      <w:r w:rsidR="001B60B1" w:rsidRPr="00E95BC4">
        <w:rPr>
          <w:b/>
          <w:lang w:val="sr-Cyrl-CS"/>
        </w:rPr>
        <w:t xml:space="preserve"> 1.</w:t>
      </w:r>
      <w:r w:rsidR="00090975" w:rsidRPr="00E95BC4">
        <w:rPr>
          <w:b/>
          <w:lang w:val="sr-Cyrl-CS"/>
        </w:rPr>
        <w:t>4</w:t>
      </w:r>
      <w:r w:rsidR="002146DD" w:rsidRPr="00E95BC4">
        <w:rPr>
          <w:b/>
          <w:lang w:val="sr-Cyrl-CS"/>
        </w:rPr>
        <w:t>:</w:t>
      </w:r>
      <w:r w:rsidR="00090975" w:rsidRPr="00E95BC4">
        <w:rPr>
          <w:lang w:val="sr-Cyrl-CS"/>
        </w:rPr>
        <w:t xml:space="preserve"> </w:t>
      </w:r>
      <w:r>
        <w:rPr>
          <w:lang w:val="sr-Cyrl-CS"/>
        </w:rPr>
        <w:t>Obezbeđenje</w:t>
      </w:r>
      <w:r w:rsidR="00090975" w:rsidRPr="00E95BC4">
        <w:rPr>
          <w:lang w:val="sr-Cyrl-CS"/>
        </w:rPr>
        <w:t xml:space="preserve"> </w:t>
      </w:r>
      <w:r>
        <w:rPr>
          <w:lang w:val="sr-Cyrl-CS"/>
        </w:rPr>
        <w:t>usklađenosti</w:t>
      </w:r>
      <w:r w:rsidR="00090975" w:rsidRPr="00E95BC4">
        <w:rPr>
          <w:lang w:val="sr-Cyrl-CS"/>
        </w:rPr>
        <w:t xml:space="preserve"> </w:t>
      </w:r>
      <w:r>
        <w:rPr>
          <w:lang w:val="sr-Cyrl-CS"/>
        </w:rPr>
        <w:t>zakonodavnih</w:t>
      </w:r>
      <w:r w:rsidR="00090975" w:rsidRPr="00E95BC4">
        <w:rPr>
          <w:lang w:val="sr-Cyrl-CS"/>
        </w:rPr>
        <w:t xml:space="preserve"> </w:t>
      </w:r>
      <w:r>
        <w:rPr>
          <w:lang w:val="sr-Cyrl-CS"/>
        </w:rPr>
        <w:t>i</w:t>
      </w:r>
      <w:r w:rsidR="00090975" w:rsidRPr="00E95BC4">
        <w:rPr>
          <w:lang w:val="sr-Cyrl-CS"/>
        </w:rPr>
        <w:t xml:space="preserve"> </w:t>
      </w:r>
      <w:r>
        <w:rPr>
          <w:lang w:val="sr-Cyrl-CS"/>
        </w:rPr>
        <w:t>institucionalnih</w:t>
      </w:r>
      <w:r w:rsidR="00090975" w:rsidRPr="00E95BC4">
        <w:rPr>
          <w:lang w:val="sr-Cyrl-CS"/>
        </w:rPr>
        <w:t xml:space="preserve"> </w:t>
      </w:r>
      <w:r>
        <w:rPr>
          <w:lang w:val="sr-Cyrl-CS"/>
        </w:rPr>
        <w:t>mehanizama</w:t>
      </w:r>
      <w:r w:rsidR="00090975" w:rsidRPr="00E95BC4">
        <w:rPr>
          <w:lang w:val="sr-Cyrl-CS"/>
        </w:rPr>
        <w:t xml:space="preserve"> </w:t>
      </w:r>
      <w:r>
        <w:rPr>
          <w:lang w:val="sr-Cyrl-CS"/>
        </w:rPr>
        <w:t>u</w:t>
      </w:r>
      <w:r w:rsidR="00090975" w:rsidRPr="00E95BC4">
        <w:rPr>
          <w:lang w:val="sr-Cyrl-CS"/>
        </w:rPr>
        <w:t xml:space="preserve"> </w:t>
      </w:r>
      <w:r>
        <w:rPr>
          <w:lang w:val="sr-Cyrl-CS"/>
        </w:rPr>
        <w:t>oblasti</w:t>
      </w:r>
      <w:r w:rsidR="00090975" w:rsidRPr="00E95BC4">
        <w:rPr>
          <w:lang w:val="sr-Cyrl-CS"/>
        </w:rPr>
        <w:t xml:space="preserve"> </w:t>
      </w:r>
      <w:r>
        <w:rPr>
          <w:lang w:val="sr-Cyrl-CS"/>
        </w:rPr>
        <w:t>borbe</w:t>
      </w:r>
      <w:r w:rsidR="00090975" w:rsidRPr="00E95BC4">
        <w:rPr>
          <w:lang w:val="sr-Cyrl-CS"/>
        </w:rPr>
        <w:t xml:space="preserve"> </w:t>
      </w:r>
      <w:r>
        <w:rPr>
          <w:lang w:val="sr-Cyrl-CS"/>
        </w:rPr>
        <w:t>protiv</w:t>
      </w:r>
      <w:r w:rsidR="00090975" w:rsidRPr="00E95BC4">
        <w:rPr>
          <w:lang w:val="sr-Cyrl-CS"/>
        </w:rPr>
        <w:t xml:space="preserve"> </w:t>
      </w:r>
      <w:r>
        <w:rPr>
          <w:lang w:val="sr-Cyrl-CS"/>
        </w:rPr>
        <w:t>pranja</w:t>
      </w:r>
      <w:r w:rsidR="00090975" w:rsidRPr="00E95BC4">
        <w:rPr>
          <w:lang w:val="sr-Cyrl-CS"/>
        </w:rPr>
        <w:t xml:space="preserve"> </w:t>
      </w:r>
      <w:r>
        <w:rPr>
          <w:lang w:val="sr-Cyrl-CS"/>
        </w:rPr>
        <w:t>novca</w:t>
      </w:r>
      <w:r w:rsidR="00090975" w:rsidRPr="00E95BC4">
        <w:rPr>
          <w:lang w:val="sr-Cyrl-CS"/>
        </w:rPr>
        <w:t xml:space="preserve"> </w:t>
      </w:r>
      <w:r>
        <w:rPr>
          <w:lang w:val="sr-Cyrl-CS"/>
        </w:rPr>
        <w:t>i</w:t>
      </w:r>
      <w:r w:rsidR="00090975" w:rsidRPr="00E95BC4">
        <w:rPr>
          <w:lang w:val="sr-Cyrl-CS"/>
        </w:rPr>
        <w:t xml:space="preserve"> </w:t>
      </w:r>
      <w:r>
        <w:rPr>
          <w:lang w:val="sr-Cyrl-CS"/>
        </w:rPr>
        <w:t>finansiranja</w:t>
      </w:r>
      <w:r w:rsidR="00090975" w:rsidRPr="00E95BC4">
        <w:rPr>
          <w:lang w:val="sr-Cyrl-CS"/>
        </w:rPr>
        <w:t xml:space="preserve"> </w:t>
      </w:r>
      <w:r>
        <w:rPr>
          <w:lang w:val="sr-Cyrl-CS"/>
        </w:rPr>
        <w:t>terorizma</w:t>
      </w:r>
      <w:r w:rsidR="00090975" w:rsidRPr="00E95BC4">
        <w:rPr>
          <w:lang w:val="sr-Cyrl-CS"/>
        </w:rPr>
        <w:t xml:space="preserve"> </w:t>
      </w:r>
      <w:r>
        <w:rPr>
          <w:lang w:val="sr-Cyrl-CS"/>
        </w:rPr>
        <w:t>sa</w:t>
      </w:r>
      <w:r w:rsidR="00090975" w:rsidRPr="00E95BC4">
        <w:rPr>
          <w:lang w:val="sr-Cyrl-CS"/>
        </w:rPr>
        <w:t xml:space="preserve"> </w:t>
      </w:r>
      <w:r>
        <w:rPr>
          <w:lang w:val="sr-Cyrl-CS"/>
        </w:rPr>
        <w:t>međunarodnim</w:t>
      </w:r>
      <w:r w:rsidR="00090975" w:rsidRPr="00E95BC4">
        <w:rPr>
          <w:lang w:val="sr-Cyrl-CS"/>
        </w:rPr>
        <w:t xml:space="preserve"> </w:t>
      </w:r>
      <w:r>
        <w:rPr>
          <w:lang w:val="sr-Cyrl-CS"/>
        </w:rPr>
        <w:t>standardima</w:t>
      </w:r>
      <w:r w:rsidR="004A1E65" w:rsidRPr="00E95BC4">
        <w:rPr>
          <w:lang w:val="sr-Cyrl-CS"/>
        </w:rPr>
        <w:t>.</w:t>
      </w:r>
    </w:p>
    <w:p w:rsidR="001B60B1" w:rsidRPr="00E95BC4" w:rsidRDefault="001B60B1" w:rsidP="001B60B1">
      <w:pPr>
        <w:jc w:val="both"/>
        <w:rPr>
          <w:b/>
          <w:lang w:val="sr-Cyrl-CS"/>
        </w:rPr>
      </w:pPr>
    </w:p>
    <w:p w:rsidR="001B60B1" w:rsidRPr="00E95BC4" w:rsidRDefault="00934E82" w:rsidP="001B60B1">
      <w:pPr>
        <w:jc w:val="both"/>
        <w:rPr>
          <w:lang w:val="sr-Cyrl-CS"/>
        </w:rPr>
      </w:pPr>
      <w:r w:rsidRPr="00934E82">
        <w:rPr>
          <w:b/>
          <w:noProof/>
        </w:rPr>
        <w:pict>
          <v:shape id="Text Box 7" o:spid="_x0000_s1035" type="#_x0000_t202" style="position:absolute;left:0;text-align:left;margin-left:-3pt;margin-top:2.9pt;width:130.5pt;height:125.2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" fillcolor="#a5a5a5 [2092]" stroked="f" strokecolor="#f2f2f2 [3041]" strokeweight="3pt">
            <v:shadow color="#7f7f7f [1601]" opacity=".5" offset="1pt"/>
            <v:textbox>
              <w:txbxContent>
                <w:p w:rsidR="005818C0" w:rsidRPr="0074155A" w:rsidRDefault="005818C0" w:rsidP="001B60B1">
                  <w:pPr>
                    <w:jc w:val="both"/>
                    <w:rPr>
                      <w:bCs/>
                      <w:color w:val="FFFFFF" w:themeColor="background1"/>
                      <w:sz w:val="16"/>
                      <w:szCs w:val="16"/>
                    </w:rPr>
                  </w:pPr>
                  <w:r w:rsidRPr="0074155A">
                    <w:rPr>
                      <w:b/>
                      <w:color w:val="FFFFFF" w:themeColor="background1"/>
                      <w:sz w:val="16"/>
                      <w:szCs w:val="16"/>
                    </w:rPr>
                    <w:t xml:space="preserve">Посебни циљ 2: </w:t>
                  </w:r>
                  <w:r w:rsidRPr="0074155A">
                    <w:rPr>
                      <w:color w:val="FFFFFF" w:themeColor="background1"/>
                      <w:sz w:val="16"/>
                      <w:szCs w:val="16"/>
                    </w:rPr>
                    <w:t>Спречити уношење у финансијски и нефинансијски систем имовине за коју се сумња да је стечена кривичним делом или која је намењена финансирању</w:t>
                  </w:r>
                  <w:r w:rsidRPr="0074155A">
                    <w:rPr>
                      <w:sz w:val="16"/>
                      <w:szCs w:val="16"/>
                    </w:rPr>
                    <w:t xml:space="preserve"> </w:t>
                  </w:r>
                  <w:r w:rsidRPr="0074155A">
                    <w:rPr>
                      <w:color w:val="FFFFFF" w:themeColor="background1"/>
                      <w:sz w:val="16"/>
                      <w:szCs w:val="16"/>
                    </w:rPr>
                    <w:t>тероризма или ширењу оружја за масовно уништење, односно унапредити откривање такве имовине уколико је већ у систему</w:t>
                  </w:r>
                </w:p>
                <w:p w:rsidR="005818C0" w:rsidRPr="001B60B1" w:rsidRDefault="005818C0" w:rsidP="001B60B1">
                  <w:pPr>
                    <w:rPr>
                      <w:sz w:val="16"/>
                      <w:szCs w:val="16"/>
                    </w:rPr>
                  </w:pPr>
                </w:p>
              </w:txbxContent>
            </v:textbox>
            <w10:wrap type="square"/>
          </v:shape>
        </w:pict>
      </w:r>
      <w:r w:rsidR="005818C0">
        <w:rPr>
          <w:b/>
          <w:lang w:val="sr-Cyrl-CS"/>
        </w:rPr>
        <w:t>Mera</w:t>
      </w:r>
      <w:r w:rsidR="002146DD" w:rsidRPr="00E95BC4">
        <w:rPr>
          <w:b/>
          <w:lang w:val="sr-Cyrl-CS"/>
        </w:rPr>
        <w:t xml:space="preserve"> 2.1:</w:t>
      </w:r>
      <w:r w:rsidR="001B60B1" w:rsidRPr="00E95BC4">
        <w:rPr>
          <w:lang w:val="sr-Cyrl-CS"/>
        </w:rPr>
        <w:t xml:space="preserve"> </w:t>
      </w:r>
      <w:r w:rsidR="005818C0">
        <w:rPr>
          <w:lang w:val="sr-Cyrl-CS"/>
        </w:rPr>
        <w:t>Unapređenje</w:t>
      </w:r>
      <w:r w:rsidR="001B60B1" w:rsidRPr="00E95BC4">
        <w:rPr>
          <w:lang w:val="sr-Cyrl-CS"/>
        </w:rPr>
        <w:t xml:space="preserve"> </w:t>
      </w:r>
      <w:r w:rsidR="005818C0">
        <w:rPr>
          <w:lang w:val="sr-Cyrl-CS"/>
        </w:rPr>
        <w:t>efikasnosti</w:t>
      </w:r>
      <w:r w:rsidR="001B60B1" w:rsidRPr="00E95BC4">
        <w:rPr>
          <w:lang w:val="sr-Cyrl-CS"/>
        </w:rPr>
        <w:t xml:space="preserve"> </w:t>
      </w:r>
      <w:r w:rsidR="005818C0">
        <w:rPr>
          <w:lang w:val="sr-Cyrl-CS"/>
        </w:rPr>
        <w:t>praćenja</w:t>
      </w:r>
      <w:r w:rsidR="001B60B1" w:rsidRPr="00E95BC4">
        <w:rPr>
          <w:lang w:val="sr-Cyrl-CS"/>
        </w:rPr>
        <w:t xml:space="preserve"> </w:t>
      </w:r>
      <w:r w:rsidR="005818C0">
        <w:rPr>
          <w:lang w:val="sr-Cyrl-CS"/>
        </w:rPr>
        <w:t>i</w:t>
      </w:r>
      <w:r w:rsidR="001B60B1" w:rsidRPr="00E95BC4">
        <w:rPr>
          <w:lang w:val="sr-Cyrl-CS"/>
        </w:rPr>
        <w:t xml:space="preserve"> </w:t>
      </w:r>
      <w:r w:rsidR="005818C0">
        <w:rPr>
          <w:lang w:val="sr-Cyrl-CS"/>
        </w:rPr>
        <w:t>kvaliteta</w:t>
      </w:r>
      <w:r w:rsidR="001B60B1" w:rsidRPr="00E95BC4">
        <w:rPr>
          <w:lang w:val="sr-Cyrl-CS"/>
        </w:rPr>
        <w:t xml:space="preserve"> </w:t>
      </w:r>
      <w:r w:rsidR="005818C0">
        <w:rPr>
          <w:lang w:val="sr-Cyrl-CS"/>
        </w:rPr>
        <w:t>prijava</w:t>
      </w:r>
      <w:r w:rsidR="001B60B1" w:rsidRPr="00E95BC4">
        <w:rPr>
          <w:lang w:val="sr-Cyrl-CS"/>
        </w:rPr>
        <w:t xml:space="preserve"> </w:t>
      </w:r>
      <w:r w:rsidR="005818C0">
        <w:rPr>
          <w:lang w:val="sr-Cyrl-CS"/>
        </w:rPr>
        <w:t>sumnjivih</w:t>
      </w:r>
      <w:r w:rsidR="001B60B1" w:rsidRPr="00E95BC4">
        <w:rPr>
          <w:lang w:val="sr-Cyrl-CS"/>
        </w:rPr>
        <w:t xml:space="preserve"> </w:t>
      </w:r>
      <w:r w:rsidR="005818C0">
        <w:rPr>
          <w:lang w:val="sr-Cyrl-CS"/>
        </w:rPr>
        <w:t>aktivnosti</w:t>
      </w:r>
      <w:r w:rsidR="001B60B1" w:rsidRPr="00E95BC4">
        <w:rPr>
          <w:lang w:val="sr-Cyrl-CS"/>
        </w:rPr>
        <w:t xml:space="preserve"> </w:t>
      </w:r>
      <w:r w:rsidR="005818C0">
        <w:rPr>
          <w:lang w:val="sr-Cyrl-CS"/>
        </w:rPr>
        <w:t>koje</w:t>
      </w:r>
      <w:r w:rsidR="001B60B1" w:rsidRPr="00E95BC4">
        <w:rPr>
          <w:lang w:val="sr-Cyrl-CS"/>
        </w:rPr>
        <w:t xml:space="preserve"> </w:t>
      </w:r>
      <w:r w:rsidR="005818C0">
        <w:rPr>
          <w:lang w:val="sr-Cyrl-CS"/>
        </w:rPr>
        <w:t>dostavljaju</w:t>
      </w:r>
      <w:r w:rsidR="001B60B1" w:rsidRPr="00E95BC4">
        <w:rPr>
          <w:lang w:val="sr-Cyrl-CS"/>
        </w:rPr>
        <w:t xml:space="preserve"> </w:t>
      </w:r>
      <w:r w:rsidR="005818C0">
        <w:rPr>
          <w:lang w:val="sr-Cyrl-CS"/>
        </w:rPr>
        <w:t>obveznici</w:t>
      </w:r>
      <w:r w:rsidR="004A1E65" w:rsidRPr="00E95BC4">
        <w:rPr>
          <w:lang w:val="sr-Cyrl-CS"/>
        </w:rPr>
        <w:t>;</w:t>
      </w:r>
    </w:p>
    <w:p w:rsidR="004A1E65" w:rsidRPr="00E95BC4" w:rsidRDefault="005818C0" w:rsidP="001B60B1">
      <w:pPr>
        <w:jc w:val="both"/>
        <w:rPr>
          <w:lang w:val="sr-Cyrl-CS"/>
        </w:rPr>
      </w:pPr>
      <w:r>
        <w:rPr>
          <w:b/>
          <w:lang w:val="sr-Cyrl-CS"/>
        </w:rPr>
        <w:t>Mera</w:t>
      </w:r>
      <w:r w:rsidR="002146DD" w:rsidRPr="00E95BC4">
        <w:rPr>
          <w:b/>
          <w:lang w:val="sr-Cyrl-CS"/>
        </w:rPr>
        <w:t xml:space="preserve"> 2.2:</w:t>
      </w:r>
      <w:r w:rsidR="001B60B1" w:rsidRPr="00E95BC4">
        <w:rPr>
          <w:lang w:val="sr-Cyrl-CS"/>
        </w:rPr>
        <w:t xml:space="preserve"> </w:t>
      </w:r>
      <w:r>
        <w:rPr>
          <w:lang w:val="sr-Cyrl-CS"/>
        </w:rPr>
        <w:t>Sprečavanje</w:t>
      </w:r>
      <w:r w:rsidR="001B60B1" w:rsidRPr="00E95BC4">
        <w:rPr>
          <w:lang w:val="sr-Cyrl-CS"/>
        </w:rPr>
        <w:t xml:space="preserve"> </w:t>
      </w:r>
      <w:r>
        <w:rPr>
          <w:lang w:val="sr-Cyrl-CS"/>
        </w:rPr>
        <w:t>zloupotrebe</w:t>
      </w:r>
      <w:r w:rsidR="001B60B1" w:rsidRPr="00E95BC4">
        <w:rPr>
          <w:lang w:val="sr-Cyrl-CS"/>
        </w:rPr>
        <w:t xml:space="preserve"> </w:t>
      </w:r>
      <w:r>
        <w:rPr>
          <w:lang w:val="sr-Cyrl-CS"/>
        </w:rPr>
        <w:t>finansijskog</w:t>
      </w:r>
      <w:r w:rsidR="001B60B1" w:rsidRPr="00E95BC4">
        <w:rPr>
          <w:lang w:val="sr-Cyrl-CS"/>
        </w:rPr>
        <w:t xml:space="preserve"> </w:t>
      </w:r>
      <w:r>
        <w:rPr>
          <w:lang w:val="sr-Cyrl-CS"/>
        </w:rPr>
        <w:t>i</w:t>
      </w:r>
      <w:r w:rsidR="001B60B1" w:rsidRPr="00E95BC4">
        <w:rPr>
          <w:lang w:val="sr-Cyrl-CS"/>
        </w:rPr>
        <w:t xml:space="preserve"> </w:t>
      </w:r>
      <w:r>
        <w:rPr>
          <w:lang w:val="sr-Cyrl-CS"/>
        </w:rPr>
        <w:t>nefinansijskog</w:t>
      </w:r>
      <w:r w:rsidR="001B60B1" w:rsidRPr="00E95BC4">
        <w:rPr>
          <w:lang w:val="sr-Cyrl-CS"/>
        </w:rPr>
        <w:t xml:space="preserve"> </w:t>
      </w:r>
      <w:r>
        <w:rPr>
          <w:lang w:val="sr-Cyrl-CS"/>
        </w:rPr>
        <w:t>sektora</w:t>
      </w:r>
      <w:r w:rsidR="001B60B1" w:rsidRPr="00E95BC4">
        <w:rPr>
          <w:lang w:val="sr-Cyrl-CS"/>
        </w:rPr>
        <w:t xml:space="preserve"> </w:t>
      </w:r>
      <w:r>
        <w:rPr>
          <w:lang w:val="sr-Cyrl-CS"/>
        </w:rPr>
        <w:t>za</w:t>
      </w:r>
      <w:r w:rsidR="001B60B1" w:rsidRPr="00E95BC4">
        <w:rPr>
          <w:lang w:val="sr-Cyrl-CS"/>
        </w:rPr>
        <w:t xml:space="preserve"> </w:t>
      </w:r>
      <w:r>
        <w:rPr>
          <w:lang w:val="sr-Cyrl-CS"/>
        </w:rPr>
        <w:t>svrhe</w:t>
      </w:r>
      <w:r w:rsidR="001B60B1" w:rsidRPr="00E95BC4">
        <w:rPr>
          <w:lang w:val="sr-Cyrl-CS"/>
        </w:rPr>
        <w:t xml:space="preserve"> </w:t>
      </w:r>
      <w:r>
        <w:rPr>
          <w:lang w:val="sr-Cyrl-CS"/>
        </w:rPr>
        <w:t>pranja</w:t>
      </w:r>
      <w:r w:rsidR="001B60B1" w:rsidRPr="00E95BC4">
        <w:rPr>
          <w:lang w:val="sr-Cyrl-CS"/>
        </w:rPr>
        <w:t xml:space="preserve"> </w:t>
      </w:r>
      <w:r>
        <w:rPr>
          <w:lang w:val="sr-Cyrl-CS"/>
        </w:rPr>
        <w:t>novca</w:t>
      </w:r>
      <w:r w:rsidR="001B60B1" w:rsidRPr="00E95BC4">
        <w:rPr>
          <w:lang w:val="sr-Cyrl-CS"/>
        </w:rPr>
        <w:t xml:space="preserve">, </w:t>
      </w:r>
      <w:r>
        <w:rPr>
          <w:lang w:val="sr-Cyrl-CS"/>
        </w:rPr>
        <w:t>finansiranja</w:t>
      </w:r>
      <w:r w:rsidR="001B60B1" w:rsidRPr="00E95BC4">
        <w:rPr>
          <w:lang w:val="sr-Cyrl-CS"/>
        </w:rPr>
        <w:t xml:space="preserve"> </w:t>
      </w:r>
      <w:r>
        <w:rPr>
          <w:lang w:val="sr-Cyrl-CS"/>
        </w:rPr>
        <w:t>terorizma</w:t>
      </w:r>
      <w:r w:rsidR="001B60B1" w:rsidRPr="00E95BC4">
        <w:rPr>
          <w:lang w:val="sr-Cyrl-CS"/>
        </w:rPr>
        <w:t xml:space="preserve"> </w:t>
      </w:r>
      <w:r>
        <w:rPr>
          <w:lang w:val="sr-Cyrl-CS"/>
        </w:rPr>
        <w:t>i</w:t>
      </w:r>
      <w:r w:rsidR="001B60B1" w:rsidRPr="00E95BC4">
        <w:rPr>
          <w:lang w:val="sr-Cyrl-CS"/>
        </w:rPr>
        <w:t xml:space="preserve"> </w:t>
      </w:r>
      <w:r>
        <w:rPr>
          <w:lang w:val="sr-Cyrl-CS"/>
        </w:rPr>
        <w:t>širenja</w:t>
      </w:r>
      <w:r w:rsidR="001B60B1" w:rsidRPr="00E95BC4">
        <w:rPr>
          <w:lang w:val="sr-Cyrl-CS"/>
        </w:rPr>
        <w:t xml:space="preserve"> </w:t>
      </w:r>
      <w:r>
        <w:rPr>
          <w:lang w:val="sr-Cyrl-CS"/>
        </w:rPr>
        <w:t>oružja</w:t>
      </w:r>
      <w:r w:rsidR="001B60B1" w:rsidRPr="00E95BC4">
        <w:rPr>
          <w:lang w:val="sr-Cyrl-CS"/>
        </w:rPr>
        <w:t xml:space="preserve"> </w:t>
      </w:r>
      <w:r>
        <w:rPr>
          <w:lang w:val="sr-Cyrl-CS"/>
        </w:rPr>
        <w:t>za</w:t>
      </w:r>
      <w:r w:rsidR="001B60B1" w:rsidRPr="00E95BC4">
        <w:rPr>
          <w:lang w:val="sr-Cyrl-CS"/>
        </w:rPr>
        <w:t xml:space="preserve"> </w:t>
      </w:r>
      <w:r>
        <w:rPr>
          <w:lang w:val="sr-Cyrl-CS"/>
        </w:rPr>
        <w:t>masovno</w:t>
      </w:r>
      <w:r w:rsidR="001B60B1" w:rsidRPr="00E95BC4">
        <w:rPr>
          <w:lang w:val="sr-Cyrl-CS"/>
        </w:rPr>
        <w:t xml:space="preserve"> </w:t>
      </w:r>
      <w:r>
        <w:rPr>
          <w:lang w:val="sr-Cyrl-CS"/>
        </w:rPr>
        <w:t>uništenje</w:t>
      </w:r>
      <w:r w:rsidR="001B60B1" w:rsidRPr="00E95BC4">
        <w:rPr>
          <w:lang w:val="sr-Cyrl-CS"/>
        </w:rPr>
        <w:t xml:space="preserve"> </w:t>
      </w:r>
      <w:r>
        <w:rPr>
          <w:lang w:val="sr-Cyrl-CS"/>
        </w:rPr>
        <w:t>kroz</w:t>
      </w:r>
      <w:r w:rsidR="001B60B1" w:rsidRPr="00E95BC4">
        <w:rPr>
          <w:lang w:val="sr-Cyrl-CS"/>
        </w:rPr>
        <w:t xml:space="preserve"> </w:t>
      </w:r>
      <w:r>
        <w:rPr>
          <w:lang w:val="sr-Cyrl-CS"/>
        </w:rPr>
        <w:t>mere</w:t>
      </w:r>
      <w:r w:rsidR="001B60B1" w:rsidRPr="00E95BC4">
        <w:rPr>
          <w:lang w:val="sr-Cyrl-CS"/>
        </w:rPr>
        <w:t xml:space="preserve"> </w:t>
      </w:r>
      <w:r>
        <w:rPr>
          <w:lang w:val="sr-Cyrl-CS"/>
        </w:rPr>
        <w:t>poznavanja</w:t>
      </w:r>
      <w:r w:rsidR="001B60B1" w:rsidRPr="00E95BC4">
        <w:rPr>
          <w:lang w:val="sr-Cyrl-CS"/>
        </w:rPr>
        <w:t xml:space="preserve"> </w:t>
      </w:r>
      <w:r>
        <w:rPr>
          <w:lang w:val="sr-Cyrl-CS"/>
        </w:rPr>
        <w:t>i</w:t>
      </w:r>
      <w:r w:rsidR="001B60B1" w:rsidRPr="00E95BC4">
        <w:rPr>
          <w:lang w:val="sr-Cyrl-CS"/>
        </w:rPr>
        <w:t xml:space="preserve"> </w:t>
      </w:r>
      <w:r>
        <w:rPr>
          <w:lang w:val="sr-Cyrl-CS"/>
        </w:rPr>
        <w:t>praćenja</w:t>
      </w:r>
      <w:r w:rsidR="001B60B1" w:rsidRPr="00E95BC4">
        <w:rPr>
          <w:lang w:val="sr-Cyrl-CS"/>
        </w:rPr>
        <w:t xml:space="preserve"> </w:t>
      </w:r>
      <w:r>
        <w:rPr>
          <w:lang w:val="sr-Cyrl-CS"/>
        </w:rPr>
        <w:t>stranke</w:t>
      </w:r>
      <w:r w:rsidR="001B60B1" w:rsidRPr="00E95BC4">
        <w:rPr>
          <w:lang w:val="sr-Cyrl-CS"/>
        </w:rPr>
        <w:t xml:space="preserve"> </w:t>
      </w:r>
      <w:r>
        <w:rPr>
          <w:lang w:val="sr-Cyrl-CS"/>
        </w:rPr>
        <w:t>kod</w:t>
      </w:r>
      <w:r w:rsidR="001B60B1" w:rsidRPr="00E95BC4">
        <w:rPr>
          <w:lang w:val="sr-Cyrl-CS"/>
        </w:rPr>
        <w:t xml:space="preserve"> </w:t>
      </w:r>
      <w:r>
        <w:rPr>
          <w:lang w:val="sr-Cyrl-CS"/>
        </w:rPr>
        <w:t>obveznika</w:t>
      </w:r>
      <w:r w:rsidR="004A1E65" w:rsidRPr="00E95BC4">
        <w:rPr>
          <w:lang w:val="sr-Cyrl-CS"/>
        </w:rPr>
        <w:t>;</w:t>
      </w:r>
    </w:p>
    <w:p w:rsidR="001B60B1" w:rsidRPr="00E95BC4" w:rsidRDefault="005818C0" w:rsidP="001B60B1">
      <w:pPr>
        <w:jc w:val="both"/>
        <w:rPr>
          <w:lang w:val="sr-Cyrl-CS"/>
        </w:rPr>
      </w:pPr>
      <w:r>
        <w:rPr>
          <w:b/>
          <w:lang w:val="sr-Cyrl-CS"/>
        </w:rPr>
        <w:t>Mera</w:t>
      </w:r>
      <w:r w:rsidR="002146DD" w:rsidRPr="00E95BC4">
        <w:rPr>
          <w:b/>
          <w:lang w:val="sr-Cyrl-CS"/>
        </w:rPr>
        <w:t xml:space="preserve"> 2.3:</w:t>
      </w:r>
      <w:r w:rsidR="001B60B1" w:rsidRPr="00E95BC4">
        <w:rPr>
          <w:lang w:val="sr-Cyrl-CS"/>
        </w:rPr>
        <w:t xml:space="preserve"> </w:t>
      </w:r>
      <w:r>
        <w:rPr>
          <w:lang w:val="sr-Cyrl-CS"/>
        </w:rPr>
        <w:t>Unapređenje</w:t>
      </w:r>
      <w:r w:rsidR="001B60B1" w:rsidRPr="00E95BC4">
        <w:rPr>
          <w:lang w:val="sr-Cyrl-CS"/>
        </w:rPr>
        <w:t xml:space="preserve"> </w:t>
      </w:r>
      <w:r>
        <w:rPr>
          <w:lang w:val="sr-Cyrl-CS"/>
        </w:rPr>
        <w:t>rada</w:t>
      </w:r>
      <w:r w:rsidR="001B60B1" w:rsidRPr="00E95BC4">
        <w:rPr>
          <w:lang w:val="sr-Cyrl-CS"/>
        </w:rPr>
        <w:t xml:space="preserve"> </w:t>
      </w:r>
      <w:r>
        <w:rPr>
          <w:lang w:val="sr-Cyrl-CS"/>
        </w:rPr>
        <w:t>nadzornih</w:t>
      </w:r>
      <w:r w:rsidR="001B60B1" w:rsidRPr="00E95BC4">
        <w:rPr>
          <w:lang w:val="sr-Cyrl-CS"/>
        </w:rPr>
        <w:t xml:space="preserve"> </w:t>
      </w:r>
      <w:r>
        <w:rPr>
          <w:lang w:val="sr-Cyrl-CS"/>
        </w:rPr>
        <w:t>organa</w:t>
      </w:r>
      <w:r w:rsidR="001B60B1" w:rsidRPr="00E95BC4">
        <w:rPr>
          <w:lang w:val="sr-Cyrl-CS"/>
        </w:rPr>
        <w:t xml:space="preserve"> </w:t>
      </w:r>
      <w:r>
        <w:rPr>
          <w:lang w:val="sr-Cyrl-CS"/>
        </w:rPr>
        <w:t>po</w:t>
      </w:r>
      <w:r w:rsidR="001B60B1" w:rsidRPr="00E95BC4">
        <w:rPr>
          <w:lang w:val="sr-Cyrl-CS"/>
        </w:rPr>
        <w:t xml:space="preserve"> </w:t>
      </w:r>
      <w:r>
        <w:rPr>
          <w:lang w:val="sr-Cyrl-CS"/>
        </w:rPr>
        <w:t>Zakonu</w:t>
      </w:r>
      <w:r w:rsidR="001B60B1" w:rsidRPr="00E95BC4">
        <w:rPr>
          <w:lang w:val="sr-Cyrl-CS"/>
        </w:rPr>
        <w:t xml:space="preserve"> </w:t>
      </w:r>
      <w:r>
        <w:rPr>
          <w:lang w:val="sr-Cyrl-CS"/>
        </w:rPr>
        <w:t>o</w:t>
      </w:r>
      <w:r w:rsidR="001B60B1" w:rsidRPr="00E95BC4">
        <w:rPr>
          <w:lang w:val="sr-Cyrl-CS"/>
        </w:rPr>
        <w:t xml:space="preserve"> </w:t>
      </w:r>
      <w:r>
        <w:rPr>
          <w:lang w:val="sr-Cyrl-CS"/>
        </w:rPr>
        <w:t>sprečavanju</w:t>
      </w:r>
      <w:r w:rsidR="001B60B1" w:rsidRPr="00E95BC4">
        <w:rPr>
          <w:lang w:val="sr-Cyrl-CS"/>
        </w:rPr>
        <w:t xml:space="preserve"> </w:t>
      </w:r>
      <w:r>
        <w:rPr>
          <w:lang w:val="sr-Cyrl-CS"/>
        </w:rPr>
        <w:t>pranja</w:t>
      </w:r>
      <w:r w:rsidR="001B60B1" w:rsidRPr="00E95BC4">
        <w:rPr>
          <w:lang w:val="sr-Cyrl-CS"/>
        </w:rPr>
        <w:t xml:space="preserve"> </w:t>
      </w:r>
      <w:r>
        <w:rPr>
          <w:lang w:val="sr-Cyrl-CS"/>
        </w:rPr>
        <w:t>novca</w:t>
      </w:r>
      <w:r w:rsidR="001B60B1" w:rsidRPr="00E95BC4">
        <w:rPr>
          <w:lang w:val="sr-Cyrl-CS"/>
        </w:rPr>
        <w:t xml:space="preserve"> </w:t>
      </w:r>
      <w:r>
        <w:rPr>
          <w:lang w:val="sr-Cyrl-CS"/>
        </w:rPr>
        <w:t>i</w:t>
      </w:r>
      <w:r w:rsidR="001B60B1" w:rsidRPr="00E95BC4">
        <w:rPr>
          <w:lang w:val="sr-Cyrl-CS"/>
        </w:rPr>
        <w:t xml:space="preserve"> </w:t>
      </w:r>
      <w:r>
        <w:rPr>
          <w:lang w:val="sr-Cyrl-CS"/>
        </w:rPr>
        <w:t>finansiranja</w:t>
      </w:r>
      <w:r w:rsidR="001B60B1" w:rsidRPr="00E95BC4">
        <w:rPr>
          <w:lang w:val="sr-Cyrl-CS"/>
        </w:rPr>
        <w:t xml:space="preserve"> </w:t>
      </w:r>
      <w:r>
        <w:rPr>
          <w:lang w:val="sr-Cyrl-CS"/>
        </w:rPr>
        <w:t>terorizma</w:t>
      </w:r>
      <w:r w:rsidR="001B60B1" w:rsidRPr="00E95BC4">
        <w:rPr>
          <w:lang w:val="sr-Cyrl-CS"/>
        </w:rPr>
        <w:t xml:space="preserve"> </w:t>
      </w:r>
      <w:r>
        <w:rPr>
          <w:lang w:val="sr-Cyrl-CS"/>
        </w:rPr>
        <w:t>u</w:t>
      </w:r>
      <w:r w:rsidR="001B60B1" w:rsidRPr="00E95BC4">
        <w:rPr>
          <w:lang w:val="sr-Cyrl-CS"/>
        </w:rPr>
        <w:t xml:space="preserve"> </w:t>
      </w:r>
      <w:r>
        <w:rPr>
          <w:lang w:val="sr-Cyrl-CS"/>
        </w:rPr>
        <w:t>skladu</w:t>
      </w:r>
      <w:r w:rsidR="001B60B1" w:rsidRPr="00E95BC4">
        <w:rPr>
          <w:lang w:val="sr-Cyrl-CS"/>
        </w:rPr>
        <w:t xml:space="preserve"> </w:t>
      </w:r>
      <w:r>
        <w:rPr>
          <w:lang w:val="sr-Cyrl-CS"/>
        </w:rPr>
        <w:t>sa</w:t>
      </w:r>
      <w:r w:rsidR="001B60B1" w:rsidRPr="00E95BC4">
        <w:rPr>
          <w:lang w:val="sr-Cyrl-CS"/>
        </w:rPr>
        <w:t xml:space="preserve"> </w:t>
      </w:r>
      <w:r>
        <w:rPr>
          <w:lang w:val="sr-Cyrl-CS"/>
        </w:rPr>
        <w:t>rizicima</w:t>
      </w:r>
      <w:r w:rsidR="001B60B1" w:rsidRPr="00E95BC4">
        <w:rPr>
          <w:lang w:val="sr-Cyrl-CS"/>
        </w:rPr>
        <w:t xml:space="preserve"> </w:t>
      </w:r>
      <w:r>
        <w:rPr>
          <w:lang w:val="sr-Cyrl-CS"/>
        </w:rPr>
        <w:t>utvrđenim</w:t>
      </w:r>
      <w:r w:rsidR="001B60B1" w:rsidRPr="00E95BC4">
        <w:rPr>
          <w:lang w:val="sr-Cyrl-CS"/>
        </w:rPr>
        <w:t xml:space="preserve"> </w:t>
      </w:r>
      <w:r>
        <w:rPr>
          <w:lang w:val="sr-Cyrl-CS"/>
        </w:rPr>
        <w:t>u</w:t>
      </w:r>
      <w:r w:rsidR="001B60B1" w:rsidRPr="00E95BC4">
        <w:rPr>
          <w:lang w:val="sr-Cyrl-CS"/>
        </w:rPr>
        <w:t xml:space="preserve"> </w:t>
      </w:r>
      <w:r>
        <w:rPr>
          <w:lang w:val="sr-Cyrl-CS"/>
        </w:rPr>
        <w:t>nacionalnoj</w:t>
      </w:r>
      <w:r w:rsidR="001B60B1" w:rsidRPr="00E95BC4">
        <w:rPr>
          <w:lang w:val="sr-Cyrl-CS"/>
        </w:rPr>
        <w:t xml:space="preserve"> </w:t>
      </w:r>
      <w:r>
        <w:rPr>
          <w:lang w:val="sr-Cyrl-CS"/>
        </w:rPr>
        <w:t>proceni</w:t>
      </w:r>
      <w:r w:rsidR="001B60B1" w:rsidRPr="00E95BC4">
        <w:rPr>
          <w:lang w:val="sr-Cyrl-CS"/>
        </w:rPr>
        <w:t xml:space="preserve"> </w:t>
      </w:r>
      <w:r>
        <w:rPr>
          <w:lang w:val="sr-Cyrl-CS"/>
        </w:rPr>
        <w:t>rizika</w:t>
      </w:r>
      <w:r w:rsidR="00842D2B" w:rsidRPr="00E95BC4">
        <w:rPr>
          <w:lang w:val="sr-Cyrl-CS"/>
        </w:rPr>
        <w:t>.</w:t>
      </w:r>
    </w:p>
    <w:p w:rsidR="001B60B1" w:rsidRPr="00E95BC4" w:rsidRDefault="001B60B1" w:rsidP="001B60B1">
      <w:pPr>
        <w:jc w:val="both"/>
        <w:rPr>
          <w:bCs/>
          <w:lang w:val="sr-Cyrl-CS"/>
        </w:rPr>
      </w:pPr>
    </w:p>
    <w:p w:rsidR="001B60B1" w:rsidRPr="00E95BC4" w:rsidRDefault="00934E82" w:rsidP="001B60B1">
      <w:pPr>
        <w:jc w:val="both"/>
        <w:rPr>
          <w:lang w:val="sr-Cyrl-CS"/>
        </w:rPr>
      </w:pPr>
      <w:r w:rsidRPr="00934E82">
        <w:rPr>
          <w:bCs/>
          <w:noProof/>
        </w:rPr>
        <w:lastRenderedPageBreak/>
        <w:pict>
          <v:shape id="Text Box 8" o:spid="_x0000_s1036" type="#_x0000_t202" style="position:absolute;left:0;text-align:left;margin-left:0;margin-top:.1pt;width:130.5pt;height:62.2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" fillcolor="#a5a5a5 [2092]" stroked="f" strokecolor="#f2f2f2 [3041]" strokeweight="3pt">
            <v:shadow color="#7f7f7f [1601]" opacity=".5" offset="1pt"/>
            <v:textbox>
              <w:txbxContent>
                <w:p w:rsidR="005818C0" w:rsidRPr="0074155A" w:rsidRDefault="005818C0" w:rsidP="001B60B1">
                  <w:pPr>
                    <w:jc w:val="both"/>
                    <w:rPr>
                      <w:sz w:val="16"/>
                      <w:szCs w:val="16"/>
                    </w:rPr>
                  </w:pPr>
                  <w:r w:rsidRPr="0074155A">
                    <w:rPr>
                      <w:b/>
                      <w:color w:val="FFFFFF" w:themeColor="background1"/>
                      <w:sz w:val="16"/>
                      <w:szCs w:val="16"/>
                    </w:rPr>
                    <w:t>Посебни циљ 3:</w:t>
                  </w:r>
                  <w:r w:rsidRPr="0074155A">
                    <w:rPr>
                      <w:b/>
                      <w:bCs/>
                      <w:color w:val="FFFFFF" w:themeColor="background1"/>
                      <w:sz w:val="16"/>
                      <w:szCs w:val="16"/>
                    </w:rPr>
                    <w:t xml:space="preserve"> </w:t>
                  </w:r>
                  <w:r w:rsidRPr="0074155A">
                    <w:rPr>
                      <w:bCs/>
                      <w:color w:val="FFFFFF" w:themeColor="background1"/>
                      <w:sz w:val="16"/>
                      <w:szCs w:val="16"/>
                    </w:rPr>
                    <w:t>Eфикасно и делотворно кажњавати учиниоце кривичног дела прање новца и одузимати незаконито стечену имовину.</w:t>
                  </w:r>
                </w:p>
              </w:txbxContent>
            </v:textbox>
            <w10:wrap type="square"/>
          </v:shape>
        </w:pict>
      </w:r>
      <w:r w:rsidR="005818C0">
        <w:rPr>
          <w:b/>
          <w:bCs/>
          <w:color w:val="auto"/>
          <w:lang w:val="sr-Cyrl-CS"/>
        </w:rPr>
        <w:t>Mera</w:t>
      </w:r>
      <w:r w:rsidR="001B60B1" w:rsidRPr="00E95BC4">
        <w:rPr>
          <w:b/>
          <w:bCs/>
          <w:color w:val="auto"/>
          <w:lang w:val="sr-Cyrl-CS"/>
        </w:rPr>
        <w:t xml:space="preserve"> 3.</w:t>
      </w:r>
      <w:r w:rsidR="00326EA5" w:rsidRPr="00E95BC4">
        <w:rPr>
          <w:b/>
          <w:bCs/>
          <w:color w:val="auto"/>
          <w:lang w:val="sr-Cyrl-CS"/>
        </w:rPr>
        <w:t>1</w:t>
      </w:r>
      <w:r w:rsidR="002146DD" w:rsidRPr="00E95BC4">
        <w:rPr>
          <w:b/>
          <w:lang w:val="sr-Cyrl-CS"/>
        </w:rPr>
        <w:t>:</w:t>
      </w:r>
      <w:r w:rsidR="001B60B1" w:rsidRPr="00E95BC4">
        <w:rPr>
          <w:lang w:val="sr-Cyrl-CS"/>
        </w:rPr>
        <w:t xml:space="preserve"> </w:t>
      </w:r>
      <w:r w:rsidR="005818C0">
        <w:rPr>
          <w:lang w:val="sr-Cyrl-CS"/>
        </w:rPr>
        <w:t>Unapređenje</w:t>
      </w:r>
      <w:r w:rsidR="00326EA5" w:rsidRPr="00E95BC4">
        <w:rPr>
          <w:lang w:val="sr-Cyrl-CS"/>
        </w:rPr>
        <w:t xml:space="preserve"> </w:t>
      </w:r>
      <w:r w:rsidR="005818C0">
        <w:rPr>
          <w:lang w:val="sr-Cyrl-CS"/>
        </w:rPr>
        <w:t>delotvornosti</w:t>
      </w:r>
      <w:r w:rsidR="00326EA5" w:rsidRPr="00E95BC4">
        <w:rPr>
          <w:lang w:val="sr-Cyrl-CS"/>
        </w:rPr>
        <w:t xml:space="preserve"> </w:t>
      </w:r>
      <w:r w:rsidR="005818C0">
        <w:rPr>
          <w:lang w:val="sr-Cyrl-CS"/>
        </w:rPr>
        <w:t>državnih</w:t>
      </w:r>
      <w:r w:rsidR="00326EA5" w:rsidRPr="00E95BC4">
        <w:rPr>
          <w:lang w:val="sr-Cyrl-CS"/>
        </w:rPr>
        <w:t xml:space="preserve"> </w:t>
      </w:r>
      <w:r w:rsidR="005818C0">
        <w:rPr>
          <w:lang w:val="sr-Cyrl-CS"/>
        </w:rPr>
        <w:t>organa</w:t>
      </w:r>
      <w:r w:rsidR="00326EA5" w:rsidRPr="00E95BC4">
        <w:rPr>
          <w:lang w:val="sr-Cyrl-CS"/>
        </w:rPr>
        <w:t xml:space="preserve"> </w:t>
      </w:r>
      <w:r w:rsidR="005818C0">
        <w:rPr>
          <w:lang w:val="sr-Cyrl-CS"/>
        </w:rPr>
        <w:t>nadležnih</w:t>
      </w:r>
      <w:r w:rsidR="00326EA5" w:rsidRPr="00E95BC4">
        <w:rPr>
          <w:lang w:val="sr-Cyrl-CS"/>
        </w:rPr>
        <w:t xml:space="preserve"> </w:t>
      </w:r>
      <w:r w:rsidR="005818C0">
        <w:rPr>
          <w:lang w:val="sr-Cyrl-CS"/>
        </w:rPr>
        <w:t>za</w:t>
      </w:r>
      <w:r w:rsidR="00326EA5" w:rsidRPr="00E95BC4">
        <w:rPr>
          <w:lang w:val="sr-Cyrl-CS"/>
        </w:rPr>
        <w:t xml:space="preserve"> </w:t>
      </w:r>
      <w:r w:rsidR="005818C0">
        <w:rPr>
          <w:lang w:val="sr-Cyrl-CS"/>
        </w:rPr>
        <w:t>otkrivanje</w:t>
      </w:r>
      <w:r w:rsidR="00326EA5" w:rsidRPr="00E95BC4">
        <w:rPr>
          <w:lang w:val="sr-Cyrl-CS"/>
        </w:rPr>
        <w:t xml:space="preserve">, </w:t>
      </w:r>
      <w:r w:rsidR="005818C0">
        <w:rPr>
          <w:lang w:val="sr-Cyrl-CS"/>
        </w:rPr>
        <w:t>krivično</w:t>
      </w:r>
      <w:r w:rsidR="00326EA5" w:rsidRPr="00E95BC4">
        <w:rPr>
          <w:lang w:val="sr-Cyrl-CS"/>
        </w:rPr>
        <w:t xml:space="preserve"> </w:t>
      </w:r>
      <w:r w:rsidR="005818C0">
        <w:rPr>
          <w:lang w:val="sr-Cyrl-CS"/>
        </w:rPr>
        <w:t>gonjenje</w:t>
      </w:r>
      <w:r w:rsidR="00326EA5" w:rsidRPr="00E95BC4">
        <w:rPr>
          <w:lang w:val="sr-Cyrl-CS"/>
        </w:rPr>
        <w:t xml:space="preserve"> </w:t>
      </w:r>
      <w:r w:rsidR="005818C0">
        <w:rPr>
          <w:lang w:val="sr-Cyrl-CS"/>
        </w:rPr>
        <w:t>i</w:t>
      </w:r>
      <w:r w:rsidR="00326EA5" w:rsidRPr="00E95BC4">
        <w:rPr>
          <w:lang w:val="sr-Cyrl-CS"/>
        </w:rPr>
        <w:t xml:space="preserve"> </w:t>
      </w:r>
      <w:r w:rsidR="005818C0">
        <w:rPr>
          <w:lang w:val="sr-Cyrl-CS"/>
        </w:rPr>
        <w:t>suđenje</w:t>
      </w:r>
      <w:r w:rsidR="00326EA5" w:rsidRPr="00E95BC4">
        <w:rPr>
          <w:lang w:val="sr-Cyrl-CS"/>
        </w:rPr>
        <w:t xml:space="preserve"> </w:t>
      </w:r>
      <w:r w:rsidR="005818C0">
        <w:rPr>
          <w:lang w:val="sr-Cyrl-CS"/>
        </w:rPr>
        <w:t>za</w:t>
      </w:r>
      <w:r w:rsidR="00326EA5" w:rsidRPr="00E95BC4">
        <w:rPr>
          <w:lang w:val="sr-Cyrl-CS"/>
        </w:rPr>
        <w:t xml:space="preserve"> </w:t>
      </w:r>
      <w:r w:rsidR="005818C0">
        <w:rPr>
          <w:lang w:val="sr-Cyrl-CS"/>
        </w:rPr>
        <w:t>krivično</w:t>
      </w:r>
      <w:r w:rsidR="00326EA5" w:rsidRPr="00E95BC4">
        <w:rPr>
          <w:lang w:val="sr-Cyrl-CS"/>
        </w:rPr>
        <w:t xml:space="preserve"> </w:t>
      </w:r>
      <w:r w:rsidR="005818C0">
        <w:rPr>
          <w:lang w:val="sr-Cyrl-CS"/>
        </w:rPr>
        <w:t>delo</w:t>
      </w:r>
      <w:r w:rsidR="00326EA5" w:rsidRPr="00E95BC4">
        <w:rPr>
          <w:lang w:val="sr-Cyrl-CS"/>
        </w:rPr>
        <w:t xml:space="preserve"> </w:t>
      </w:r>
      <w:r w:rsidR="005818C0">
        <w:rPr>
          <w:lang w:val="sr-Cyrl-CS"/>
        </w:rPr>
        <w:t>pranje</w:t>
      </w:r>
      <w:r w:rsidR="00326EA5" w:rsidRPr="00E95BC4">
        <w:rPr>
          <w:lang w:val="sr-Cyrl-CS"/>
        </w:rPr>
        <w:t xml:space="preserve"> </w:t>
      </w:r>
      <w:r w:rsidR="005818C0">
        <w:rPr>
          <w:lang w:val="sr-Cyrl-CS"/>
        </w:rPr>
        <w:t>novca</w:t>
      </w:r>
      <w:r w:rsidR="00326EA5" w:rsidRPr="00E95BC4">
        <w:rPr>
          <w:lang w:val="sr-Cyrl-CS"/>
        </w:rPr>
        <w:t xml:space="preserve"> </w:t>
      </w:r>
      <w:r w:rsidR="005818C0">
        <w:rPr>
          <w:lang w:val="sr-Cyrl-CS"/>
        </w:rPr>
        <w:t>u</w:t>
      </w:r>
      <w:r w:rsidR="00326EA5" w:rsidRPr="00E95BC4">
        <w:rPr>
          <w:lang w:val="sr-Cyrl-CS"/>
        </w:rPr>
        <w:t xml:space="preserve"> </w:t>
      </w:r>
      <w:r w:rsidR="005818C0">
        <w:rPr>
          <w:lang w:val="sr-Cyrl-CS"/>
        </w:rPr>
        <w:t>skladu</w:t>
      </w:r>
      <w:r w:rsidR="00326EA5" w:rsidRPr="00E95BC4">
        <w:rPr>
          <w:lang w:val="sr-Cyrl-CS"/>
        </w:rPr>
        <w:t xml:space="preserve"> </w:t>
      </w:r>
      <w:r w:rsidR="005818C0">
        <w:rPr>
          <w:lang w:val="sr-Cyrl-CS"/>
        </w:rPr>
        <w:t>sa</w:t>
      </w:r>
      <w:r w:rsidR="00326EA5" w:rsidRPr="00E95BC4">
        <w:rPr>
          <w:lang w:val="sr-Cyrl-CS"/>
        </w:rPr>
        <w:t xml:space="preserve"> </w:t>
      </w:r>
      <w:r w:rsidR="005818C0">
        <w:rPr>
          <w:lang w:val="sr-Cyrl-CS"/>
        </w:rPr>
        <w:t>rezultatima</w:t>
      </w:r>
      <w:r w:rsidR="00326EA5" w:rsidRPr="00E95BC4">
        <w:rPr>
          <w:lang w:val="sr-Cyrl-CS"/>
        </w:rPr>
        <w:t xml:space="preserve"> </w:t>
      </w:r>
      <w:r w:rsidR="005818C0">
        <w:rPr>
          <w:lang w:val="sr-Cyrl-CS"/>
        </w:rPr>
        <w:t>procene</w:t>
      </w:r>
      <w:r w:rsidR="00326EA5" w:rsidRPr="00E95BC4">
        <w:rPr>
          <w:lang w:val="sr-Cyrl-CS"/>
        </w:rPr>
        <w:t xml:space="preserve"> </w:t>
      </w:r>
      <w:r w:rsidR="005818C0">
        <w:rPr>
          <w:lang w:val="sr-Cyrl-CS"/>
        </w:rPr>
        <w:t>rizika</w:t>
      </w:r>
      <w:r w:rsidR="00326EA5" w:rsidRPr="00E95BC4">
        <w:rPr>
          <w:lang w:val="sr-Cyrl-CS"/>
        </w:rPr>
        <w:t xml:space="preserve"> </w:t>
      </w:r>
      <w:r w:rsidR="005818C0">
        <w:rPr>
          <w:lang w:val="sr-Cyrl-CS"/>
        </w:rPr>
        <w:t>i</w:t>
      </w:r>
      <w:r w:rsidR="00326EA5" w:rsidRPr="00E95BC4">
        <w:rPr>
          <w:lang w:val="sr-Cyrl-CS"/>
        </w:rPr>
        <w:t xml:space="preserve"> </w:t>
      </w:r>
      <w:r w:rsidR="005818C0">
        <w:rPr>
          <w:lang w:val="sr-Cyrl-CS"/>
        </w:rPr>
        <w:t>preporukama</w:t>
      </w:r>
      <w:r w:rsidR="00326EA5" w:rsidRPr="00E95BC4">
        <w:rPr>
          <w:lang w:val="sr-Cyrl-CS"/>
        </w:rPr>
        <w:t xml:space="preserve"> </w:t>
      </w:r>
      <w:r w:rsidR="005818C0">
        <w:rPr>
          <w:lang w:val="sr-Cyrl-CS"/>
        </w:rPr>
        <w:t>Manivala</w:t>
      </w:r>
      <w:r w:rsidR="00326EA5" w:rsidRPr="00E95BC4">
        <w:rPr>
          <w:lang w:val="sr-Cyrl-CS"/>
        </w:rPr>
        <w:t xml:space="preserve"> </w:t>
      </w:r>
      <w:r w:rsidR="005818C0">
        <w:rPr>
          <w:lang w:val="sr-Cyrl-CS"/>
        </w:rPr>
        <w:t>u</w:t>
      </w:r>
      <w:r w:rsidR="00326EA5" w:rsidRPr="00E95BC4">
        <w:rPr>
          <w:lang w:val="sr-Cyrl-CS"/>
        </w:rPr>
        <w:t xml:space="preserve"> </w:t>
      </w:r>
      <w:r w:rsidR="005818C0">
        <w:rPr>
          <w:lang w:val="sr-Cyrl-CS"/>
        </w:rPr>
        <w:t>procesu</w:t>
      </w:r>
      <w:r w:rsidR="00326EA5" w:rsidRPr="00E95BC4">
        <w:rPr>
          <w:lang w:val="sr-Cyrl-CS"/>
        </w:rPr>
        <w:t xml:space="preserve"> </w:t>
      </w:r>
      <w:r w:rsidR="005818C0">
        <w:rPr>
          <w:lang w:val="sr-Cyrl-CS"/>
        </w:rPr>
        <w:t>evaluacije</w:t>
      </w:r>
      <w:r w:rsidR="00370282" w:rsidRPr="00E95BC4">
        <w:rPr>
          <w:lang w:val="sr-Cyrl-CS"/>
        </w:rPr>
        <w:t xml:space="preserve"> </w:t>
      </w:r>
      <w:r w:rsidR="005818C0">
        <w:rPr>
          <w:lang w:val="sr-Cyrl-CS"/>
        </w:rPr>
        <w:t>Republike</w:t>
      </w:r>
      <w:r w:rsidR="00326EA5" w:rsidRPr="00E95BC4">
        <w:rPr>
          <w:lang w:val="sr-Cyrl-CS"/>
        </w:rPr>
        <w:t xml:space="preserve"> </w:t>
      </w:r>
      <w:r w:rsidR="005818C0">
        <w:rPr>
          <w:lang w:val="sr-Cyrl-CS"/>
        </w:rPr>
        <w:t>Srbije</w:t>
      </w:r>
      <w:r w:rsidR="00842D2B" w:rsidRPr="00E95BC4">
        <w:rPr>
          <w:lang w:val="sr-Cyrl-CS"/>
        </w:rPr>
        <w:t>;</w:t>
      </w:r>
    </w:p>
    <w:p w:rsidR="001B60B1" w:rsidRPr="00E95BC4" w:rsidRDefault="005818C0" w:rsidP="001B60B1">
      <w:pPr>
        <w:jc w:val="both"/>
        <w:rPr>
          <w:lang w:val="sr-Cyrl-CS"/>
        </w:rPr>
      </w:pPr>
      <w:r>
        <w:rPr>
          <w:b/>
          <w:lang w:val="sr-Cyrl-CS"/>
        </w:rPr>
        <w:t>Mera</w:t>
      </w:r>
      <w:r w:rsidR="001B60B1" w:rsidRPr="00E95BC4">
        <w:rPr>
          <w:b/>
          <w:lang w:val="sr-Cyrl-CS"/>
        </w:rPr>
        <w:t xml:space="preserve"> 3.</w:t>
      </w:r>
      <w:r w:rsidR="00326EA5" w:rsidRPr="00E95BC4">
        <w:rPr>
          <w:b/>
          <w:lang w:val="sr-Cyrl-CS"/>
        </w:rPr>
        <w:t>2</w:t>
      </w:r>
      <w:r w:rsidR="001B60B1" w:rsidRPr="00E95BC4">
        <w:rPr>
          <w:b/>
          <w:lang w:val="sr-Cyrl-CS"/>
        </w:rPr>
        <w:t>:</w:t>
      </w:r>
      <w:r w:rsidR="001B60B1" w:rsidRPr="00E95BC4">
        <w:rPr>
          <w:lang w:val="sr-Cyrl-CS"/>
        </w:rPr>
        <w:t xml:space="preserve"> </w:t>
      </w:r>
      <w:r>
        <w:rPr>
          <w:lang w:val="sr-Cyrl-CS"/>
        </w:rPr>
        <w:t>Izricanje</w:t>
      </w:r>
      <w:r w:rsidR="001B60B1" w:rsidRPr="00E95BC4">
        <w:rPr>
          <w:lang w:val="sr-Cyrl-CS"/>
        </w:rPr>
        <w:t xml:space="preserve"> </w:t>
      </w:r>
      <w:r>
        <w:rPr>
          <w:lang w:val="sr-Cyrl-CS"/>
        </w:rPr>
        <w:t>delotvornih</w:t>
      </w:r>
      <w:r w:rsidR="001B60B1" w:rsidRPr="00E95BC4">
        <w:rPr>
          <w:lang w:val="sr-Cyrl-CS"/>
        </w:rPr>
        <w:t xml:space="preserve"> </w:t>
      </w:r>
      <w:r>
        <w:rPr>
          <w:lang w:val="sr-Cyrl-CS"/>
        </w:rPr>
        <w:t>i</w:t>
      </w:r>
      <w:r w:rsidR="001B60B1" w:rsidRPr="00E95BC4">
        <w:rPr>
          <w:lang w:val="sr-Cyrl-CS"/>
        </w:rPr>
        <w:t xml:space="preserve"> </w:t>
      </w:r>
      <w:r>
        <w:rPr>
          <w:lang w:val="sr-Cyrl-CS"/>
        </w:rPr>
        <w:t>odvraćajućih</w:t>
      </w:r>
      <w:r w:rsidR="001B60B1" w:rsidRPr="00E95BC4">
        <w:rPr>
          <w:lang w:val="sr-Cyrl-CS"/>
        </w:rPr>
        <w:t xml:space="preserve"> </w:t>
      </w:r>
      <w:r>
        <w:rPr>
          <w:lang w:val="sr-Cyrl-CS"/>
        </w:rPr>
        <w:t>krivičnih</w:t>
      </w:r>
      <w:r w:rsidR="001B60B1" w:rsidRPr="00E95BC4">
        <w:rPr>
          <w:lang w:val="sr-Cyrl-CS"/>
        </w:rPr>
        <w:t xml:space="preserve"> </w:t>
      </w:r>
      <w:r>
        <w:rPr>
          <w:lang w:val="sr-Cyrl-CS"/>
        </w:rPr>
        <w:t>sankcija</w:t>
      </w:r>
      <w:r w:rsidR="00842D2B" w:rsidRPr="00E95BC4">
        <w:rPr>
          <w:lang w:val="sr-Cyrl-CS"/>
        </w:rPr>
        <w:t>;</w:t>
      </w:r>
    </w:p>
    <w:p w:rsidR="001B60B1" w:rsidRPr="00E95BC4" w:rsidRDefault="005818C0" w:rsidP="001B60B1">
      <w:pPr>
        <w:jc w:val="both"/>
        <w:rPr>
          <w:lang w:val="sr-Cyrl-CS"/>
        </w:rPr>
      </w:pPr>
      <w:r>
        <w:rPr>
          <w:b/>
          <w:lang w:val="sr-Cyrl-CS"/>
        </w:rPr>
        <w:t>Mera</w:t>
      </w:r>
      <w:r w:rsidR="001B60B1" w:rsidRPr="00E95BC4">
        <w:rPr>
          <w:b/>
          <w:lang w:val="sr-Cyrl-CS"/>
        </w:rPr>
        <w:t xml:space="preserve"> 3.</w:t>
      </w:r>
      <w:r w:rsidR="00326EA5" w:rsidRPr="00E95BC4">
        <w:rPr>
          <w:b/>
          <w:lang w:val="sr-Cyrl-CS"/>
        </w:rPr>
        <w:t>3</w:t>
      </w:r>
      <w:r w:rsidR="001B60B1" w:rsidRPr="00E95BC4">
        <w:rPr>
          <w:b/>
          <w:lang w:val="sr-Cyrl-CS"/>
        </w:rPr>
        <w:t>:</w:t>
      </w:r>
      <w:r w:rsidR="001B60B1" w:rsidRPr="00E95BC4">
        <w:rPr>
          <w:lang w:val="sr-Cyrl-CS"/>
        </w:rPr>
        <w:t xml:space="preserve"> </w:t>
      </w:r>
      <w:r>
        <w:rPr>
          <w:lang w:val="sr-Cyrl-CS"/>
        </w:rPr>
        <w:t>Efektivno</w:t>
      </w:r>
      <w:r w:rsidR="001B60B1" w:rsidRPr="00E95BC4">
        <w:rPr>
          <w:lang w:val="sr-Cyrl-CS"/>
        </w:rPr>
        <w:t xml:space="preserve"> </w:t>
      </w:r>
      <w:r>
        <w:rPr>
          <w:lang w:val="sr-Cyrl-CS"/>
        </w:rPr>
        <w:t>oduzimanje</w:t>
      </w:r>
      <w:r w:rsidR="001B60B1" w:rsidRPr="00E95BC4">
        <w:rPr>
          <w:lang w:val="sr-Cyrl-CS"/>
        </w:rPr>
        <w:t xml:space="preserve"> </w:t>
      </w:r>
      <w:r>
        <w:rPr>
          <w:lang w:val="sr-Cyrl-CS"/>
        </w:rPr>
        <w:t>nezakonito</w:t>
      </w:r>
      <w:r w:rsidR="001B60B1" w:rsidRPr="00E95BC4">
        <w:rPr>
          <w:lang w:val="sr-Cyrl-CS"/>
        </w:rPr>
        <w:t xml:space="preserve"> </w:t>
      </w:r>
      <w:r>
        <w:rPr>
          <w:lang w:val="sr-Cyrl-CS"/>
        </w:rPr>
        <w:t>stečene</w:t>
      </w:r>
      <w:r w:rsidR="001B60B1" w:rsidRPr="00E95BC4">
        <w:rPr>
          <w:lang w:val="sr-Cyrl-CS"/>
        </w:rPr>
        <w:t xml:space="preserve"> </w:t>
      </w:r>
      <w:r>
        <w:rPr>
          <w:lang w:val="sr-Cyrl-CS"/>
        </w:rPr>
        <w:t>imovine</w:t>
      </w:r>
      <w:r w:rsidR="00842D2B" w:rsidRPr="00E95BC4">
        <w:rPr>
          <w:lang w:val="sr-Cyrl-CS"/>
        </w:rPr>
        <w:t>.</w:t>
      </w:r>
    </w:p>
    <w:p w:rsidR="001B60B1" w:rsidRPr="00E95BC4" w:rsidRDefault="001B60B1" w:rsidP="001B60B1">
      <w:pPr>
        <w:jc w:val="both"/>
        <w:rPr>
          <w:lang w:val="sr-Cyrl-CS"/>
        </w:rPr>
      </w:pPr>
    </w:p>
    <w:p w:rsidR="001B60B1" w:rsidRPr="00E95BC4" w:rsidRDefault="00934E82" w:rsidP="001B60B1">
      <w:pPr>
        <w:jc w:val="both"/>
        <w:rPr>
          <w:lang w:val="sr-Cyrl-CS"/>
        </w:rPr>
      </w:pPr>
      <w:r w:rsidRPr="00934E82">
        <w:rPr>
          <w:b/>
          <w:noProof/>
        </w:rPr>
        <w:pict>
          <v:shape id="Text Box 9" o:spid="_x0000_s1037" type="#_x0000_t202" style="position:absolute;left:0;text-align:left;margin-left:0;margin-top:1.6pt;width:130.5pt;height:73.6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" fillcolor="#a5a5a5 [2092]" stroked="f" strokecolor="#f2f2f2 [3041]" strokeweight="3pt">
            <v:shadow color="#7f7f7f [1601]" opacity=".5" offset="1pt"/>
            <v:textbox>
              <w:txbxContent>
                <w:p w:rsidR="005818C0" w:rsidRPr="0074155A" w:rsidRDefault="005818C0" w:rsidP="001B60B1">
                  <w:pPr>
                    <w:jc w:val="both"/>
                    <w:rPr>
                      <w:b/>
                      <w:color w:val="FFFFFF" w:themeColor="background1"/>
                      <w:sz w:val="16"/>
                      <w:szCs w:val="16"/>
                    </w:rPr>
                  </w:pPr>
                  <w:r w:rsidRPr="0074155A">
                    <w:rPr>
                      <w:b/>
                      <w:color w:val="FFFFFF" w:themeColor="background1"/>
                      <w:sz w:val="16"/>
                      <w:szCs w:val="16"/>
                    </w:rPr>
                    <w:t xml:space="preserve">Посебни циљ 4: </w:t>
                  </w:r>
                  <w:r w:rsidRPr="0074155A">
                    <w:rPr>
                      <w:color w:val="FFFFFF" w:themeColor="background1"/>
                      <w:sz w:val="16"/>
                      <w:szCs w:val="16"/>
                    </w:rPr>
                    <w:t>Уочавати и отклањати претње од финансирања тероризма и кажњавати извршиоце кривичног дела</w:t>
                  </w:r>
                  <w:r w:rsidRPr="0074155A">
                    <w:rPr>
                      <w:b/>
                      <w:color w:val="FFFFFF" w:themeColor="background1"/>
                      <w:sz w:val="16"/>
                      <w:szCs w:val="16"/>
                    </w:rPr>
                    <w:t xml:space="preserve"> </w:t>
                  </w:r>
                  <w:r w:rsidRPr="0074155A">
                    <w:rPr>
                      <w:color w:val="FFFFFF" w:themeColor="background1"/>
                      <w:sz w:val="16"/>
                      <w:szCs w:val="16"/>
                    </w:rPr>
                    <w:t>финансирања</w:t>
                  </w:r>
                  <w:r w:rsidRPr="0074155A">
                    <w:rPr>
                      <w:b/>
                      <w:color w:val="FFFFFF" w:themeColor="background1"/>
                      <w:sz w:val="16"/>
                      <w:szCs w:val="16"/>
                    </w:rPr>
                    <w:t xml:space="preserve"> </w:t>
                  </w:r>
                  <w:r w:rsidRPr="0074155A">
                    <w:rPr>
                      <w:color w:val="FFFFFF" w:themeColor="background1"/>
                      <w:sz w:val="16"/>
                      <w:szCs w:val="16"/>
                    </w:rPr>
                    <w:t>тероризма</w:t>
                  </w:r>
                </w:p>
                <w:p w:rsidR="005818C0" w:rsidRPr="001B60B1" w:rsidRDefault="005818C0" w:rsidP="001B60B1">
                  <w:pPr>
                    <w:jc w:val="both"/>
                    <w:rPr>
                      <w:sz w:val="16"/>
                      <w:szCs w:val="16"/>
                    </w:rPr>
                  </w:pPr>
                </w:p>
              </w:txbxContent>
            </v:textbox>
            <w10:wrap type="square"/>
          </v:shape>
        </w:pict>
      </w:r>
      <w:r w:rsidR="005818C0">
        <w:rPr>
          <w:b/>
          <w:lang w:val="sr-Cyrl-CS"/>
        </w:rPr>
        <w:t>Mera</w:t>
      </w:r>
      <w:r w:rsidR="001B60B1" w:rsidRPr="00E95BC4">
        <w:rPr>
          <w:b/>
          <w:lang w:val="sr-Cyrl-CS"/>
        </w:rPr>
        <w:t xml:space="preserve"> 4.1:</w:t>
      </w:r>
      <w:r w:rsidR="001B60B1" w:rsidRPr="00E95BC4">
        <w:rPr>
          <w:lang w:val="sr-Cyrl-CS"/>
        </w:rPr>
        <w:t xml:space="preserve"> </w:t>
      </w:r>
      <w:r w:rsidR="005818C0">
        <w:rPr>
          <w:lang w:val="sr-Cyrl-CS"/>
        </w:rPr>
        <w:t>Obezbeđenje</w:t>
      </w:r>
      <w:r w:rsidR="001B60B1" w:rsidRPr="00E95BC4">
        <w:rPr>
          <w:lang w:val="sr-Cyrl-CS"/>
        </w:rPr>
        <w:t xml:space="preserve"> </w:t>
      </w:r>
      <w:r w:rsidR="005818C0">
        <w:rPr>
          <w:lang w:val="sr-Cyrl-CS"/>
        </w:rPr>
        <w:t>održivosti</w:t>
      </w:r>
      <w:r w:rsidR="001B60B1" w:rsidRPr="00E95BC4">
        <w:rPr>
          <w:lang w:val="sr-Cyrl-CS"/>
        </w:rPr>
        <w:t xml:space="preserve"> </w:t>
      </w:r>
      <w:r w:rsidR="005818C0">
        <w:rPr>
          <w:lang w:val="sr-Cyrl-CS"/>
        </w:rPr>
        <w:t>sistema</w:t>
      </w:r>
      <w:r w:rsidR="001B60B1" w:rsidRPr="00E95BC4">
        <w:rPr>
          <w:lang w:val="sr-Cyrl-CS"/>
        </w:rPr>
        <w:t xml:space="preserve"> </w:t>
      </w:r>
      <w:r w:rsidR="005818C0">
        <w:rPr>
          <w:lang w:val="sr-Cyrl-CS"/>
        </w:rPr>
        <w:t>istraživanja</w:t>
      </w:r>
      <w:r w:rsidR="001B60B1" w:rsidRPr="00E95BC4">
        <w:rPr>
          <w:lang w:val="sr-Cyrl-CS"/>
        </w:rPr>
        <w:t xml:space="preserve"> </w:t>
      </w:r>
      <w:r w:rsidR="005818C0">
        <w:rPr>
          <w:lang w:val="sr-Cyrl-CS"/>
        </w:rPr>
        <w:t>i</w:t>
      </w:r>
      <w:r w:rsidR="001B60B1" w:rsidRPr="00E95BC4">
        <w:rPr>
          <w:lang w:val="sr-Cyrl-CS"/>
        </w:rPr>
        <w:t xml:space="preserve"> </w:t>
      </w:r>
      <w:r w:rsidR="005818C0">
        <w:rPr>
          <w:lang w:val="sr-Cyrl-CS"/>
        </w:rPr>
        <w:t>krivičnog</w:t>
      </w:r>
      <w:r w:rsidR="001B60B1" w:rsidRPr="00E95BC4">
        <w:rPr>
          <w:lang w:val="sr-Cyrl-CS"/>
        </w:rPr>
        <w:t xml:space="preserve"> </w:t>
      </w:r>
      <w:r w:rsidR="005818C0">
        <w:rPr>
          <w:lang w:val="sr-Cyrl-CS"/>
        </w:rPr>
        <w:t>gonjenja</w:t>
      </w:r>
      <w:r w:rsidR="001B60B1" w:rsidRPr="00E95BC4">
        <w:rPr>
          <w:lang w:val="sr-Cyrl-CS"/>
        </w:rPr>
        <w:t xml:space="preserve"> </w:t>
      </w:r>
      <w:r w:rsidR="005818C0">
        <w:rPr>
          <w:lang w:val="sr-Cyrl-CS"/>
        </w:rPr>
        <w:t>u</w:t>
      </w:r>
      <w:r w:rsidR="001B60B1" w:rsidRPr="00E95BC4">
        <w:rPr>
          <w:lang w:val="sr-Cyrl-CS"/>
        </w:rPr>
        <w:t xml:space="preserve"> </w:t>
      </w:r>
      <w:r w:rsidR="005818C0">
        <w:rPr>
          <w:lang w:val="sr-Cyrl-CS"/>
        </w:rPr>
        <w:t>slučajevima</w:t>
      </w:r>
      <w:r w:rsidR="001B60B1" w:rsidRPr="00E95BC4">
        <w:rPr>
          <w:lang w:val="sr-Cyrl-CS"/>
        </w:rPr>
        <w:t xml:space="preserve"> </w:t>
      </w:r>
      <w:r w:rsidR="005818C0">
        <w:rPr>
          <w:lang w:val="sr-Cyrl-CS"/>
        </w:rPr>
        <w:t>finansiranja</w:t>
      </w:r>
      <w:r w:rsidR="001B60B1" w:rsidRPr="00E95BC4">
        <w:rPr>
          <w:lang w:val="sr-Cyrl-CS"/>
        </w:rPr>
        <w:t xml:space="preserve"> </w:t>
      </w:r>
      <w:r w:rsidR="005818C0">
        <w:rPr>
          <w:lang w:val="sr-Cyrl-CS"/>
        </w:rPr>
        <w:t>terorizma</w:t>
      </w:r>
      <w:r w:rsidR="00842D2B" w:rsidRPr="00E95BC4">
        <w:rPr>
          <w:lang w:val="sr-Cyrl-CS"/>
        </w:rPr>
        <w:t>;</w:t>
      </w:r>
    </w:p>
    <w:p w:rsidR="001B60B1" w:rsidRPr="00E95BC4" w:rsidRDefault="005818C0" w:rsidP="001B60B1">
      <w:pPr>
        <w:jc w:val="both"/>
        <w:rPr>
          <w:lang w:val="sr-Cyrl-CS"/>
        </w:rPr>
      </w:pPr>
      <w:r>
        <w:rPr>
          <w:b/>
          <w:lang w:val="sr-Cyrl-CS"/>
        </w:rPr>
        <w:t>Mera</w:t>
      </w:r>
      <w:r w:rsidR="001B60B1" w:rsidRPr="00E95BC4">
        <w:rPr>
          <w:b/>
          <w:lang w:val="sr-Cyrl-CS"/>
        </w:rPr>
        <w:t xml:space="preserve"> 4.2:</w:t>
      </w:r>
      <w:r w:rsidR="001B60B1" w:rsidRPr="00E95BC4">
        <w:rPr>
          <w:lang w:val="sr-Cyrl-CS"/>
        </w:rPr>
        <w:t xml:space="preserve"> </w:t>
      </w:r>
      <w:r>
        <w:rPr>
          <w:lang w:val="sr-Cyrl-CS"/>
        </w:rPr>
        <w:t>Obezbeđenje</w:t>
      </w:r>
      <w:r w:rsidR="001B60B1" w:rsidRPr="00E95BC4">
        <w:rPr>
          <w:lang w:val="sr-Cyrl-CS"/>
        </w:rPr>
        <w:t xml:space="preserve"> </w:t>
      </w:r>
      <w:r>
        <w:rPr>
          <w:lang w:val="sr-Cyrl-CS"/>
        </w:rPr>
        <w:t>efikasnosti</w:t>
      </w:r>
      <w:r w:rsidR="001B60B1" w:rsidRPr="00E95BC4">
        <w:rPr>
          <w:lang w:val="sr-Cyrl-CS"/>
        </w:rPr>
        <w:t xml:space="preserve"> </w:t>
      </w:r>
      <w:r>
        <w:rPr>
          <w:lang w:val="sr-Cyrl-CS"/>
        </w:rPr>
        <w:t>sprovođenja</w:t>
      </w:r>
      <w:r w:rsidR="001B60B1" w:rsidRPr="00E95BC4">
        <w:rPr>
          <w:lang w:val="sr-Cyrl-CS"/>
        </w:rPr>
        <w:t xml:space="preserve"> </w:t>
      </w:r>
      <w:r>
        <w:rPr>
          <w:lang w:val="sr-Cyrl-CS"/>
        </w:rPr>
        <w:t>aktivnosti</w:t>
      </w:r>
      <w:r w:rsidR="001B60B1" w:rsidRPr="00E95BC4">
        <w:rPr>
          <w:lang w:val="sr-Cyrl-CS"/>
        </w:rPr>
        <w:t xml:space="preserve"> </w:t>
      </w:r>
      <w:r>
        <w:rPr>
          <w:lang w:val="sr-Cyrl-CS"/>
        </w:rPr>
        <w:t>na</w:t>
      </w:r>
      <w:r w:rsidR="001B60B1" w:rsidRPr="00E95BC4">
        <w:rPr>
          <w:lang w:val="sr-Cyrl-CS"/>
        </w:rPr>
        <w:t xml:space="preserve"> </w:t>
      </w:r>
      <w:r>
        <w:rPr>
          <w:lang w:val="sr-Cyrl-CS"/>
        </w:rPr>
        <w:t>praćenju</w:t>
      </w:r>
      <w:r w:rsidR="001B60B1" w:rsidRPr="00E95BC4">
        <w:rPr>
          <w:lang w:val="sr-Cyrl-CS"/>
        </w:rPr>
        <w:t xml:space="preserve"> </w:t>
      </w:r>
      <w:r>
        <w:rPr>
          <w:lang w:val="sr-Cyrl-CS"/>
        </w:rPr>
        <w:t>prekograničnih</w:t>
      </w:r>
      <w:r w:rsidR="001B60B1" w:rsidRPr="00E95BC4">
        <w:rPr>
          <w:lang w:val="sr-Cyrl-CS"/>
        </w:rPr>
        <w:t xml:space="preserve"> </w:t>
      </w:r>
      <w:r>
        <w:rPr>
          <w:lang w:val="sr-Cyrl-CS"/>
        </w:rPr>
        <w:t>rizika</w:t>
      </w:r>
      <w:r w:rsidR="001B60B1" w:rsidRPr="00E95BC4">
        <w:rPr>
          <w:lang w:val="sr-Cyrl-CS"/>
        </w:rPr>
        <w:t xml:space="preserve"> </w:t>
      </w:r>
      <w:r>
        <w:rPr>
          <w:lang w:val="sr-Cyrl-CS"/>
        </w:rPr>
        <w:t>za</w:t>
      </w:r>
      <w:r w:rsidR="001B60B1" w:rsidRPr="00E95BC4">
        <w:rPr>
          <w:lang w:val="sr-Cyrl-CS"/>
        </w:rPr>
        <w:t xml:space="preserve"> </w:t>
      </w:r>
      <w:r>
        <w:rPr>
          <w:lang w:val="sr-Cyrl-CS"/>
        </w:rPr>
        <w:t>finansiranje</w:t>
      </w:r>
      <w:r w:rsidR="001B60B1" w:rsidRPr="00E95BC4">
        <w:rPr>
          <w:lang w:val="sr-Cyrl-CS"/>
        </w:rPr>
        <w:t xml:space="preserve"> </w:t>
      </w:r>
      <w:r>
        <w:rPr>
          <w:lang w:val="sr-Cyrl-CS"/>
        </w:rPr>
        <w:t>terorizma</w:t>
      </w:r>
      <w:r w:rsidR="00842D2B" w:rsidRPr="00E95BC4">
        <w:rPr>
          <w:lang w:val="sr-Cyrl-CS"/>
        </w:rPr>
        <w:t>;</w:t>
      </w:r>
    </w:p>
    <w:p w:rsidR="001B60B1" w:rsidRPr="00E95BC4" w:rsidRDefault="005818C0" w:rsidP="001B60B1">
      <w:pPr>
        <w:jc w:val="both"/>
        <w:rPr>
          <w:lang w:val="sr-Cyrl-CS"/>
        </w:rPr>
      </w:pPr>
      <w:r>
        <w:rPr>
          <w:b/>
          <w:lang w:val="sr-Cyrl-CS"/>
        </w:rPr>
        <w:t>Mera</w:t>
      </w:r>
      <w:r w:rsidR="001B60B1" w:rsidRPr="00E95BC4">
        <w:rPr>
          <w:b/>
          <w:lang w:val="sr-Cyrl-CS"/>
        </w:rPr>
        <w:t xml:space="preserve"> 4.3:</w:t>
      </w:r>
      <w:r w:rsidR="001B60B1" w:rsidRPr="00E95BC4">
        <w:rPr>
          <w:lang w:val="sr-Cyrl-CS"/>
        </w:rPr>
        <w:t xml:space="preserve"> </w:t>
      </w:r>
      <w:r>
        <w:rPr>
          <w:lang w:val="sr-Cyrl-CS"/>
        </w:rPr>
        <w:t>Unapređenje</w:t>
      </w:r>
      <w:r w:rsidR="00D17BB2" w:rsidRPr="00E95BC4">
        <w:rPr>
          <w:lang w:val="sr-Cyrl-CS"/>
        </w:rPr>
        <w:t xml:space="preserve"> </w:t>
      </w:r>
      <w:r>
        <w:rPr>
          <w:lang w:val="sr-Cyrl-CS"/>
        </w:rPr>
        <w:t>okvira</w:t>
      </w:r>
      <w:r w:rsidR="00D17BB2" w:rsidRPr="00E95BC4">
        <w:rPr>
          <w:lang w:val="sr-Cyrl-CS"/>
        </w:rPr>
        <w:t xml:space="preserve"> </w:t>
      </w:r>
      <w:r>
        <w:rPr>
          <w:lang w:val="sr-Cyrl-CS"/>
        </w:rPr>
        <w:t>za</w:t>
      </w:r>
      <w:r w:rsidR="00D17BB2" w:rsidRPr="00E95BC4">
        <w:rPr>
          <w:lang w:val="sr-Cyrl-CS"/>
        </w:rPr>
        <w:t xml:space="preserve"> </w:t>
      </w:r>
      <w:r>
        <w:rPr>
          <w:lang w:val="sr-Cyrl-CS"/>
        </w:rPr>
        <w:t>sprečavanje</w:t>
      </w:r>
      <w:r w:rsidR="00D17BB2" w:rsidRPr="00E95BC4">
        <w:rPr>
          <w:lang w:val="sr-Cyrl-CS"/>
        </w:rPr>
        <w:t xml:space="preserve"> </w:t>
      </w:r>
      <w:r>
        <w:rPr>
          <w:lang w:val="sr-Cyrl-CS"/>
        </w:rPr>
        <w:t>zloupotrebe</w:t>
      </w:r>
      <w:r w:rsidR="00D17BB2" w:rsidRPr="00E95BC4">
        <w:rPr>
          <w:lang w:val="sr-Cyrl-CS"/>
        </w:rPr>
        <w:t xml:space="preserve"> </w:t>
      </w:r>
      <w:r>
        <w:rPr>
          <w:lang w:val="sr-Cyrl-CS"/>
        </w:rPr>
        <w:t>neprofitnog</w:t>
      </w:r>
      <w:r w:rsidR="00D17BB2" w:rsidRPr="00E95BC4">
        <w:rPr>
          <w:lang w:val="sr-Cyrl-CS"/>
        </w:rPr>
        <w:t xml:space="preserve"> </w:t>
      </w:r>
      <w:r>
        <w:rPr>
          <w:lang w:val="sr-Cyrl-CS"/>
        </w:rPr>
        <w:t>sektora</w:t>
      </w:r>
      <w:r w:rsidR="00D17BB2" w:rsidRPr="00E95BC4">
        <w:rPr>
          <w:lang w:val="sr-Cyrl-CS"/>
        </w:rPr>
        <w:t xml:space="preserve"> </w:t>
      </w:r>
      <w:r>
        <w:rPr>
          <w:lang w:val="sr-Cyrl-CS"/>
        </w:rPr>
        <w:t>u</w:t>
      </w:r>
      <w:r w:rsidR="00D17BB2" w:rsidRPr="00E95BC4">
        <w:rPr>
          <w:lang w:val="sr-Cyrl-CS"/>
        </w:rPr>
        <w:t xml:space="preserve"> </w:t>
      </w:r>
      <w:r>
        <w:rPr>
          <w:lang w:val="sr-Cyrl-CS"/>
        </w:rPr>
        <w:t>svrhe</w:t>
      </w:r>
      <w:r w:rsidR="00D17BB2" w:rsidRPr="00E95BC4">
        <w:rPr>
          <w:lang w:val="sr-Cyrl-CS"/>
        </w:rPr>
        <w:t xml:space="preserve"> </w:t>
      </w:r>
      <w:r>
        <w:rPr>
          <w:lang w:val="sr-Cyrl-CS"/>
        </w:rPr>
        <w:t>finansiranja</w:t>
      </w:r>
      <w:r w:rsidR="00D17BB2" w:rsidRPr="00E95BC4">
        <w:rPr>
          <w:lang w:val="sr-Cyrl-CS"/>
        </w:rPr>
        <w:t xml:space="preserve"> </w:t>
      </w:r>
      <w:r>
        <w:rPr>
          <w:lang w:val="sr-Cyrl-CS"/>
        </w:rPr>
        <w:t>terorizma</w:t>
      </w:r>
      <w:r w:rsidR="00D17BB2" w:rsidRPr="00E95BC4">
        <w:rPr>
          <w:lang w:val="sr-Cyrl-CS"/>
        </w:rPr>
        <w:t xml:space="preserve"> </w:t>
      </w:r>
      <w:r>
        <w:rPr>
          <w:lang w:val="sr-Cyrl-CS"/>
        </w:rPr>
        <w:t>kroz</w:t>
      </w:r>
      <w:r w:rsidR="00D17BB2" w:rsidRPr="00E95BC4">
        <w:rPr>
          <w:lang w:val="sr-Cyrl-CS"/>
        </w:rPr>
        <w:t xml:space="preserve"> </w:t>
      </w:r>
      <w:r>
        <w:rPr>
          <w:lang w:val="sr-Cyrl-CS"/>
        </w:rPr>
        <w:t>aktivnu</w:t>
      </w:r>
      <w:r w:rsidR="00D17BB2" w:rsidRPr="00E95BC4">
        <w:rPr>
          <w:lang w:val="sr-Cyrl-CS"/>
        </w:rPr>
        <w:t xml:space="preserve"> </w:t>
      </w:r>
      <w:r>
        <w:rPr>
          <w:lang w:val="sr-Cyrl-CS"/>
        </w:rPr>
        <w:t>saradnju</w:t>
      </w:r>
      <w:r w:rsidR="00D17BB2" w:rsidRPr="00E95BC4">
        <w:rPr>
          <w:lang w:val="sr-Cyrl-CS"/>
        </w:rPr>
        <w:t xml:space="preserve"> </w:t>
      </w:r>
      <w:r>
        <w:rPr>
          <w:lang w:val="sr-Cyrl-CS"/>
        </w:rPr>
        <w:t>između</w:t>
      </w:r>
      <w:r w:rsidR="00D17BB2" w:rsidRPr="00E95BC4">
        <w:rPr>
          <w:lang w:val="sr-Cyrl-CS"/>
        </w:rPr>
        <w:t xml:space="preserve"> </w:t>
      </w:r>
      <w:r>
        <w:rPr>
          <w:lang w:val="sr-Cyrl-CS"/>
        </w:rPr>
        <w:t>javnog</w:t>
      </w:r>
      <w:r w:rsidR="00D17BB2" w:rsidRPr="00E95BC4">
        <w:rPr>
          <w:lang w:val="sr-Cyrl-CS"/>
        </w:rPr>
        <w:t xml:space="preserve"> </w:t>
      </w:r>
      <w:r>
        <w:rPr>
          <w:lang w:val="sr-Cyrl-CS"/>
        </w:rPr>
        <w:t>i</w:t>
      </w:r>
      <w:r w:rsidR="00D17BB2" w:rsidRPr="00E95BC4">
        <w:rPr>
          <w:lang w:val="sr-Cyrl-CS"/>
        </w:rPr>
        <w:t xml:space="preserve"> </w:t>
      </w:r>
      <w:r>
        <w:rPr>
          <w:lang w:val="sr-Cyrl-CS"/>
        </w:rPr>
        <w:t>neprofitnog</w:t>
      </w:r>
      <w:r w:rsidR="00D17BB2" w:rsidRPr="00E95BC4">
        <w:rPr>
          <w:lang w:val="sr-Cyrl-CS"/>
        </w:rPr>
        <w:t xml:space="preserve"> </w:t>
      </w:r>
      <w:r>
        <w:rPr>
          <w:lang w:val="sr-Cyrl-CS"/>
        </w:rPr>
        <w:t>sektora</w:t>
      </w:r>
      <w:r w:rsidR="00842D2B" w:rsidRPr="00E95BC4">
        <w:rPr>
          <w:lang w:val="sr-Cyrl-CS"/>
        </w:rPr>
        <w:t>;</w:t>
      </w:r>
    </w:p>
    <w:p w:rsidR="001B60B1" w:rsidRPr="00E95BC4" w:rsidRDefault="005818C0" w:rsidP="001B60B1">
      <w:pPr>
        <w:jc w:val="both"/>
        <w:rPr>
          <w:lang w:val="sr-Cyrl-CS"/>
        </w:rPr>
      </w:pPr>
      <w:r>
        <w:rPr>
          <w:b/>
          <w:lang w:val="sr-Cyrl-CS"/>
        </w:rPr>
        <w:t>Mera</w:t>
      </w:r>
      <w:r w:rsidR="001B60B1" w:rsidRPr="00E95BC4">
        <w:rPr>
          <w:b/>
          <w:lang w:val="sr-Cyrl-CS"/>
        </w:rPr>
        <w:t xml:space="preserve"> 4.4:</w:t>
      </w:r>
      <w:r w:rsidR="001B60B1" w:rsidRPr="00E95BC4">
        <w:rPr>
          <w:lang w:val="sr-Cyrl-CS"/>
        </w:rPr>
        <w:t xml:space="preserve"> </w:t>
      </w:r>
      <w:r>
        <w:rPr>
          <w:lang w:val="sr-Cyrl-CS"/>
        </w:rPr>
        <w:t>Unapređenje</w:t>
      </w:r>
      <w:r w:rsidR="001B60B1" w:rsidRPr="00E95BC4">
        <w:rPr>
          <w:lang w:val="sr-Cyrl-CS"/>
        </w:rPr>
        <w:t xml:space="preserve"> </w:t>
      </w:r>
      <w:r>
        <w:rPr>
          <w:lang w:val="sr-Cyrl-CS"/>
        </w:rPr>
        <w:t>i</w:t>
      </w:r>
      <w:r w:rsidR="001B60B1" w:rsidRPr="00E95BC4">
        <w:rPr>
          <w:lang w:val="sr-Cyrl-CS"/>
        </w:rPr>
        <w:t xml:space="preserve"> </w:t>
      </w:r>
      <w:r>
        <w:rPr>
          <w:lang w:val="sr-Cyrl-CS"/>
        </w:rPr>
        <w:t>efikasna</w:t>
      </w:r>
      <w:r w:rsidR="001B60B1" w:rsidRPr="00E95BC4">
        <w:rPr>
          <w:lang w:val="sr-Cyrl-CS"/>
        </w:rPr>
        <w:t xml:space="preserve"> </w:t>
      </w:r>
      <w:r>
        <w:rPr>
          <w:lang w:val="sr-Cyrl-CS"/>
        </w:rPr>
        <w:t>primena</w:t>
      </w:r>
      <w:r w:rsidR="001B60B1" w:rsidRPr="00E95BC4">
        <w:rPr>
          <w:lang w:val="sr-Cyrl-CS"/>
        </w:rPr>
        <w:t xml:space="preserve"> </w:t>
      </w:r>
      <w:r>
        <w:rPr>
          <w:lang w:val="sr-Cyrl-CS"/>
        </w:rPr>
        <w:t>normativnog</w:t>
      </w:r>
      <w:r w:rsidR="001B60B1" w:rsidRPr="00E95BC4">
        <w:rPr>
          <w:lang w:val="sr-Cyrl-CS"/>
        </w:rPr>
        <w:t xml:space="preserve"> </w:t>
      </w:r>
      <w:r>
        <w:rPr>
          <w:lang w:val="sr-Cyrl-CS"/>
        </w:rPr>
        <w:t>okvira</w:t>
      </w:r>
      <w:r w:rsidR="001B60B1" w:rsidRPr="00E95BC4">
        <w:rPr>
          <w:lang w:val="sr-Cyrl-CS"/>
        </w:rPr>
        <w:t xml:space="preserve"> </w:t>
      </w:r>
      <w:r>
        <w:rPr>
          <w:lang w:val="sr-Cyrl-CS"/>
        </w:rPr>
        <w:t>koji</w:t>
      </w:r>
      <w:r w:rsidR="001B60B1" w:rsidRPr="00E95BC4">
        <w:rPr>
          <w:lang w:val="sr-Cyrl-CS"/>
        </w:rPr>
        <w:t xml:space="preserve"> </w:t>
      </w:r>
      <w:r>
        <w:rPr>
          <w:lang w:val="sr-Cyrl-CS"/>
        </w:rPr>
        <w:t>se</w:t>
      </w:r>
      <w:r w:rsidR="001B60B1" w:rsidRPr="00E95BC4">
        <w:rPr>
          <w:lang w:val="sr-Cyrl-CS"/>
        </w:rPr>
        <w:t xml:space="preserve"> </w:t>
      </w:r>
      <w:r>
        <w:rPr>
          <w:lang w:val="sr-Cyrl-CS"/>
        </w:rPr>
        <w:t>odnosi</w:t>
      </w:r>
      <w:r w:rsidR="001B60B1" w:rsidRPr="00E95BC4">
        <w:rPr>
          <w:lang w:val="sr-Cyrl-CS"/>
        </w:rPr>
        <w:t xml:space="preserve"> </w:t>
      </w:r>
      <w:r>
        <w:rPr>
          <w:lang w:val="sr-Cyrl-CS"/>
        </w:rPr>
        <w:t>na</w:t>
      </w:r>
      <w:r w:rsidR="001B60B1" w:rsidRPr="00E95BC4">
        <w:rPr>
          <w:lang w:val="sr-Cyrl-CS"/>
        </w:rPr>
        <w:t xml:space="preserve"> </w:t>
      </w:r>
      <w:r>
        <w:rPr>
          <w:lang w:val="sr-Cyrl-CS"/>
        </w:rPr>
        <w:t>sprečavanje</w:t>
      </w:r>
      <w:r w:rsidR="001B60B1" w:rsidRPr="00E95BC4">
        <w:rPr>
          <w:lang w:val="sr-Cyrl-CS"/>
        </w:rPr>
        <w:t xml:space="preserve"> </w:t>
      </w:r>
      <w:r>
        <w:rPr>
          <w:lang w:val="sr-Cyrl-CS"/>
        </w:rPr>
        <w:t>finansiranja</w:t>
      </w:r>
      <w:r w:rsidR="001B60B1" w:rsidRPr="00E95BC4">
        <w:rPr>
          <w:lang w:val="sr-Cyrl-CS"/>
        </w:rPr>
        <w:t xml:space="preserve"> </w:t>
      </w:r>
      <w:r>
        <w:rPr>
          <w:lang w:val="sr-Cyrl-CS"/>
        </w:rPr>
        <w:t>terorizma</w:t>
      </w:r>
      <w:r w:rsidR="00842D2B" w:rsidRPr="00E95BC4">
        <w:rPr>
          <w:lang w:val="sr-Cyrl-CS"/>
        </w:rPr>
        <w:t>.</w:t>
      </w:r>
    </w:p>
    <w:p w:rsidR="00B150CA" w:rsidRPr="00E95BC4" w:rsidRDefault="00B150CA" w:rsidP="001B60B1">
      <w:pPr>
        <w:jc w:val="both"/>
        <w:rPr>
          <w:lang w:val="sr-Cyrl-CS"/>
        </w:rPr>
      </w:pPr>
    </w:p>
    <w:p w:rsidR="00465BE6" w:rsidRPr="00E95BC4" w:rsidRDefault="005818C0" w:rsidP="00465BE6">
      <w:pPr>
        <w:ind w:firstLine="720"/>
        <w:jc w:val="both"/>
        <w:rPr>
          <w:lang w:val="sr-Cyrl-CS"/>
        </w:rPr>
      </w:pPr>
      <w:r>
        <w:rPr>
          <w:b/>
          <w:lang w:val="sr-Cyrl-CS"/>
        </w:rPr>
        <w:t>Efekti</w:t>
      </w:r>
      <w:r w:rsidR="00206857" w:rsidRPr="00E95BC4">
        <w:rPr>
          <w:b/>
          <w:lang w:val="sr-Cyrl-CS"/>
        </w:rPr>
        <w:t xml:space="preserve"> </w:t>
      </w:r>
      <w:r>
        <w:rPr>
          <w:b/>
          <w:lang w:val="sr-Cyrl-CS"/>
        </w:rPr>
        <w:t>mera</w:t>
      </w:r>
      <w:r w:rsidR="00465BE6" w:rsidRPr="00E95BC4">
        <w:rPr>
          <w:b/>
          <w:lang w:val="sr-Cyrl-CS"/>
        </w:rPr>
        <w:t>.</w:t>
      </w:r>
      <w:r w:rsidR="00465BE6" w:rsidRPr="00E95BC4">
        <w:rPr>
          <w:lang w:val="sr-Cyrl-CS"/>
        </w:rPr>
        <w:t xml:space="preserve"> </w:t>
      </w:r>
      <w:r>
        <w:rPr>
          <w:lang w:val="sr-Cyrl-CS"/>
        </w:rPr>
        <w:t>Ostvarivanjem</w:t>
      </w:r>
      <w:r w:rsidR="00465BE6" w:rsidRPr="00E95BC4">
        <w:rPr>
          <w:lang w:val="sr-Cyrl-CS"/>
        </w:rPr>
        <w:t xml:space="preserve"> </w:t>
      </w:r>
      <w:r>
        <w:rPr>
          <w:lang w:val="sr-Cyrl-CS"/>
        </w:rPr>
        <w:t>napred</w:t>
      </w:r>
      <w:r w:rsidR="00465BE6" w:rsidRPr="00E95BC4">
        <w:rPr>
          <w:lang w:val="sr-Cyrl-CS"/>
        </w:rPr>
        <w:t xml:space="preserve"> </w:t>
      </w:r>
      <w:r>
        <w:rPr>
          <w:lang w:val="sr-Cyrl-CS"/>
        </w:rPr>
        <w:t>navedenih</w:t>
      </w:r>
      <w:r w:rsidR="00465BE6" w:rsidRPr="00E95BC4">
        <w:rPr>
          <w:lang w:val="sr-Cyrl-CS"/>
        </w:rPr>
        <w:t xml:space="preserve"> </w:t>
      </w:r>
      <w:r>
        <w:rPr>
          <w:lang w:val="sr-Cyrl-CS"/>
        </w:rPr>
        <w:t>ciljeva</w:t>
      </w:r>
      <w:r w:rsidR="00465BE6" w:rsidRPr="00E95BC4">
        <w:rPr>
          <w:lang w:val="sr-Cyrl-CS"/>
        </w:rPr>
        <w:t xml:space="preserve">, </w:t>
      </w:r>
      <w:r>
        <w:rPr>
          <w:lang w:val="sr-Cyrl-CS"/>
        </w:rPr>
        <w:t>teži</w:t>
      </w:r>
      <w:r w:rsidR="00465BE6" w:rsidRPr="00E95BC4">
        <w:rPr>
          <w:lang w:val="sr-Cyrl-CS"/>
        </w:rPr>
        <w:t xml:space="preserve"> </w:t>
      </w:r>
      <w:r>
        <w:rPr>
          <w:lang w:val="sr-Cyrl-CS"/>
        </w:rPr>
        <w:t>se</w:t>
      </w:r>
      <w:r w:rsidR="00465BE6" w:rsidRPr="00E95BC4">
        <w:rPr>
          <w:lang w:val="sr-Cyrl-CS"/>
        </w:rPr>
        <w:t xml:space="preserve"> </w:t>
      </w:r>
      <w:r>
        <w:rPr>
          <w:lang w:val="sr-Cyrl-CS"/>
        </w:rPr>
        <w:t>postizanju</w:t>
      </w:r>
      <w:r w:rsidR="00465BE6" w:rsidRPr="00E95BC4">
        <w:rPr>
          <w:lang w:val="sr-Cyrl-CS"/>
        </w:rPr>
        <w:t xml:space="preserve"> </w:t>
      </w:r>
      <w:r>
        <w:rPr>
          <w:lang w:val="sr-Cyrl-CS"/>
        </w:rPr>
        <w:t>sledećih</w:t>
      </w:r>
      <w:r w:rsidR="00465BE6" w:rsidRPr="00E95BC4">
        <w:rPr>
          <w:lang w:val="sr-Cyrl-CS"/>
        </w:rPr>
        <w:t xml:space="preserve"> </w:t>
      </w:r>
      <w:r>
        <w:rPr>
          <w:lang w:val="sr-Cyrl-CS"/>
        </w:rPr>
        <w:t>željenih</w:t>
      </w:r>
      <w:r w:rsidR="00465BE6" w:rsidRPr="00E95BC4">
        <w:rPr>
          <w:lang w:val="sr-Cyrl-CS"/>
        </w:rPr>
        <w:t xml:space="preserve"> </w:t>
      </w:r>
      <w:r>
        <w:rPr>
          <w:lang w:val="sr-Cyrl-CS"/>
        </w:rPr>
        <w:t>stanja</w:t>
      </w:r>
      <w:r w:rsidR="00465BE6" w:rsidRPr="00E95BC4">
        <w:rPr>
          <w:lang w:val="sr-Cyrl-CS"/>
        </w:rPr>
        <w:t>:</w:t>
      </w:r>
    </w:p>
    <w:p w:rsidR="003F4F08" w:rsidRPr="00E95BC4" w:rsidRDefault="003F4F08" w:rsidP="00465BE6">
      <w:pPr>
        <w:ind w:firstLine="720"/>
        <w:jc w:val="both"/>
        <w:rPr>
          <w:lang w:val="sr-Cyrl-CS"/>
        </w:rPr>
      </w:pPr>
    </w:p>
    <w:p w:rsidR="00465BE6" w:rsidRPr="00E95BC4" w:rsidRDefault="005818C0" w:rsidP="00465BE6">
      <w:pPr>
        <w:pStyle w:val="ListParagraph"/>
        <w:numPr>
          <w:ilvl w:val="0"/>
          <w:numId w:val="13"/>
        </w:numPr>
        <w:jc w:val="both"/>
        <w:rPr>
          <w:lang w:val="sr-Cyrl-CS"/>
        </w:rPr>
      </w:pPr>
      <w:r>
        <w:rPr>
          <w:lang w:val="sr-Cyrl-CS"/>
        </w:rPr>
        <w:t>Dobro</w:t>
      </w:r>
      <w:r w:rsidR="00465BE6" w:rsidRPr="00E95BC4">
        <w:rPr>
          <w:lang w:val="sr-Cyrl-CS"/>
        </w:rPr>
        <w:t xml:space="preserve"> </w:t>
      </w:r>
      <w:r>
        <w:rPr>
          <w:lang w:val="sr-Cyrl-CS"/>
        </w:rPr>
        <w:t>razumevanje</w:t>
      </w:r>
      <w:r w:rsidR="00465BE6" w:rsidRPr="00E95BC4">
        <w:rPr>
          <w:lang w:val="sr-Cyrl-CS"/>
        </w:rPr>
        <w:t xml:space="preserve"> </w:t>
      </w:r>
      <w:r>
        <w:rPr>
          <w:lang w:val="sr-Cyrl-CS"/>
        </w:rPr>
        <w:t>rizika</w:t>
      </w:r>
      <w:r w:rsidR="00465BE6" w:rsidRPr="00E95BC4">
        <w:rPr>
          <w:lang w:val="sr-Cyrl-CS"/>
        </w:rPr>
        <w:t xml:space="preserve"> </w:t>
      </w:r>
      <w:r>
        <w:rPr>
          <w:lang w:val="sr-Cyrl-CS"/>
        </w:rPr>
        <w:t>omogućiće</w:t>
      </w:r>
      <w:r w:rsidR="00465BE6" w:rsidRPr="00E95BC4">
        <w:rPr>
          <w:lang w:val="sr-Cyrl-CS"/>
        </w:rPr>
        <w:t xml:space="preserve"> </w:t>
      </w:r>
      <w:r>
        <w:rPr>
          <w:lang w:val="sr-Cyrl-CS"/>
        </w:rPr>
        <w:t>nadležnim</w:t>
      </w:r>
      <w:r w:rsidR="00465BE6" w:rsidRPr="00E95BC4">
        <w:rPr>
          <w:lang w:val="sr-Cyrl-CS"/>
        </w:rPr>
        <w:t xml:space="preserve"> </w:t>
      </w:r>
      <w:r>
        <w:rPr>
          <w:lang w:val="sr-Cyrl-CS"/>
        </w:rPr>
        <w:t>državnim</w:t>
      </w:r>
      <w:r w:rsidR="00465BE6" w:rsidRPr="00E95BC4">
        <w:rPr>
          <w:lang w:val="sr-Cyrl-CS"/>
        </w:rPr>
        <w:t xml:space="preserve"> </w:t>
      </w:r>
      <w:r>
        <w:rPr>
          <w:lang w:val="sr-Cyrl-CS"/>
        </w:rPr>
        <w:t>organima</w:t>
      </w:r>
      <w:r w:rsidR="00465BE6" w:rsidRPr="00E95BC4">
        <w:rPr>
          <w:lang w:val="sr-Cyrl-CS"/>
        </w:rPr>
        <w:t xml:space="preserve"> </w:t>
      </w:r>
      <w:r>
        <w:rPr>
          <w:lang w:val="sr-Cyrl-CS"/>
        </w:rPr>
        <w:t>i</w:t>
      </w:r>
      <w:r w:rsidR="00465BE6" w:rsidRPr="00E95BC4">
        <w:rPr>
          <w:lang w:val="sr-Cyrl-CS"/>
        </w:rPr>
        <w:t xml:space="preserve"> </w:t>
      </w:r>
      <w:r>
        <w:rPr>
          <w:lang w:val="sr-Cyrl-CS"/>
        </w:rPr>
        <w:t>drugim</w:t>
      </w:r>
      <w:r w:rsidR="00465BE6" w:rsidRPr="00E95BC4">
        <w:rPr>
          <w:lang w:val="sr-Cyrl-CS"/>
        </w:rPr>
        <w:t xml:space="preserve"> </w:t>
      </w:r>
      <w:r>
        <w:rPr>
          <w:lang w:val="sr-Cyrl-CS"/>
        </w:rPr>
        <w:t>učesnicima</w:t>
      </w:r>
      <w:r w:rsidR="00465BE6" w:rsidRPr="00E95BC4">
        <w:rPr>
          <w:lang w:val="sr-Cyrl-CS"/>
        </w:rPr>
        <w:t xml:space="preserve"> </w:t>
      </w:r>
      <w:r>
        <w:rPr>
          <w:lang w:val="sr-Cyrl-CS"/>
        </w:rPr>
        <w:t>u</w:t>
      </w:r>
      <w:r w:rsidR="00465BE6" w:rsidRPr="00E95BC4">
        <w:rPr>
          <w:lang w:val="sr-Cyrl-CS"/>
        </w:rPr>
        <w:t xml:space="preserve"> </w:t>
      </w:r>
      <w:r>
        <w:rPr>
          <w:lang w:val="sr-Cyrl-CS"/>
        </w:rPr>
        <w:t>sistemu</w:t>
      </w:r>
      <w:r w:rsidR="00465BE6" w:rsidRPr="00E95BC4">
        <w:rPr>
          <w:lang w:val="sr-Cyrl-CS"/>
        </w:rPr>
        <w:t xml:space="preserve"> </w:t>
      </w:r>
      <w:r>
        <w:rPr>
          <w:lang w:val="sr-Cyrl-CS"/>
        </w:rPr>
        <w:t>da</w:t>
      </w:r>
      <w:r w:rsidR="00465BE6" w:rsidRPr="00E95BC4">
        <w:rPr>
          <w:lang w:val="sr-Cyrl-CS"/>
        </w:rPr>
        <w:t xml:space="preserve"> </w:t>
      </w:r>
      <w:r>
        <w:rPr>
          <w:lang w:val="sr-Cyrl-CS"/>
        </w:rPr>
        <w:t>utvrđuju</w:t>
      </w:r>
      <w:r w:rsidR="00345568">
        <w:rPr>
          <w:lang w:val="sr-Cyrl-CS"/>
        </w:rPr>
        <w:t xml:space="preserve"> </w:t>
      </w:r>
      <w:r>
        <w:rPr>
          <w:lang w:val="sr-Cyrl-CS"/>
        </w:rPr>
        <w:t>prioritete</w:t>
      </w:r>
      <w:r w:rsidR="00345568">
        <w:rPr>
          <w:lang w:val="sr-Cyrl-CS"/>
        </w:rPr>
        <w:t xml:space="preserve"> </w:t>
      </w:r>
      <w:r>
        <w:rPr>
          <w:lang w:val="sr-Cyrl-CS"/>
        </w:rPr>
        <w:t>u</w:t>
      </w:r>
      <w:r w:rsidR="00345568">
        <w:rPr>
          <w:lang w:val="sr-Cyrl-CS"/>
        </w:rPr>
        <w:t xml:space="preserve"> </w:t>
      </w:r>
      <w:r>
        <w:rPr>
          <w:lang w:val="sr-Cyrl-CS"/>
        </w:rPr>
        <w:t>svom</w:t>
      </w:r>
      <w:r w:rsidR="00345568">
        <w:rPr>
          <w:lang w:val="sr-Cyrl-CS"/>
        </w:rPr>
        <w:t xml:space="preserve"> </w:t>
      </w:r>
      <w:r>
        <w:rPr>
          <w:lang w:val="sr-Cyrl-CS"/>
        </w:rPr>
        <w:t>radu</w:t>
      </w:r>
      <w:r w:rsidR="00345568">
        <w:rPr>
          <w:lang w:val="sr-Cyrl-CS"/>
        </w:rPr>
        <w:t xml:space="preserve">, </w:t>
      </w:r>
      <w:r>
        <w:rPr>
          <w:lang w:val="sr-Cyrl-CS"/>
        </w:rPr>
        <w:t>uključujući</w:t>
      </w:r>
      <w:r w:rsidR="00465BE6" w:rsidRPr="00E95BC4">
        <w:rPr>
          <w:lang w:val="sr-Cyrl-CS"/>
        </w:rPr>
        <w:t xml:space="preserve"> </w:t>
      </w:r>
      <w:r>
        <w:rPr>
          <w:lang w:val="sr-Cyrl-CS"/>
        </w:rPr>
        <w:t>i</w:t>
      </w:r>
      <w:r w:rsidR="00465BE6" w:rsidRPr="00E95BC4">
        <w:rPr>
          <w:lang w:val="sr-Cyrl-CS"/>
        </w:rPr>
        <w:t xml:space="preserve"> </w:t>
      </w:r>
      <w:r>
        <w:rPr>
          <w:lang w:val="sr-Cyrl-CS"/>
        </w:rPr>
        <w:t>istrage</w:t>
      </w:r>
      <w:r w:rsidR="00465BE6" w:rsidRPr="00E95BC4">
        <w:rPr>
          <w:lang w:val="sr-Cyrl-CS"/>
        </w:rPr>
        <w:t xml:space="preserve"> </w:t>
      </w:r>
      <w:r>
        <w:rPr>
          <w:lang w:val="sr-Cyrl-CS"/>
        </w:rPr>
        <w:t>i</w:t>
      </w:r>
      <w:r w:rsidR="00465BE6" w:rsidRPr="00E95BC4">
        <w:rPr>
          <w:lang w:val="sr-Cyrl-CS"/>
        </w:rPr>
        <w:t xml:space="preserve"> </w:t>
      </w:r>
      <w:r>
        <w:rPr>
          <w:lang w:val="sr-Cyrl-CS"/>
        </w:rPr>
        <w:t>kontrolu</w:t>
      </w:r>
      <w:r w:rsidR="00465BE6" w:rsidRPr="00E95BC4">
        <w:rPr>
          <w:lang w:val="sr-Cyrl-CS"/>
        </w:rPr>
        <w:t xml:space="preserve"> </w:t>
      </w:r>
      <w:r>
        <w:rPr>
          <w:lang w:val="sr-Cyrl-CS"/>
        </w:rPr>
        <w:t>primene</w:t>
      </w:r>
      <w:r w:rsidR="00465BE6" w:rsidRPr="00E95BC4">
        <w:rPr>
          <w:lang w:val="sr-Cyrl-CS"/>
        </w:rPr>
        <w:t xml:space="preserve"> </w:t>
      </w:r>
      <w:r>
        <w:rPr>
          <w:lang w:val="sr-Cyrl-CS"/>
        </w:rPr>
        <w:t>propisa</w:t>
      </w:r>
      <w:r w:rsidR="00465BE6" w:rsidRPr="00E95BC4">
        <w:rPr>
          <w:lang w:val="sr-Cyrl-CS"/>
        </w:rPr>
        <w:t xml:space="preserve">, </w:t>
      </w:r>
      <w:r>
        <w:rPr>
          <w:lang w:val="sr-Cyrl-CS"/>
        </w:rPr>
        <w:t>vodeći</w:t>
      </w:r>
      <w:r w:rsidR="003F4F08" w:rsidRPr="00E95BC4">
        <w:rPr>
          <w:lang w:val="sr-Cyrl-CS"/>
        </w:rPr>
        <w:t xml:space="preserve"> </w:t>
      </w:r>
      <w:r>
        <w:rPr>
          <w:lang w:val="sr-Cyrl-CS"/>
        </w:rPr>
        <w:t>računa</w:t>
      </w:r>
      <w:r w:rsidR="003F4F08" w:rsidRPr="00E95BC4">
        <w:rPr>
          <w:lang w:val="sr-Cyrl-CS"/>
        </w:rPr>
        <w:t xml:space="preserve"> </w:t>
      </w:r>
      <w:r>
        <w:rPr>
          <w:lang w:val="sr-Cyrl-CS"/>
        </w:rPr>
        <w:t>o</w:t>
      </w:r>
      <w:r w:rsidR="003F4F08" w:rsidRPr="00E95BC4">
        <w:rPr>
          <w:lang w:val="sr-Cyrl-CS"/>
        </w:rPr>
        <w:t xml:space="preserve"> </w:t>
      </w:r>
      <w:r>
        <w:rPr>
          <w:lang w:val="sr-Cyrl-CS"/>
        </w:rPr>
        <w:t>najvažnijim</w:t>
      </w:r>
      <w:r w:rsidR="003F4F08" w:rsidRPr="00E95BC4">
        <w:rPr>
          <w:lang w:val="sr-Cyrl-CS"/>
        </w:rPr>
        <w:t xml:space="preserve"> </w:t>
      </w:r>
      <w:r>
        <w:rPr>
          <w:lang w:val="sr-Cyrl-CS"/>
        </w:rPr>
        <w:t>pretnjama</w:t>
      </w:r>
      <w:r w:rsidR="003F4F08" w:rsidRPr="00E95BC4">
        <w:rPr>
          <w:lang w:val="sr-Cyrl-CS"/>
        </w:rPr>
        <w:t xml:space="preserve"> </w:t>
      </w:r>
      <w:r>
        <w:rPr>
          <w:lang w:val="sr-Cyrl-CS"/>
        </w:rPr>
        <w:t>po</w:t>
      </w:r>
      <w:r w:rsidR="003F4F08" w:rsidRPr="00E95BC4">
        <w:rPr>
          <w:lang w:val="sr-Cyrl-CS"/>
        </w:rPr>
        <w:t xml:space="preserve"> </w:t>
      </w:r>
      <w:r>
        <w:rPr>
          <w:lang w:val="sr-Cyrl-CS"/>
        </w:rPr>
        <w:t>sistem</w:t>
      </w:r>
      <w:r w:rsidR="003F4F08" w:rsidRPr="00E95BC4">
        <w:rPr>
          <w:lang w:val="sr-Cyrl-CS"/>
        </w:rPr>
        <w:t xml:space="preserve"> </w:t>
      </w:r>
      <w:r>
        <w:rPr>
          <w:lang w:val="sr-Cyrl-CS"/>
        </w:rPr>
        <w:t>i</w:t>
      </w:r>
      <w:r w:rsidR="003F4F08" w:rsidRPr="00E95BC4">
        <w:rPr>
          <w:lang w:val="sr-Cyrl-CS"/>
        </w:rPr>
        <w:t xml:space="preserve"> </w:t>
      </w:r>
      <w:r>
        <w:rPr>
          <w:lang w:val="sr-Cyrl-CS"/>
        </w:rPr>
        <w:t>njegovim</w:t>
      </w:r>
      <w:r w:rsidR="003F4F08" w:rsidRPr="00E95BC4">
        <w:rPr>
          <w:lang w:val="sr-Cyrl-CS"/>
        </w:rPr>
        <w:t xml:space="preserve"> </w:t>
      </w:r>
      <w:r>
        <w:rPr>
          <w:lang w:val="sr-Cyrl-CS"/>
        </w:rPr>
        <w:t>slabim</w:t>
      </w:r>
      <w:r w:rsidR="003F4F08" w:rsidRPr="00E95BC4">
        <w:rPr>
          <w:lang w:val="sr-Cyrl-CS"/>
        </w:rPr>
        <w:t xml:space="preserve"> </w:t>
      </w:r>
      <w:r>
        <w:rPr>
          <w:lang w:val="sr-Cyrl-CS"/>
        </w:rPr>
        <w:t>tačkama</w:t>
      </w:r>
      <w:r w:rsidR="00465BE6" w:rsidRPr="00E95BC4">
        <w:rPr>
          <w:lang w:val="sr-Cyrl-CS"/>
        </w:rPr>
        <w:t xml:space="preserve">. </w:t>
      </w:r>
      <w:r>
        <w:rPr>
          <w:lang w:val="sr-Cyrl-CS"/>
        </w:rPr>
        <w:t>Obveznici</w:t>
      </w:r>
      <w:r w:rsidR="00465BE6" w:rsidRPr="00E95BC4">
        <w:rPr>
          <w:lang w:val="sr-Cyrl-CS"/>
        </w:rPr>
        <w:t xml:space="preserve"> </w:t>
      </w:r>
      <w:r>
        <w:rPr>
          <w:lang w:val="sr-Cyrl-CS"/>
        </w:rPr>
        <w:t>i</w:t>
      </w:r>
      <w:r w:rsidR="00465BE6" w:rsidRPr="00E95BC4">
        <w:rPr>
          <w:lang w:val="sr-Cyrl-CS"/>
        </w:rPr>
        <w:t xml:space="preserve"> </w:t>
      </w:r>
      <w:r>
        <w:rPr>
          <w:lang w:val="sr-Cyrl-CS"/>
        </w:rPr>
        <w:t>nadzorni</w:t>
      </w:r>
      <w:r w:rsidR="00465BE6" w:rsidRPr="00E95BC4">
        <w:rPr>
          <w:lang w:val="sr-Cyrl-CS"/>
        </w:rPr>
        <w:t xml:space="preserve"> </w:t>
      </w:r>
      <w:r>
        <w:rPr>
          <w:lang w:val="sr-Cyrl-CS"/>
        </w:rPr>
        <w:t>organi</w:t>
      </w:r>
      <w:r w:rsidR="00465BE6" w:rsidRPr="00E95BC4">
        <w:rPr>
          <w:lang w:val="sr-Cyrl-CS"/>
        </w:rPr>
        <w:t xml:space="preserve"> </w:t>
      </w:r>
      <w:r>
        <w:rPr>
          <w:lang w:val="sr-Cyrl-CS"/>
        </w:rPr>
        <w:t>će</w:t>
      </w:r>
      <w:r w:rsidR="00465BE6" w:rsidRPr="00E95BC4">
        <w:rPr>
          <w:lang w:val="sr-Cyrl-CS"/>
        </w:rPr>
        <w:t xml:space="preserve"> </w:t>
      </w:r>
      <w:r>
        <w:rPr>
          <w:lang w:val="sr-Cyrl-CS"/>
        </w:rPr>
        <w:t>pomoću</w:t>
      </w:r>
      <w:r w:rsidR="00465BE6" w:rsidRPr="00E95BC4">
        <w:rPr>
          <w:lang w:val="sr-Cyrl-CS"/>
        </w:rPr>
        <w:t xml:space="preserve"> </w:t>
      </w:r>
      <w:r>
        <w:rPr>
          <w:lang w:val="sr-Cyrl-CS"/>
        </w:rPr>
        <w:t>kvalitetnih</w:t>
      </w:r>
      <w:r w:rsidR="00465BE6" w:rsidRPr="00E95BC4">
        <w:rPr>
          <w:lang w:val="sr-Cyrl-CS"/>
        </w:rPr>
        <w:t xml:space="preserve"> </w:t>
      </w:r>
      <w:r>
        <w:rPr>
          <w:lang w:val="sr-Cyrl-CS"/>
        </w:rPr>
        <w:t>analiza</w:t>
      </w:r>
      <w:r w:rsidR="00465BE6" w:rsidRPr="00E95BC4">
        <w:rPr>
          <w:lang w:val="sr-Cyrl-CS"/>
        </w:rPr>
        <w:t xml:space="preserve"> </w:t>
      </w:r>
      <w:r>
        <w:rPr>
          <w:lang w:val="sr-Cyrl-CS"/>
        </w:rPr>
        <w:t>rizika</w:t>
      </w:r>
      <w:r w:rsidR="00465BE6" w:rsidRPr="00E95BC4">
        <w:rPr>
          <w:lang w:val="sr-Cyrl-CS"/>
        </w:rPr>
        <w:t xml:space="preserve"> </w:t>
      </w:r>
      <w:r>
        <w:rPr>
          <w:lang w:val="sr-Cyrl-CS"/>
        </w:rPr>
        <w:t>sačinjavati</w:t>
      </w:r>
      <w:r w:rsidR="003F4F08" w:rsidRPr="00E95BC4">
        <w:rPr>
          <w:lang w:val="sr-Cyrl-CS"/>
        </w:rPr>
        <w:t xml:space="preserve"> </w:t>
      </w:r>
      <w:r>
        <w:rPr>
          <w:lang w:val="sr-Cyrl-CS"/>
        </w:rPr>
        <w:t>sopstvene</w:t>
      </w:r>
      <w:r w:rsidR="00465BE6" w:rsidRPr="00E95BC4">
        <w:rPr>
          <w:lang w:val="sr-Cyrl-CS"/>
        </w:rPr>
        <w:t xml:space="preserve"> </w:t>
      </w:r>
      <w:r>
        <w:rPr>
          <w:lang w:val="sr-Cyrl-CS"/>
        </w:rPr>
        <w:t>analize</w:t>
      </w:r>
      <w:r w:rsidR="00465BE6" w:rsidRPr="00E95BC4">
        <w:rPr>
          <w:lang w:val="sr-Cyrl-CS"/>
        </w:rPr>
        <w:t xml:space="preserve"> </w:t>
      </w:r>
      <w:r>
        <w:rPr>
          <w:lang w:val="sr-Cyrl-CS"/>
        </w:rPr>
        <w:t>i</w:t>
      </w:r>
      <w:r w:rsidR="00465BE6" w:rsidRPr="00E95BC4">
        <w:rPr>
          <w:lang w:val="sr-Cyrl-CS"/>
        </w:rPr>
        <w:t xml:space="preserve"> </w:t>
      </w:r>
      <w:r>
        <w:rPr>
          <w:lang w:val="sr-Cyrl-CS"/>
        </w:rPr>
        <w:t>utvrđivati</w:t>
      </w:r>
      <w:r w:rsidR="00465BE6" w:rsidRPr="00E95BC4">
        <w:rPr>
          <w:lang w:val="sr-Cyrl-CS"/>
        </w:rPr>
        <w:t xml:space="preserve"> </w:t>
      </w:r>
      <w:r>
        <w:rPr>
          <w:lang w:val="sr-Cyrl-CS"/>
        </w:rPr>
        <w:t>prioritete</w:t>
      </w:r>
      <w:r w:rsidR="00465BE6" w:rsidRPr="00E95BC4">
        <w:rPr>
          <w:lang w:val="sr-Cyrl-CS"/>
        </w:rPr>
        <w:t xml:space="preserve"> </w:t>
      </w:r>
      <w:r>
        <w:rPr>
          <w:lang w:val="sr-Cyrl-CS"/>
        </w:rPr>
        <w:t>u</w:t>
      </w:r>
      <w:r w:rsidR="00465BE6" w:rsidRPr="00E95BC4">
        <w:rPr>
          <w:lang w:val="sr-Cyrl-CS"/>
        </w:rPr>
        <w:t xml:space="preserve"> </w:t>
      </w:r>
      <w:r>
        <w:rPr>
          <w:lang w:val="sr-Cyrl-CS"/>
        </w:rPr>
        <w:t>svom</w:t>
      </w:r>
      <w:r w:rsidR="00465BE6" w:rsidRPr="00E95BC4">
        <w:rPr>
          <w:lang w:val="sr-Cyrl-CS"/>
        </w:rPr>
        <w:t xml:space="preserve"> </w:t>
      </w:r>
      <w:r>
        <w:rPr>
          <w:lang w:val="sr-Cyrl-CS"/>
        </w:rPr>
        <w:t>radu</w:t>
      </w:r>
      <w:r w:rsidR="00465BE6" w:rsidRPr="00E95BC4">
        <w:rPr>
          <w:lang w:val="sr-Cyrl-CS"/>
        </w:rPr>
        <w:t xml:space="preserve"> </w:t>
      </w:r>
      <w:r>
        <w:rPr>
          <w:lang w:val="sr-Cyrl-CS"/>
        </w:rPr>
        <w:t>i</w:t>
      </w:r>
      <w:r w:rsidR="00465BE6" w:rsidRPr="00E95BC4">
        <w:rPr>
          <w:lang w:val="sr-Cyrl-CS"/>
        </w:rPr>
        <w:t xml:space="preserve"> </w:t>
      </w:r>
      <w:r>
        <w:rPr>
          <w:lang w:val="sr-Cyrl-CS"/>
        </w:rPr>
        <w:t>kontrolama</w:t>
      </w:r>
      <w:r w:rsidR="003F4F08" w:rsidRPr="00E95BC4">
        <w:rPr>
          <w:lang w:val="sr-Cyrl-CS"/>
        </w:rPr>
        <w:t xml:space="preserve"> </w:t>
      </w:r>
      <w:r>
        <w:rPr>
          <w:lang w:val="sr-Cyrl-CS"/>
        </w:rPr>
        <w:t>imajući</w:t>
      </w:r>
      <w:r w:rsidR="003F4F08" w:rsidRPr="00E95BC4">
        <w:rPr>
          <w:lang w:val="sr-Cyrl-CS"/>
        </w:rPr>
        <w:t xml:space="preserve"> </w:t>
      </w:r>
      <w:r>
        <w:rPr>
          <w:lang w:val="sr-Cyrl-CS"/>
        </w:rPr>
        <w:t>u</w:t>
      </w:r>
      <w:r w:rsidR="003F4F08" w:rsidRPr="00E95BC4">
        <w:rPr>
          <w:lang w:val="sr-Cyrl-CS"/>
        </w:rPr>
        <w:t xml:space="preserve"> </w:t>
      </w:r>
      <w:r>
        <w:rPr>
          <w:lang w:val="sr-Cyrl-CS"/>
        </w:rPr>
        <w:t>vidu</w:t>
      </w:r>
      <w:r w:rsidR="003F4F08" w:rsidRPr="00E95BC4">
        <w:rPr>
          <w:lang w:val="sr-Cyrl-CS"/>
        </w:rPr>
        <w:t xml:space="preserve"> </w:t>
      </w:r>
      <w:r>
        <w:rPr>
          <w:lang w:val="sr-Cyrl-CS"/>
        </w:rPr>
        <w:t>procene</w:t>
      </w:r>
      <w:r w:rsidR="003F4F08" w:rsidRPr="00E95BC4">
        <w:rPr>
          <w:lang w:val="sr-Cyrl-CS"/>
        </w:rPr>
        <w:t xml:space="preserve"> </w:t>
      </w:r>
      <w:r>
        <w:rPr>
          <w:lang w:val="sr-Cyrl-CS"/>
        </w:rPr>
        <w:t>rizika</w:t>
      </w:r>
      <w:r w:rsidR="00465BE6" w:rsidRPr="00E95BC4">
        <w:rPr>
          <w:lang w:val="sr-Cyrl-CS"/>
        </w:rPr>
        <w:t xml:space="preserve">. </w:t>
      </w:r>
      <w:r>
        <w:rPr>
          <w:lang w:val="sr-Cyrl-CS"/>
        </w:rPr>
        <w:t>Te</w:t>
      </w:r>
      <w:r w:rsidR="00465BE6" w:rsidRPr="00E95BC4">
        <w:rPr>
          <w:lang w:val="sr-Cyrl-CS"/>
        </w:rPr>
        <w:t xml:space="preserve"> </w:t>
      </w:r>
      <w:r>
        <w:rPr>
          <w:lang w:val="sr-Cyrl-CS"/>
        </w:rPr>
        <w:t>rizike</w:t>
      </w:r>
      <w:r w:rsidR="00465BE6" w:rsidRPr="00E95BC4">
        <w:rPr>
          <w:lang w:val="sr-Cyrl-CS"/>
        </w:rPr>
        <w:t xml:space="preserve"> </w:t>
      </w:r>
      <w:r>
        <w:rPr>
          <w:lang w:val="sr-Cyrl-CS"/>
        </w:rPr>
        <w:t>će</w:t>
      </w:r>
      <w:r w:rsidR="00465BE6" w:rsidRPr="00E95BC4">
        <w:rPr>
          <w:lang w:val="sr-Cyrl-CS"/>
        </w:rPr>
        <w:t xml:space="preserve"> </w:t>
      </w:r>
      <w:r>
        <w:rPr>
          <w:lang w:val="sr-Cyrl-CS"/>
        </w:rPr>
        <w:t>razumeti</w:t>
      </w:r>
      <w:r w:rsidR="00465BE6" w:rsidRPr="00E95BC4">
        <w:rPr>
          <w:lang w:val="sr-Cyrl-CS"/>
        </w:rPr>
        <w:t xml:space="preserve"> </w:t>
      </w:r>
      <w:r>
        <w:rPr>
          <w:lang w:val="sr-Cyrl-CS"/>
        </w:rPr>
        <w:t>svi</w:t>
      </w:r>
      <w:r w:rsidR="00465BE6" w:rsidRPr="00E95BC4">
        <w:rPr>
          <w:lang w:val="sr-Cyrl-CS"/>
        </w:rPr>
        <w:t xml:space="preserve"> </w:t>
      </w:r>
      <w:r>
        <w:rPr>
          <w:lang w:val="sr-Cyrl-CS"/>
        </w:rPr>
        <w:t>učesnici</w:t>
      </w:r>
      <w:r w:rsidR="00465BE6" w:rsidRPr="00E95BC4">
        <w:rPr>
          <w:lang w:val="sr-Cyrl-CS"/>
        </w:rPr>
        <w:t xml:space="preserve"> </w:t>
      </w:r>
      <w:r>
        <w:rPr>
          <w:lang w:val="sr-Cyrl-CS"/>
        </w:rPr>
        <w:t>u</w:t>
      </w:r>
      <w:r w:rsidR="00465BE6" w:rsidRPr="00E95BC4">
        <w:rPr>
          <w:lang w:val="sr-Cyrl-CS"/>
        </w:rPr>
        <w:t xml:space="preserve"> </w:t>
      </w:r>
      <w:r>
        <w:rPr>
          <w:lang w:val="sr-Cyrl-CS"/>
        </w:rPr>
        <w:t>sistemu</w:t>
      </w:r>
      <w:r w:rsidR="00465BE6" w:rsidRPr="00E95BC4">
        <w:rPr>
          <w:lang w:val="sr-Cyrl-CS"/>
        </w:rPr>
        <w:t xml:space="preserve"> </w:t>
      </w:r>
      <w:r>
        <w:rPr>
          <w:lang w:val="sr-Cyrl-CS"/>
        </w:rPr>
        <w:t>i</w:t>
      </w:r>
      <w:r w:rsidR="00465BE6" w:rsidRPr="00E95BC4">
        <w:rPr>
          <w:lang w:val="sr-Cyrl-CS"/>
        </w:rPr>
        <w:t xml:space="preserve"> </w:t>
      </w:r>
      <w:r>
        <w:rPr>
          <w:lang w:val="sr-Cyrl-CS"/>
        </w:rPr>
        <w:t>šira</w:t>
      </w:r>
      <w:r w:rsidR="00465BE6" w:rsidRPr="00E95BC4">
        <w:rPr>
          <w:lang w:val="sr-Cyrl-CS"/>
        </w:rPr>
        <w:t xml:space="preserve"> </w:t>
      </w:r>
      <w:r>
        <w:rPr>
          <w:lang w:val="sr-Cyrl-CS"/>
        </w:rPr>
        <w:t>javnost</w:t>
      </w:r>
      <w:r w:rsidR="00465BE6" w:rsidRPr="00E95BC4">
        <w:rPr>
          <w:lang w:val="sr-Cyrl-CS"/>
        </w:rPr>
        <w:t>;</w:t>
      </w:r>
    </w:p>
    <w:p w:rsidR="00465BE6" w:rsidRPr="00E95BC4" w:rsidRDefault="005818C0" w:rsidP="00465BE6">
      <w:pPr>
        <w:pStyle w:val="ListParagraph"/>
        <w:numPr>
          <w:ilvl w:val="0"/>
          <w:numId w:val="13"/>
        </w:numPr>
        <w:jc w:val="both"/>
        <w:rPr>
          <w:lang w:val="sr-Cyrl-CS"/>
        </w:rPr>
      </w:pPr>
      <w:r>
        <w:rPr>
          <w:lang w:val="sr-Cyrl-CS"/>
        </w:rPr>
        <w:t>Delotvorniji</w:t>
      </w:r>
      <w:r w:rsidR="00465BE6" w:rsidRPr="00E95BC4">
        <w:rPr>
          <w:lang w:val="sr-Cyrl-CS"/>
        </w:rPr>
        <w:t xml:space="preserve"> </w:t>
      </w:r>
      <w:r>
        <w:rPr>
          <w:lang w:val="sr-Cyrl-CS"/>
        </w:rPr>
        <w:t>rad</w:t>
      </w:r>
      <w:r w:rsidR="00465BE6" w:rsidRPr="00E95BC4">
        <w:rPr>
          <w:lang w:val="sr-Cyrl-CS"/>
        </w:rPr>
        <w:t xml:space="preserve"> </w:t>
      </w:r>
      <w:r>
        <w:rPr>
          <w:lang w:val="sr-Cyrl-CS"/>
        </w:rPr>
        <w:t>dovešće</w:t>
      </w:r>
      <w:r w:rsidR="00465BE6" w:rsidRPr="00E95BC4">
        <w:rPr>
          <w:lang w:val="sr-Cyrl-CS"/>
        </w:rPr>
        <w:t xml:space="preserve"> </w:t>
      </w:r>
      <w:r>
        <w:rPr>
          <w:lang w:val="sr-Cyrl-CS"/>
        </w:rPr>
        <w:t>do</w:t>
      </w:r>
      <w:r w:rsidR="00465BE6" w:rsidRPr="00E95BC4">
        <w:rPr>
          <w:lang w:val="sr-Cyrl-CS"/>
        </w:rPr>
        <w:t xml:space="preserve"> </w:t>
      </w:r>
      <w:r>
        <w:rPr>
          <w:lang w:val="sr-Cyrl-CS"/>
        </w:rPr>
        <w:t>povećanja</w:t>
      </w:r>
      <w:r w:rsidR="00465BE6" w:rsidRPr="00E95BC4">
        <w:rPr>
          <w:lang w:val="sr-Cyrl-CS"/>
        </w:rPr>
        <w:t xml:space="preserve"> </w:t>
      </w:r>
      <w:r>
        <w:rPr>
          <w:lang w:val="sr-Cyrl-CS"/>
        </w:rPr>
        <w:t>broja</w:t>
      </w:r>
      <w:r w:rsidR="00465BE6" w:rsidRPr="00E95BC4">
        <w:rPr>
          <w:lang w:val="sr-Cyrl-CS"/>
        </w:rPr>
        <w:t xml:space="preserve"> </w:t>
      </w:r>
      <w:r>
        <w:rPr>
          <w:lang w:val="sr-Cyrl-CS"/>
        </w:rPr>
        <w:t>uspešno</w:t>
      </w:r>
      <w:r w:rsidR="00465BE6" w:rsidRPr="00E95BC4">
        <w:rPr>
          <w:lang w:val="sr-Cyrl-CS"/>
        </w:rPr>
        <w:t xml:space="preserve"> </w:t>
      </w:r>
      <w:r>
        <w:rPr>
          <w:lang w:val="sr-Cyrl-CS"/>
        </w:rPr>
        <w:t>rešenih</w:t>
      </w:r>
      <w:r w:rsidR="00465BE6" w:rsidRPr="00E95BC4">
        <w:rPr>
          <w:lang w:val="sr-Cyrl-CS"/>
        </w:rPr>
        <w:t xml:space="preserve"> </w:t>
      </w:r>
      <w:r>
        <w:rPr>
          <w:lang w:val="sr-Cyrl-CS"/>
        </w:rPr>
        <w:t>slučajeva</w:t>
      </w:r>
      <w:r w:rsidR="00465BE6" w:rsidRPr="00E95BC4">
        <w:rPr>
          <w:lang w:val="sr-Cyrl-CS"/>
        </w:rPr>
        <w:t xml:space="preserve"> </w:t>
      </w:r>
      <w:r>
        <w:rPr>
          <w:lang w:val="sr-Cyrl-CS"/>
        </w:rPr>
        <w:t>na</w:t>
      </w:r>
      <w:r w:rsidR="00465BE6" w:rsidRPr="00E95BC4">
        <w:rPr>
          <w:lang w:val="sr-Cyrl-CS"/>
        </w:rPr>
        <w:t xml:space="preserve"> </w:t>
      </w:r>
      <w:r>
        <w:rPr>
          <w:lang w:val="sr-Cyrl-CS"/>
        </w:rPr>
        <w:t>kojima</w:t>
      </w:r>
      <w:r w:rsidR="00465BE6" w:rsidRPr="00E95BC4">
        <w:rPr>
          <w:lang w:val="sr-Cyrl-CS"/>
        </w:rPr>
        <w:t xml:space="preserve"> </w:t>
      </w:r>
      <w:r>
        <w:rPr>
          <w:lang w:val="sr-Cyrl-CS"/>
        </w:rPr>
        <w:t>je</w:t>
      </w:r>
      <w:r w:rsidR="00465BE6" w:rsidRPr="00E95BC4">
        <w:rPr>
          <w:lang w:val="sr-Cyrl-CS"/>
        </w:rPr>
        <w:t xml:space="preserve"> </w:t>
      </w:r>
      <w:r>
        <w:rPr>
          <w:lang w:val="sr-Cyrl-CS"/>
        </w:rPr>
        <w:t>bilo</w:t>
      </w:r>
      <w:r w:rsidR="00465BE6" w:rsidRPr="00E95BC4">
        <w:rPr>
          <w:lang w:val="sr-Cyrl-CS"/>
        </w:rPr>
        <w:t xml:space="preserve"> </w:t>
      </w:r>
      <w:r>
        <w:rPr>
          <w:lang w:val="sr-Cyrl-CS"/>
        </w:rPr>
        <w:t>angažovano</w:t>
      </w:r>
      <w:r w:rsidR="00465BE6" w:rsidRPr="00E95BC4">
        <w:rPr>
          <w:lang w:val="sr-Cyrl-CS"/>
        </w:rPr>
        <w:t xml:space="preserve"> </w:t>
      </w:r>
      <w:r>
        <w:rPr>
          <w:lang w:val="sr-Cyrl-CS"/>
        </w:rPr>
        <w:t>više</w:t>
      </w:r>
      <w:r w:rsidR="00465BE6" w:rsidRPr="00E95BC4">
        <w:rPr>
          <w:lang w:val="sr-Cyrl-CS"/>
        </w:rPr>
        <w:t xml:space="preserve"> </w:t>
      </w:r>
      <w:r>
        <w:rPr>
          <w:lang w:val="sr-Cyrl-CS"/>
        </w:rPr>
        <w:t>različitih</w:t>
      </w:r>
      <w:r w:rsidR="00465BE6" w:rsidRPr="00E95BC4">
        <w:rPr>
          <w:lang w:val="sr-Cyrl-CS"/>
        </w:rPr>
        <w:t xml:space="preserve"> </w:t>
      </w:r>
      <w:r>
        <w:rPr>
          <w:lang w:val="sr-Cyrl-CS"/>
        </w:rPr>
        <w:t>državnih</w:t>
      </w:r>
      <w:r w:rsidR="00465BE6" w:rsidRPr="00E95BC4">
        <w:rPr>
          <w:lang w:val="sr-Cyrl-CS"/>
        </w:rPr>
        <w:t xml:space="preserve"> </w:t>
      </w:r>
      <w:r>
        <w:rPr>
          <w:lang w:val="sr-Cyrl-CS"/>
        </w:rPr>
        <w:t>organa</w:t>
      </w:r>
      <w:r w:rsidR="00465BE6" w:rsidRPr="00E95BC4">
        <w:rPr>
          <w:lang w:val="sr-Cyrl-CS"/>
        </w:rPr>
        <w:t xml:space="preserve"> </w:t>
      </w:r>
      <w:r>
        <w:rPr>
          <w:lang w:val="sr-Cyrl-CS"/>
        </w:rPr>
        <w:t>i</w:t>
      </w:r>
      <w:r w:rsidR="00465BE6" w:rsidRPr="00E95BC4">
        <w:rPr>
          <w:lang w:val="sr-Cyrl-CS"/>
        </w:rPr>
        <w:t xml:space="preserve"> </w:t>
      </w:r>
      <w:r>
        <w:rPr>
          <w:lang w:val="sr-Cyrl-CS"/>
        </w:rPr>
        <w:t>doprineti</w:t>
      </w:r>
      <w:r w:rsidR="00465BE6" w:rsidRPr="00E95BC4">
        <w:rPr>
          <w:lang w:val="sr-Cyrl-CS"/>
        </w:rPr>
        <w:t xml:space="preserve"> </w:t>
      </w:r>
      <w:r>
        <w:rPr>
          <w:lang w:val="sr-Cyrl-CS"/>
        </w:rPr>
        <w:t>boljem</w:t>
      </w:r>
      <w:r w:rsidR="00465BE6" w:rsidRPr="00E95BC4">
        <w:rPr>
          <w:lang w:val="sr-Cyrl-CS"/>
        </w:rPr>
        <w:t xml:space="preserve"> </w:t>
      </w:r>
      <w:r>
        <w:rPr>
          <w:lang w:val="sr-Cyrl-CS"/>
        </w:rPr>
        <w:t>razumevanju</w:t>
      </w:r>
      <w:r w:rsidR="00465BE6" w:rsidRPr="00E95BC4">
        <w:rPr>
          <w:lang w:val="sr-Cyrl-CS"/>
        </w:rPr>
        <w:t xml:space="preserve"> </w:t>
      </w:r>
      <w:r>
        <w:rPr>
          <w:lang w:val="sr-Cyrl-CS"/>
        </w:rPr>
        <w:t>rizika</w:t>
      </w:r>
      <w:r w:rsidR="00465BE6" w:rsidRPr="00E95BC4">
        <w:rPr>
          <w:lang w:val="sr-Cyrl-CS"/>
        </w:rPr>
        <w:t>;</w:t>
      </w:r>
    </w:p>
    <w:p w:rsidR="00465BE6" w:rsidRPr="00E95BC4" w:rsidRDefault="005818C0" w:rsidP="00465BE6">
      <w:pPr>
        <w:pStyle w:val="ListParagraph"/>
        <w:numPr>
          <w:ilvl w:val="0"/>
          <w:numId w:val="13"/>
        </w:numPr>
        <w:jc w:val="both"/>
        <w:rPr>
          <w:lang w:val="sr-Cyrl-CS"/>
        </w:rPr>
      </w:pPr>
      <w:r>
        <w:rPr>
          <w:lang w:val="sr-Cyrl-CS"/>
        </w:rPr>
        <w:t>Bolji</w:t>
      </w:r>
      <w:r w:rsidR="00465BE6" w:rsidRPr="00E95BC4">
        <w:rPr>
          <w:lang w:val="sr-Cyrl-CS"/>
        </w:rPr>
        <w:t xml:space="preserve"> </w:t>
      </w:r>
      <w:r>
        <w:rPr>
          <w:lang w:val="sr-Cyrl-CS"/>
        </w:rPr>
        <w:t>kvalitet</w:t>
      </w:r>
      <w:r w:rsidR="00465BE6" w:rsidRPr="00E95BC4">
        <w:rPr>
          <w:lang w:val="sr-Cyrl-CS"/>
        </w:rPr>
        <w:t xml:space="preserve"> </w:t>
      </w:r>
      <w:r>
        <w:rPr>
          <w:lang w:val="sr-Cyrl-CS"/>
        </w:rPr>
        <w:t>izveštaja</w:t>
      </w:r>
      <w:r w:rsidR="00465BE6" w:rsidRPr="00E95BC4">
        <w:rPr>
          <w:lang w:val="sr-Cyrl-CS"/>
        </w:rPr>
        <w:t xml:space="preserve"> </w:t>
      </w:r>
      <w:r>
        <w:rPr>
          <w:lang w:val="sr-Cyrl-CS"/>
        </w:rPr>
        <w:t>o</w:t>
      </w:r>
      <w:r w:rsidR="00465BE6" w:rsidRPr="00E95BC4">
        <w:rPr>
          <w:lang w:val="sr-Cyrl-CS"/>
        </w:rPr>
        <w:t xml:space="preserve"> </w:t>
      </w:r>
      <w:r>
        <w:rPr>
          <w:lang w:val="sr-Cyrl-CS"/>
        </w:rPr>
        <w:t>sumnjivim</w:t>
      </w:r>
      <w:r w:rsidR="00465BE6" w:rsidRPr="00E95BC4">
        <w:rPr>
          <w:lang w:val="sr-Cyrl-CS"/>
        </w:rPr>
        <w:t xml:space="preserve"> </w:t>
      </w:r>
      <w:r>
        <w:rPr>
          <w:lang w:val="sr-Cyrl-CS"/>
        </w:rPr>
        <w:t>aktivnostima</w:t>
      </w:r>
      <w:r w:rsidR="00465BE6" w:rsidRPr="00E95BC4">
        <w:rPr>
          <w:lang w:val="sr-Cyrl-CS"/>
        </w:rPr>
        <w:t xml:space="preserve">, </w:t>
      </w:r>
      <w:r>
        <w:rPr>
          <w:lang w:val="sr-Cyrl-CS"/>
        </w:rPr>
        <w:t>koje</w:t>
      </w:r>
      <w:r w:rsidR="00465BE6" w:rsidRPr="00E95BC4">
        <w:rPr>
          <w:lang w:val="sr-Cyrl-CS"/>
        </w:rPr>
        <w:t xml:space="preserve"> </w:t>
      </w:r>
      <w:r>
        <w:rPr>
          <w:lang w:val="sr-Cyrl-CS"/>
        </w:rPr>
        <w:t>dostavlja</w:t>
      </w:r>
      <w:r w:rsidR="00465BE6" w:rsidRPr="00E95BC4">
        <w:rPr>
          <w:lang w:val="sr-Cyrl-CS"/>
        </w:rPr>
        <w:t xml:space="preserve"> </w:t>
      </w:r>
      <w:r>
        <w:rPr>
          <w:lang w:val="sr-Cyrl-CS"/>
        </w:rPr>
        <w:t>privatni</w:t>
      </w:r>
      <w:r w:rsidR="00465BE6" w:rsidRPr="00E95BC4">
        <w:rPr>
          <w:lang w:val="sr-Cyrl-CS"/>
        </w:rPr>
        <w:t xml:space="preserve"> </w:t>
      </w:r>
      <w:r>
        <w:rPr>
          <w:lang w:val="sr-Cyrl-CS"/>
        </w:rPr>
        <w:t>sektor</w:t>
      </w:r>
      <w:r w:rsidR="00C642CC" w:rsidRPr="00E95BC4">
        <w:rPr>
          <w:lang w:val="sr-Cyrl-CS"/>
        </w:rPr>
        <w:t xml:space="preserve"> </w:t>
      </w:r>
      <w:r>
        <w:rPr>
          <w:lang w:val="sr-Cyrl-CS"/>
        </w:rPr>
        <w:t>Upravi</w:t>
      </w:r>
      <w:r w:rsidR="00C642CC" w:rsidRPr="00E95BC4">
        <w:rPr>
          <w:lang w:val="sr-Cyrl-CS"/>
        </w:rPr>
        <w:t xml:space="preserve"> </w:t>
      </w:r>
      <w:r>
        <w:rPr>
          <w:lang w:val="sr-Cyrl-CS"/>
        </w:rPr>
        <w:t>za</w:t>
      </w:r>
      <w:r w:rsidR="00C642CC" w:rsidRPr="00E95BC4">
        <w:rPr>
          <w:lang w:val="sr-Cyrl-CS"/>
        </w:rPr>
        <w:t xml:space="preserve"> </w:t>
      </w:r>
      <w:r>
        <w:rPr>
          <w:lang w:val="sr-Cyrl-CS"/>
        </w:rPr>
        <w:t>sprečavanje</w:t>
      </w:r>
      <w:r w:rsidR="00C642CC" w:rsidRPr="00E95BC4">
        <w:rPr>
          <w:lang w:val="sr-Cyrl-CS"/>
        </w:rPr>
        <w:t xml:space="preserve"> </w:t>
      </w:r>
      <w:r>
        <w:rPr>
          <w:lang w:val="sr-Cyrl-CS"/>
        </w:rPr>
        <w:t>pranja</w:t>
      </w:r>
      <w:r w:rsidR="00C642CC" w:rsidRPr="00E95BC4">
        <w:rPr>
          <w:lang w:val="sr-Cyrl-CS"/>
        </w:rPr>
        <w:t xml:space="preserve"> </w:t>
      </w:r>
      <w:r>
        <w:rPr>
          <w:lang w:val="sr-Cyrl-CS"/>
        </w:rPr>
        <w:t>novca</w:t>
      </w:r>
      <w:r w:rsidR="00465BE6" w:rsidRPr="00E95BC4">
        <w:rPr>
          <w:lang w:val="sr-Cyrl-CS"/>
        </w:rPr>
        <w:t xml:space="preserve">, </w:t>
      </w:r>
      <w:r>
        <w:rPr>
          <w:lang w:val="sr-Cyrl-CS"/>
        </w:rPr>
        <w:t>doprineće</w:t>
      </w:r>
      <w:r w:rsidR="00465BE6" w:rsidRPr="00E95BC4">
        <w:rPr>
          <w:lang w:val="sr-Cyrl-CS"/>
        </w:rPr>
        <w:t xml:space="preserve"> </w:t>
      </w:r>
      <w:r>
        <w:rPr>
          <w:lang w:val="sr-Cyrl-CS"/>
        </w:rPr>
        <w:t>kvalitetu</w:t>
      </w:r>
      <w:r w:rsidR="00465BE6" w:rsidRPr="00E95BC4">
        <w:rPr>
          <w:lang w:val="sr-Cyrl-CS"/>
        </w:rPr>
        <w:t xml:space="preserve"> </w:t>
      </w:r>
      <w:r>
        <w:rPr>
          <w:lang w:val="sr-Cyrl-CS"/>
        </w:rPr>
        <w:t>izveštaja</w:t>
      </w:r>
      <w:r w:rsidR="00465BE6" w:rsidRPr="00E95BC4">
        <w:rPr>
          <w:lang w:val="sr-Cyrl-CS"/>
        </w:rPr>
        <w:t xml:space="preserve"> </w:t>
      </w:r>
      <w:r>
        <w:rPr>
          <w:lang w:val="sr-Cyrl-CS"/>
        </w:rPr>
        <w:t>koje</w:t>
      </w:r>
      <w:r w:rsidR="00465BE6" w:rsidRPr="00E95BC4">
        <w:rPr>
          <w:lang w:val="sr-Cyrl-CS"/>
        </w:rPr>
        <w:t xml:space="preserve"> </w:t>
      </w:r>
      <w:r>
        <w:rPr>
          <w:lang w:val="sr-Cyrl-CS"/>
        </w:rPr>
        <w:t>sačinjavaju</w:t>
      </w:r>
      <w:r w:rsidR="00465BE6" w:rsidRPr="00E95BC4">
        <w:rPr>
          <w:lang w:val="sr-Cyrl-CS"/>
        </w:rPr>
        <w:t xml:space="preserve"> </w:t>
      </w:r>
      <w:r>
        <w:rPr>
          <w:lang w:val="sr-Cyrl-CS"/>
        </w:rPr>
        <w:t>Uprava</w:t>
      </w:r>
      <w:r w:rsidR="00465BE6" w:rsidRPr="00E95BC4">
        <w:rPr>
          <w:lang w:val="sr-Cyrl-CS"/>
        </w:rPr>
        <w:t xml:space="preserve"> </w:t>
      </w:r>
      <w:r>
        <w:rPr>
          <w:lang w:val="sr-Cyrl-CS"/>
        </w:rPr>
        <w:t>za</w:t>
      </w:r>
      <w:r w:rsidR="00465BE6" w:rsidRPr="00E95BC4">
        <w:rPr>
          <w:lang w:val="sr-Cyrl-CS"/>
        </w:rPr>
        <w:t xml:space="preserve"> </w:t>
      </w:r>
      <w:r>
        <w:rPr>
          <w:lang w:val="sr-Cyrl-CS"/>
        </w:rPr>
        <w:t>sprečavanje</w:t>
      </w:r>
      <w:r w:rsidR="00465BE6" w:rsidRPr="00E95BC4">
        <w:rPr>
          <w:lang w:val="sr-Cyrl-CS"/>
        </w:rPr>
        <w:t xml:space="preserve"> </w:t>
      </w:r>
      <w:r>
        <w:rPr>
          <w:lang w:val="sr-Cyrl-CS"/>
        </w:rPr>
        <w:t>pranja</w:t>
      </w:r>
      <w:r w:rsidR="00465BE6" w:rsidRPr="00E95BC4">
        <w:rPr>
          <w:lang w:val="sr-Cyrl-CS"/>
        </w:rPr>
        <w:t xml:space="preserve"> </w:t>
      </w:r>
      <w:r>
        <w:rPr>
          <w:lang w:val="sr-Cyrl-CS"/>
        </w:rPr>
        <w:t>novca</w:t>
      </w:r>
      <w:r w:rsidR="00465BE6" w:rsidRPr="00E95BC4">
        <w:rPr>
          <w:lang w:val="sr-Cyrl-CS"/>
        </w:rPr>
        <w:t xml:space="preserve"> </w:t>
      </w:r>
      <w:r>
        <w:rPr>
          <w:lang w:val="sr-Cyrl-CS"/>
        </w:rPr>
        <w:t>i</w:t>
      </w:r>
      <w:r w:rsidR="00465BE6" w:rsidRPr="00E95BC4">
        <w:rPr>
          <w:lang w:val="sr-Cyrl-CS"/>
        </w:rPr>
        <w:t xml:space="preserve"> </w:t>
      </w:r>
      <w:r>
        <w:rPr>
          <w:lang w:val="sr-Cyrl-CS"/>
        </w:rPr>
        <w:t>drugi</w:t>
      </w:r>
      <w:r w:rsidR="00465BE6" w:rsidRPr="00E95BC4">
        <w:rPr>
          <w:lang w:val="sr-Cyrl-CS"/>
        </w:rPr>
        <w:t xml:space="preserve"> </w:t>
      </w:r>
      <w:r>
        <w:rPr>
          <w:lang w:val="sr-Cyrl-CS"/>
        </w:rPr>
        <w:t>nadležni</w:t>
      </w:r>
      <w:r w:rsidR="00465BE6" w:rsidRPr="00E95BC4">
        <w:rPr>
          <w:lang w:val="sr-Cyrl-CS"/>
        </w:rPr>
        <w:t xml:space="preserve"> </w:t>
      </w:r>
      <w:r>
        <w:rPr>
          <w:lang w:val="sr-Cyrl-CS"/>
        </w:rPr>
        <w:t>organi</w:t>
      </w:r>
      <w:r w:rsidR="00465BE6" w:rsidRPr="00E95BC4">
        <w:rPr>
          <w:lang w:val="sr-Cyrl-CS"/>
        </w:rPr>
        <w:t xml:space="preserve">, </w:t>
      </w:r>
      <w:r>
        <w:rPr>
          <w:lang w:val="sr-Cyrl-CS"/>
        </w:rPr>
        <w:t>naročito</w:t>
      </w:r>
      <w:r w:rsidR="00465BE6" w:rsidRPr="00E95BC4">
        <w:rPr>
          <w:lang w:val="sr-Cyrl-CS"/>
        </w:rPr>
        <w:t xml:space="preserve"> </w:t>
      </w:r>
      <w:r>
        <w:rPr>
          <w:lang w:val="sr-Cyrl-CS"/>
        </w:rPr>
        <w:t>u</w:t>
      </w:r>
      <w:r w:rsidR="00465BE6" w:rsidRPr="00E95BC4">
        <w:rPr>
          <w:lang w:val="sr-Cyrl-CS"/>
        </w:rPr>
        <w:t xml:space="preserve"> </w:t>
      </w:r>
      <w:r>
        <w:rPr>
          <w:lang w:val="sr-Cyrl-CS"/>
        </w:rPr>
        <w:t>oblastima</w:t>
      </w:r>
      <w:r w:rsidR="00465BE6" w:rsidRPr="00E95BC4">
        <w:rPr>
          <w:lang w:val="sr-Cyrl-CS"/>
        </w:rPr>
        <w:t xml:space="preserve"> </w:t>
      </w:r>
      <w:r>
        <w:rPr>
          <w:lang w:val="sr-Cyrl-CS"/>
        </w:rPr>
        <w:t>u</w:t>
      </w:r>
      <w:r w:rsidR="00465BE6" w:rsidRPr="00E95BC4">
        <w:rPr>
          <w:lang w:val="sr-Cyrl-CS"/>
        </w:rPr>
        <w:t xml:space="preserve"> </w:t>
      </w:r>
      <w:r>
        <w:rPr>
          <w:lang w:val="sr-Cyrl-CS"/>
        </w:rPr>
        <w:t>kojima</w:t>
      </w:r>
      <w:r w:rsidR="00465BE6" w:rsidRPr="00E95BC4">
        <w:rPr>
          <w:lang w:val="sr-Cyrl-CS"/>
        </w:rPr>
        <w:t xml:space="preserve"> </w:t>
      </w:r>
      <w:r>
        <w:rPr>
          <w:lang w:val="sr-Cyrl-CS"/>
        </w:rPr>
        <w:t>je</w:t>
      </w:r>
      <w:r w:rsidR="00465BE6" w:rsidRPr="00E95BC4">
        <w:rPr>
          <w:lang w:val="sr-Cyrl-CS"/>
        </w:rPr>
        <w:t xml:space="preserve"> </w:t>
      </w:r>
      <w:r>
        <w:rPr>
          <w:lang w:val="sr-Cyrl-CS"/>
        </w:rPr>
        <w:t>utvrđen</w:t>
      </w:r>
      <w:r w:rsidR="00465BE6" w:rsidRPr="00E95BC4">
        <w:rPr>
          <w:lang w:val="sr-Cyrl-CS"/>
        </w:rPr>
        <w:t xml:space="preserve"> </w:t>
      </w:r>
      <w:r>
        <w:rPr>
          <w:lang w:val="sr-Cyrl-CS"/>
        </w:rPr>
        <w:t>visok</w:t>
      </w:r>
      <w:r w:rsidR="00465BE6" w:rsidRPr="00E95BC4">
        <w:rPr>
          <w:lang w:val="sr-Cyrl-CS"/>
        </w:rPr>
        <w:t xml:space="preserve"> </w:t>
      </w:r>
      <w:r>
        <w:rPr>
          <w:lang w:val="sr-Cyrl-CS"/>
        </w:rPr>
        <w:t>stepen</w:t>
      </w:r>
      <w:r w:rsidR="00465BE6" w:rsidRPr="00E95BC4">
        <w:rPr>
          <w:lang w:val="sr-Cyrl-CS"/>
        </w:rPr>
        <w:t xml:space="preserve"> </w:t>
      </w:r>
      <w:r>
        <w:rPr>
          <w:lang w:val="sr-Cyrl-CS"/>
        </w:rPr>
        <w:t>rizika</w:t>
      </w:r>
      <w:r w:rsidR="00465BE6" w:rsidRPr="00E95BC4">
        <w:rPr>
          <w:lang w:val="sr-Cyrl-CS"/>
        </w:rPr>
        <w:t>;</w:t>
      </w:r>
    </w:p>
    <w:p w:rsidR="00465BE6" w:rsidRPr="00E95BC4" w:rsidRDefault="005818C0" w:rsidP="00465BE6">
      <w:pPr>
        <w:pStyle w:val="ListParagraph"/>
        <w:numPr>
          <w:ilvl w:val="0"/>
          <w:numId w:val="13"/>
        </w:numPr>
        <w:jc w:val="both"/>
        <w:rPr>
          <w:lang w:val="sr-Cyrl-CS"/>
        </w:rPr>
      </w:pPr>
      <w:r>
        <w:rPr>
          <w:lang w:val="sr-Cyrl-CS"/>
        </w:rPr>
        <w:t>Izvršioci</w:t>
      </w:r>
      <w:r w:rsidR="00465BE6" w:rsidRPr="00E95BC4">
        <w:rPr>
          <w:lang w:val="sr-Cyrl-CS"/>
        </w:rPr>
        <w:t xml:space="preserve"> </w:t>
      </w:r>
      <w:r>
        <w:rPr>
          <w:lang w:val="sr-Cyrl-CS"/>
        </w:rPr>
        <w:t>krivičnih</w:t>
      </w:r>
      <w:r w:rsidR="00465BE6" w:rsidRPr="00E95BC4">
        <w:rPr>
          <w:lang w:val="sr-Cyrl-CS"/>
        </w:rPr>
        <w:t xml:space="preserve"> </w:t>
      </w:r>
      <w:r>
        <w:rPr>
          <w:lang w:val="sr-Cyrl-CS"/>
        </w:rPr>
        <w:t>dela</w:t>
      </w:r>
      <w:r w:rsidR="00465BE6" w:rsidRPr="00E95BC4">
        <w:rPr>
          <w:lang w:val="sr-Cyrl-CS"/>
        </w:rPr>
        <w:t xml:space="preserve"> </w:t>
      </w:r>
      <w:r>
        <w:rPr>
          <w:lang w:val="sr-Cyrl-CS"/>
        </w:rPr>
        <w:t>će</w:t>
      </w:r>
      <w:r w:rsidR="00465BE6" w:rsidRPr="00E95BC4">
        <w:rPr>
          <w:lang w:val="sr-Cyrl-CS"/>
        </w:rPr>
        <w:t xml:space="preserve"> </w:t>
      </w:r>
      <w:r>
        <w:rPr>
          <w:lang w:val="sr-Cyrl-CS"/>
        </w:rPr>
        <w:t>se</w:t>
      </w:r>
      <w:r w:rsidR="00465BE6" w:rsidRPr="00E95BC4">
        <w:rPr>
          <w:lang w:val="sr-Cyrl-CS"/>
        </w:rPr>
        <w:t xml:space="preserve"> </w:t>
      </w:r>
      <w:r>
        <w:rPr>
          <w:lang w:val="sr-Cyrl-CS"/>
        </w:rPr>
        <w:t>efikasno</w:t>
      </w:r>
      <w:r w:rsidR="00465BE6" w:rsidRPr="00E95BC4">
        <w:rPr>
          <w:lang w:val="sr-Cyrl-CS"/>
        </w:rPr>
        <w:t xml:space="preserve"> </w:t>
      </w:r>
      <w:r>
        <w:rPr>
          <w:lang w:val="sr-Cyrl-CS"/>
        </w:rPr>
        <w:t>sprečavati</w:t>
      </w:r>
      <w:r w:rsidR="00465BE6" w:rsidRPr="00E95BC4">
        <w:rPr>
          <w:lang w:val="sr-Cyrl-CS"/>
        </w:rPr>
        <w:t xml:space="preserve"> </w:t>
      </w:r>
      <w:r>
        <w:rPr>
          <w:lang w:val="sr-Cyrl-CS"/>
        </w:rPr>
        <w:t>u</w:t>
      </w:r>
      <w:r w:rsidR="00465BE6" w:rsidRPr="00E95BC4">
        <w:rPr>
          <w:lang w:val="sr-Cyrl-CS"/>
        </w:rPr>
        <w:t xml:space="preserve"> </w:t>
      </w:r>
      <w:r>
        <w:rPr>
          <w:lang w:val="sr-Cyrl-CS"/>
        </w:rPr>
        <w:t>pokušaju</w:t>
      </w:r>
      <w:r w:rsidR="00465BE6" w:rsidRPr="00E95BC4">
        <w:rPr>
          <w:lang w:val="sr-Cyrl-CS"/>
        </w:rPr>
        <w:t xml:space="preserve"> </w:t>
      </w:r>
      <w:r>
        <w:rPr>
          <w:lang w:val="sr-Cyrl-CS"/>
        </w:rPr>
        <w:t>zloupotrebe</w:t>
      </w:r>
      <w:r w:rsidR="00465BE6" w:rsidRPr="00E95BC4">
        <w:rPr>
          <w:lang w:val="sr-Cyrl-CS"/>
        </w:rPr>
        <w:t xml:space="preserve"> </w:t>
      </w:r>
      <w:r>
        <w:rPr>
          <w:lang w:val="sr-Cyrl-CS"/>
        </w:rPr>
        <w:t>finansijskog</w:t>
      </w:r>
      <w:r w:rsidR="00465BE6" w:rsidRPr="00E95BC4">
        <w:rPr>
          <w:lang w:val="sr-Cyrl-CS"/>
        </w:rPr>
        <w:t xml:space="preserve"> </w:t>
      </w:r>
      <w:r>
        <w:rPr>
          <w:lang w:val="sr-Cyrl-CS"/>
        </w:rPr>
        <w:t>i</w:t>
      </w:r>
      <w:r w:rsidR="00465BE6" w:rsidRPr="00E95BC4">
        <w:rPr>
          <w:lang w:val="sr-Cyrl-CS"/>
        </w:rPr>
        <w:t xml:space="preserve"> </w:t>
      </w:r>
      <w:r>
        <w:rPr>
          <w:lang w:val="sr-Cyrl-CS"/>
        </w:rPr>
        <w:t>drugih</w:t>
      </w:r>
      <w:r w:rsidR="00465BE6" w:rsidRPr="00E95BC4">
        <w:rPr>
          <w:lang w:val="sr-Cyrl-CS"/>
        </w:rPr>
        <w:t xml:space="preserve"> </w:t>
      </w:r>
      <w:r>
        <w:rPr>
          <w:lang w:val="sr-Cyrl-CS"/>
        </w:rPr>
        <w:t>sektora</w:t>
      </w:r>
      <w:r w:rsidR="00465BE6" w:rsidRPr="00E95BC4">
        <w:rPr>
          <w:lang w:val="sr-Cyrl-CS"/>
        </w:rPr>
        <w:t xml:space="preserve">, </w:t>
      </w:r>
      <w:r>
        <w:rPr>
          <w:lang w:val="sr-Cyrl-CS"/>
        </w:rPr>
        <w:t>ali</w:t>
      </w:r>
      <w:r w:rsidR="00465BE6" w:rsidRPr="00E95BC4">
        <w:rPr>
          <w:lang w:val="sr-Cyrl-CS"/>
        </w:rPr>
        <w:t xml:space="preserve"> </w:t>
      </w:r>
      <w:r>
        <w:rPr>
          <w:lang w:val="sr-Cyrl-CS"/>
        </w:rPr>
        <w:t>tako</w:t>
      </w:r>
      <w:r w:rsidR="00465BE6" w:rsidRPr="00E95BC4">
        <w:rPr>
          <w:lang w:val="sr-Cyrl-CS"/>
        </w:rPr>
        <w:t xml:space="preserve"> </w:t>
      </w:r>
      <w:r>
        <w:rPr>
          <w:lang w:val="sr-Cyrl-CS"/>
        </w:rPr>
        <w:t>da</w:t>
      </w:r>
      <w:r w:rsidR="00465BE6" w:rsidRPr="00E95BC4">
        <w:rPr>
          <w:lang w:val="sr-Cyrl-CS"/>
        </w:rPr>
        <w:t xml:space="preserve"> </w:t>
      </w:r>
      <w:r>
        <w:rPr>
          <w:lang w:val="sr-Cyrl-CS"/>
        </w:rPr>
        <w:t>se</w:t>
      </w:r>
      <w:r w:rsidR="00465BE6" w:rsidRPr="00E95BC4">
        <w:rPr>
          <w:lang w:val="sr-Cyrl-CS"/>
        </w:rPr>
        <w:t xml:space="preserve"> </w:t>
      </w:r>
      <w:r>
        <w:rPr>
          <w:lang w:val="sr-Cyrl-CS"/>
        </w:rPr>
        <w:t>u</w:t>
      </w:r>
      <w:r w:rsidR="00465BE6" w:rsidRPr="00E95BC4">
        <w:rPr>
          <w:lang w:val="sr-Cyrl-CS"/>
        </w:rPr>
        <w:t xml:space="preserve"> </w:t>
      </w:r>
      <w:r>
        <w:rPr>
          <w:lang w:val="sr-Cyrl-CS"/>
        </w:rPr>
        <w:t>najmanjoj</w:t>
      </w:r>
      <w:r w:rsidR="00465BE6" w:rsidRPr="00E95BC4">
        <w:rPr>
          <w:lang w:val="sr-Cyrl-CS"/>
        </w:rPr>
        <w:t xml:space="preserve"> </w:t>
      </w:r>
      <w:r>
        <w:rPr>
          <w:lang w:val="sr-Cyrl-CS"/>
        </w:rPr>
        <w:t>mogućoj</w:t>
      </w:r>
      <w:r w:rsidR="00465BE6" w:rsidRPr="00E95BC4">
        <w:rPr>
          <w:lang w:val="sr-Cyrl-CS"/>
        </w:rPr>
        <w:t xml:space="preserve"> </w:t>
      </w:r>
      <w:r>
        <w:rPr>
          <w:lang w:val="sr-Cyrl-CS"/>
        </w:rPr>
        <w:t>meri</w:t>
      </w:r>
      <w:r w:rsidR="00465BE6" w:rsidRPr="00E95BC4">
        <w:rPr>
          <w:lang w:val="sr-Cyrl-CS"/>
        </w:rPr>
        <w:t xml:space="preserve"> </w:t>
      </w:r>
      <w:r>
        <w:rPr>
          <w:lang w:val="sr-Cyrl-CS"/>
        </w:rPr>
        <w:t>negativno</w:t>
      </w:r>
      <w:r w:rsidR="00465BE6" w:rsidRPr="00E95BC4">
        <w:rPr>
          <w:lang w:val="sr-Cyrl-CS"/>
        </w:rPr>
        <w:t xml:space="preserve"> </w:t>
      </w:r>
      <w:r>
        <w:rPr>
          <w:lang w:val="sr-Cyrl-CS"/>
        </w:rPr>
        <w:t>utiče</w:t>
      </w:r>
      <w:r w:rsidR="00465BE6" w:rsidRPr="00E95BC4">
        <w:rPr>
          <w:lang w:val="sr-Cyrl-CS"/>
        </w:rPr>
        <w:t xml:space="preserve"> </w:t>
      </w:r>
      <w:r>
        <w:rPr>
          <w:lang w:val="sr-Cyrl-CS"/>
        </w:rPr>
        <w:t>na</w:t>
      </w:r>
      <w:r w:rsidR="00465BE6" w:rsidRPr="00E95BC4">
        <w:rPr>
          <w:lang w:val="sr-Cyrl-CS"/>
        </w:rPr>
        <w:t xml:space="preserve"> </w:t>
      </w:r>
      <w:r>
        <w:rPr>
          <w:lang w:val="sr-Cyrl-CS"/>
        </w:rPr>
        <w:t>poslovanje</w:t>
      </w:r>
      <w:r w:rsidR="00465BE6" w:rsidRPr="00E95BC4">
        <w:rPr>
          <w:lang w:val="sr-Cyrl-CS"/>
        </w:rPr>
        <w:t xml:space="preserve"> </w:t>
      </w:r>
      <w:r>
        <w:rPr>
          <w:lang w:val="sr-Cyrl-CS"/>
        </w:rPr>
        <w:t>i</w:t>
      </w:r>
      <w:r w:rsidR="00465BE6" w:rsidRPr="00E95BC4">
        <w:rPr>
          <w:lang w:val="sr-Cyrl-CS"/>
        </w:rPr>
        <w:t xml:space="preserve"> </w:t>
      </w:r>
      <w:r>
        <w:rPr>
          <w:lang w:val="sr-Cyrl-CS"/>
        </w:rPr>
        <w:t>na</w:t>
      </w:r>
      <w:r w:rsidR="00465BE6" w:rsidRPr="00E95BC4">
        <w:rPr>
          <w:lang w:val="sr-Cyrl-CS"/>
        </w:rPr>
        <w:t xml:space="preserve"> </w:t>
      </w:r>
      <w:r>
        <w:rPr>
          <w:lang w:val="sr-Cyrl-CS"/>
        </w:rPr>
        <w:t>dostupnost</w:t>
      </w:r>
      <w:r w:rsidR="00465BE6" w:rsidRPr="00E95BC4">
        <w:rPr>
          <w:lang w:val="sr-Cyrl-CS"/>
        </w:rPr>
        <w:t xml:space="preserve"> </w:t>
      </w:r>
      <w:r>
        <w:rPr>
          <w:lang w:val="sr-Cyrl-CS"/>
        </w:rPr>
        <w:t>usluga</w:t>
      </w:r>
      <w:r w:rsidR="00465BE6" w:rsidRPr="00E95BC4">
        <w:rPr>
          <w:lang w:val="sr-Cyrl-CS"/>
        </w:rPr>
        <w:t xml:space="preserve"> </w:t>
      </w:r>
      <w:r>
        <w:rPr>
          <w:lang w:val="sr-Cyrl-CS"/>
        </w:rPr>
        <w:t>finansijskog</w:t>
      </w:r>
      <w:r w:rsidR="00465BE6" w:rsidRPr="00E95BC4">
        <w:rPr>
          <w:lang w:val="sr-Cyrl-CS"/>
        </w:rPr>
        <w:t xml:space="preserve"> </w:t>
      </w:r>
      <w:r>
        <w:rPr>
          <w:lang w:val="sr-Cyrl-CS"/>
        </w:rPr>
        <w:t>i</w:t>
      </w:r>
      <w:r w:rsidR="00465BE6" w:rsidRPr="00E95BC4">
        <w:rPr>
          <w:lang w:val="sr-Cyrl-CS"/>
        </w:rPr>
        <w:t xml:space="preserve"> </w:t>
      </w:r>
      <w:r>
        <w:rPr>
          <w:lang w:val="sr-Cyrl-CS"/>
        </w:rPr>
        <w:t>drugih</w:t>
      </w:r>
      <w:r w:rsidR="00465BE6" w:rsidRPr="00E95BC4">
        <w:rPr>
          <w:lang w:val="sr-Cyrl-CS"/>
        </w:rPr>
        <w:t xml:space="preserve"> </w:t>
      </w:r>
      <w:r>
        <w:rPr>
          <w:lang w:val="sr-Cyrl-CS"/>
        </w:rPr>
        <w:t>sektora</w:t>
      </w:r>
      <w:r w:rsidR="00465BE6" w:rsidRPr="00E95BC4">
        <w:rPr>
          <w:lang w:val="sr-Cyrl-CS"/>
        </w:rPr>
        <w:t xml:space="preserve"> </w:t>
      </w:r>
      <w:r>
        <w:rPr>
          <w:lang w:val="sr-Cyrl-CS"/>
        </w:rPr>
        <w:t>korisnicima</w:t>
      </w:r>
      <w:r w:rsidR="00465BE6" w:rsidRPr="00E95BC4">
        <w:rPr>
          <w:lang w:val="sr-Cyrl-CS"/>
        </w:rPr>
        <w:t xml:space="preserve">. </w:t>
      </w:r>
      <w:r>
        <w:rPr>
          <w:lang w:val="sr-Cyrl-CS"/>
        </w:rPr>
        <w:t>Organi</w:t>
      </w:r>
      <w:r w:rsidR="00465BE6" w:rsidRPr="00E95BC4">
        <w:rPr>
          <w:lang w:val="sr-Cyrl-CS"/>
        </w:rPr>
        <w:t xml:space="preserve"> </w:t>
      </w:r>
      <w:r>
        <w:rPr>
          <w:lang w:val="sr-Cyrl-CS"/>
        </w:rPr>
        <w:t>koji</w:t>
      </w:r>
      <w:r w:rsidR="00465BE6" w:rsidRPr="00E95BC4">
        <w:rPr>
          <w:lang w:val="sr-Cyrl-CS"/>
        </w:rPr>
        <w:t xml:space="preserve"> </w:t>
      </w:r>
      <w:r>
        <w:rPr>
          <w:lang w:val="sr-Cyrl-CS"/>
        </w:rPr>
        <w:t>učestvuju</w:t>
      </w:r>
      <w:r w:rsidR="00465BE6" w:rsidRPr="00E95BC4">
        <w:rPr>
          <w:lang w:val="sr-Cyrl-CS"/>
        </w:rPr>
        <w:t xml:space="preserve"> </w:t>
      </w:r>
      <w:r>
        <w:rPr>
          <w:lang w:val="sr-Cyrl-CS"/>
        </w:rPr>
        <w:t>u</w:t>
      </w:r>
      <w:r w:rsidR="00465BE6" w:rsidRPr="00E95BC4">
        <w:rPr>
          <w:lang w:val="sr-Cyrl-CS"/>
        </w:rPr>
        <w:t xml:space="preserve"> </w:t>
      </w:r>
      <w:r>
        <w:rPr>
          <w:lang w:val="sr-Cyrl-CS"/>
        </w:rPr>
        <w:t>istragama</w:t>
      </w:r>
      <w:r w:rsidR="00465BE6" w:rsidRPr="00E95BC4">
        <w:rPr>
          <w:lang w:val="sr-Cyrl-CS"/>
        </w:rPr>
        <w:t xml:space="preserve"> </w:t>
      </w:r>
      <w:r>
        <w:rPr>
          <w:lang w:val="sr-Cyrl-CS"/>
        </w:rPr>
        <w:t>moći</w:t>
      </w:r>
      <w:r w:rsidR="00465BE6" w:rsidRPr="00E95BC4">
        <w:rPr>
          <w:lang w:val="sr-Cyrl-CS"/>
        </w:rPr>
        <w:t xml:space="preserve"> </w:t>
      </w:r>
      <w:r>
        <w:rPr>
          <w:lang w:val="sr-Cyrl-CS"/>
        </w:rPr>
        <w:t>će</w:t>
      </w:r>
      <w:r w:rsidR="00465BE6" w:rsidRPr="00E95BC4">
        <w:rPr>
          <w:lang w:val="sr-Cyrl-CS"/>
        </w:rPr>
        <w:t xml:space="preserve"> </w:t>
      </w:r>
      <w:r>
        <w:rPr>
          <w:lang w:val="sr-Cyrl-CS"/>
        </w:rPr>
        <w:t>brzo</w:t>
      </w:r>
      <w:r w:rsidR="00465BE6" w:rsidRPr="00E95BC4">
        <w:rPr>
          <w:lang w:val="sr-Cyrl-CS"/>
        </w:rPr>
        <w:t xml:space="preserve"> </w:t>
      </w:r>
      <w:r>
        <w:rPr>
          <w:lang w:val="sr-Cyrl-CS"/>
        </w:rPr>
        <w:t>da</w:t>
      </w:r>
      <w:r w:rsidR="00465BE6" w:rsidRPr="00E95BC4">
        <w:rPr>
          <w:lang w:val="sr-Cyrl-CS"/>
        </w:rPr>
        <w:t xml:space="preserve"> </w:t>
      </w:r>
      <w:r>
        <w:rPr>
          <w:lang w:val="sr-Cyrl-CS"/>
        </w:rPr>
        <w:t>dođu</w:t>
      </w:r>
      <w:r w:rsidR="00465BE6" w:rsidRPr="00E95BC4">
        <w:rPr>
          <w:lang w:val="sr-Cyrl-CS"/>
        </w:rPr>
        <w:t xml:space="preserve"> </w:t>
      </w:r>
      <w:r>
        <w:rPr>
          <w:lang w:val="sr-Cyrl-CS"/>
        </w:rPr>
        <w:t>do</w:t>
      </w:r>
      <w:r w:rsidR="00465BE6" w:rsidRPr="00E95BC4">
        <w:rPr>
          <w:lang w:val="sr-Cyrl-CS"/>
        </w:rPr>
        <w:t xml:space="preserve"> </w:t>
      </w:r>
      <w:r>
        <w:rPr>
          <w:lang w:val="sr-Cyrl-CS"/>
        </w:rPr>
        <w:t>informacija</w:t>
      </w:r>
      <w:r w:rsidR="00465BE6" w:rsidRPr="00E95BC4">
        <w:rPr>
          <w:lang w:val="sr-Cyrl-CS"/>
        </w:rPr>
        <w:t xml:space="preserve"> </w:t>
      </w:r>
      <w:r>
        <w:rPr>
          <w:lang w:val="sr-Cyrl-CS"/>
        </w:rPr>
        <w:t>koje</w:t>
      </w:r>
      <w:r w:rsidR="00465BE6" w:rsidRPr="00E95BC4">
        <w:rPr>
          <w:lang w:val="sr-Cyrl-CS"/>
        </w:rPr>
        <w:t xml:space="preserve"> </w:t>
      </w:r>
      <w:r>
        <w:rPr>
          <w:lang w:val="sr-Cyrl-CS"/>
        </w:rPr>
        <w:t>prikupljaju</w:t>
      </w:r>
      <w:r w:rsidR="00465BE6" w:rsidRPr="00E95BC4">
        <w:rPr>
          <w:lang w:val="sr-Cyrl-CS"/>
        </w:rPr>
        <w:t xml:space="preserve"> </w:t>
      </w:r>
      <w:r>
        <w:rPr>
          <w:lang w:val="sr-Cyrl-CS"/>
        </w:rPr>
        <w:t>obveznici</w:t>
      </w:r>
      <w:r w:rsidR="00465BE6" w:rsidRPr="00E95BC4">
        <w:rPr>
          <w:lang w:val="sr-Cyrl-CS"/>
        </w:rPr>
        <w:t xml:space="preserve"> </w:t>
      </w:r>
      <w:r>
        <w:rPr>
          <w:lang w:val="sr-Cyrl-CS"/>
        </w:rPr>
        <w:t>u</w:t>
      </w:r>
      <w:r w:rsidR="00465BE6" w:rsidRPr="00E95BC4">
        <w:rPr>
          <w:lang w:val="sr-Cyrl-CS"/>
        </w:rPr>
        <w:t xml:space="preserve"> </w:t>
      </w:r>
      <w:r>
        <w:rPr>
          <w:lang w:val="sr-Cyrl-CS"/>
        </w:rPr>
        <w:t>okviru</w:t>
      </w:r>
      <w:r w:rsidR="00465BE6" w:rsidRPr="00E95BC4">
        <w:rPr>
          <w:lang w:val="sr-Cyrl-CS"/>
        </w:rPr>
        <w:t xml:space="preserve"> </w:t>
      </w:r>
      <w:r>
        <w:rPr>
          <w:lang w:val="sr-Cyrl-CS"/>
        </w:rPr>
        <w:t>radnji</w:t>
      </w:r>
      <w:r w:rsidR="00465BE6" w:rsidRPr="00E95BC4">
        <w:rPr>
          <w:lang w:val="sr-Cyrl-CS"/>
        </w:rPr>
        <w:t xml:space="preserve"> </w:t>
      </w:r>
      <w:r>
        <w:rPr>
          <w:lang w:val="sr-Cyrl-CS"/>
        </w:rPr>
        <w:t>i</w:t>
      </w:r>
      <w:r w:rsidR="00465BE6" w:rsidRPr="00E95BC4">
        <w:rPr>
          <w:lang w:val="sr-Cyrl-CS"/>
        </w:rPr>
        <w:t xml:space="preserve"> </w:t>
      </w:r>
      <w:r>
        <w:rPr>
          <w:lang w:val="sr-Cyrl-CS"/>
        </w:rPr>
        <w:t>mera</w:t>
      </w:r>
      <w:r w:rsidR="00465BE6" w:rsidRPr="00E95BC4">
        <w:rPr>
          <w:lang w:val="sr-Cyrl-CS"/>
        </w:rPr>
        <w:t xml:space="preserve"> </w:t>
      </w:r>
      <w:r>
        <w:rPr>
          <w:lang w:val="sr-Cyrl-CS"/>
        </w:rPr>
        <w:t>poznavanja</w:t>
      </w:r>
      <w:r w:rsidR="00465BE6" w:rsidRPr="00E95BC4">
        <w:rPr>
          <w:lang w:val="sr-Cyrl-CS"/>
        </w:rPr>
        <w:t xml:space="preserve"> </w:t>
      </w:r>
      <w:r>
        <w:rPr>
          <w:lang w:val="sr-Cyrl-CS"/>
        </w:rPr>
        <w:t>i</w:t>
      </w:r>
      <w:r w:rsidR="00465BE6" w:rsidRPr="00E95BC4">
        <w:rPr>
          <w:lang w:val="sr-Cyrl-CS"/>
        </w:rPr>
        <w:t xml:space="preserve"> </w:t>
      </w:r>
      <w:r>
        <w:rPr>
          <w:lang w:val="sr-Cyrl-CS"/>
        </w:rPr>
        <w:t>praćenja</w:t>
      </w:r>
      <w:r w:rsidR="00465BE6" w:rsidRPr="00E95BC4">
        <w:rPr>
          <w:lang w:val="sr-Cyrl-CS"/>
        </w:rPr>
        <w:t xml:space="preserve"> </w:t>
      </w:r>
      <w:r>
        <w:rPr>
          <w:lang w:val="sr-Cyrl-CS"/>
        </w:rPr>
        <w:t>stranke</w:t>
      </w:r>
      <w:r w:rsidR="00465BE6" w:rsidRPr="00E95BC4">
        <w:rPr>
          <w:lang w:val="sr-Cyrl-CS"/>
        </w:rPr>
        <w:t xml:space="preserve">. </w:t>
      </w:r>
      <w:r>
        <w:rPr>
          <w:lang w:val="sr-Cyrl-CS"/>
        </w:rPr>
        <w:t>Nadzorni</w:t>
      </w:r>
      <w:r w:rsidR="00465BE6" w:rsidRPr="00E95BC4">
        <w:rPr>
          <w:lang w:val="sr-Cyrl-CS"/>
        </w:rPr>
        <w:t xml:space="preserve"> </w:t>
      </w:r>
      <w:r>
        <w:rPr>
          <w:lang w:val="sr-Cyrl-CS"/>
        </w:rPr>
        <w:t>organi</w:t>
      </w:r>
      <w:r w:rsidR="00465BE6" w:rsidRPr="00E95BC4">
        <w:rPr>
          <w:lang w:val="sr-Cyrl-CS"/>
        </w:rPr>
        <w:t xml:space="preserve"> </w:t>
      </w:r>
      <w:r>
        <w:rPr>
          <w:lang w:val="sr-Cyrl-CS"/>
        </w:rPr>
        <w:t>će</w:t>
      </w:r>
      <w:r w:rsidR="00465BE6" w:rsidRPr="00E95BC4">
        <w:rPr>
          <w:lang w:val="sr-Cyrl-CS"/>
        </w:rPr>
        <w:t xml:space="preserve"> </w:t>
      </w:r>
      <w:r>
        <w:rPr>
          <w:lang w:val="sr-Cyrl-CS"/>
        </w:rPr>
        <w:t>omogućavati</w:t>
      </w:r>
      <w:r w:rsidR="00465BE6" w:rsidRPr="00E95BC4">
        <w:rPr>
          <w:lang w:val="sr-Cyrl-CS"/>
        </w:rPr>
        <w:t xml:space="preserve"> </w:t>
      </w:r>
      <w:r>
        <w:rPr>
          <w:lang w:val="sr-Cyrl-CS"/>
        </w:rPr>
        <w:t>sticanje</w:t>
      </w:r>
      <w:r w:rsidR="00465BE6" w:rsidRPr="00E95BC4">
        <w:rPr>
          <w:lang w:val="sr-Cyrl-CS"/>
        </w:rPr>
        <w:t xml:space="preserve"> </w:t>
      </w:r>
      <w:r>
        <w:rPr>
          <w:lang w:val="sr-Cyrl-CS"/>
        </w:rPr>
        <w:t>vlasništva</w:t>
      </w:r>
      <w:r w:rsidR="00465BE6" w:rsidRPr="00E95BC4">
        <w:rPr>
          <w:lang w:val="sr-Cyrl-CS"/>
        </w:rPr>
        <w:t xml:space="preserve"> </w:t>
      </w:r>
      <w:r>
        <w:rPr>
          <w:lang w:val="sr-Cyrl-CS"/>
        </w:rPr>
        <w:t>isključivo</w:t>
      </w:r>
      <w:r w:rsidR="00465BE6" w:rsidRPr="00E95BC4">
        <w:rPr>
          <w:lang w:val="sr-Cyrl-CS"/>
        </w:rPr>
        <w:t xml:space="preserve"> </w:t>
      </w:r>
      <w:r>
        <w:rPr>
          <w:lang w:val="sr-Cyrl-CS"/>
        </w:rPr>
        <w:t>u</w:t>
      </w:r>
      <w:r w:rsidR="00465BE6" w:rsidRPr="00E95BC4">
        <w:rPr>
          <w:lang w:val="sr-Cyrl-CS"/>
        </w:rPr>
        <w:t xml:space="preserve"> </w:t>
      </w:r>
      <w:r>
        <w:rPr>
          <w:lang w:val="sr-Cyrl-CS"/>
        </w:rPr>
        <w:t>skladu</w:t>
      </w:r>
      <w:r w:rsidR="00465BE6" w:rsidRPr="00E95BC4">
        <w:rPr>
          <w:lang w:val="sr-Cyrl-CS"/>
        </w:rPr>
        <w:t xml:space="preserve"> </w:t>
      </w:r>
      <w:r>
        <w:rPr>
          <w:lang w:val="sr-Cyrl-CS"/>
        </w:rPr>
        <w:t>sa</w:t>
      </w:r>
      <w:r w:rsidR="00465BE6" w:rsidRPr="00E95BC4">
        <w:rPr>
          <w:lang w:val="sr-Cyrl-CS"/>
        </w:rPr>
        <w:t xml:space="preserve"> </w:t>
      </w:r>
      <w:r>
        <w:rPr>
          <w:lang w:val="sr-Cyrl-CS"/>
        </w:rPr>
        <w:t>standardom</w:t>
      </w:r>
      <w:r w:rsidR="00465BE6" w:rsidRPr="00E95BC4">
        <w:rPr>
          <w:lang w:val="sr-Cyrl-CS"/>
        </w:rPr>
        <w:t xml:space="preserve"> </w:t>
      </w:r>
      <w:r>
        <w:rPr>
          <w:lang w:val="sr-Cyrl-CS"/>
        </w:rPr>
        <w:t>stručnosti</w:t>
      </w:r>
      <w:r w:rsidR="00465BE6" w:rsidRPr="00E95BC4">
        <w:rPr>
          <w:lang w:val="sr-Cyrl-CS"/>
        </w:rPr>
        <w:t xml:space="preserve"> </w:t>
      </w:r>
      <w:r>
        <w:rPr>
          <w:lang w:val="sr-Cyrl-CS"/>
        </w:rPr>
        <w:t>i</w:t>
      </w:r>
      <w:r w:rsidR="00465BE6" w:rsidRPr="00E95BC4">
        <w:rPr>
          <w:lang w:val="sr-Cyrl-CS"/>
        </w:rPr>
        <w:t xml:space="preserve"> </w:t>
      </w:r>
      <w:r>
        <w:rPr>
          <w:lang w:val="sr-Cyrl-CS"/>
        </w:rPr>
        <w:t>podobnosti</w:t>
      </w:r>
      <w:r w:rsidR="00465BE6" w:rsidRPr="00E95BC4">
        <w:rPr>
          <w:lang w:val="sr-Cyrl-CS"/>
        </w:rPr>
        <w:t xml:space="preserve"> (</w:t>
      </w:r>
      <w:r>
        <w:rPr>
          <w:lang w:val="sr-Cyrl-CS"/>
        </w:rPr>
        <w:t>engl</w:t>
      </w:r>
      <w:r w:rsidR="00465BE6" w:rsidRPr="00E95BC4">
        <w:rPr>
          <w:lang w:val="sr-Cyrl-CS"/>
        </w:rPr>
        <w:t xml:space="preserve">. </w:t>
      </w:r>
      <w:r w:rsidR="00465BE6" w:rsidRPr="00E95BC4">
        <w:rPr>
          <w:i/>
          <w:iCs/>
          <w:lang w:val="sr-Cyrl-CS"/>
        </w:rPr>
        <w:t>„fit and proper”</w:t>
      </w:r>
      <w:r w:rsidR="00465BE6" w:rsidRPr="00E95BC4">
        <w:rPr>
          <w:lang w:val="sr-Cyrl-CS"/>
        </w:rPr>
        <w:t>);</w:t>
      </w:r>
    </w:p>
    <w:p w:rsidR="00465BE6" w:rsidRPr="00E95BC4" w:rsidRDefault="005818C0" w:rsidP="00465BE6">
      <w:pPr>
        <w:pStyle w:val="ListParagraph"/>
        <w:numPr>
          <w:ilvl w:val="0"/>
          <w:numId w:val="13"/>
        </w:numPr>
        <w:jc w:val="both"/>
        <w:rPr>
          <w:lang w:val="sr-Cyrl-CS"/>
        </w:rPr>
      </w:pPr>
      <w:r>
        <w:rPr>
          <w:lang w:val="sr-Cyrl-CS"/>
        </w:rPr>
        <w:t>Nadzorni</w:t>
      </w:r>
      <w:r w:rsidR="00465BE6" w:rsidRPr="00E95BC4">
        <w:rPr>
          <w:lang w:val="sr-Cyrl-CS"/>
        </w:rPr>
        <w:t xml:space="preserve"> </w:t>
      </w:r>
      <w:r>
        <w:rPr>
          <w:lang w:val="sr-Cyrl-CS"/>
        </w:rPr>
        <w:t>organi</w:t>
      </w:r>
      <w:r w:rsidR="00465BE6" w:rsidRPr="00E95BC4">
        <w:rPr>
          <w:lang w:val="sr-Cyrl-CS"/>
        </w:rPr>
        <w:t xml:space="preserve"> </w:t>
      </w:r>
      <w:r>
        <w:rPr>
          <w:lang w:val="sr-Cyrl-CS"/>
        </w:rPr>
        <w:t>iz</w:t>
      </w:r>
      <w:r w:rsidR="00465BE6" w:rsidRPr="00E95BC4">
        <w:rPr>
          <w:lang w:val="sr-Cyrl-CS"/>
        </w:rPr>
        <w:t xml:space="preserve"> </w:t>
      </w:r>
      <w:r>
        <w:rPr>
          <w:lang w:val="sr-Cyrl-CS"/>
        </w:rPr>
        <w:t>Zakona</w:t>
      </w:r>
      <w:r w:rsidR="00465BE6" w:rsidRPr="00E95BC4">
        <w:rPr>
          <w:lang w:val="sr-Cyrl-CS"/>
        </w:rPr>
        <w:t xml:space="preserve"> </w:t>
      </w:r>
      <w:r>
        <w:rPr>
          <w:lang w:val="sr-Cyrl-CS"/>
        </w:rPr>
        <w:t>o</w:t>
      </w:r>
      <w:r w:rsidR="00465BE6" w:rsidRPr="00E95BC4">
        <w:rPr>
          <w:lang w:val="sr-Cyrl-CS"/>
        </w:rPr>
        <w:t xml:space="preserve"> </w:t>
      </w:r>
      <w:r>
        <w:rPr>
          <w:lang w:val="sr-Cyrl-CS"/>
        </w:rPr>
        <w:t>sprečavanju</w:t>
      </w:r>
      <w:r w:rsidR="00465BE6" w:rsidRPr="00E95BC4">
        <w:rPr>
          <w:lang w:val="sr-Cyrl-CS"/>
        </w:rPr>
        <w:t xml:space="preserve"> </w:t>
      </w:r>
      <w:r>
        <w:rPr>
          <w:lang w:val="sr-Cyrl-CS"/>
        </w:rPr>
        <w:t>pranja</w:t>
      </w:r>
      <w:r w:rsidR="00465BE6" w:rsidRPr="00E95BC4">
        <w:rPr>
          <w:lang w:val="sr-Cyrl-CS"/>
        </w:rPr>
        <w:t xml:space="preserve"> </w:t>
      </w:r>
      <w:r>
        <w:rPr>
          <w:lang w:val="sr-Cyrl-CS"/>
        </w:rPr>
        <w:t>novca</w:t>
      </w:r>
      <w:r w:rsidR="00465BE6" w:rsidRPr="00E95BC4">
        <w:rPr>
          <w:lang w:val="sr-Cyrl-CS"/>
        </w:rPr>
        <w:t xml:space="preserve"> </w:t>
      </w:r>
      <w:r>
        <w:rPr>
          <w:lang w:val="sr-Cyrl-CS"/>
        </w:rPr>
        <w:t>i</w:t>
      </w:r>
      <w:r w:rsidR="00465BE6" w:rsidRPr="00E95BC4">
        <w:rPr>
          <w:lang w:val="sr-Cyrl-CS"/>
        </w:rPr>
        <w:t xml:space="preserve"> </w:t>
      </w:r>
      <w:r>
        <w:rPr>
          <w:lang w:val="sr-Cyrl-CS"/>
        </w:rPr>
        <w:t>finansiranja</w:t>
      </w:r>
      <w:r w:rsidR="00465BE6" w:rsidRPr="00E95BC4">
        <w:rPr>
          <w:lang w:val="sr-Cyrl-CS"/>
        </w:rPr>
        <w:t xml:space="preserve"> </w:t>
      </w:r>
      <w:r>
        <w:rPr>
          <w:lang w:val="sr-Cyrl-CS"/>
        </w:rPr>
        <w:t>terorizma</w:t>
      </w:r>
      <w:r w:rsidR="00465BE6" w:rsidRPr="00E95BC4">
        <w:rPr>
          <w:lang w:val="sr-Cyrl-CS"/>
        </w:rPr>
        <w:t xml:space="preserve"> </w:t>
      </w:r>
      <w:r>
        <w:rPr>
          <w:lang w:val="sr-Cyrl-CS"/>
        </w:rPr>
        <w:t>vršiće</w:t>
      </w:r>
      <w:r w:rsidR="00465BE6" w:rsidRPr="00E95BC4">
        <w:rPr>
          <w:lang w:val="sr-Cyrl-CS"/>
        </w:rPr>
        <w:t xml:space="preserve"> </w:t>
      </w:r>
      <w:r>
        <w:rPr>
          <w:lang w:val="sr-Cyrl-CS"/>
        </w:rPr>
        <w:t>nadzor</w:t>
      </w:r>
      <w:r w:rsidR="00465BE6" w:rsidRPr="00E95BC4">
        <w:rPr>
          <w:lang w:val="sr-Cyrl-CS"/>
        </w:rPr>
        <w:t xml:space="preserve">, </w:t>
      </w:r>
      <w:r>
        <w:rPr>
          <w:lang w:val="sr-Cyrl-CS"/>
        </w:rPr>
        <w:t>praćenje</w:t>
      </w:r>
      <w:r w:rsidR="00465BE6" w:rsidRPr="00E95BC4">
        <w:rPr>
          <w:lang w:val="sr-Cyrl-CS"/>
        </w:rPr>
        <w:t xml:space="preserve"> </w:t>
      </w:r>
      <w:r>
        <w:rPr>
          <w:lang w:val="sr-Cyrl-CS"/>
        </w:rPr>
        <w:t>i</w:t>
      </w:r>
      <w:r w:rsidR="00465BE6" w:rsidRPr="00E95BC4">
        <w:rPr>
          <w:lang w:val="sr-Cyrl-CS"/>
        </w:rPr>
        <w:t xml:space="preserve"> </w:t>
      </w:r>
      <w:r>
        <w:rPr>
          <w:lang w:val="sr-Cyrl-CS"/>
        </w:rPr>
        <w:t>regulisanje</w:t>
      </w:r>
      <w:r w:rsidR="00465BE6" w:rsidRPr="00E95BC4">
        <w:rPr>
          <w:lang w:val="sr-Cyrl-CS"/>
        </w:rPr>
        <w:t xml:space="preserve"> </w:t>
      </w:r>
      <w:r>
        <w:rPr>
          <w:lang w:val="sr-Cyrl-CS"/>
        </w:rPr>
        <w:t>rada</w:t>
      </w:r>
      <w:r w:rsidR="00465BE6" w:rsidRPr="00E95BC4">
        <w:rPr>
          <w:lang w:val="sr-Cyrl-CS"/>
        </w:rPr>
        <w:t xml:space="preserve"> </w:t>
      </w:r>
      <w:r>
        <w:rPr>
          <w:lang w:val="sr-Cyrl-CS"/>
        </w:rPr>
        <w:t>finansijskih</w:t>
      </w:r>
      <w:r w:rsidR="00465BE6" w:rsidRPr="00E95BC4">
        <w:rPr>
          <w:lang w:val="sr-Cyrl-CS"/>
        </w:rPr>
        <w:t xml:space="preserve"> </w:t>
      </w:r>
      <w:r>
        <w:rPr>
          <w:lang w:val="sr-Cyrl-CS"/>
        </w:rPr>
        <w:t>institucija</w:t>
      </w:r>
      <w:r w:rsidR="00465BE6" w:rsidRPr="00E95BC4">
        <w:rPr>
          <w:lang w:val="sr-Cyrl-CS"/>
        </w:rPr>
        <w:t xml:space="preserve"> </w:t>
      </w:r>
      <w:r>
        <w:rPr>
          <w:lang w:val="sr-Cyrl-CS"/>
        </w:rPr>
        <w:t>i</w:t>
      </w:r>
      <w:r w:rsidR="00465BE6" w:rsidRPr="00E95BC4">
        <w:rPr>
          <w:lang w:val="sr-Cyrl-CS"/>
        </w:rPr>
        <w:t xml:space="preserve"> </w:t>
      </w:r>
      <w:r>
        <w:rPr>
          <w:lang w:val="sr-Cyrl-CS"/>
        </w:rPr>
        <w:t>određenih</w:t>
      </w:r>
      <w:r w:rsidR="00465BE6" w:rsidRPr="00E95BC4">
        <w:rPr>
          <w:lang w:val="sr-Cyrl-CS"/>
        </w:rPr>
        <w:t xml:space="preserve"> </w:t>
      </w:r>
      <w:r>
        <w:rPr>
          <w:lang w:val="sr-Cyrl-CS"/>
        </w:rPr>
        <w:t>pravnih</w:t>
      </w:r>
      <w:r w:rsidR="00465BE6" w:rsidRPr="00E95BC4">
        <w:rPr>
          <w:lang w:val="sr-Cyrl-CS"/>
        </w:rPr>
        <w:t xml:space="preserve"> </w:t>
      </w:r>
      <w:r>
        <w:rPr>
          <w:lang w:val="sr-Cyrl-CS"/>
        </w:rPr>
        <w:t>i</w:t>
      </w:r>
      <w:r w:rsidR="00465BE6" w:rsidRPr="00E95BC4">
        <w:rPr>
          <w:lang w:val="sr-Cyrl-CS"/>
        </w:rPr>
        <w:t xml:space="preserve"> </w:t>
      </w:r>
      <w:r>
        <w:rPr>
          <w:lang w:val="sr-Cyrl-CS"/>
        </w:rPr>
        <w:t>fizičkih</w:t>
      </w:r>
      <w:r w:rsidR="00465BE6" w:rsidRPr="00E95BC4">
        <w:rPr>
          <w:lang w:val="sr-Cyrl-CS"/>
        </w:rPr>
        <w:t xml:space="preserve"> </w:t>
      </w:r>
      <w:r>
        <w:rPr>
          <w:lang w:val="sr-Cyrl-CS"/>
        </w:rPr>
        <w:t>lica</w:t>
      </w:r>
      <w:r w:rsidR="00465BE6" w:rsidRPr="00E95BC4">
        <w:rPr>
          <w:lang w:val="sr-Cyrl-CS"/>
        </w:rPr>
        <w:t xml:space="preserve"> </w:t>
      </w:r>
      <w:r>
        <w:rPr>
          <w:lang w:val="sr-Cyrl-CS"/>
        </w:rPr>
        <w:t>van</w:t>
      </w:r>
      <w:r w:rsidR="00465BE6" w:rsidRPr="00E95BC4">
        <w:rPr>
          <w:lang w:val="sr-Cyrl-CS"/>
        </w:rPr>
        <w:t xml:space="preserve"> </w:t>
      </w:r>
      <w:r>
        <w:rPr>
          <w:lang w:val="sr-Cyrl-CS"/>
        </w:rPr>
        <w:t>finansijskog</w:t>
      </w:r>
      <w:r w:rsidR="00465BE6" w:rsidRPr="00E95BC4">
        <w:rPr>
          <w:lang w:val="sr-Cyrl-CS"/>
        </w:rPr>
        <w:t xml:space="preserve"> </w:t>
      </w:r>
      <w:r>
        <w:rPr>
          <w:lang w:val="sr-Cyrl-CS"/>
        </w:rPr>
        <w:t>sektora</w:t>
      </w:r>
      <w:r w:rsidR="00465BE6" w:rsidRPr="00E95BC4">
        <w:rPr>
          <w:lang w:val="sr-Cyrl-CS"/>
        </w:rPr>
        <w:t xml:space="preserve"> </w:t>
      </w:r>
      <w:r>
        <w:rPr>
          <w:lang w:val="sr-Cyrl-CS"/>
        </w:rPr>
        <w:t>srazmerno</w:t>
      </w:r>
      <w:r w:rsidR="00465BE6" w:rsidRPr="00E95BC4">
        <w:rPr>
          <w:lang w:val="sr-Cyrl-CS"/>
        </w:rPr>
        <w:t xml:space="preserve"> </w:t>
      </w:r>
      <w:r>
        <w:rPr>
          <w:lang w:val="sr-Cyrl-CS"/>
        </w:rPr>
        <w:t>utvrđenim</w:t>
      </w:r>
      <w:r w:rsidR="00465BE6" w:rsidRPr="00E95BC4">
        <w:rPr>
          <w:lang w:val="sr-Cyrl-CS"/>
        </w:rPr>
        <w:t xml:space="preserve"> </w:t>
      </w:r>
      <w:r>
        <w:rPr>
          <w:lang w:val="sr-Cyrl-CS"/>
        </w:rPr>
        <w:t>rizicima</w:t>
      </w:r>
      <w:r w:rsidR="00465BE6" w:rsidRPr="00E95BC4">
        <w:rPr>
          <w:lang w:val="sr-Cyrl-CS"/>
        </w:rPr>
        <w:t xml:space="preserve"> </w:t>
      </w:r>
      <w:r>
        <w:rPr>
          <w:lang w:val="sr-Cyrl-CS"/>
        </w:rPr>
        <w:t>za</w:t>
      </w:r>
      <w:r w:rsidR="00465BE6" w:rsidRPr="00E95BC4">
        <w:rPr>
          <w:lang w:val="sr-Cyrl-CS"/>
        </w:rPr>
        <w:t xml:space="preserve"> </w:t>
      </w:r>
      <w:r>
        <w:rPr>
          <w:lang w:val="sr-Cyrl-CS"/>
        </w:rPr>
        <w:t>svaku</w:t>
      </w:r>
      <w:r w:rsidR="00465BE6" w:rsidRPr="00E95BC4">
        <w:rPr>
          <w:lang w:val="sr-Cyrl-CS"/>
        </w:rPr>
        <w:t xml:space="preserve"> </w:t>
      </w:r>
      <w:r>
        <w:rPr>
          <w:lang w:val="sr-Cyrl-CS"/>
        </w:rPr>
        <w:t>delatnost</w:t>
      </w:r>
      <w:r w:rsidR="00465BE6" w:rsidRPr="00E95BC4">
        <w:rPr>
          <w:lang w:val="sr-Cyrl-CS"/>
        </w:rPr>
        <w:t>;</w:t>
      </w:r>
    </w:p>
    <w:p w:rsidR="00465BE6" w:rsidRPr="00E95BC4" w:rsidRDefault="005818C0" w:rsidP="00465BE6">
      <w:pPr>
        <w:pStyle w:val="ListParagraph"/>
        <w:numPr>
          <w:ilvl w:val="0"/>
          <w:numId w:val="13"/>
        </w:numPr>
        <w:jc w:val="both"/>
        <w:rPr>
          <w:lang w:val="sr-Cyrl-CS"/>
        </w:rPr>
      </w:pPr>
      <w:r>
        <w:rPr>
          <w:lang w:val="sr-Cyrl-CS"/>
        </w:rPr>
        <w:t>Unaprediće</w:t>
      </w:r>
      <w:r w:rsidR="00465BE6" w:rsidRPr="00E95BC4">
        <w:rPr>
          <w:lang w:val="sr-Cyrl-CS"/>
        </w:rPr>
        <w:t xml:space="preserve"> </w:t>
      </w:r>
      <w:r>
        <w:rPr>
          <w:lang w:val="sr-Cyrl-CS"/>
        </w:rPr>
        <w:t>se</w:t>
      </w:r>
      <w:r w:rsidR="00465BE6" w:rsidRPr="00E95BC4">
        <w:rPr>
          <w:lang w:val="sr-Cyrl-CS"/>
        </w:rPr>
        <w:t xml:space="preserve"> </w:t>
      </w:r>
      <w:r>
        <w:rPr>
          <w:lang w:val="sr-Cyrl-CS"/>
        </w:rPr>
        <w:t>kvalitet</w:t>
      </w:r>
      <w:r w:rsidR="00465BE6" w:rsidRPr="00E95BC4">
        <w:rPr>
          <w:lang w:val="sr-Cyrl-CS"/>
        </w:rPr>
        <w:t xml:space="preserve"> </w:t>
      </w:r>
      <w:r>
        <w:rPr>
          <w:lang w:val="sr-Cyrl-CS"/>
        </w:rPr>
        <w:t>informacija</w:t>
      </w:r>
      <w:r w:rsidR="00465BE6" w:rsidRPr="00E95BC4">
        <w:rPr>
          <w:lang w:val="sr-Cyrl-CS"/>
        </w:rPr>
        <w:t xml:space="preserve"> </w:t>
      </w:r>
      <w:r>
        <w:rPr>
          <w:lang w:val="sr-Cyrl-CS"/>
        </w:rPr>
        <w:t>i</w:t>
      </w:r>
      <w:r w:rsidR="00465BE6" w:rsidRPr="00E95BC4">
        <w:rPr>
          <w:lang w:val="sr-Cyrl-CS"/>
        </w:rPr>
        <w:t xml:space="preserve"> </w:t>
      </w:r>
      <w:r>
        <w:rPr>
          <w:lang w:val="sr-Cyrl-CS"/>
        </w:rPr>
        <w:t>učestalost</w:t>
      </w:r>
      <w:r w:rsidR="00465BE6" w:rsidRPr="00E95BC4">
        <w:rPr>
          <w:lang w:val="sr-Cyrl-CS"/>
        </w:rPr>
        <w:t xml:space="preserve"> </w:t>
      </w:r>
      <w:r>
        <w:rPr>
          <w:lang w:val="sr-Cyrl-CS"/>
        </w:rPr>
        <w:t>njihove</w:t>
      </w:r>
      <w:r w:rsidR="00465BE6" w:rsidRPr="00E95BC4">
        <w:rPr>
          <w:lang w:val="sr-Cyrl-CS"/>
        </w:rPr>
        <w:t xml:space="preserve"> </w:t>
      </w:r>
      <w:r>
        <w:rPr>
          <w:lang w:val="sr-Cyrl-CS"/>
        </w:rPr>
        <w:t>razmene</w:t>
      </w:r>
      <w:r w:rsidR="00465BE6" w:rsidRPr="00E95BC4">
        <w:rPr>
          <w:lang w:val="sr-Cyrl-CS"/>
        </w:rPr>
        <w:t xml:space="preserve">. </w:t>
      </w:r>
      <w:r>
        <w:rPr>
          <w:lang w:val="sr-Cyrl-CS"/>
        </w:rPr>
        <w:t>Slučajevi</w:t>
      </w:r>
      <w:r w:rsidR="00465BE6" w:rsidRPr="00E95BC4">
        <w:rPr>
          <w:lang w:val="sr-Cyrl-CS"/>
        </w:rPr>
        <w:t xml:space="preserve"> </w:t>
      </w:r>
      <w:r>
        <w:rPr>
          <w:lang w:val="sr-Cyrl-CS"/>
        </w:rPr>
        <w:t>pranja</w:t>
      </w:r>
      <w:r w:rsidR="00465BE6" w:rsidRPr="00E95BC4">
        <w:rPr>
          <w:lang w:val="sr-Cyrl-CS"/>
        </w:rPr>
        <w:t xml:space="preserve"> </w:t>
      </w:r>
      <w:r>
        <w:rPr>
          <w:lang w:val="sr-Cyrl-CS"/>
        </w:rPr>
        <w:t>novca</w:t>
      </w:r>
      <w:r w:rsidR="00465BE6" w:rsidRPr="00E95BC4">
        <w:rPr>
          <w:lang w:val="sr-Cyrl-CS"/>
        </w:rPr>
        <w:t xml:space="preserve"> </w:t>
      </w:r>
      <w:r>
        <w:rPr>
          <w:lang w:val="sr-Cyrl-CS"/>
        </w:rPr>
        <w:t>i</w:t>
      </w:r>
      <w:r w:rsidR="00465BE6" w:rsidRPr="00E95BC4">
        <w:rPr>
          <w:lang w:val="sr-Cyrl-CS"/>
        </w:rPr>
        <w:t xml:space="preserve"> </w:t>
      </w:r>
      <w:r>
        <w:rPr>
          <w:lang w:val="sr-Cyrl-CS"/>
        </w:rPr>
        <w:t>finansiranja</w:t>
      </w:r>
      <w:r w:rsidR="00465BE6" w:rsidRPr="00E95BC4">
        <w:rPr>
          <w:lang w:val="sr-Cyrl-CS"/>
        </w:rPr>
        <w:t xml:space="preserve"> </w:t>
      </w:r>
      <w:r>
        <w:rPr>
          <w:lang w:val="sr-Cyrl-CS"/>
        </w:rPr>
        <w:t>terorizma</w:t>
      </w:r>
      <w:r w:rsidR="00465BE6" w:rsidRPr="00E95BC4">
        <w:rPr>
          <w:lang w:val="sr-Cyrl-CS"/>
        </w:rPr>
        <w:t xml:space="preserve"> </w:t>
      </w:r>
      <w:r>
        <w:rPr>
          <w:lang w:val="sr-Cyrl-CS"/>
        </w:rPr>
        <w:t>će</w:t>
      </w:r>
      <w:r w:rsidR="00465BE6" w:rsidRPr="00E95BC4">
        <w:rPr>
          <w:lang w:val="sr-Cyrl-CS"/>
        </w:rPr>
        <w:t xml:space="preserve"> </w:t>
      </w:r>
      <w:r>
        <w:rPr>
          <w:lang w:val="sr-Cyrl-CS"/>
        </w:rPr>
        <w:t>se</w:t>
      </w:r>
      <w:r w:rsidR="00465BE6" w:rsidRPr="00E95BC4">
        <w:rPr>
          <w:lang w:val="sr-Cyrl-CS"/>
        </w:rPr>
        <w:t xml:space="preserve"> </w:t>
      </w:r>
      <w:r>
        <w:rPr>
          <w:lang w:val="sr-Cyrl-CS"/>
        </w:rPr>
        <w:t>otkrivati</w:t>
      </w:r>
      <w:r w:rsidR="00465BE6" w:rsidRPr="00E95BC4">
        <w:rPr>
          <w:lang w:val="sr-Cyrl-CS"/>
        </w:rPr>
        <w:t xml:space="preserve"> </w:t>
      </w:r>
      <w:r>
        <w:rPr>
          <w:lang w:val="sr-Cyrl-CS"/>
        </w:rPr>
        <w:t>delotvornije</w:t>
      </w:r>
      <w:r w:rsidR="00465BE6" w:rsidRPr="00E95BC4">
        <w:rPr>
          <w:lang w:val="sr-Cyrl-CS"/>
        </w:rPr>
        <w:t xml:space="preserve"> </w:t>
      </w:r>
      <w:r>
        <w:rPr>
          <w:lang w:val="sr-Cyrl-CS"/>
        </w:rPr>
        <w:t>i</w:t>
      </w:r>
      <w:r w:rsidR="00465BE6" w:rsidRPr="00E95BC4">
        <w:rPr>
          <w:lang w:val="sr-Cyrl-CS"/>
        </w:rPr>
        <w:t xml:space="preserve"> </w:t>
      </w:r>
      <w:r>
        <w:rPr>
          <w:lang w:val="sr-Cyrl-CS"/>
        </w:rPr>
        <w:t>efikasnije</w:t>
      </w:r>
      <w:r w:rsidR="00465BE6" w:rsidRPr="00E95BC4">
        <w:rPr>
          <w:lang w:val="sr-Cyrl-CS"/>
        </w:rPr>
        <w:t xml:space="preserve">. </w:t>
      </w:r>
      <w:r>
        <w:rPr>
          <w:lang w:val="sr-Cyrl-CS"/>
        </w:rPr>
        <w:t>To</w:t>
      </w:r>
      <w:r w:rsidR="00465BE6" w:rsidRPr="00E95BC4">
        <w:rPr>
          <w:lang w:val="sr-Cyrl-CS"/>
        </w:rPr>
        <w:t xml:space="preserve"> </w:t>
      </w:r>
      <w:r>
        <w:rPr>
          <w:lang w:val="sr-Cyrl-CS"/>
        </w:rPr>
        <w:t>će</w:t>
      </w:r>
      <w:r w:rsidR="00465BE6" w:rsidRPr="00E95BC4">
        <w:rPr>
          <w:lang w:val="sr-Cyrl-CS"/>
        </w:rPr>
        <w:t xml:space="preserve"> </w:t>
      </w:r>
      <w:r>
        <w:rPr>
          <w:lang w:val="sr-Cyrl-CS"/>
        </w:rPr>
        <w:t>pomoći</w:t>
      </w:r>
      <w:r w:rsidR="00465BE6" w:rsidRPr="00E95BC4">
        <w:rPr>
          <w:lang w:val="sr-Cyrl-CS"/>
        </w:rPr>
        <w:t xml:space="preserve"> </w:t>
      </w:r>
      <w:r>
        <w:rPr>
          <w:lang w:val="sr-Cyrl-CS"/>
        </w:rPr>
        <w:t>tužiocima</w:t>
      </w:r>
      <w:r w:rsidR="00465BE6" w:rsidRPr="00E95BC4">
        <w:rPr>
          <w:lang w:val="sr-Cyrl-CS"/>
        </w:rPr>
        <w:t xml:space="preserve"> </w:t>
      </w:r>
      <w:r>
        <w:rPr>
          <w:lang w:val="sr-Cyrl-CS"/>
        </w:rPr>
        <w:t>u</w:t>
      </w:r>
      <w:r w:rsidR="00465BE6" w:rsidRPr="00E95BC4">
        <w:rPr>
          <w:lang w:val="sr-Cyrl-CS"/>
        </w:rPr>
        <w:t xml:space="preserve"> </w:t>
      </w:r>
      <w:r>
        <w:rPr>
          <w:lang w:val="sr-Cyrl-CS"/>
        </w:rPr>
        <w:t>utvrđivanju</w:t>
      </w:r>
      <w:r w:rsidR="00465BE6" w:rsidRPr="00E95BC4">
        <w:rPr>
          <w:lang w:val="sr-Cyrl-CS"/>
        </w:rPr>
        <w:t xml:space="preserve"> </w:t>
      </w:r>
      <w:r>
        <w:rPr>
          <w:lang w:val="sr-Cyrl-CS"/>
        </w:rPr>
        <w:t>postojanja</w:t>
      </w:r>
      <w:r w:rsidR="00465BE6" w:rsidRPr="00E95BC4">
        <w:rPr>
          <w:lang w:val="sr-Cyrl-CS"/>
        </w:rPr>
        <w:t xml:space="preserve"> </w:t>
      </w:r>
      <w:r>
        <w:rPr>
          <w:lang w:val="sr-Cyrl-CS"/>
        </w:rPr>
        <w:t>elemenata</w:t>
      </w:r>
      <w:r w:rsidR="00465BE6" w:rsidRPr="00E95BC4">
        <w:rPr>
          <w:lang w:val="sr-Cyrl-CS"/>
        </w:rPr>
        <w:t xml:space="preserve"> </w:t>
      </w:r>
      <w:r>
        <w:rPr>
          <w:lang w:val="sr-Cyrl-CS"/>
        </w:rPr>
        <w:t>krivičnog</w:t>
      </w:r>
      <w:r w:rsidR="00465BE6" w:rsidRPr="00E95BC4">
        <w:rPr>
          <w:lang w:val="sr-Cyrl-CS"/>
        </w:rPr>
        <w:t xml:space="preserve"> </w:t>
      </w:r>
      <w:r>
        <w:rPr>
          <w:lang w:val="sr-Cyrl-CS"/>
        </w:rPr>
        <w:t>dela</w:t>
      </w:r>
      <w:r w:rsidR="00465BE6" w:rsidRPr="00E95BC4">
        <w:rPr>
          <w:lang w:val="sr-Cyrl-CS"/>
        </w:rPr>
        <w:t xml:space="preserve"> </w:t>
      </w:r>
      <w:r>
        <w:rPr>
          <w:lang w:val="sr-Cyrl-CS"/>
        </w:rPr>
        <w:t>i</w:t>
      </w:r>
      <w:r w:rsidR="00465BE6" w:rsidRPr="00E95BC4">
        <w:rPr>
          <w:lang w:val="sr-Cyrl-CS"/>
        </w:rPr>
        <w:t xml:space="preserve"> </w:t>
      </w:r>
      <w:r>
        <w:rPr>
          <w:lang w:val="sr-Cyrl-CS"/>
        </w:rPr>
        <w:t>obezbediti</w:t>
      </w:r>
      <w:r w:rsidR="00465BE6" w:rsidRPr="00E95BC4">
        <w:rPr>
          <w:lang w:val="sr-Cyrl-CS"/>
        </w:rPr>
        <w:t xml:space="preserve"> </w:t>
      </w:r>
      <w:r>
        <w:rPr>
          <w:lang w:val="sr-Cyrl-CS"/>
        </w:rPr>
        <w:t>im</w:t>
      </w:r>
      <w:r w:rsidR="00465BE6" w:rsidRPr="00E95BC4">
        <w:rPr>
          <w:lang w:val="sr-Cyrl-CS"/>
        </w:rPr>
        <w:t xml:space="preserve"> </w:t>
      </w:r>
      <w:r>
        <w:rPr>
          <w:lang w:val="sr-Cyrl-CS"/>
        </w:rPr>
        <w:t>dokaze</w:t>
      </w:r>
      <w:r w:rsidR="00465BE6" w:rsidRPr="00E95BC4">
        <w:rPr>
          <w:lang w:val="sr-Cyrl-CS"/>
        </w:rPr>
        <w:t xml:space="preserve"> </w:t>
      </w:r>
      <w:r>
        <w:rPr>
          <w:lang w:val="sr-Cyrl-CS"/>
        </w:rPr>
        <w:t>potrebne</w:t>
      </w:r>
      <w:r w:rsidR="00465BE6" w:rsidRPr="00E95BC4">
        <w:rPr>
          <w:lang w:val="sr-Cyrl-CS"/>
        </w:rPr>
        <w:t xml:space="preserve"> </w:t>
      </w:r>
      <w:r>
        <w:rPr>
          <w:lang w:val="sr-Cyrl-CS"/>
        </w:rPr>
        <w:t>za</w:t>
      </w:r>
      <w:r w:rsidR="00465BE6" w:rsidRPr="00E95BC4">
        <w:rPr>
          <w:lang w:val="sr-Cyrl-CS"/>
        </w:rPr>
        <w:t xml:space="preserve"> </w:t>
      </w:r>
      <w:r>
        <w:rPr>
          <w:lang w:val="sr-Cyrl-CS"/>
        </w:rPr>
        <w:t>uspešno</w:t>
      </w:r>
      <w:r w:rsidR="00465BE6" w:rsidRPr="00E95BC4">
        <w:rPr>
          <w:lang w:val="sr-Cyrl-CS"/>
        </w:rPr>
        <w:t xml:space="preserve"> </w:t>
      </w:r>
      <w:r>
        <w:rPr>
          <w:lang w:val="sr-Cyrl-CS"/>
        </w:rPr>
        <w:t>krivično</w:t>
      </w:r>
      <w:r w:rsidR="00465BE6" w:rsidRPr="00E95BC4">
        <w:rPr>
          <w:lang w:val="sr-Cyrl-CS"/>
        </w:rPr>
        <w:t xml:space="preserve"> </w:t>
      </w:r>
      <w:r>
        <w:rPr>
          <w:lang w:val="sr-Cyrl-CS"/>
        </w:rPr>
        <w:t>gonjenje</w:t>
      </w:r>
      <w:r w:rsidR="00465BE6" w:rsidRPr="00E95BC4">
        <w:rPr>
          <w:lang w:val="sr-Cyrl-CS"/>
        </w:rPr>
        <w:t>;</w:t>
      </w:r>
    </w:p>
    <w:p w:rsidR="00465BE6" w:rsidRPr="00E95BC4" w:rsidRDefault="005818C0" w:rsidP="00465BE6">
      <w:pPr>
        <w:pStyle w:val="ListParagraph"/>
        <w:numPr>
          <w:ilvl w:val="0"/>
          <w:numId w:val="13"/>
        </w:numPr>
        <w:jc w:val="both"/>
        <w:rPr>
          <w:lang w:val="sr-Cyrl-CS"/>
        </w:rPr>
      </w:pPr>
      <w:r>
        <w:rPr>
          <w:lang w:val="sr-Cyrl-CS"/>
        </w:rPr>
        <w:lastRenderedPageBreak/>
        <w:t>Uspešno</w:t>
      </w:r>
      <w:r w:rsidR="00465BE6" w:rsidRPr="00E95BC4">
        <w:rPr>
          <w:lang w:val="sr-Cyrl-CS"/>
        </w:rPr>
        <w:t xml:space="preserve"> </w:t>
      </w:r>
      <w:r>
        <w:rPr>
          <w:lang w:val="sr-Cyrl-CS"/>
        </w:rPr>
        <w:t>će</w:t>
      </w:r>
      <w:r w:rsidR="00465BE6" w:rsidRPr="00E95BC4">
        <w:rPr>
          <w:lang w:val="sr-Cyrl-CS"/>
        </w:rPr>
        <w:t xml:space="preserve"> </w:t>
      </w:r>
      <w:r>
        <w:rPr>
          <w:lang w:val="sr-Cyrl-CS"/>
        </w:rPr>
        <w:t>se</w:t>
      </w:r>
      <w:r w:rsidR="00465BE6" w:rsidRPr="00E95BC4">
        <w:rPr>
          <w:lang w:val="sr-Cyrl-CS"/>
        </w:rPr>
        <w:t xml:space="preserve"> </w:t>
      </w:r>
      <w:r>
        <w:rPr>
          <w:lang w:val="sr-Cyrl-CS"/>
        </w:rPr>
        <w:t>rešiti</w:t>
      </w:r>
      <w:r w:rsidR="00465BE6" w:rsidRPr="00E95BC4">
        <w:rPr>
          <w:lang w:val="sr-Cyrl-CS"/>
        </w:rPr>
        <w:t xml:space="preserve"> </w:t>
      </w:r>
      <w:r>
        <w:rPr>
          <w:lang w:val="sr-Cyrl-CS"/>
        </w:rPr>
        <w:t>veći</w:t>
      </w:r>
      <w:r w:rsidR="00465BE6" w:rsidRPr="00E95BC4">
        <w:rPr>
          <w:lang w:val="sr-Cyrl-CS"/>
        </w:rPr>
        <w:t xml:space="preserve"> </w:t>
      </w:r>
      <w:r>
        <w:rPr>
          <w:lang w:val="sr-Cyrl-CS"/>
        </w:rPr>
        <w:t>broj</w:t>
      </w:r>
      <w:r w:rsidR="00465BE6" w:rsidRPr="00E95BC4">
        <w:rPr>
          <w:lang w:val="sr-Cyrl-CS"/>
        </w:rPr>
        <w:t xml:space="preserve"> </w:t>
      </w:r>
      <w:r>
        <w:rPr>
          <w:lang w:val="sr-Cyrl-CS"/>
        </w:rPr>
        <w:t>slučajeva</w:t>
      </w:r>
      <w:r w:rsidR="00465BE6" w:rsidRPr="00E95BC4">
        <w:rPr>
          <w:lang w:val="sr-Cyrl-CS"/>
        </w:rPr>
        <w:t xml:space="preserve"> </w:t>
      </w:r>
      <w:r>
        <w:rPr>
          <w:lang w:val="sr-Cyrl-CS"/>
        </w:rPr>
        <w:t>pranja</w:t>
      </w:r>
      <w:r w:rsidR="00465BE6" w:rsidRPr="00E95BC4">
        <w:rPr>
          <w:lang w:val="sr-Cyrl-CS"/>
        </w:rPr>
        <w:t xml:space="preserve"> </w:t>
      </w:r>
      <w:r>
        <w:rPr>
          <w:lang w:val="sr-Cyrl-CS"/>
        </w:rPr>
        <w:t>novca</w:t>
      </w:r>
      <w:r w:rsidR="00465BE6" w:rsidRPr="00E95BC4">
        <w:rPr>
          <w:lang w:val="sr-Cyrl-CS"/>
        </w:rPr>
        <w:t xml:space="preserve">, </w:t>
      </w:r>
      <w:r>
        <w:rPr>
          <w:lang w:val="sr-Cyrl-CS"/>
        </w:rPr>
        <w:t>posebno</w:t>
      </w:r>
      <w:r w:rsidR="00465BE6" w:rsidRPr="00E95BC4">
        <w:rPr>
          <w:lang w:val="sr-Cyrl-CS"/>
        </w:rPr>
        <w:t xml:space="preserve"> </w:t>
      </w:r>
      <w:r>
        <w:rPr>
          <w:lang w:val="sr-Cyrl-CS"/>
        </w:rPr>
        <w:t>i</w:t>
      </w:r>
      <w:r w:rsidR="00465BE6" w:rsidRPr="00E95BC4">
        <w:rPr>
          <w:lang w:val="sr-Cyrl-CS"/>
        </w:rPr>
        <w:t xml:space="preserve"> </w:t>
      </w:r>
      <w:r>
        <w:rPr>
          <w:lang w:val="sr-Cyrl-CS"/>
        </w:rPr>
        <w:t>finansiranja</w:t>
      </w:r>
      <w:r w:rsidR="00465BE6" w:rsidRPr="00E95BC4">
        <w:rPr>
          <w:lang w:val="sr-Cyrl-CS"/>
        </w:rPr>
        <w:t xml:space="preserve"> </w:t>
      </w:r>
      <w:r>
        <w:rPr>
          <w:lang w:val="sr-Cyrl-CS"/>
        </w:rPr>
        <w:t>terorizma</w:t>
      </w:r>
      <w:r w:rsidR="00C642CC" w:rsidRPr="00E95BC4">
        <w:rPr>
          <w:lang w:val="sr-Cyrl-CS"/>
        </w:rPr>
        <w:t xml:space="preserve"> </w:t>
      </w:r>
      <w:r>
        <w:rPr>
          <w:lang w:val="sr-Cyrl-CS"/>
        </w:rPr>
        <w:t>i</w:t>
      </w:r>
      <w:r w:rsidR="00C642CC" w:rsidRPr="00E95BC4">
        <w:rPr>
          <w:lang w:val="sr-Cyrl-CS"/>
        </w:rPr>
        <w:t xml:space="preserve"> </w:t>
      </w:r>
      <w:r>
        <w:rPr>
          <w:lang w:val="sr-Cyrl-CS"/>
        </w:rPr>
        <w:t>obezbediti</w:t>
      </w:r>
      <w:r w:rsidR="00C642CC" w:rsidRPr="00E95BC4">
        <w:rPr>
          <w:lang w:val="sr-Cyrl-CS"/>
        </w:rPr>
        <w:t xml:space="preserve"> </w:t>
      </w:r>
      <w:r>
        <w:rPr>
          <w:lang w:val="sr-Cyrl-CS"/>
        </w:rPr>
        <w:t>da</w:t>
      </w:r>
      <w:r w:rsidR="00C642CC" w:rsidRPr="00E95BC4">
        <w:rPr>
          <w:lang w:val="sr-Cyrl-CS"/>
        </w:rPr>
        <w:t xml:space="preserve"> </w:t>
      </w:r>
      <w:r>
        <w:rPr>
          <w:lang w:val="sr-Cyrl-CS"/>
        </w:rPr>
        <w:t>se</w:t>
      </w:r>
      <w:r w:rsidR="00C642CC" w:rsidRPr="00E95BC4">
        <w:rPr>
          <w:lang w:val="sr-Cyrl-CS"/>
        </w:rPr>
        <w:t xml:space="preserve"> </w:t>
      </w:r>
      <w:r>
        <w:rPr>
          <w:lang w:val="sr-Cyrl-CS"/>
        </w:rPr>
        <w:t>imovina</w:t>
      </w:r>
      <w:r w:rsidR="00C642CC" w:rsidRPr="00E95BC4">
        <w:rPr>
          <w:lang w:val="sr-Cyrl-CS"/>
        </w:rPr>
        <w:t xml:space="preserve"> </w:t>
      </w:r>
      <w:r>
        <w:rPr>
          <w:lang w:val="sr-Cyrl-CS"/>
        </w:rPr>
        <w:t>stečena</w:t>
      </w:r>
      <w:r w:rsidR="00C642CC" w:rsidRPr="00E95BC4">
        <w:rPr>
          <w:lang w:val="sr-Cyrl-CS"/>
        </w:rPr>
        <w:t xml:space="preserve"> </w:t>
      </w:r>
      <w:r>
        <w:rPr>
          <w:lang w:val="sr-Cyrl-CS"/>
        </w:rPr>
        <w:t>krivičnim</w:t>
      </w:r>
      <w:r w:rsidR="00C642CC" w:rsidRPr="00E95BC4">
        <w:rPr>
          <w:lang w:val="sr-Cyrl-CS"/>
        </w:rPr>
        <w:t xml:space="preserve"> </w:t>
      </w:r>
      <w:r>
        <w:rPr>
          <w:lang w:val="sr-Cyrl-CS"/>
        </w:rPr>
        <w:t>delom</w:t>
      </w:r>
      <w:r w:rsidR="00C642CC" w:rsidRPr="00E95BC4">
        <w:rPr>
          <w:lang w:val="sr-Cyrl-CS"/>
        </w:rPr>
        <w:t xml:space="preserve"> </w:t>
      </w:r>
      <w:r>
        <w:rPr>
          <w:lang w:val="sr-Cyrl-CS"/>
        </w:rPr>
        <w:t>ili</w:t>
      </w:r>
      <w:r w:rsidR="00C642CC" w:rsidRPr="00E95BC4">
        <w:rPr>
          <w:lang w:val="sr-Cyrl-CS"/>
        </w:rPr>
        <w:t xml:space="preserve"> </w:t>
      </w:r>
      <w:r>
        <w:rPr>
          <w:lang w:val="sr-Cyrl-CS"/>
        </w:rPr>
        <w:t>namenjena</w:t>
      </w:r>
      <w:r w:rsidR="00465BE6" w:rsidRPr="00E95BC4">
        <w:rPr>
          <w:lang w:val="sr-Cyrl-CS"/>
        </w:rPr>
        <w:t xml:space="preserve"> </w:t>
      </w:r>
      <w:r>
        <w:rPr>
          <w:lang w:val="sr-Cyrl-CS"/>
        </w:rPr>
        <w:t>finansiranju</w:t>
      </w:r>
      <w:r w:rsidR="00465BE6" w:rsidRPr="00E95BC4">
        <w:rPr>
          <w:lang w:val="sr-Cyrl-CS"/>
        </w:rPr>
        <w:t xml:space="preserve"> </w:t>
      </w:r>
      <w:r>
        <w:rPr>
          <w:lang w:val="sr-Cyrl-CS"/>
        </w:rPr>
        <w:t>terorizma</w:t>
      </w:r>
      <w:r w:rsidR="00C642CC" w:rsidRPr="00E95BC4">
        <w:rPr>
          <w:lang w:val="sr-Cyrl-CS"/>
        </w:rPr>
        <w:t xml:space="preserve"> </w:t>
      </w:r>
      <w:r>
        <w:rPr>
          <w:lang w:val="sr-Cyrl-CS"/>
        </w:rPr>
        <w:t>oduzima</w:t>
      </w:r>
      <w:r w:rsidR="00465BE6" w:rsidRPr="00E95BC4">
        <w:rPr>
          <w:lang w:val="sr-Cyrl-CS"/>
        </w:rPr>
        <w:t>;</w:t>
      </w:r>
    </w:p>
    <w:p w:rsidR="00C642CC" w:rsidRPr="00E95BC4" w:rsidRDefault="005818C0" w:rsidP="00465BE6">
      <w:pPr>
        <w:pStyle w:val="ListParagraph"/>
        <w:numPr>
          <w:ilvl w:val="0"/>
          <w:numId w:val="13"/>
        </w:numPr>
        <w:jc w:val="both"/>
        <w:rPr>
          <w:lang w:val="sr-Cyrl-CS"/>
        </w:rPr>
      </w:pPr>
      <w:r>
        <w:rPr>
          <w:lang w:val="sr-Cyrl-CS"/>
        </w:rPr>
        <w:t>Unaprediće</w:t>
      </w:r>
      <w:r w:rsidR="00465BE6" w:rsidRPr="00E95BC4">
        <w:rPr>
          <w:lang w:val="sr-Cyrl-CS"/>
        </w:rPr>
        <w:t xml:space="preserve"> </w:t>
      </w:r>
      <w:r>
        <w:rPr>
          <w:lang w:val="sr-Cyrl-CS"/>
        </w:rPr>
        <w:t>se</w:t>
      </w:r>
      <w:r w:rsidR="00465BE6" w:rsidRPr="00E95BC4">
        <w:rPr>
          <w:lang w:val="sr-Cyrl-CS"/>
        </w:rPr>
        <w:t xml:space="preserve"> </w:t>
      </w:r>
      <w:r>
        <w:rPr>
          <w:lang w:val="sr-Cyrl-CS"/>
        </w:rPr>
        <w:t>brzina</w:t>
      </w:r>
      <w:r w:rsidR="00465BE6" w:rsidRPr="00E95BC4">
        <w:rPr>
          <w:lang w:val="sr-Cyrl-CS"/>
        </w:rPr>
        <w:t xml:space="preserve"> </w:t>
      </w:r>
      <w:r>
        <w:rPr>
          <w:lang w:val="sr-Cyrl-CS"/>
        </w:rPr>
        <w:t>i</w:t>
      </w:r>
      <w:r w:rsidR="00465BE6" w:rsidRPr="00E95BC4">
        <w:rPr>
          <w:lang w:val="sr-Cyrl-CS"/>
        </w:rPr>
        <w:t xml:space="preserve"> </w:t>
      </w:r>
      <w:r>
        <w:rPr>
          <w:lang w:val="sr-Cyrl-CS"/>
        </w:rPr>
        <w:t>učestalost</w:t>
      </w:r>
      <w:r w:rsidR="00465BE6" w:rsidRPr="00E95BC4">
        <w:rPr>
          <w:lang w:val="sr-Cyrl-CS"/>
        </w:rPr>
        <w:t xml:space="preserve"> </w:t>
      </w:r>
      <w:r>
        <w:rPr>
          <w:lang w:val="sr-Cyrl-CS"/>
        </w:rPr>
        <w:t>razmene</w:t>
      </w:r>
      <w:r w:rsidR="00465BE6" w:rsidRPr="00E95BC4">
        <w:rPr>
          <w:lang w:val="sr-Cyrl-CS"/>
        </w:rPr>
        <w:t xml:space="preserve"> </w:t>
      </w:r>
      <w:r>
        <w:rPr>
          <w:lang w:val="sr-Cyrl-CS"/>
        </w:rPr>
        <w:t>informacija</w:t>
      </w:r>
      <w:r w:rsidR="0083281B" w:rsidRPr="00E95BC4">
        <w:rPr>
          <w:lang w:val="sr-Cyrl-CS"/>
        </w:rPr>
        <w:t xml:space="preserve"> </w:t>
      </w:r>
      <w:r>
        <w:rPr>
          <w:lang w:val="sr-Cyrl-CS"/>
        </w:rPr>
        <w:t>i</w:t>
      </w:r>
      <w:r w:rsidR="00465BE6" w:rsidRPr="00E95BC4">
        <w:rPr>
          <w:lang w:val="sr-Cyrl-CS"/>
        </w:rPr>
        <w:t xml:space="preserve"> </w:t>
      </w:r>
      <w:r>
        <w:rPr>
          <w:lang w:val="sr-Cyrl-CS"/>
        </w:rPr>
        <w:t>kvalitet</w:t>
      </w:r>
      <w:r w:rsidR="00465BE6" w:rsidRPr="00E95BC4">
        <w:rPr>
          <w:lang w:val="sr-Cyrl-CS"/>
        </w:rPr>
        <w:t xml:space="preserve"> </w:t>
      </w:r>
      <w:r>
        <w:rPr>
          <w:lang w:val="sr-Cyrl-CS"/>
        </w:rPr>
        <w:t>analiza</w:t>
      </w:r>
      <w:r w:rsidR="00465BE6" w:rsidRPr="00E95BC4">
        <w:rPr>
          <w:lang w:val="sr-Cyrl-CS"/>
        </w:rPr>
        <w:t xml:space="preserve"> </w:t>
      </w:r>
      <w:r>
        <w:rPr>
          <w:lang w:val="sr-Cyrl-CS"/>
        </w:rPr>
        <w:t>u</w:t>
      </w:r>
      <w:r w:rsidR="00465BE6" w:rsidRPr="00E95BC4">
        <w:rPr>
          <w:lang w:val="sr-Cyrl-CS"/>
        </w:rPr>
        <w:t xml:space="preserve"> </w:t>
      </w:r>
      <w:r>
        <w:rPr>
          <w:lang w:val="sr-Cyrl-CS"/>
        </w:rPr>
        <w:t>Upravi</w:t>
      </w:r>
      <w:r w:rsidR="00C642CC" w:rsidRPr="00E95BC4">
        <w:rPr>
          <w:lang w:val="sr-Cyrl-CS"/>
        </w:rPr>
        <w:t xml:space="preserve"> </w:t>
      </w:r>
      <w:r>
        <w:rPr>
          <w:lang w:val="sr-Cyrl-CS"/>
        </w:rPr>
        <w:t>za</w:t>
      </w:r>
      <w:r w:rsidR="00C642CC" w:rsidRPr="00E95BC4">
        <w:rPr>
          <w:lang w:val="sr-Cyrl-CS"/>
        </w:rPr>
        <w:t xml:space="preserve"> </w:t>
      </w:r>
      <w:r>
        <w:rPr>
          <w:lang w:val="sr-Cyrl-CS"/>
        </w:rPr>
        <w:t>sprečavanje</w:t>
      </w:r>
      <w:r w:rsidR="00C642CC" w:rsidRPr="00E95BC4">
        <w:rPr>
          <w:lang w:val="sr-Cyrl-CS"/>
        </w:rPr>
        <w:t xml:space="preserve"> </w:t>
      </w:r>
      <w:r>
        <w:rPr>
          <w:lang w:val="sr-Cyrl-CS"/>
        </w:rPr>
        <w:t>pranja</w:t>
      </w:r>
      <w:r w:rsidR="00C642CC" w:rsidRPr="00E95BC4">
        <w:rPr>
          <w:lang w:val="sr-Cyrl-CS"/>
        </w:rPr>
        <w:t xml:space="preserve"> </w:t>
      </w:r>
      <w:r>
        <w:rPr>
          <w:lang w:val="sr-Cyrl-CS"/>
        </w:rPr>
        <w:t>novca</w:t>
      </w:r>
      <w:r w:rsidR="00465BE6" w:rsidRPr="00E95BC4">
        <w:rPr>
          <w:lang w:val="sr-Cyrl-CS"/>
        </w:rPr>
        <w:t xml:space="preserve"> </w:t>
      </w:r>
      <w:r>
        <w:rPr>
          <w:lang w:val="sr-Cyrl-CS"/>
        </w:rPr>
        <w:t>iz</w:t>
      </w:r>
      <w:r w:rsidR="00465BE6" w:rsidRPr="00E95BC4">
        <w:rPr>
          <w:lang w:val="sr-Cyrl-CS"/>
        </w:rPr>
        <w:t xml:space="preserve"> </w:t>
      </w:r>
      <w:r>
        <w:rPr>
          <w:lang w:val="sr-Cyrl-CS"/>
        </w:rPr>
        <w:t>kojih</w:t>
      </w:r>
      <w:r w:rsidR="00465BE6" w:rsidRPr="00E95BC4">
        <w:rPr>
          <w:lang w:val="sr-Cyrl-CS"/>
        </w:rPr>
        <w:t xml:space="preserve"> </w:t>
      </w:r>
      <w:r>
        <w:rPr>
          <w:lang w:val="sr-Cyrl-CS"/>
        </w:rPr>
        <w:t>će</w:t>
      </w:r>
      <w:r w:rsidR="00465BE6" w:rsidRPr="00E95BC4">
        <w:rPr>
          <w:lang w:val="sr-Cyrl-CS"/>
        </w:rPr>
        <w:t xml:space="preserve"> </w:t>
      </w:r>
      <w:r>
        <w:rPr>
          <w:lang w:val="sr-Cyrl-CS"/>
        </w:rPr>
        <w:t>drugi</w:t>
      </w:r>
      <w:r w:rsidR="00465BE6" w:rsidRPr="00E95BC4">
        <w:rPr>
          <w:lang w:val="sr-Cyrl-CS"/>
        </w:rPr>
        <w:t xml:space="preserve"> </w:t>
      </w:r>
      <w:r>
        <w:rPr>
          <w:lang w:val="sr-Cyrl-CS"/>
        </w:rPr>
        <w:t>nadležni</w:t>
      </w:r>
      <w:r w:rsidR="00465BE6" w:rsidRPr="00E95BC4">
        <w:rPr>
          <w:lang w:val="sr-Cyrl-CS"/>
        </w:rPr>
        <w:t xml:space="preserve"> </w:t>
      </w:r>
      <w:r>
        <w:rPr>
          <w:lang w:val="sr-Cyrl-CS"/>
        </w:rPr>
        <w:t>organi</w:t>
      </w:r>
      <w:r w:rsidR="00465BE6" w:rsidRPr="00E95BC4">
        <w:rPr>
          <w:lang w:val="sr-Cyrl-CS"/>
        </w:rPr>
        <w:t xml:space="preserve"> </w:t>
      </w:r>
      <w:r>
        <w:rPr>
          <w:lang w:val="sr-Cyrl-CS"/>
        </w:rPr>
        <w:t>i</w:t>
      </w:r>
      <w:r w:rsidR="00465BE6" w:rsidRPr="00E95BC4">
        <w:rPr>
          <w:lang w:val="sr-Cyrl-CS"/>
        </w:rPr>
        <w:t xml:space="preserve"> </w:t>
      </w:r>
      <w:r>
        <w:rPr>
          <w:lang w:val="sr-Cyrl-CS"/>
        </w:rPr>
        <w:t>organi</w:t>
      </w:r>
      <w:r w:rsidR="00465BE6" w:rsidRPr="00E95BC4">
        <w:rPr>
          <w:lang w:val="sr-Cyrl-CS"/>
        </w:rPr>
        <w:t xml:space="preserve"> </w:t>
      </w:r>
      <w:r>
        <w:rPr>
          <w:lang w:val="sr-Cyrl-CS"/>
        </w:rPr>
        <w:t>stranih</w:t>
      </w:r>
      <w:r w:rsidR="00465BE6" w:rsidRPr="00E95BC4">
        <w:rPr>
          <w:lang w:val="sr-Cyrl-CS"/>
        </w:rPr>
        <w:t xml:space="preserve"> </w:t>
      </w:r>
      <w:r>
        <w:rPr>
          <w:lang w:val="sr-Cyrl-CS"/>
        </w:rPr>
        <w:t>država</w:t>
      </w:r>
      <w:r w:rsidR="00465BE6" w:rsidRPr="00E95BC4">
        <w:rPr>
          <w:lang w:val="sr-Cyrl-CS"/>
        </w:rPr>
        <w:t xml:space="preserve"> </w:t>
      </w:r>
      <w:r>
        <w:rPr>
          <w:lang w:val="sr-Cyrl-CS"/>
        </w:rPr>
        <w:t>moći</w:t>
      </w:r>
      <w:r w:rsidR="00465BE6" w:rsidRPr="00E95BC4">
        <w:rPr>
          <w:lang w:val="sr-Cyrl-CS"/>
        </w:rPr>
        <w:t xml:space="preserve"> </w:t>
      </w:r>
      <w:r>
        <w:rPr>
          <w:lang w:val="sr-Cyrl-CS"/>
        </w:rPr>
        <w:t>izvlačiti</w:t>
      </w:r>
      <w:r w:rsidR="00465BE6" w:rsidRPr="00E95BC4">
        <w:rPr>
          <w:lang w:val="sr-Cyrl-CS"/>
        </w:rPr>
        <w:t xml:space="preserve"> </w:t>
      </w:r>
      <w:r>
        <w:rPr>
          <w:lang w:val="sr-Cyrl-CS"/>
        </w:rPr>
        <w:t>korisne</w:t>
      </w:r>
      <w:r w:rsidR="00465BE6" w:rsidRPr="00E95BC4">
        <w:rPr>
          <w:lang w:val="sr-Cyrl-CS"/>
        </w:rPr>
        <w:t xml:space="preserve"> </w:t>
      </w:r>
      <w:r>
        <w:rPr>
          <w:lang w:val="sr-Cyrl-CS"/>
        </w:rPr>
        <w:t>informacije</w:t>
      </w:r>
      <w:r w:rsidR="00465BE6" w:rsidRPr="00E95BC4">
        <w:rPr>
          <w:lang w:val="sr-Cyrl-CS"/>
        </w:rPr>
        <w:t xml:space="preserve"> </w:t>
      </w:r>
      <w:r>
        <w:rPr>
          <w:lang w:val="sr-Cyrl-CS"/>
        </w:rPr>
        <w:t>za</w:t>
      </w:r>
      <w:r w:rsidR="00842D2B" w:rsidRPr="00E95BC4">
        <w:rPr>
          <w:lang w:val="sr-Cyrl-CS"/>
        </w:rPr>
        <w:t xml:space="preserve"> </w:t>
      </w:r>
      <w:r>
        <w:rPr>
          <w:lang w:val="sr-Cyrl-CS"/>
        </w:rPr>
        <w:t>postupke</w:t>
      </w:r>
      <w:r w:rsidR="00842D2B" w:rsidRPr="00E95BC4">
        <w:rPr>
          <w:lang w:val="sr-Cyrl-CS"/>
        </w:rPr>
        <w:t xml:space="preserve"> </w:t>
      </w:r>
      <w:r>
        <w:rPr>
          <w:lang w:val="sr-Cyrl-CS"/>
        </w:rPr>
        <w:t>iz</w:t>
      </w:r>
      <w:r w:rsidR="00842D2B" w:rsidRPr="00E95BC4">
        <w:rPr>
          <w:lang w:val="sr-Cyrl-CS"/>
        </w:rPr>
        <w:t xml:space="preserve"> </w:t>
      </w:r>
      <w:r>
        <w:rPr>
          <w:lang w:val="sr-Cyrl-CS"/>
        </w:rPr>
        <w:t>njihove</w:t>
      </w:r>
      <w:r w:rsidR="00842D2B" w:rsidRPr="00E95BC4">
        <w:rPr>
          <w:lang w:val="sr-Cyrl-CS"/>
        </w:rPr>
        <w:t xml:space="preserve"> </w:t>
      </w:r>
      <w:r>
        <w:rPr>
          <w:lang w:val="sr-Cyrl-CS"/>
        </w:rPr>
        <w:t>nadležnosti</w:t>
      </w:r>
      <w:r w:rsidR="00842D2B" w:rsidRPr="00E95BC4">
        <w:rPr>
          <w:lang w:val="sr-Cyrl-CS"/>
        </w:rPr>
        <w:t>;</w:t>
      </w:r>
      <w:r w:rsidR="00465BE6" w:rsidRPr="00E95BC4">
        <w:rPr>
          <w:lang w:val="sr-Cyrl-CS"/>
        </w:rPr>
        <w:t xml:space="preserve"> </w:t>
      </w:r>
    </w:p>
    <w:p w:rsidR="00465BE6" w:rsidRPr="00E95BC4" w:rsidRDefault="005818C0" w:rsidP="00465BE6">
      <w:pPr>
        <w:pStyle w:val="ListParagraph"/>
        <w:numPr>
          <w:ilvl w:val="0"/>
          <w:numId w:val="13"/>
        </w:numPr>
        <w:jc w:val="both"/>
        <w:rPr>
          <w:lang w:val="sr-Cyrl-CS"/>
        </w:rPr>
      </w:pPr>
      <w:r>
        <w:rPr>
          <w:lang w:val="sr-Cyrl-CS"/>
        </w:rPr>
        <w:t>Unapređeno</w:t>
      </w:r>
      <w:r w:rsidR="00C642CC" w:rsidRPr="00E95BC4">
        <w:rPr>
          <w:lang w:val="sr-Cyrl-CS"/>
        </w:rPr>
        <w:t xml:space="preserve"> </w:t>
      </w:r>
      <w:r>
        <w:rPr>
          <w:lang w:val="sr-Cyrl-CS"/>
        </w:rPr>
        <w:t>statističko</w:t>
      </w:r>
      <w:r w:rsidR="00465BE6" w:rsidRPr="00E95BC4">
        <w:rPr>
          <w:lang w:val="sr-Cyrl-CS"/>
        </w:rPr>
        <w:t xml:space="preserve"> </w:t>
      </w:r>
      <w:r>
        <w:rPr>
          <w:lang w:val="sr-Cyrl-CS"/>
        </w:rPr>
        <w:t>praćenje</w:t>
      </w:r>
      <w:r w:rsidR="00465BE6" w:rsidRPr="00E95BC4">
        <w:rPr>
          <w:lang w:val="sr-Cyrl-CS"/>
        </w:rPr>
        <w:t xml:space="preserve"> </w:t>
      </w:r>
      <w:r>
        <w:rPr>
          <w:lang w:val="sr-Cyrl-CS"/>
        </w:rPr>
        <w:t>i</w:t>
      </w:r>
      <w:r w:rsidR="00465BE6" w:rsidRPr="00E95BC4">
        <w:rPr>
          <w:lang w:val="sr-Cyrl-CS"/>
        </w:rPr>
        <w:t xml:space="preserve"> </w:t>
      </w:r>
      <w:r>
        <w:rPr>
          <w:lang w:val="sr-Cyrl-CS"/>
        </w:rPr>
        <w:t>merenje</w:t>
      </w:r>
      <w:r w:rsidR="00465BE6" w:rsidRPr="00E95BC4">
        <w:rPr>
          <w:lang w:val="sr-Cyrl-CS"/>
        </w:rPr>
        <w:t xml:space="preserve"> </w:t>
      </w:r>
      <w:r>
        <w:rPr>
          <w:lang w:val="sr-Cyrl-CS"/>
        </w:rPr>
        <w:t>određenih</w:t>
      </w:r>
      <w:r w:rsidR="00465BE6" w:rsidRPr="00E95BC4">
        <w:rPr>
          <w:lang w:val="sr-Cyrl-CS"/>
        </w:rPr>
        <w:t xml:space="preserve"> </w:t>
      </w:r>
      <w:r>
        <w:rPr>
          <w:lang w:val="sr-Cyrl-CS"/>
        </w:rPr>
        <w:t>elemenata</w:t>
      </w:r>
      <w:r w:rsidR="00465BE6" w:rsidRPr="00E95BC4">
        <w:rPr>
          <w:lang w:val="sr-Cyrl-CS"/>
        </w:rPr>
        <w:t xml:space="preserve"> </w:t>
      </w:r>
      <w:r>
        <w:rPr>
          <w:lang w:val="sr-Cyrl-CS"/>
        </w:rPr>
        <w:t>u</w:t>
      </w:r>
      <w:r w:rsidR="00465BE6" w:rsidRPr="00E95BC4">
        <w:rPr>
          <w:lang w:val="sr-Cyrl-CS"/>
        </w:rPr>
        <w:t xml:space="preserve"> </w:t>
      </w:r>
      <w:r>
        <w:rPr>
          <w:lang w:val="sr-Cyrl-CS"/>
        </w:rPr>
        <w:t>saradnji</w:t>
      </w:r>
      <w:r w:rsidR="00465BE6" w:rsidRPr="00E95BC4">
        <w:rPr>
          <w:lang w:val="sr-Cyrl-CS"/>
        </w:rPr>
        <w:t xml:space="preserve"> </w:t>
      </w:r>
      <w:r>
        <w:rPr>
          <w:lang w:val="sr-Cyrl-CS"/>
        </w:rPr>
        <w:t>i</w:t>
      </w:r>
      <w:r w:rsidR="00465BE6" w:rsidRPr="00E95BC4">
        <w:rPr>
          <w:lang w:val="sr-Cyrl-CS"/>
        </w:rPr>
        <w:t xml:space="preserve"> </w:t>
      </w:r>
      <w:r>
        <w:rPr>
          <w:lang w:val="sr-Cyrl-CS"/>
        </w:rPr>
        <w:t>razmeni</w:t>
      </w:r>
      <w:r w:rsidR="00465BE6" w:rsidRPr="00E95BC4">
        <w:rPr>
          <w:lang w:val="sr-Cyrl-CS"/>
        </w:rPr>
        <w:t xml:space="preserve"> </w:t>
      </w:r>
      <w:r>
        <w:rPr>
          <w:lang w:val="sr-Cyrl-CS"/>
        </w:rPr>
        <w:t>informacija</w:t>
      </w:r>
      <w:r w:rsidR="00465BE6" w:rsidRPr="00E95BC4">
        <w:rPr>
          <w:lang w:val="sr-Cyrl-CS"/>
        </w:rPr>
        <w:t xml:space="preserve"> </w:t>
      </w:r>
      <w:r>
        <w:rPr>
          <w:lang w:val="sr-Cyrl-CS"/>
        </w:rPr>
        <w:t>omogućiće</w:t>
      </w:r>
      <w:r w:rsidR="00465BE6" w:rsidRPr="00E95BC4">
        <w:rPr>
          <w:lang w:val="sr-Cyrl-CS"/>
        </w:rPr>
        <w:t xml:space="preserve"> </w:t>
      </w:r>
      <w:r>
        <w:rPr>
          <w:lang w:val="sr-Cyrl-CS"/>
        </w:rPr>
        <w:t>bolje</w:t>
      </w:r>
      <w:r w:rsidR="00465BE6" w:rsidRPr="00E95BC4">
        <w:rPr>
          <w:lang w:val="sr-Cyrl-CS"/>
        </w:rPr>
        <w:t xml:space="preserve"> </w:t>
      </w:r>
      <w:r>
        <w:rPr>
          <w:lang w:val="sr-Cyrl-CS"/>
        </w:rPr>
        <w:t>razumevanje</w:t>
      </w:r>
      <w:r w:rsidR="00465BE6" w:rsidRPr="00E95BC4">
        <w:rPr>
          <w:lang w:val="sr-Cyrl-CS"/>
        </w:rPr>
        <w:t xml:space="preserve"> </w:t>
      </w:r>
      <w:r>
        <w:rPr>
          <w:lang w:val="sr-Cyrl-CS"/>
        </w:rPr>
        <w:t>kvaliteta</w:t>
      </w:r>
      <w:r w:rsidR="00465BE6" w:rsidRPr="00E95BC4">
        <w:rPr>
          <w:lang w:val="sr-Cyrl-CS"/>
        </w:rPr>
        <w:t xml:space="preserve"> </w:t>
      </w:r>
      <w:r>
        <w:rPr>
          <w:lang w:val="sr-Cyrl-CS"/>
        </w:rPr>
        <w:t>i</w:t>
      </w:r>
      <w:r w:rsidR="00465BE6" w:rsidRPr="00E95BC4">
        <w:rPr>
          <w:lang w:val="sr-Cyrl-CS"/>
        </w:rPr>
        <w:t xml:space="preserve"> </w:t>
      </w:r>
      <w:r>
        <w:rPr>
          <w:lang w:val="sr-Cyrl-CS"/>
        </w:rPr>
        <w:t>trendova</w:t>
      </w:r>
      <w:r w:rsidR="00465BE6" w:rsidRPr="00E95BC4">
        <w:rPr>
          <w:lang w:val="sr-Cyrl-CS"/>
        </w:rPr>
        <w:t xml:space="preserve"> </w:t>
      </w:r>
      <w:r>
        <w:rPr>
          <w:lang w:val="sr-Cyrl-CS"/>
        </w:rPr>
        <w:t>u</w:t>
      </w:r>
      <w:r w:rsidR="00465BE6" w:rsidRPr="00E95BC4">
        <w:rPr>
          <w:lang w:val="sr-Cyrl-CS"/>
        </w:rPr>
        <w:t xml:space="preserve"> </w:t>
      </w:r>
      <w:r>
        <w:rPr>
          <w:lang w:val="sr-Cyrl-CS"/>
        </w:rPr>
        <w:t>saradnji</w:t>
      </w:r>
      <w:r w:rsidR="00465BE6" w:rsidRPr="00E95BC4">
        <w:rPr>
          <w:lang w:val="sr-Cyrl-CS"/>
        </w:rPr>
        <w:t xml:space="preserve"> </w:t>
      </w:r>
      <w:r>
        <w:rPr>
          <w:lang w:val="sr-Cyrl-CS"/>
        </w:rPr>
        <w:t>i</w:t>
      </w:r>
      <w:r w:rsidR="00465BE6" w:rsidRPr="00E95BC4">
        <w:rPr>
          <w:lang w:val="sr-Cyrl-CS"/>
        </w:rPr>
        <w:t xml:space="preserve"> </w:t>
      </w:r>
      <w:r>
        <w:rPr>
          <w:lang w:val="sr-Cyrl-CS"/>
        </w:rPr>
        <w:t>odgovarajuće</w:t>
      </w:r>
      <w:r w:rsidR="00465BE6" w:rsidRPr="00E95BC4">
        <w:rPr>
          <w:lang w:val="sr-Cyrl-CS"/>
        </w:rPr>
        <w:t xml:space="preserve"> </w:t>
      </w:r>
      <w:r>
        <w:rPr>
          <w:lang w:val="sr-Cyrl-CS"/>
        </w:rPr>
        <w:t>korigovanje</w:t>
      </w:r>
      <w:r w:rsidR="00465BE6" w:rsidRPr="00E95BC4">
        <w:rPr>
          <w:lang w:val="sr-Cyrl-CS"/>
        </w:rPr>
        <w:t xml:space="preserve"> </w:t>
      </w:r>
      <w:r>
        <w:rPr>
          <w:lang w:val="sr-Cyrl-CS"/>
        </w:rPr>
        <w:t>mehanizama</w:t>
      </w:r>
      <w:r w:rsidR="00465BE6" w:rsidRPr="00E95BC4">
        <w:rPr>
          <w:lang w:val="sr-Cyrl-CS"/>
        </w:rPr>
        <w:t xml:space="preserve"> </w:t>
      </w:r>
      <w:r>
        <w:rPr>
          <w:lang w:val="sr-Cyrl-CS"/>
        </w:rPr>
        <w:t>saradnje</w:t>
      </w:r>
      <w:r w:rsidR="00465BE6" w:rsidRPr="00E95BC4">
        <w:rPr>
          <w:lang w:val="sr-Cyrl-CS"/>
        </w:rPr>
        <w:t>;</w:t>
      </w:r>
    </w:p>
    <w:p w:rsidR="00465BE6" w:rsidRPr="00E95BC4" w:rsidRDefault="005818C0" w:rsidP="00465BE6">
      <w:pPr>
        <w:pStyle w:val="ListParagraph"/>
        <w:numPr>
          <w:ilvl w:val="0"/>
          <w:numId w:val="13"/>
        </w:numPr>
        <w:jc w:val="both"/>
        <w:rPr>
          <w:lang w:val="sr-Cyrl-CS"/>
        </w:rPr>
      </w:pPr>
      <w:r>
        <w:rPr>
          <w:lang w:val="sr-Cyrl-CS"/>
        </w:rPr>
        <w:t>Učesnici</w:t>
      </w:r>
      <w:r w:rsidR="00465BE6" w:rsidRPr="00E95BC4">
        <w:rPr>
          <w:lang w:val="sr-Cyrl-CS"/>
        </w:rPr>
        <w:t xml:space="preserve"> </w:t>
      </w:r>
      <w:r>
        <w:rPr>
          <w:lang w:val="sr-Cyrl-CS"/>
        </w:rPr>
        <w:t>u</w:t>
      </w:r>
      <w:r w:rsidR="00465BE6" w:rsidRPr="00E95BC4">
        <w:rPr>
          <w:lang w:val="sr-Cyrl-CS"/>
        </w:rPr>
        <w:t xml:space="preserve"> </w:t>
      </w:r>
      <w:r>
        <w:rPr>
          <w:lang w:val="sr-Cyrl-CS"/>
        </w:rPr>
        <w:t>sistemu</w:t>
      </w:r>
      <w:r w:rsidR="00465BE6" w:rsidRPr="00E95BC4">
        <w:rPr>
          <w:lang w:val="sr-Cyrl-CS"/>
        </w:rPr>
        <w:t xml:space="preserve"> </w:t>
      </w:r>
      <w:r>
        <w:rPr>
          <w:lang w:val="sr-Cyrl-CS"/>
        </w:rPr>
        <w:t>će</w:t>
      </w:r>
      <w:r w:rsidR="00465BE6" w:rsidRPr="00E95BC4">
        <w:rPr>
          <w:lang w:val="sr-Cyrl-CS"/>
        </w:rPr>
        <w:t xml:space="preserve"> </w:t>
      </w:r>
      <w:r>
        <w:rPr>
          <w:lang w:val="sr-Cyrl-CS"/>
        </w:rPr>
        <w:t>koristiti</w:t>
      </w:r>
      <w:r w:rsidR="00465BE6" w:rsidRPr="00E95BC4">
        <w:rPr>
          <w:lang w:val="sr-Cyrl-CS"/>
        </w:rPr>
        <w:t xml:space="preserve"> </w:t>
      </w:r>
      <w:r>
        <w:rPr>
          <w:lang w:val="sr-Cyrl-CS"/>
        </w:rPr>
        <w:t>stečena</w:t>
      </w:r>
      <w:r w:rsidR="00465BE6" w:rsidRPr="00E95BC4">
        <w:rPr>
          <w:lang w:val="sr-Cyrl-CS"/>
        </w:rPr>
        <w:t xml:space="preserve"> </w:t>
      </w:r>
      <w:r>
        <w:rPr>
          <w:lang w:val="sr-Cyrl-CS"/>
        </w:rPr>
        <w:t>znanja</w:t>
      </w:r>
      <w:r w:rsidR="00465BE6" w:rsidRPr="00E95BC4">
        <w:rPr>
          <w:lang w:val="sr-Cyrl-CS"/>
        </w:rPr>
        <w:t xml:space="preserve"> </w:t>
      </w:r>
      <w:r>
        <w:rPr>
          <w:lang w:val="sr-Cyrl-CS"/>
        </w:rPr>
        <w:t>i</w:t>
      </w:r>
      <w:r w:rsidR="00465BE6" w:rsidRPr="00E95BC4">
        <w:rPr>
          <w:lang w:val="sr-Cyrl-CS"/>
        </w:rPr>
        <w:t xml:space="preserve"> </w:t>
      </w:r>
      <w:r>
        <w:rPr>
          <w:lang w:val="sr-Cyrl-CS"/>
        </w:rPr>
        <w:t>veštine</w:t>
      </w:r>
      <w:r w:rsidR="00465BE6" w:rsidRPr="00E95BC4">
        <w:rPr>
          <w:lang w:val="sr-Cyrl-CS"/>
        </w:rPr>
        <w:t xml:space="preserve"> </w:t>
      </w:r>
      <w:r>
        <w:rPr>
          <w:lang w:val="sr-Cyrl-CS"/>
        </w:rPr>
        <w:t>u</w:t>
      </w:r>
      <w:r w:rsidR="00465BE6" w:rsidRPr="00E95BC4">
        <w:rPr>
          <w:lang w:val="sr-Cyrl-CS"/>
        </w:rPr>
        <w:t xml:space="preserve"> </w:t>
      </w:r>
      <w:r>
        <w:rPr>
          <w:lang w:val="sr-Cyrl-CS"/>
        </w:rPr>
        <w:t>cilju</w:t>
      </w:r>
      <w:r w:rsidR="00465BE6" w:rsidRPr="00E95BC4">
        <w:rPr>
          <w:lang w:val="sr-Cyrl-CS"/>
        </w:rPr>
        <w:t xml:space="preserve"> </w:t>
      </w:r>
      <w:r>
        <w:rPr>
          <w:lang w:val="sr-Cyrl-CS"/>
        </w:rPr>
        <w:t>delotvornog</w:t>
      </w:r>
      <w:r w:rsidR="00465BE6" w:rsidRPr="00E95BC4">
        <w:rPr>
          <w:lang w:val="sr-Cyrl-CS"/>
        </w:rPr>
        <w:t xml:space="preserve"> </w:t>
      </w:r>
      <w:r>
        <w:rPr>
          <w:lang w:val="sr-Cyrl-CS"/>
        </w:rPr>
        <w:t>i</w:t>
      </w:r>
      <w:r w:rsidR="00465BE6" w:rsidRPr="00E95BC4">
        <w:rPr>
          <w:lang w:val="sr-Cyrl-CS"/>
        </w:rPr>
        <w:t xml:space="preserve"> </w:t>
      </w:r>
      <w:r>
        <w:rPr>
          <w:lang w:val="sr-Cyrl-CS"/>
        </w:rPr>
        <w:t>efikasnog</w:t>
      </w:r>
      <w:r w:rsidR="00465BE6" w:rsidRPr="00E95BC4">
        <w:rPr>
          <w:lang w:val="sr-Cyrl-CS"/>
        </w:rPr>
        <w:t xml:space="preserve"> </w:t>
      </w:r>
      <w:r>
        <w:rPr>
          <w:lang w:val="sr-Cyrl-CS"/>
        </w:rPr>
        <w:t>angažovanja</w:t>
      </w:r>
      <w:r w:rsidR="00465BE6" w:rsidRPr="00E95BC4">
        <w:rPr>
          <w:lang w:val="sr-Cyrl-CS"/>
        </w:rPr>
        <w:t xml:space="preserve"> </w:t>
      </w:r>
      <w:r>
        <w:rPr>
          <w:lang w:val="sr-Cyrl-CS"/>
        </w:rPr>
        <w:t>u</w:t>
      </w:r>
      <w:r w:rsidR="00465BE6" w:rsidRPr="00E95BC4">
        <w:rPr>
          <w:lang w:val="sr-Cyrl-CS"/>
        </w:rPr>
        <w:t xml:space="preserve"> </w:t>
      </w:r>
      <w:r>
        <w:rPr>
          <w:lang w:val="sr-Cyrl-CS"/>
        </w:rPr>
        <w:t>preventivnom</w:t>
      </w:r>
      <w:r w:rsidR="00465BE6" w:rsidRPr="00E95BC4">
        <w:rPr>
          <w:lang w:val="sr-Cyrl-CS"/>
        </w:rPr>
        <w:t xml:space="preserve"> </w:t>
      </w:r>
      <w:r>
        <w:rPr>
          <w:lang w:val="sr-Cyrl-CS"/>
        </w:rPr>
        <w:t>i</w:t>
      </w:r>
      <w:r w:rsidR="00465BE6" w:rsidRPr="00E95BC4">
        <w:rPr>
          <w:lang w:val="sr-Cyrl-CS"/>
        </w:rPr>
        <w:t xml:space="preserve"> </w:t>
      </w:r>
      <w:r>
        <w:rPr>
          <w:lang w:val="sr-Cyrl-CS"/>
        </w:rPr>
        <w:t>represivnom</w:t>
      </w:r>
      <w:r w:rsidR="00465BE6" w:rsidRPr="00E95BC4">
        <w:rPr>
          <w:lang w:val="sr-Cyrl-CS"/>
        </w:rPr>
        <w:t xml:space="preserve"> </w:t>
      </w:r>
      <w:r>
        <w:rPr>
          <w:lang w:val="sr-Cyrl-CS"/>
        </w:rPr>
        <w:t>delu</w:t>
      </w:r>
      <w:r w:rsidR="00465BE6" w:rsidRPr="00E95BC4">
        <w:rPr>
          <w:lang w:val="sr-Cyrl-CS"/>
        </w:rPr>
        <w:t xml:space="preserve"> </w:t>
      </w:r>
      <w:r>
        <w:rPr>
          <w:lang w:val="sr-Cyrl-CS"/>
        </w:rPr>
        <w:t>sistema</w:t>
      </w:r>
      <w:r w:rsidR="00465BE6" w:rsidRPr="00E95BC4">
        <w:rPr>
          <w:lang w:val="sr-Cyrl-CS"/>
        </w:rPr>
        <w:t xml:space="preserve"> </w:t>
      </w:r>
      <w:r>
        <w:rPr>
          <w:lang w:val="sr-Cyrl-CS"/>
        </w:rPr>
        <w:t>za</w:t>
      </w:r>
      <w:r w:rsidR="00465BE6" w:rsidRPr="00E95BC4">
        <w:rPr>
          <w:lang w:val="sr-Cyrl-CS"/>
        </w:rPr>
        <w:t xml:space="preserve"> </w:t>
      </w:r>
      <w:r>
        <w:rPr>
          <w:lang w:val="sr-Cyrl-CS"/>
        </w:rPr>
        <w:t>borbu</w:t>
      </w:r>
      <w:r w:rsidR="00465BE6" w:rsidRPr="00E95BC4">
        <w:rPr>
          <w:lang w:val="sr-Cyrl-CS"/>
        </w:rPr>
        <w:t xml:space="preserve"> </w:t>
      </w:r>
      <w:r>
        <w:rPr>
          <w:lang w:val="sr-Cyrl-CS"/>
        </w:rPr>
        <w:t>protiv</w:t>
      </w:r>
      <w:r w:rsidR="00465BE6" w:rsidRPr="00E95BC4">
        <w:rPr>
          <w:lang w:val="sr-Cyrl-CS"/>
        </w:rPr>
        <w:t xml:space="preserve"> </w:t>
      </w:r>
      <w:r>
        <w:rPr>
          <w:lang w:val="sr-Cyrl-CS"/>
        </w:rPr>
        <w:t>pranja</w:t>
      </w:r>
      <w:r w:rsidR="00465BE6" w:rsidRPr="00E95BC4">
        <w:rPr>
          <w:lang w:val="sr-Cyrl-CS"/>
        </w:rPr>
        <w:t xml:space="preserve"> </w:t>
      </w:r>
      <w:r>
        <w:rPr>
          <w:lang w:val="sr-Cyrl-CS"/>
        </w:rPr>
        <w:t>novca</w:t>
      </w:r>
      <w:r w:rsidR="00465BE6" w:rsidRPr="00E95BC4">
        <w:rPr>
          <w:lang w:val="sr-Cyrl-CS"/>
        </w:rPr>
        <w:t xml:space="preserve"> </w:t>
      </w:r>
      <w:r>
        <w:rPr>
          <w:lang w:val="sr-Cyrl-CS"/>
        </w:rPr>
        <w:t>i</w:t>
      </w:r>
      <w:r w:rsidR="00465BE6" w:rsidRPr="00E95BC4">
        <w:rPr>
          <w:lang w:val="sr-Cyrl-CS"/>
        </w:rPr>
        <w:t xml:space="preserve"> </w:t>
      </w:r>
      <w:r>
        <w:rPr>
          <w:lang w:val="sr-Cyrl-CS"/>
        </w:rPr>
        <w:t>finansiranja</w:t>
      </w:r>
      <w:r w:rsidR="00465BE6" w:rsidRPr="00E95BC4">
        <w:rPr>
          <w:lang w:val="sr-Cyrl-CS"/>
        </w:rPr>
        <w:t xml:space="preserve"> </w:t>
      </w:r>
      <w:r>
        <w:rPr>
          <w:lang w:val="sr-Cyrl-CS"/>
        </w:rPr>
        <w:t>terorizma</w:t>
      </w:r>
      <w:r w:rsidR="00465BE6" w:rsidRPr="00E95BC4">
        <w:rPr>
          <w:lang w:val="sr-Cyrl-CS"/>
        </w:rPr>
        <w:t>;</w:t>
      </w:r>
    </w:p>
    <w:p w:rsidR="00465BE6" w:rsidRPr="00E95BC4" w:rsidRDefault="005818C0" w:rsidP="00465BE6">
      <w:pPr>
        <w:pStyle w:val="ListParagraph"/>
        <w:numPr>
          <w:ilvl w:val="0"/>
          <w:numId w:val="13"/>
        </w:numPr>
        <w:jc w:val="both"/>
        <w:rPr>
          <w:lang w:val="sr-Cyrl-CS"/>
        </w:rPr>
      </w:pPr>
      <w:r>
        <w:rPr>
          <w:lang w:val="sr-Cyrl-CS"/>
        </w:rPr>
        <w:t>Aktivna</w:t>
      </w:r>
      <w:r w:rsidR="00465BE6" w:rsidRPr="00E95BC4">
        <w:rPr>
          <w:lang w:val="sr-Cyrl-CS"/>
        </w:rPr>
        <w:t xml:space="preserve"> </w:t>
      </w:r>
      <w:r>
        <w:rPr>
          <w:lang w:val="sr-Cyrl-CS"/>
        </w:rPr>
        <w:t>saradnja</w:t>
      </w:r>
      <w:r w:rsidR="00465BE6" w:rsidRPr="00E95BC4">
        <w:rPr>
          <w:lang w:val="sr-Cyrl-CS"/>
        </w:rPr>
        <w:t xml:space="preserve"> </w:t>
      </w:r>
      <w:r>
        <w:rPr>
          <w:lang w:val="sr-Cyrl-CS"/>
        </w:rPr>
        <w:t>javnog</w:t>
      </w:r>
      <w:r w:rsidR="00465BE6" w:rsidRPr="00E95BC4">
        <w:rPr>
          <w:lang w:val="sr-Cyrl-CS"/>
        </w:rPr>
        <w:t xml:space="preserve"> </w:t>
      </w:r>
      <w:r>
        <w:rPr>
          <w:lang w:val="sr-Cyrl-CS"/>
        </w:rPr>
        <w:t>i</w:t>
      </w:r>
      <w:r w:rsidR="00465BE6" w:rsidRPr="00E95BC4">
        <w:rPr>
          <w:lang w:val="sr-Cyrl-CS"/>
        </w:rPr>
        <w:t xml:space="preserve"> </w:t>
      </w:r>
      <w:r>
        <w:rPr>
          <w:lang w:val="sr-Cyrl-CS"/>
        </w:rPr>
        <w:t>privatnog</w:t>
      </w:r>
      <w:r w:rsidR="00465BE6" w:rsidRPr="00E95BC4">
        <w:rPr>
          <w:lang w:val="sr-Cyrl-CS"/>
        </w:rPr>
        <w:t xml:space="preserve"> </w:t>
      </w:r>
      <w:r>
        <w:rPr>
          <w:lang w:val="sr-Cyrl-CS"/>
        </w:rPr>
        <w:t>sektora</w:t>
      </w:r>
      <w:r w:rsidR="00465BE6" w:rsidRPr="00E95BC4">
        <w:rPr>
          <w:lang w:val="sr-Cyrl-CS"/>
        </w:rPr>
        <w:t xml:space="preserve"> </w:t>
      </w:r>
      <w:r>
        <w:rPr>
          <w:lang w:val="sr-Cyrl-CS"/>
        </w:rPr>
        <w:t>u</w:t>
      </w:r>
      <w:r w:rsidR="00465BE6" w:rsidRPr="00E95BC4">
        <w:rPr>
          <w:lang w:val="sr-Cyrl-CS"/>
        </w:rPr>
        <w:t xml:space="preserve"> </w:t>
      </w:r>
      <w:r>
        <w:rPr>
          <w:lang w:val="sr-Cyrl-CS"/>
        </w:rPr>
        <w:t>realizaciji</w:t>
      </w:r>
      <w:r w:rsidR="00465BE6" w:rsidRPr="00E95BC4">
        <w:rPr>
          <w:lang w:val="sr-Cyrl-CS"/>
        </w:rPr>
        <w:t xml:space="preserve"> </w:t>
      </w:r>
      <w:r>
        <w:rPr>
          <w:lang w:val="sr-Cyrl-CS"/>
        </w:rPr>
        <w:t>strateških</w:t>
      </w:r>
      <w:r w:rsidR="00465BE6" w:rsidRPr="00E95BC4">
        <w:rPr>
          <w:lang w:val="sr-Cyrl-CS"/>
        </w:rPr>
        <w:t xml:space="preserve"> </w:t>
      </w:r>
      <w:r>
        <w:rPr>
          <w:lang w:val="sr-Cyrl-CS"/>
        </w:rPr>
        <w:t>ciljeva</w:t>
      </w:r>
      <w:r w:rsidR="00465BE6" w:rsidRPr="00E95BC4">
        <w:rPr>
          <w:lang w:val="sr-Cyrl-CS"/>
        </w:rPr>
        <w:t xml:space="preserve"> </w:t>
      </w:r>
      <w:r>
        <w:rPr>
          <w:lang w:val="sr-Cyrl-CS"/>
        </w:rPr>
        <w:t>i</w:t>
      </w:r>
      <w:r w:rsidR="00465BE6" w:rsidRPr="00E95BC4">
        <w:rPr>
          <w:lang w:val="sr-Cyrl-CS"/>
        </w:rPr>
        <w:t xml:space="preserve"> </w:t>
      </w:r>
      <w:r>
        <w:rPr>
          <w:lang w:val="sr-Cyrl-CS"/>
        </w:rPr>
        <w:t>zaštiti</w:t>
      </w:r>
      <w:r w:rsidR="00465BE6" w:rsidRPr="00E95BC4">
        <w:rPr>
          <w:lang w:val="sr-Cyrl-CS"/>
        </w:rPr>
        <w:t xml:space="preserve"> </w:t>
      </w:r>
      <w:r>
        <w:rPr>
          <w:lang w:val="sr-Cyrl-CS"/>
        </w:rPr>
        <w:t>finansijskog</w:t>
      </w:r>
      <w:r w:rsidR="00465BE6" w:rsidRPr="00E95BC4">
        <w:rPr>
          <w:lang w:val="sr-Cyrl-CS"/>
        </w:rPr>
        <w:t xml:space="preserve"> </w:t>
      </w:r>
      <w:r>
        <w:rPr>
          <w:lang w:val="sr-Cyrl-CS"/>
        </w:rPr>
        <w:t>i</w:t>
      </w:r>
      <w:r w:rsidR="00465BE6" w:rsidRPr="00E95BC4">
        <w:rPr>
          <w:lang w:val="sr-Cyrl-CS"/>
        </w:rPr>
        <w:t xml:space="preserve"> </w:t>
      </w:r>
      <w:r>
        <w:rPr>
          <w:lang w:val="sr-Cyrl-CS"/>
        </w:rPr>
        <w:t>drugih</w:t>
      </w:r>
      <w:r w:rsidR="00465BE6" w:rsidRPr="00E95BC4">
        <w:rPr>
          <w:lang w:val="sr-Cyrl-CS"/>
        </w:rPr>
        <w:t xml:space="preserve"> </w:t>
      </w:r>
      <w:r>
        <w:rPr>
          <w:lang w:val="sr-Cyrl-CS"/>
        </w:rPr>
        <w:t>sektora</w:t>
      </w:r>
      <w:r w:rsidR="00465BE6" w:rsidRPr="00E95BC4">
        <w:rPr>
          <w:lang w:val="sr-Cyrl-CS"/>
        </w:rPr>
        <w:t xml:space="preserve"> </w:t>
      </w:r>
      <w:r>
        <w:rPr>
          <w:lang w:val="sr-Cyrl-CS"/>
        </w:rPr>
        <w:t>od</w:t>
      </w:r>
      <w:r w:rsidR="00465BE6" w:rsidRPr="00E95BC4">
        <w:rPr>
          <w:lang w:val="sr-Cyrl-CS"/>
        </w:rPr>
        <w:t xml:space="preserve"> </w:t>
      </w:r>
      <w:r>
        <w:rPr>
          <w:lang w:val="sr-Cyrl-CS"/>
        </w:rPr>
        <w:t>pretnji</w:t>
      </w:r>
      <w:r w:rsidR="00465BE6" w:rsidRPr="00E95BC4">
        <w:rPr>
          <w:lang w:val="sr-Cyrl-CS"/>
        </w:rPr>
        <w:t xml:space="preserve"> </w:t>
      </w:r>
      <w:r>
        <w:rPr>
          <w:lang w:val="sr-Cyrl-CS"/>
        </w:rPr>
        <w:t>od</w:t>
      </w:r>
      <w:r w:rsidR="00465BE6" w:rsidRPr="00E95BC4">
        <w:rPr>
          <w:lang w:val="sr-Cyrl-CS"/>
        </w:rPr>
        <w:t xml:space="preserve"> </w:t>
      </w:r>
      <w:r>
        <w:rPr>
          <w:lang w:val="sr-Cyrl-CS"/>
        </w:rPr>
        <w:t>pranja</w:t>
      </w:r>
      <w:r w:rsidR="00465BE6" w:rsidRPr="00E95BC4">
        <w:rPr>
          <w:lang w:val="sr-Cyrl-CS"/>
        </w:rPr>
        <w:t xml:space="preserve"> </w:t>
      </w:r>
      <w:r>
        <w:rPr>
          <w:lang w:val="sr-Cyrl-CS"/>
        </w:rPr>
        <w:t>novca</w:t>
      </w:r>
      <w:r w:rsidR="00465BE6" w:rsidRPr="00E95BC4">
        <w:rPr>
          <w:lang w:val="sr-Cyrl-CS"/>
        </w:rPr>
        <w:t xml:space="preserve"> </w:t>
      </w:r>
      <w:r>
        <w:rPr>
          <w:lang w:val="sr-Cyrl-CS"/>
        </w:rPr>
        <w:t>i</w:t>
      </w:r>
      <w:r w:rsidR="00465BE6" w:rsidRPr="00E95BC4">
        <w:rPr>
          <w:lang w:val="sr-Cyrl-CS"/>
        </w:rPr>
        <w:t xml:space="preserve"> </w:t>
      </w:r>
      <w:r>
        <w:rPr>
          <w:lang w:val="sr-Cyrl-CS"/>
        </w:rPr>
        <w:t>finansiranja</w:t>
      </w:r>
      <w:r w:rsidR="00465BE6" w:rsidRPr="00E95BC4">
        <w:rPr>
          <w:lang w:val="sr-Cyrl-CS"/>
        </w:rPr>
        <w:t xml:space="preserve"> </w:t>
      </w:r>
      <w:r>
        <w:rPr>
          <w:lang w:val="sr-Cyrl-CS"/>
        </w:rPr>
        <w:t>terorizma</w:t>
      </w:r>
      <w:r w:rsidR="00465BE6" w:rsidRPr="00E95BC4">
        <w:rPr>
          <w:lang w:val="sr-Cyrl-CS"/>
        </w:rPr>
        <w:t xml:space="preserve"> </w:t>
      </w:r>
      <w:r>
        <w:rPr>
          <w:lang w:val="sr-Cyrl-CS"/>
        </w:rPr>
        <w:t>razvijaće</w:t>
      </w:r>
      <w:r w:rsidR="00465BE6" w:rsidRPr="00E95BC4">
        <w:rPr>
          <w:lang w:val="sr-Cyrl-CS"/>
        </w:rPr>
        <w:t xml:space="preserve"> </w:t>
      </w:r>
      <w:r>
        <w:rPr>
          <w:lang w:val="sr-Cyrl-CS"/>
        </w:rPr>
        <w:t>se</w:t>
      </w:r>
      <w:r w:rsidR="00465BE6" w:rsidRPr="00E95BC4">
        <w:rPr>
          <w:lang w:val="sr-Cyrl-CS"/>
        </w:rPr>
        <w:t xml:space="preserve"> </w:t>
      </w:r>
      <w:r>
        <w:rPr>
          <w:lang w:val="sr-Cyrl-CS"/>
        </w:rPr>
        <w:t>i</w:t>
      </w:r>
      <w:r w:rsidR="00465BE6" w:rsidRPr="00E95BC4">
        <w:rPr>
          <w:lang w:val="sr-Cyrl-CS"/>
        </w:rPr>
        <w:t xml:space="preserve"> </w:t>
      </w:r>
      <w:r>
        <w:rPr>
          <w:lang w:val="sr-Cyrl-CS"/>
        </w:rPr>
        <w:t>unapređivati</w:t>
      </w:r>
      <w:r w:rsidR="00465BE6" w:rsidRPr="00E95BC4">
        <w:rPr>
          <w:lang w:val="sr-Cyrl-CS"/>
        </w:rPr>
        <w:t>;</w:t>
      </w:r>
    </w:p>
    <w:p w:rsidR="00465BE6" w:rsidRPr="00E95BC4" w:rsidRDefault="005818C0" w:rsidP="00465BE6">
      <w:pPr>
        <w:pStyle w:val="ListParagraph"/>
        <w:numPr>
          <w:ilvl w:val="0"/>
          <w:numId w:val="13"/>
        </w:numPr>
        <w:jc w:val="both"/>
        <w:rPr>
          <w:lang w:val="sr-Cyrl-CS"/>
        </w:rPr>
      </w:pPr>
      <w:r>
        <w:rPr>
          <w:lang w:val="sr-Cyrl-CS"/>
        </w:rPr>
        <w:t>Unaprediće</w:t>
      </w:r>
      <w:r w:rsidR="00465BE6" w:rsidRPr="00E95BC4">
        <w:rPr>
          <w:lang w:val="sr-Cyrl-CS"/>
        </w:rPr>
        <w:t xml:space="preserve"> </w:t>
      </w:r>
      <w:r>
        <w:rPr>
          <w:lang w:val="sr-Cyrl-CS"/>
        </w:rPr>
        <w:t>se</w:t>
      </w:r>
      <w:r w:rsidR="00465BE6" w:rsidRPr="00E95BC4">
        <w:rPr>
          <w:lang w:val="sr-Cyrl-CS"/>
        </w:rPr>
        <w:t xml:space="preserve"> </w:t>
      </w:r>
      <w:r>
        <w:rPr>
          <w:lang w:val="sr-Cyrl-CS"/>
        </w:rPr>
        <w:t>rad</w:t>
      </w:r>
      <w:r w:rsidR="003F4F08" w:rsidRPr="00E95BC4">
        <w:rPr>
          <w:lang w:val="sr-Cyrl-CS"/>
        </w:rPr>
        <w:t xml:space="preserve"> </w:t>
      </w:r>
      <w:r>
        <w:rPr>
          <w:lang w:val="sr-Cyrl-CS"/>
        </w:rPr>
        <w:t>sa</w:t>
      </w:r>
      <w:r w:rsidR="003F4F08" w:rsidRPr="00E95BC4">
        <w:rPr>
          <w:lang w:val="sr-Cyrl-CS"/>
        </w:rPr>
        <w:t xml:space="preserve"> </w:t>
      </w:r>
      <w:r>
        <w:rPr>
          <w:lang w:val="sr-Cyrl-CS"/>
        </w:rPr>
        <w:t>neprofitnim</w:t>
      </w:r>
      <w:r w:rsidR="003F4F08" w:rsidRPr="00E95BC4">
        <w:rPr>
          <w:lang w:val="sr-Cyrl-CS"/>
        </w:rPr>
        <w:t xml:space="preserve"> </w:t>
      </w:r>
      <w:r>
        <w:rPr>
          <w:lang w:val="sr-Cyrl-CS"/>
        </w:rPr>
        <w:t>sektorom</w:t>
      </w:r>
      <w:r w:rsidR="00C642CC" w:rsidRPr="00E95BC4">
        <w:rPr>
          <w:lang w:val="sr-Cyrl-CS"/>
        </w:rPr>
        <w:t xml:space="preserve"> </w:t>
      </w:r>
      <w:r>
        <w:rPr>
          <w:lang w:val="sr-Cyrl-CS"/>
        </w:rPr>
        <w:t>radi</w:t>
      </w:r>
      <w:r w:rsidR="00C642CC" w:rsidRPr="00E95BC4">
        <w:rPr>
          <w:lang w:val="sr-Cyrl-CS"/>
        </w:rPr>
        <w:t xml:space="preserve"> </w:t>
      </w:r>
      <w:r>
        <w:rPr>
          <w:lang w:val="sr-Cyrl-CS"/>
        </w:rPr>
        <w:t>zaštite</w:t>
      </w:r>
      <w:r w:rsidR="00C642CC" w:rsidRPr="00E95BC4">
        <w:rPr>
          <w:lang w:val="sr-Cyrl-CS"/>
        </w:rPr>
        <w:t xml:space="preserve"> </w:t>
      </w:r>
      <w:r>
        <w:rPr>
          <w:lang w:val="sr-Cyrl-CS"/>
        </w:rPr>
        <w:t>tog</w:t>
      </w:r>
      <w:r w:rsidR="00C642CC" w:rsidRPr="00E95BC4">
        <w:rPr>
          <w:lang w:val="sr-Cyrl-CS"/>
        </w:rPr>
        <w:t xml:space="preserve"> </w:t>
      </w:r>
      <w:r>
        <w:rPr>
          <w:lang w:val="sr-Cyrl-CS"/>
        </w:rPr>
        <w:t>sektora</w:t>
      </w:r>
      <w:r w:rsidR="00C642CC" w:rsidRPr="00E95BC4">
        <w:rPr>
          <w:lang w:val="sr-Cyrl-CS"/>
        </w:rPr>
        <w:t xml:space="preserve"> </w:t>
      </w:r>
      <w:r>
        <w:rPr>
          <w:lang w:val="sr-Cyrl-CS"/>
        </w:rPr>
        <w:t>od</w:t>
      </w:r>
      <w:r w:rsidR="00C642CC" w:rsidRPr="00E95BC4">
        <w:rPr>
          <w:lang w:val="sr-Cyrl-CS"/>
        </w:rPr>
        <w:t xml:space="preserve"> </w:t>
      </w:r>
      <w:r>
        <w:rPr>
          <w:lang w:val="sr-Cyrl-CS"/>
        </w:rPr>
        <w:t>mogućnosti</w:t>
      </w:r>
      <w:r w:rsidR="00C642CC" w:rsidRPr="00E95BC4">
        <w:rPr>
          <w:lang w:val="sr-Cyrl-CS"/>
        </w:rPr>
        <w:t xml:space="preserve"> </w:t>
      </w:r>
      <w:r>
        <w:rPr>
          <w:lang w:val="sr-Cyrl-CS"/>
        </w:rPr>
        <w:t>zloupotrebe</w:t>
      </w:r>
      <w:r w:rsidR="0083281B" w:rsidRPr="00E95BC4">
        <w:rPr>
          <w:lang w:val="sr-Cyrl-CS"/>
        </w:rPr>
        <w:t xml:space="preserve"> </w:t>
      </w:r>
      <w:r>
        <w:rPr>
          <w:lang w:val="sr-Cyrl-CS"/>
        </w:rPr>
        <w:t>za</w:t>
      </w:r>
      <w:r w:rsidR="0083281B" w:rsidRPr="00E95BC4">
        <w:rPr>
          <w:lang w:val="sr-Cyrl-CS"/>
        </w:rPr>
        <w:t xml:space="preserve"> </w:t>
      </w:r>
      <w:r>
        <w:rPr>
          <w:lang w:val="sr-Cyrl-CS"/>
        </w:rPr>
        <w:t>finansiranje</w:t>
      </w:r>
      <w:r w:rsidR="0083281B" w:rsidRPr="00E95BC4">
        <w:rPr>
          <w:lang w:val="sr-Cyrl-CS"/>
        </w:rPr>
        <w:t xml:space="preserve"> </w:t>
      </w:r>
      <w:r>
        <w:rPr>
          <w:lang w:val="sr-Cyrl-CS"/>
        </w:rPr>
        <w:t>terorizma</w:t>
      </w:r>
      <w:r w:rsidR="0083281B" w:rsidRPr="00E95BC4">
        <w:rPr>
          <w:lang w:val="sr-Cyrl-CS"/>
        </w:rPr>
        <w:t>.</w:t>
      </w:r>
    </w:p>
    <w:p w:rsidR="001B60B1" w:rsidRPr="00E95BC4" w:rsidRDefault="001B60B1" w:rsidP="00285FD7">
      <w:pPr>
        <w:tabs>
          <w:tab w:val="left" w:pos="990"/>
        </w:tabs>
        <w:jc w:val="both"/>
        <w:rPr>
          <w:lang w:val="sr-Cyrl-CS"/>
        </w:rPr>
      </w:pPr>
    </w:p>
    <w:p w:rsidR="00B150CA" w:rsidRPr="00E95BC4" w:rsidRDefault="005818C0" w:rsidP="00285FD7">
      <w:pPr>
        <w:pStyle w:val="Heading1"/>
        <w:spacing w:before="0"/>
        <w:ind w:firstLine="720"/>
        <w:rPr>
          <w:rFonts w:ascii="Times New Roman" w:hAnsi="Times New Roman" w:cs="Times New Roman"/>
          <w:color w:val="auto"/>
          <w:sz w:val="24"/>
          <w:szCs w:val="24"/>
          <w:lang w:val="sr-Cyrl-CS"/>
        </w:rPr>
      </w:pPr>
      <w:bookmarkStart w:id="10" w:name="_Toc32409899"/>
      <w:r>
        <w:rPr>
          <w:rFonts w:ascii="Times New Roman" w:hAnsi="Times New Roman" w:cs="Times New Roman"/>
          <w:color w:val="auto"/>
          <w:sz w:val="24"/>
          <w:szCs w:val="24"/>
          <w:lang w:val="sr-Cyrl-CS"/>
        </w:rPr>
        <w:t>Mehanizam</w:t>
      </w:r>
      <w:r w:rsidR="00842D2B" w:rsidRPr="00E95BC4">
        <w:rPr>
          <w:rFonts w:ascii="Times New Roman" w:hAnsi="Times New Roman" w:cs="Times New Roman"/>
          <w:color w:val="auto"/>
          <w:sz w:val="24"/>
          <w:szCs w:val="24"/>
          <w:lang w:val="sr-Cyrl-CS"/>
        </w:rPr>
        <w:t xml:space="preserve"> </w:t>
      </w:r>
      <w:r>
        <w:rPr>
          <w:rFonts w:ascii="Times New Roman" w:hAnsi="Times New Roman" w:cs="Times New Roman"/>
          <w:color w:val="auto"/>
          <w:sz w:val="24"/>
          <w:szCs w:val="24"/>
          <w:lang w:val="sr-Cyrl-CS"/>
        </w:rPr>
        <w:t>za</w:t>
      </w:r>
      <w:r w:rsidR="00842D2B" w:rsidRPr="00E95BC4">
        <w:rPr>
          <w:rFonts w:ascii="Times New Roman" w:hAnsi="Times New Roman" w:cs="Times New Roman"/>
          <w:color w:val="auto"/>
          <w:sz w:val="24"/>
          <w:szCs w:val="24"/>
          <w:lang w:val="sr-Cyrl-CS"/>
        </w:rPr>
        <w:t xml:space="preserve"> </w:t>
      </w:r>
      <w:r>
        <w:rPr>
          <w:rFonts w:ascii="Times New Roman" w:hAnsi="Times New Roman" w:cs="Times New Roman"/>
          <w:color w:val="auto"/>
          <w:sz w:val="24"/>
          <w:szCs w:val="24"/>
          <w:lang w:val="sr-Cyrl-CS"/>
        </w:rPr>
        <w:t>sprovođenje</w:t>
      </w:r>
      <w:r w:rsidR="00842D2B" w:rsidRPr="00E95BC4">
        <w:rPr>
          <w:rFonts w:ascii="Times New Roman" w:hAnsi="Times New Roman" w:cs="Times New Roman"/>
          <w:color w:val="auto"/>
          <w:sz w:val="24"/>
          <w:szCs w:val="24"/>
          <w:lang w:val="sr-Cyrl-CS"/>
        </w:rPr>
        <w:t xml:space="preserve"> </w:t>
      </w:r>
      <w:r>
        <w:rPr>
          <w:rFonts w:ascii="Times New Roman" w:hAnsi="Times New Roman" w:cs="Times New Roman"/>
          <w:color w:val="auto"/>
          <w:sz w:val="24"/>
          <w:szCs w:val="24"/>
          <w:lang w:val="sr-Cyrl-CS"/>
        </w:rPr>
        <w:t>Strategije</w:t>
      </w:r>
      <w:r w:rsidR="00B150CA" w:rsidRPr="00E95BC4">
        <w:rPr>
          <w:rFonts w:ascii="Times New Roman" w:hAnsi="Times New Roman" w:cs="Times New Roman"/>
          <w:color w:val="auto"/>
          <w:sz w:val="24"/>
          <w:szCs w:val="24"/>
          <w:lang w:val="sr-Cyrl-CS"/>
        </w:rPr>
        <w:t xml:space="preserve"> </w:t>
      </w:r>
      <w:r>
        <w:rPr>
          <w:rFonts w:ascii="Times New Roman" w:hAnsi="Times New Roman" w:cs="Times New Roman"/>
          <w:color w:val="auto"/>
          <w:sz w:val="24"/>
          <w:szCs w:val="24"/>
          <w:lang w:val="sr-Cyrl-CS"/>
        </w:rPr>
        <w:t>i</w:t>
      </w:r>
      <w:r w:rsidR="00B150CA" w:rsidRPr="00E95BC4">
        <w:rPr>
          <w:rFonts w:ascii="Times New Roman" w:hAnsi="Times New Roman" w:cs="Times New Roman"/>
          <w:color w:val="auto"/>
          <w:sz w:val="24"/>
          <w:szCs w:val="24"/>
          <w:lang w:val="sr-Cyrl-CS"/>
        </w:rPr>
        <w:t xml:space="preserve"> </w:t>
      </w:r>
      <w:r>
        <w:rPr>
          <w:rFonts w:ascii="Times New Roman" w:hAnsi="Times New Roman" w:cs="Times New Roman"/>
          <w:color w:val="auto"/>
          <w:sz w:val="24"/>
          <w:szCs w:val="24"/>
          <w:lang w:val="sr-Cyrl-CS"/>
        </w:rPr>
        <w:t>način</w:t>
      </w:r>
      <w:r w:rsidR="00B150CA" w:rsidRPr="00E95BC4">
        <w:rPr>
          <w:rFonts w:ascii="Times New Roman" w:hAnsi="Times New Roman" w:cs="Times New Roman"/>
          <w:color w:val="auto"/>
          <w:sz w:val="24"/>
          <w:szCs w:val="24"/>
          <w:lang w:val="sr-Cyrl-CS"/>
        </w:rPr>
        <w:t xml:space="preserve"> </w:t>
      </w:r>
      <w:r>
        <w:rPr>
          <w:rFonts w:ascii="Times New Roman" w:hAnsi="Times New Roman" w:cs="Times New Roman"/>
          <w:color w:val="auto"/>
          <w:sz w:val="24"/>
          <w:szCs w:val="24"/>
          <w:lang w:val="sr-Cyrl-CS"/>
        </w:rPr>
        <w:t>izveštavanja</w:t>
      </w:r>
      <w:r w:rsidR="00B150CA" w:rsidRPr="00E95BC4">
        <w:rPr>
          <w:rFonts w:ascii="Times New Roman" w:hAnsi="Times New Roman" w:cs="Times New Roman"/>
          <w:color w:val="auto"/>
          <w:sz w:val="24"/>
          <w:szCs w:val="24"/>
          <w:lang w:val="sr-Cyrl-CS"/>
        </w:rPr>
        <w:t xml:space="preserve"> </w:t>
      </w:r>
      <w:r>
        <w:rPr>
          <w:rFonts w:ascii="Times New Roman" w:hAnsi="Times New Roman" w:cs="Times New Roman"/>
          <w:color w:val="auto"/>
          <w:sz w:val="24"/>
          <w:szCs w:val="24"/>
          <w:lang w:val="sr-Cyrl-CS"/>
        </w:rPr>
        <w:t>o</w:t>
      </w:r>
      <w:r w:rsidR="00B150CA" w:rsidRPr="00E95BC4">
        <w:rPr>
          <w:rFonts w:ascii="Times New Roman" w:hAnsi="Times New Roman" w:cs="Times New Roman"/>
          <w:color w:val="auto"/>
          <w:sz w:val="24"/>
          <w:szCs w:val="24"/>
          <w:lang w:val="sr-Cyrl-CS"/>
        </w:rPr>
        <w:t xml:space="preserve"> </w:t>
      </w:r>
      <w:r>
        <w:rPr>
          <w:rFonts w:ascii="Times New Roman" w:hAnsi="Times New Roman" w:cs="Times New Roman"/>
          <w:color w:val="auto"/>
          <w:sz w:val="24"/>
          <w:szCs w:val="24"/>
          <w:lang w:val="sr-Cyrl-CS"/>
        </w:rPr>
        <w:t>rezultatima</w:t>
      </w:r>
      <w:r w:rsidR="00B150CA" w:rsidRPr="00E95BC4">
        <w:rPr>
          <w:rFonts w:ascii="Times New Roman" w:hAnsi="Times New Roman" w:cs="Times New Roman"/>
          <w:color w:val="auto"/>
          <w:sz w:val="24"/>
          <w:szCs w:val="24"/>
          <w:lang w:val="sr-Cyrl-CS"/>
        </w:rPr>
        <w:t xml:space="preserve"> </w:t>
      </w:r>
      <w:r>
        <w:rPr>
          <w:rFonts w:ascii="Times New Roman" w:hAnsi="Times New Roman" w:cs="Times New Roman"/>
          <w:color w:val="auto"/>
          <w:sz w:val="24"/>
          <w:szCs w:val="24"/>
          <w:lang w:val="sr-Cyrl-CS"/>
        </w:rPr>
        <w:t>sprovođenja</w:t>
      </w:r>
      <w:bookmarkEnd w:id="10"/>
      <w:r w:rsidR="00B150CA" w:rsidRPr="00E95BC4">
        <w:rPr>
          <w:rFonts w:ascii="Times New Roman" w:hAnsi="Times New Roman" w:cs="Times New Roman"/>
          <w:color w:val="auto"/>
          <w:sz w:val="24"/>
          <w:szCs w:val="24"/>
          <w:lang w:val="sr-Cyrl-CS"/>
        </w:rPr>
        <w:t xml:space="preserve"> </w:t>
      </w:r>
    </w:p>
    <w:p w:rsidR="0004492D" w:rsidRPr="00E95BC4" w:rsidRDefault="0004492D" w:rsidP="00285FD7">
      <w:pPr>
        <w:ind w:firstLine="720"/>
        <w:jc w:val="both"/>
        <w:rPr>
          <w:b/>
          <w:lang w:val="sr-Cyrl-CS"/>
        </w:rPr>
      </w:pPr>
    </w:p>
    <w:p w:rsidR="00791D60" w:rsidRPr="00E95BC4" w:rsidRDefault="005818C0" w:rsidP="00345049">
      <w:pPr>
        <w:ind w:firstLine="720"/>
        <w:jc w:val="both"/>
        <w:rPr>
          <w:lang w:val="sr-Cyrl-CS"/>
        </w:rPr>
      </w:pPr>
      <w:r>
        <w:rPr>
          <w:b/>
          <w:lang w:val="sr-Cyrl-CS"/>
        </w:rPr>
        <w:t>Akcioni</w:t>
      </w:r>
      <w:r w:rsidR="00345049" w:rsidRPr="00E95BC4">
        <w:rPr>
          <w:b/>
          <w:lang w:val="sr-Cyrl-CS"/>
        </w:rPr>
        <w:t xml:space="preserve"> </w:t>
      </w:r>
      <w:r>
        <w:rPr>
          <w:b/>
          <w:lang w:val="sr-Cyrl-CS"/>
        </w:rPr>
        <w:t>plan</w:t>
      </w:r>
      <w:r w:rsidR="00842D2B" w:rsidRPr="00E95BC4">
        <w:rPr>
          <w:b/>
          <w:lang w:val="sr-Cyrl-CS"/>
        </w:rPr>
        <w:t xml:space="preserve"> </w:t>
      </w:r>
      <w:r>
        <w:rPr>
          <w:b/>
          <w:color w:val="auto"/>
          <w:lang w:val="sr-Cyrl-CS"/>
        </w:rPr>
        <w:t>za</w:t>
      </w:r>
      <w:r w:rsidR="00842D2B" w:rsidRPr="00E95BC4">
        <w:rPr>
          <w:b/>
          <w:color w:val="auto"/>
          <w:lang w:val="sr-Cyrl-CS"/>
        </w:rPr>
        <w:t xml:space="preserve"> </w:t>
      </w:r>
      <w:r>
        <w:rPr>
          <w:b/>
          <w:color w:val="auto"/>
          <w:lang w:val="sr-Cyrl-CS"/>
        </w:rPr>
        <w:t>sprovođenje</w:t>
      </w:r>
      <w:r w:rsidR="00842D2B" w:rsidRPr="00E95BC4">
        <w:rPr>
          <w:b/>
          <w:color w:val="auto"/>
          <w:lang w:val="sr-Cyrl-CS"/>
        </w:rPr>
        <w:t xml:space="preserve"> </w:t>
      </w:r>
      <w:r>
        <w:rPr>
          <w:b/>
          <w:color w:val="auto"/>
          <w:lang w:val="sr-Cyrl-CS"/>
        </w:rPr>
        <w:t>Strategije</w:t>
      </w:r>
      <w:r w:rsidR="00842D2B" w:rsidRPr="00E95BC4">
        <w:rPr>
          <w:b/>
          <w:color w:val="auto"/>
          <w:lang w:val="sr-Cyrl-CS"/>
        </w:rPr>
        <w:t xml:space="preserve"> </w:t>
      </w:r>
      <w:r>
        <w:rPr>
          <w:b/>
          <w:color w:val="auto"/>
          <w:lang w:val="sr-Cyrl-CS"/>
        </w:rPr>
        <w:t>za</w:t>
      </w:r>
      <w:r w:rsidR="00842D2B" w:rsidRPr="00E95BC4">
        <w:rPr>
          <w:b/>
          <w:color w:val="auto"/>
          <w:lang w:val="sr-Cyrl-CS"/>
        </w:rPr>
        <w:t xml:space="preserve"> </w:t>
      </w:r>
      <w:r>
        <w:rPr>
          <w:b/>
          <w:color w:val="auto"/>
          <w:lang w:val="sr-Cyrl-CS"/>
        </w:rPr>
        <w:t>borbu</w:t>
      </w:r>
      <w:r w:rsidR="00842D2B" w:rsidRPr="00E95BC4">
        <w:rPr>
          <w:b/>
          <w:color w:val="auto"/>
          <w:lang w:val="sr-Cyrl-CS"/>
        </w:rPr>
        <w:t xml:space="preserve"> </w:t>
      </w:r>
      <w:r>
        <w:rPr>
          <w:b/>
          <w:color w:val="auto"/>
          <w:lang w:val="sr-Cyrl-CS"/>
        </w:rPr>
        <w:t>protiv</w:t>
      </w:r>
      <w:r w:rsidR="00842D2B" w:rsidRPr="00E95BC4">
        <w:rPr>
          <w:b/>
          <w:color w:val="auto"/>
          <w:lang w:val="sr-Cyrl-CS"/>
        </w:rPr>
        <w:t xml:space="preserve"> </w:t>
      </w:r>
      <w:r>
        <w:rPr>
          <w:b/>
          <w:color w:val="auto"/>
          <w:lang w:val="sr-Cyrl-CS"/>
        </w:rPr>
        <w:t>pranja</w:t>
      </w:r>
      <w:r w:rsidR="00842D2B" w:rsidRPr="00E95BC4">
        <w:rPr>
          <w:b/>
          <w:color w:val="auto"/>
          <w:lang w:val="sr-Cyrl-CS"/>
        </w:rPr>
        <w:t xml:space="preserve"> </w:t>
      </w:r>
      <w:r>
        <w:rPr>
          <w:b/>
          <w:color w:val="auto"/>
          <w:lang w:val="sr-Cyrl-CS"/>
        </w:rPr>
        <w:t>novca</w:t>
      </w:r>
      <w:r w:rsidR="00842D2B" w:rsidRPr="00E95BC4">
        <w:rPr>
          <w:b/>
          <w:color w:val="auto"/>
          <w:lang w:val="sr-Cyrl-CS"/>
        </w:rPr>
        <w:t xml:space="preserve"> </w:t>
      </w:r>
      <w:r>
        <w:rPr>
          <w:b/>
          <w:color w:val="auto"/>
          <w:lang w:val="sr-Cyrl-CS"/>
        </w:rPr>
        <w:t>i</w:t>
      </w:r>
      <w:r w:rsidR="00842D2B" w:rsidRPr="00E95BC4">
        <w:rPr>
          <w:b/>
          <w:color w:val="auto"/>
          <w:lang w:val="sr-Cyrl-CS"/>
        </w:rPr>
        <w:t xml:space="preserve"> </w:t>
      </w:r>
      <w:r>
        <w:rPr>
          <w:b/>
          <w:color w:val="auto"/>
          <w:lang w:val="sr-Cyrl-CS"/>
        </w:rPr>
        <w:t>finansiranja</w:t>
      </w:r>
      <w:r w:rsidR="00842D2B" w:rsidRPr="00E95BC4">
        <w:rPr>
          <w:b/>
          <w:color w:val="auto"/>
          <w:lang w:val="sr-Cyrl-CS"/>
        </w:rPr>
        <w:t xml:space="preserve"> </w:t>
      </w:r>
      <w:r>
        <w:rPr>
          <w:b/>
          <w:color w:val="auto"/>
          <w:lang w:val="sr-Cyrl-CS"/>
        </w:rPr>
        <w:t>terorizma</w:t>
      </w:r>
      <w:r w:rsidR="00842D2B" w:rsidRPr="00E95BC4">
        <w:rPr>
          <w:b/>
          <w:color w:val="auto"/>
          <w:lang w:val="sr-Cyrl-CS"/>
        </w:rPr>
        <w:t xml:space="preserve"> </w:t>
      </w:r>
      <w:r>
        <w:rPr>
          <w:b/>
          <w:color w:val="auto"/>
          <w:lang w:val="sr-Cyrl-CS"/>
        </w:rPr>
        <w:t>za</w:t>
      </w:r>
      <w:r w:rsidR="00842D2B" w:rsidRPr="00E95BC4">
        <w:rPr>
          <w:b/>
          <w:color w:val="auto"/>
          <w:lang w:val="sr-Cyrl-CS"/>
        </w:rPr>
        <w:t xml:space="preserve"> </w:t>
      </w:r>
      <w:r>
        <w:rPr>
          <w:b/>
          <w:color w:val="auto"/>
          <w:lang w:val="sr-Cyrl-CS"/>
        </w:rPr>
        <w:t>period</w:t>
      </w:r>
      <w:r w:rsidR="00842D2B" w:rsidRPr="00E95BC4">
        <w:rPr>
          <w:b/>
          <w:color w:val="auto"/>
          <w:lang w:val="sr-Cyrl-CS"/>
        </w:rPr>
        <w:t xml:space="preserve"> </w:t>
      </w:r>
      <w:r w:rsidR="005414D3" w:rsidRPr="00E95BC4">
        <w:rPr>
          <w:b/>
          <w:color w:val="auto"/>
          <w:lang w:val="sr-Cyrl-CS"/>
        </w:rPr>
        <w:t>2020-2024</w:t>
      </w:r>
      <w:r w:rsidR="0084093B">
        <w:rPr>
          <w:b/>
          <w:color w:val="auto"/>
          <w:lang w:val="sr-Cyrl-CS"/>
        </w:rPr>
        <w:t xml:space="preserve">. </w:t>
      </w:r>
      <w:r>
        <w:rPr>
          <w:b/>
          <w:color w:val="auto"/>
          <w:lang w:val="sr-Cyrl-CS"/>
        </w:rPr>
        <w:t>godine</w:t>
      </w:r>
      <w:r w:rsidR="00345049" w:rsidRPr="00E95BC4">
        <w:rPr>
          <w:b/>
          <w:lang w:val="sr-Cyrl-CS"/>
        </w:rPr>
        <w:t xml:space="preserve"> (2020-2022)</w:t>
      </w:r>
      <w:r w:rsidR="005414D3" w:rsidRPr="00E95BC4">
        <w:rPr>
          <w:b/>
          <w:lang w:val="sr-Cyrl-CS"/>
        </w:rPr>
        <w:t xml:space="preserve"> </w:t>
      </w:r>
      <w:r w:rsidR="005414D3" w:rsidRPr="00E95BC4">
        <w:rPr>
          <w:lang w:val="sr-Cyrl-CS"/>
        </w:rPr>
        <w:t>–</w:t>
      </w:r>
      <w:r w:rsidR="005414D3" w:rsidRPr="00E95BC4">
        <w:rPr>
          <w:b/>
          <w:lang w:val="sr-Cyrl-CS"/>
        </w:rPr>
        <w:t xml:space="preserve"> </w:t>
      </w:r>
      <w:r>
        <w:rPr>
          <w:lang w:val="sr-Cyrl-CS"/>
        </w:rPr>
        <w:t>u</w:t>
      </w:r>
      <w:r w:rsidR="005414D3" w:rsidRPr="00E95BC4">
        <w:rPr>
          <w:lang w:val="sr-Cyrl-CS"/>
        </w:rPr>
        <w:t xml:space="preserve"> </w:t>
      </w:r>
      <w:r>
        <w:rPr>
          <w:lang w:val="sr-Cyrl-CS"/>
        </w:rPr>
        <w:t>daljem</w:t>
      </w:r>
      <w:r w:rsidR="005414D3" w:rsidRPr="00E95BC4">
        <w:rPr>
          <w:lang w:val="sr-Cyrl-CS"/>
        </w:rPr>
        <w:t xml:space="preserve"> </w:t>
      </w:r>
      <w:r>
        <w:rPr>
          <w:lang w:val="sr-Cyrl-CS"/>
        </w:rPr>
        <w:t>tekstu</w:t>
      </w:r>
      <w:r w:rsidR="005414D3" w:rsidRPr="00E95BC4">
        <w:rPr>
          <w:lang w:val="sr-Cyrl-CS"/>
        </w:rPr>
        <w:t xml:space="preserve">: </w:t>
      </w:r>
      <w:r>
        <w:rPr>
          <w:lang w:val="sr-Cyrl-CS"/>
        </w:rPr>
        <w:t>Akcioni</w:t>
      </w:r>
      <w:r w:rsidR="005414D3" w:rsidRPr="00E95BC4">
        <w:rPr>
          <w:lang w:val="sr-Cyrl-CS"/>
        </w:rPr>
        <w:t xml:space="preserve"> </w:t>
      </w:r>
      <w:r>
        <w:rPr>
          <w:lang w:val="sr-Cyrl-CS"/>
        </w:rPr>
        <w:t>plan</w:t>
      </w:r>
      <w:r w:rsidR="00345049" w:rsidRPr="00E95BC4">
        <w:rPr>
          <w:lang w:val="sr-Cyrl-CS"/>
        </w:rPr>
        <w:t>.</w:t>
      </w:r>
      <w:r w:rsidR="00345049" w:rsidRPr="00E95BC4">
        <w:rPr>
          <w:b/>
          <w:lang w:val="sr-Cyrl-CS"/>
        </w:rPr>
        <w:t xml:space="preserve"> </w:t>
      </w:r>
      <w:r>
        <w:rPr>
          <w:lang w:val="sr-Cyrl-CS"/>
        </w:rPr>
        <w:t>Ciljevi</w:t>
      </w:r>
      <w:r w:rsidR="00791D60" w:rsidRPr="00E95BC4">
        <w:rPr>
          <w:lang w:val="sr-Cyrl-CS"/>
        </w:rPr>
        <w:t xml:space="preserve"> </w:t>
      </w:r>
      <w:r>
        <w:rPr>
          <w:lang w:val="sr-Cyrl-CS"/>
        </w:rPr>
        <w:t>Strategije</w:t>
      </w:r>
      <w:r w:rsidR="00791D60" w:rsidRPr="00E95BC4">
        <w:rPr>
          <w:lang w:val="sr-Cyrl-CS"/>
        </w:rPr>
        <w:t xml:space="preserve"> </w:t>
      </w:r>
      <w:r>
        <w:rPr>
          <w:lang w:val="sr-Cyrl-CS"/>
        </w:rPr>
        <w:t>razrađeni</w:t>
      </w:r>
      <w:r w:rsidR="00791D60" w:rsidRPr="00E95BC4">
        <w:rPr>
          <w:lang w:val="sr-Cyrl-CS"/>
        </w:rPr>
        <w:t xml:space="preserve"> </w:t>
      </w:r>
      <w:r>
        <w:rPr>
          <w:lang w:val="sr-Cyrl-CS"/>
        </w:rPr>
        <w:t>su</w:t>
      </w:r>
      <w:r w:rsidR="00791D60" w:rsidRPr="00E95BC4">
        <w:rPr>
          <w:lang w:val="sr-Cyrl-CS"/>
        </w:rPr>
        <w:t xml:space="preserve"> </w:t>
      </w:r>
      <w:r>
        <w:rPr>
          <w:lang w:val="sr-Cyrl-CS"/>
        </w:rPr>
        <w:t>kroz</w:t>
      </w:r>
      <w:r w:rsidR="00791D60" w:rsidRPr="00E95BC4">
        <w:rPr>
          <w:lang w:val="sr-Cyrl-CS"/>
        </w:rPr>
        <w:t xml:space="preserve"> </w:t>
      </w:r>
      <w:r>
        <w:rPr>
          <w:lang w:val="sr-Cyrl-CS"/>
        </w:rPr>
        <w:t>mere</w:t>
      </w:r>
      <w:r w:rsidR="00791D60" w:rsidRPr="00E95BC4">
        <w:rPr>
          <w:lang w:val="sr-Cyrl-CS"/>
        </w:rPr>
        <w:t xml:space="preserve"> </w:t>
      </w:r>
      <w:r>
        <w:rPr>
          <w:lang w:val="sr-Cyrl-CS"/>
        </w:rPr>
        <w:t>i</w:t>
      </w:r>
      <w:r w:rsidR="00791D60" w:rsidRPr="00E95BC4">
        <w:rPr>
          <w:lang w:val="sr-Cyrl-CS"/>
        </w:rPr>
        <w:t xml:space="preserve"> </w:t>
      </w:r>
      <w:r>
        <w:rPr>
          <w:lang w:val="sr-Cyrl-CS"/>
        </w:rPr>
        <w:t>aktivnosti</w:t>
      </w:r>
      <w:r w:rsidR="00791D60" w:rsidRPr="00E95BC4">
        <w:rPr>
          <w:lang w:val="sr-Cyrl-CS"/>
        </w:rPr>
        <w:t xml:space="preserve"> </w:t>
      </w:r>
      <w:r>
        <w:rPr>
          <w:lang w:val="sr-Cyrl-CS"/>
        </w:rPr>
        <w:t>sadržane</w:t>
      </w:r>
      <w:r w:rsidR="00791D60" w:rsidRPr="00E95BC4">
        <w:rPr>
          <w:lang w:val="sr-Cyrl-CS"/>
        </w:rPr>
        <w:t xml:space="preserve"> </w:t>
      </w:r>
      <w:r>
        <w:rPr>
          <w:lang w:val="sr-Cyrl-CS"/>
        </w:rPr>
        <w:t>u</w:t>
      </w:r>
      <w:r w:rsidR="00791D60" w:rsidRPr="00E95BC4">
        <w:rPr>
          <w:lang w:val="sr-Cyrl-CS"/>
        </w:rPr>
        <w:t xml:space="preserve"> </w:t>
      </w:r>
      <w:r>
        <w:rPr>
          <w:lang w:val="sr-Cyrl-CS"/>
        </w:rPr>
        <w:t>Akcionom</w:t>
      </w:r>
      <w:r w:rsidR="00791D60" w:rsidRPr="00E95BC4">
        <w:rPr>
          <w:lang w:val="sr-Cyrl-CS"/>
        </w:rPr>
        <w:t xml:space="preserve"> </w:t>
      </w:r>
      <w:r>
        <w:rPr>
          <w:lang w:val="sr-Cyrl-CS"/>
        </w:rPr>
        <w:t>planu</w:t>
      </w:r>
      <w:r w:rsidR="00791D60" w:rsidRPr="00E95BC4">
        <w:rPr>
          <w:lang w:val="sr-Cyrl-CS"/>
        </w:rPr>
        <w:t xml:space="preserve"> </w:t>
      </w:r>
      <w:r>
        <w:rPr>
          <w:lang w:val="sr-Cyrl-CS"/>
        </w:rPr>
        <w:t>koji</w:t>
      </w:r>
      <w:r w:rsidR="00791D60" w:rsidRPr="00E95BC4">
        <w:rPr>
          <w:lang w:val="sr-Cyrl-CS"/>
        </w:rPr>
        <w:t xml:space="preserve"> </w:t>
      </w:r>
      <w:r>
        <w:rPr>
          <w:lang w:val="sr-Cyrl-CS"/>
        </w:rPr>
        <w:t>se</w:t>
      </w:r>
      <w:r w:rsidR="00791D60" w:rsidRPr="00E95BC4">
        <w:rPr>
          <w:lang w:val="sr-Cyrl-CS"/>
        </w:rPr>
        <w:t xml:space="preserve"> </w:t>
      </w:r>
      <w:r>
        <w:rPr>
          <w:lang w:val="sr-Cyrl-CS"/>
        </w:rPr>
        <w:t>donosi</w:t>
      </w:r>
      <w:r w:rsidR="00791D60" w:rsidRPr="00E95BC4">
        <w:rPr>
          <w:lang w:val="sr-Cyrl-CS"/>
        </w:rPr>
        <w:t xml:space="preserve"> </w:t>
      </w:r>
      <w:r>
        <w:rPr>
          <w:lang w:val="sr-Cyrl-CS"/>
        </w:rPr>
        <w:t>na</w:t>
      </w:r>
      <w:r w:rsidR="00791D60" w:rsidRPr="00E95BC4">
        <w:rPr>
          <w:lang w:val="sr-Cyrl-CS"/>
        </w:rPr>
        <w:t xml:space="preserve"> </w:t>
      </w:r>
      <w:r>
        <w:rPr>
          <w:lang w:val="sr-Cyrl-CS"/>
        </w:rPr>
        <w:t>tri</w:t>
      </w:r>
      <w:r w:rsidR="00791D60" w:rsidRPr="00E95BC4">
        <w:rPr>
          <w:lang w:val="sr-Cyrl-CS"/>
        </w:rPr>
        <w:t xml:space="preserve"> </w:t>
      </w:r>
      <w:r>
        <w:rPr>
          <w:lang w:val="sr-Cyrl-CS"/>
        </w:rPr>
        <w:t>godine</w:t>
      </w:r>
      <w:r w:rsidR="00791D60" w:rsidRPr="00E95BC4">
        <w:rPr>
          <w:lang w:val="sr-Cyrl-CS"/>
        </w:rPr>
        <w:t xml:space="preserve"> (2020-2022)</w:t>
      </w:r>
      <w:r w:rsidR="005414D3" w:rsidRPr="00E95BC4">
        <w:rPr>
          <w:lang w:val="sr-Cyrl-CS"/>
        </w:rPr>
        <w:t xml:space="preserve"> </w:t>
      </w:r>
      <w:r>
        <w:rPr>
          <w:lang w:val="sr-Cyrl-CS"/>
        </w:rPr>
        <w:t>i</w:t>
      </w:r>
      <w:r w:rsidR="005414D3" w:rsidRPr="00E95BC4">
        <w:rPr>
          <w:lang w:val="sr-Cyrl-CS"/>
        </w:rPr>
        <w:t xml:space="preserve"> </w:t>
      </w:r>
      <w:r>
        <w:rPr>
          <w:lang w:val="sr-Cyrl-CS"/>
        </w:rPr>
        <w:t>Akcioni</w:t>
      </w:r>
      <w:r w:rsidR="005414D3" w:rsidRPr="00E95BC4">
        <w:rPr>
          <w:lang w:val="sr-Cyrl-CS"/>
        </w:rPr>
        <w:t xml:space="preserve"> </w:t>
      </w:r>
      <w:r>
        <w:rPr>
          <w:lang w:val="sr-Cyrl-CS"/>
        </w:rPr>
        <w:t>plan</w:t>
      </w:r>
      <w:r w:rsidR="005414D3" w:rsidRPr="00E95BC4">
        <w:rPr>
          <w:lang w:val="sr-Cyrl-CS"/>
        </w:rPr>
        <w:t xml:space="preserve"> </w:t>
      </w:r>
      <w:r>
        <w:rPr>
          <w:lang w:val="sr-Cyrl-CS"/>
        </w:rPr>
        <w:t>čini</w:t>
      </w:r>
      <w:r w:rsidR="005414D3" w:rsidRPr="00E95BC4">
        <w:rPr>
          <w:lang w:val="sr-Cyrl-CS"/>
        </w:rPr>
        <w:t xml:space="preserve"> </w:t>
      </w:r>
      <w:r>
        <w:rPr>
          <w:lang w:val="sr-Cyrl-CS"/>
        </w:rPr>
        <w:t>sastavni</w:t>
      </w:r>
      <w:r w:rsidR="005414D3" w:rsidRPr="00E95BC4">
        <w:rPr>
          <w:lang w:val="sr-Cyrl-CS"/>
        </w:rPr>
        <w:t xml:space="preserve"> </w:t>
      </w:r>
      <w:r>
        <w:rPr>
          <w:lang w:val="sr-Cyrl-CS"/>
        </w:rPr>
        <w:t>deo</w:t>
      </w:r>
      <w:r w:rsidR="005414D3" w:rsidRPr="00E95BC4">
        <w:rPr>
          <w:lang w:val="sr-Cyrl-CS"/>
        </w:rPr>
        <w:t xml:space="preserve"> </w:t>
      </w:r>
      <w:r>
        <w:rPr>
          <w:lang w:val="sr-Cyrl-CS"/>
        </w:rPr>
        <w:t>Strategije</w:t>
      </w:r>
      <w:r w:rsidR="00791D60" w:rsidRPr="00E95BC4">
        <w:rPr>
          <w:lang w:val="sr-Cyrl-CS"/>
        </w:rPr>
        <w:t>.</w:t>
      </w:r>
    </w:p>
    <w:p w:rsidR="00791D60" w:rsidRPr="00E95BC4" w:rsidRDefault="005818C0" w:rsidP="00285FD7">
      <w:pPr>
        <w:ind w:firstLine="720"/>
        <w:jc w:val="both"/>
        <w:rPr>
          <w:lang w:val="sr-Cyrl-CS"/>
        </w:rPr>
      </w:pPr>
      <w:r>
        <w:rPr>
          <w:lang w:val="sr-Cyrl-CS"/>
        </w:rPr>
        <w:t>Dva</w:t>
      </w:r>
      <w:r w:rsidR="005414D3" w:rsidRPr="00E95BC4">
        <w:rPr>
          <w:lang w:val="sr-Cyrl-CS"/>
        </w:rPr>
        <w:t xml:space="preserve"> </w:t>
      </w:r>
      <w:r>
        <w:rPr>
          <w:lang w:val="sr-Cyrl-CS"/>
        </w:rPr>
        <w:t>su</w:t>
      </w:r>
      <w:r w:rsidR="005414D3" w:rsidRPr="00E95BC4">
        <w:rPr>
          <w:lang w:val="sr-Cyrl-CS"/>
        </w:rPr>
        <w:t xml:space="preserve"> </w:t>
      </w:r>
      <w:r>
        <w:rPr>
          <w:lang w:val="sr-Cyrl-CS"/>
        </w:rPr>
        <w:t>razloga</w:t>
      </w:r>
      <w:r w:rsidR="005414D3" w:rsidRPr="00E95BC4">
        <w:rPr>
          <w:lang w:val="sr-Cyrl-CS"/>
        </w:rPr>
        <w:t xml:space="preserve"> </w:t>
      </w:r>
      <w:r>
        <w:rPr>
          <w:lang w:val="sr-Cyrl-CS"/>
        </w:rPr>
        <w:t>za</w:t>
      </w:r>
      <w:r w:rsidR="005414D3" w:rsidRPr="00E95BC4">
        <w:rPr>
          <w:lang w:val="sr-Cyrl-CS"/>
        </w:rPr>
        <w:t xml:space="preserve"> </w:t>
      </w:r>
      <w:r>
        <w:rPr>
          <w:lang w:val="sr-Cyrl-CS"/>
        </w:rPr>
        <w:t>donošenje</w:t>
      </w:r>
      <w:r w:rsidR="005414D3" w:rsidRPr="00E95BC4">
        <w:rPr>
          <w:lang w:val="sr-Cyrl-CS"/>
        </w:rPr>
        <w:t xml:space="preserve"> </w:t>
      </w:r>
      <w:r>
        <w:rPr>
          <w:lang w:val="sr-Cyrl-CS"/>
        </w:rPr>
        <w:t>Akcionog</w:t>
      </w:r>
      <w:r w:rsidR="00791D60" w:rsidRPr="00E95BC4">
        <w:rPr>
          <w:lang w:val="sr-Cyrl-CS"/>
        </w:rPr>
        <w:t xml:space="preserve"> </w:t>
      </w:r>
      <w:r>
        <w:rPr>
          <w:lang w:val="sr-Cyrl-CS"/>
        </w:rPr>
        <w:t>plana</w:t>
      </w:r>
      <w:r w:rsidR="00791D60" w:rsidRPr="00E95BC4">
        <w:rPr>
          <w:lang w:val="sr-Cyrl-CS"/>
        </w:rPr>
        <w:t xml:space="preserve"> </w:t>
      </w:r>
      <w:r>
        <w:rPr>
          <w:lang w:val="sr-Cyrl-CS"/>
        </w:rPr>
        <w:t>na</w:t>
      </w:r>
      <w:r w:rsidR="00791D60" w:rsidRPr="00E95BC4">
        <w:rPr>
          <w:lang w:val="sr-Cyrl-CS"/>
        </w:rPr>
        <w:t xml:space="preserve"> </w:t>
      </w:r>
      <w:r>
        <w:rPr>
          <w:lang w:val="sr-Cyrl-CS"/>
        </w:rPr>
        <w:t>tri</w:t>
      </w:r>
      <w:r w:rsidR="00791D60" w:rsidRPr="00E95BC4">
        <w:rPr>
          <w:lang w:val="sr-Cyrl-CS"/>
        </w:rPr>
        <w:t xml:space="preserve"> </w:t>
      </w:r>
      <w:r>
        <w:rPr>
          <w:lang w:val="sr-Cyrl-CS"/>
        </w:rPr>
        <w:t>godine</w:t>
      </w:r>
      <w:r w:rsidR="00791D60" w:rsidRPr="00E95BC4">
        <w:rPr>
          <w:lang w:val="sr-Cyrl-CS"/>
        </w:rPr>
        <w:t xml:space="preserve">, </w:t>
      </w:r>
      <w:r>
        <w:rPr>
          <w:lang w:val="sr-Cyrl-CS"/>
        </w:rPr>
        <w:t>a</w:t>
      </w:r>
      <w:r w:rsidR="00791D60" w:rsidRPr="00E95BC4">
        <w:rPr>
          <w:lang w:val="sr-Cyrl-CS"/>
        </w:rPr>
        <w:t xml:space="preserve"> </w:t>
      </w:r>
      <w:r>
        <w:rPr>
          <w:lang w:val="sr-Cyrl-CS"/>
        </w:rPr>
        <w:t>ne</w:t>
      </w:r>
      <w:r w:rsidR="00791D60" w:rsidRPr="00E95BC4">
        <w:rPr>
          <w:lang w:val="sr-Cyrl-CS"/>
        </w:rPr>
        <w:t xml:space="preserve"> </w:t>
      </w:r>
      <w:r>
        <w:rPr>
          <w:lang w:val="sr-Cyrl-CS"/>
        </w:rPr>
        <w:t>na</w:t>
      </w:r>
      <w:r w:rsidR="00791D60" w:rsidRPr="00E95BC4">
        <w:rPr>
          <w:lang w:val="sr-Cyrl-CS"/>
        </w:rPr>
        <w:t xml:space="preserve"> </w:t>
      </w:r>
      <w:r>
        <w:rPr>
          <w:lang w:val="sr-Cyrl-CS"/>
        </w:rPr>
        <w:t>svih</w:t>
      </w:r>
      <w:r w:rsidR="00791D60" w:rsidRPr="00E95BC4">
        <w:rPr>
          <w:lang w:val="sr-Cyrl-CS"/>
        </w:rPr>
        <w:t xml:space="preserve"> </w:t>
      </w:r>
      <w:r>
        <w:rPr>
          <w:lang w:val="sr-Cyrl-CS"/>
        </w:rPr>
        <w:t>pet</w:t>
      </w:r>
      <w:r w:rsidR="00791D60" w:rsidRPr="00E95BC4">
        <w:rPr>
          <w:lang w:val="sr-Cyrl-CS"/>
        </w:rPr>
        <w:t xml:space="preserve"> </w:t>
      </w:r>
      <w:r>
        <w:rPr>
          <w:lang w:val="sr-Cyrl-CS"/>
        </w:rPr>
        <w:t>godina</w:t>
      </w:r>
      <w:r w:rsidR="00791D60" w:rsidRPr="00E95BC4">
        <w:rPr>
          <w:lang w:val="sr-Cyrl-CS"/>
        </w:rPr>
        <w:t xml:space="preserve"> </w:t>
      </w:r>
      <w:r>
        <w:rPr>
          <w:lang w:val="sr-Cyrl-CS"/>
        </w:rPr>
        <w:t>važenja</w:t>
      </w:r>
      <w:r w:rsidR="00791D60" w:rsidRPr="00E95BC4">
        <w:rPr>
          <w:lang w:val="sr-Cyrl-CS"/>
        </w:rPr>
        <w:t xml:space="preserve"> </w:t>
      </w:r>
      <w:r>
        <w:rPr>
          <w:lang w:val="sr-Cyrl-CS"/>
        </w:rPr>
        <w:t>Strategije</w:t>
      </w:r>
      <w:r w:rsidR="00791D60" w:rsidRPr="00E95BC4">
        <w:rPr>
          <w:lang w:val="sr-Cyrl-CS"/>
        </w:rPr>
        <w:t xml:space="preserve">. </w:t>
      </w:r>
    </w:p>
    <w:p w:rsidR="00791D60" w:rsidRPr="00E95BC4" w:rsidRDefault="005818C0" w:rsidP="00285FD7">
      <w:pPr>
        <w:ind w:firstLine="720"/>
        <w:jc w:val="both"/>
        <w:rPr>
          <w:lang w:val="sr-Cyrl-CS"/>
        </w:rPr>
      </w:pPr>
      <w:r>
        <w:rPr>
          <w:lang w:val="sr-Cyrl-CS"/>
        </w:rPr>
        <w:t>Prvi</w:t>
      </w:r>
      <w:r w:rsidR="00791D60" w:rsidRPr="00E95BC4">
        <w:rPr>
          <w:lang w:val="sr-Cyrl-CS"/>
        </w:rPr>
        <w:t xml:space="preserve"> </w:t>
      </w:r>
      <w:r>
        <w:rPr>
          <w:lang w:val="sr-Cyrl-CS"/>
        </w:rPr>
        <w:t>razlog</w:t>
      </w:r>
      <w:r w:rsidR="00791D60" w:rsidRPr="00E95BC4">
        <w:rPr>
          <w:lang w:val="sr-Cyrl-CS"/>
        </w:rPr>
        <w:t xml:space="preserve"> </w:t>
      </w:r>
      <w:r>
        <w:rPr>
          <w:lang w:val="sr-Cyrl-CS"/>
        </w:rPr>
        <w:t>je</w:t>
      </w:r>
      <w:r w:rsidR="00791D60" w:rsidRPr="00E95BC4">
        <w:rPr>
          <w:lang w:val="sr-Cyrl-CS"/>
        </w:rPr>
        <w:t xml:space="preserve"> </w:t>
      </w:r>
      <w:r>
        <w:rPr>
          <w:lang w:val="sr-Cyrl-CS"/>
        </w:rPr>
        <w:t>to</w:t>
      </w:r>
      <w:r w:rsidR="00791D60" w:rsidRPr="00E95BC4">
        <w:rPr>
          <w:lang w:val="sr-Cyrl-CS"/>
        </w:rPr>
        <w:t xml:space="preserve"> </w:t>
      </w:r>
      <w:r>
        <w:rPr>
          <w:lang w:val="sr-Cyrl-CS"/>
        </w:rPr>
        <w:t>što</w:t>
      </w:r>
      <w:r w:rsidR="00791D60" w:rsidRPr="00E95BC4">
        <w:rPr>
          <w:lang w:val="sr-Cyrl-CS"/>
        </w:rPr>
        <w:t xml:space="preserve">, </w:t>
      </w:r>
      <w:r>
        <w:rPr>
          <w:lang w:val="sr-Cyrl-CS"/>
        </w:rPr>
        <w:t>po</w:t>
      </w:r>
      <w:r w:rsidR="00791D60" w:rsidRPr="00E95BC4">
        <w:rPr>
          <w:lang w:val="sr-Cyrl-CS"/>
        </w:rPr>
        <w:t xml:space="preserve"> </w:t>
      </w:r>
      <w:r>
        <w:rPr>
          <w:lang w:val="sr-Cyrl-CS"/>
        </w:rPr>
        <w:t>pravilu</w:t>
      </w:r>
      <w:r w:rsidR="00791D60" w:rsidRPr="00E95BC4">
        <w:rPr>
          <w:lang w:val="sr-Cyrl-CS"/>
        </w:rPr>
        <w:t xml:space="preserve">, </w:t>
      </w:r>
      <w:r>
        <w:rPr>
          <w:lang w:val="sr-Cyrl-CS"/>
        </w:rPr>
        <w:t>zaključci</w:t>
      </w:r>
      <w:r w:rsidR="00791D60" w:rsidRPr="00E95BC4">
        <w:rPr>
          <w:lang w:val="sr-Cyrl-CS"/>
        </w:rPr>
        <w:t xml:space="preserve"> </w:t>
      </w:r>
      <w:r>
        <w:rPr>
          <w:lang w:val="sr-Cyrl-CS"/>
        </w:rPr>
        <w:t>nacionalne</w:t>
      </w:r>
      <w:r w:rsidR="00791D60" w:rsidRPr="00E95BC4">
        <w:rPr>
          <w:lang w:val="sr-Cyrl-CS"/>
        </w:rPr>
        <w:t xml:space="preserve"> </w:t>
      </w:r>
      <w:r>
        <w:rPr>
          <w:lang w:val="sr-Cyrl-CS"/>
        </w:rPr>
        <w:t>procene</w:t>
      </w:r>
      <w:r w:rsidR="00791D60" w:rsidRPr="00E95BC4">
        <w:rPr>
          <w:lang w:val="sr-Cyrl-CS"/>
        </w:rPr>
        <w:t xml:space="preserve"> </w:t>
      </w:r>
      <w:r>
        <w:rPr>
          <w:lang w:val="sr-Cyrl-CS"/>
        </w:rPr>
        <w:t>rizika</w:t>
      </w:r>
      <w:r w:rsidR="00791D60" w:rsidRPr="00E95BC4">
        <w:rPr>
          <w:lang w:val="sr-Cyrl-CS"/>
        </w:rPr>
        <w:t xml:space="preserve"> </w:t>
      </w:r>
      <w:r>
        <w:rPr>
          <w:lang w:val="sr-Cyrl-CS"/>
        </w:rPr>
        <w:t>treba</w:t>
      </w:r>
      <w:r w:rsidR="00791D60" w:rsidRPr="00E95BC4">
        <w:rPr>
          <w:lang w:val="sr-Cyrl-CS"/>
        </w:rPr>
        <w:t xml:space="preserve"> </w:t>
      </w:r>
      <w:r>
        <w:rPr>
          <w:lang w:val="sr-Cyrl-CS"/>
        </w:rPr>
        <w:t>u</w:t>
      </w:r>
      <w:r w:rsidR="00791D60" w:rsidRPr="00E95BC4">
        <w:rPr>
          <w:lang w:val="sr-Cyrl-CS"/>
        </w:rPr>
        <w:t xml:space="preserve"> </w:t>
      </w:r>
      <w:r>
        <w:rPr>
          <w:lang w:val="sr-Cyrl-CS"/>
        </w:rPr>
        <w:t>primerenoj</w:t>
      </w:r>
      <w:r w:rsidR="00791D60" w:rsidRPr="00E95BC4">
        <w:rPr>
          <w:lang w:val="sr-Cyrl-CS"/>
        </w:rPr>
        <w:t xml:space="preserve"> </w:t>
      </w:r>
      <w:r>
        <w:rPr>
          <w:lang w:val="sr-Cyrl-CS"/>
        </w:rPr>
        <w:t>formi</w:t>
      </w:r>
      <w:r w:rsidR="00791D60" w:rsidRPr="00E95BC4">
        <w:rPr>
          <w:lang w:val="sr-Cyrl-CS"/>
        </w:rPr>
        <w:t xml:space="preserve"> </w:t>
      </w:r>
      <w:r>
        <w:rPr>
          <w:lang w:val="sr-Cyrl-CS"/>
        </w:rPr>
        <w:t>da</w:t>
      </w:r>
      <w:r w:rsidR="00791D60" w:rsidRPr="00E95BC4">
        <w:rPr>
          <w:lang w:val="sr-Cyrl-CS"/>
        </w:rPr>
        <w:t xml:space="preserve"> </w:t>
      </w:r>
      <w:r>
        <w:rPr>
          <w:lang w:val="sr-Cyrl-CS"/>
        </w:rPr>
        <w:t>se</w:t>
      </w:r>
      <w:r w:rsidR="00791D60" w:rsidRPr="00E95BC4">
        <w:rPr>
          <w:lang w:val="sr-Cyrl-CS"/>
        </w:rPr>
        <w:t xml:space="preserve"> </w:t>
      </w:r>
      <w:r>
        <w:rPr>
          <w:lang w:val="sr-Cyrl-CS"/>
        </w:rPr>
        <w:t>unesu</w:t>
      </w:r>
      <w:r w:rsidR="00791D60" w:rsidRPr="00E95BC4">
        <w:rPr>
          <w:lang w:val="sr-Cyrl-CS"/>
        </w:rPr>
        <w:t xml:space="preserve"> </w:t>
      </w:r>
      <w:r>
        <w:rPr>
          <w:lang w:val="sr-Cyrl-CS"/>
        </w:rPr>
        <w:t>u</w:t>
      </w:r>
      <w:r w:rsidR="00791D60" w:rsidRPr="00E95BC4">
        <w:rPr>
          <w:lang w:val="sr-Cyrl-CS"/>
        </w:rPr>
        <w:t xml:space="preserve"> </w:t>
      </w:r>
      <w:r>
        <w:rPr>
          <w:lang w:val="sr-Cyrl-CS"/>
        </w:rPr>
        <w:t>Strategiju</w:t>
      </w:r>
      <w:r w:rsidR="005414D3" w:rsidRPr="00E95BC4">
        <w:rPr>
          <w:lang w:val="sr-Cyrl-CS"/>
        </w:rPr>
        <w:t xml:space="preserve"> </w:t>
      </w:r>
      <w:r>
        <w:rPr>
          <w:lang w:val="sr-Cyrl-CS"/>
        </w:rPr>
        <w:t>i</w:t>
      </w:r>
      <w:r w:rsidR="005414D3" w:rsidRPr="00E95BC4">
        <w:rPr>
          <w:lang w:val="sr-Cyrl-CS"/>
        </w:rPr>
        <w:t xml:space="preserve"> </w:t>
      </w:r>
      <w:r>
        <w:rPr>
          <w:lang w:val="sr-Cyrl-CS"/>
        </w:rPr>
        <w:t>Akcioni</w:t>
      </w:r>
      <w:r w:rsidR="00791D60" w:rsidRPr="00E95BC4">
        <w:rPr>
          <w:lang w:val="sr-Cyrl-CS"/>
        </w:rPr>
        <w:t xml:space="preserve"> </w:t>
      </w:r>
      <w:r>
        <w:rPr>
          <w:lang w:val="sr-Cyrl-CS"/>
        </w:rPr>
        <w:t>plan</w:t>
      </w:r>
      <w:r w:rsidR="00791D60" w:rsidRPr="00E95BC4">
        <w:rPr>
          <w:lang w:val="sr-Cyrl-CS"/>
        </w:rPr>
        <w:t xml:space="preserve">. </w:t>
      </w:r>
      <w:r>
        <w:rPr>
          <w:lang w:val="sr-Cyrl-CS"/>
        </w:rPr>
        <w:t>S</w:t>
      </w:r>
      <w:r w:rsidR="00791D60" w:rsidRPr="00E95BC4">
        <w:rPr>
          <w:lang w:val="sr-Cyrl-CS"/>
        </w:rPr>
        <w:t xml:space="preserve"> </w:t>
      </w:r>
      <w:r>
        <w:rPr>
          <w:lang w:val="sr-Cyrl-CS"/>
        </w:rPr>
        <w:t>obzirom</w:t>
      </w:r>
      <w:r w:rsidR="00791D60" w:rsidRPr="00E95BC4">
        <w:rPr>
          <w:lang w:val="sr-Cyrl-CS"/>
        </w:rPr>
        <w:t xml:space="preserve"> </w:t>
      </w:r>
      <w:r>
        <w:rPr>
          <w:lang w:val="sr-Cyrl-CS"/>
        </w:rPr>
        <w:t>na</w:t>
      </w:r>
      <w:r w:rsidR="00791D60" w:rsidRPr="00E95BC4">
        <w:rPr>
          <w:lang w:val="sr-Cyrl-CS"/>
        </w:rPr>
        <w:t xml:space="preserve"> </w:t>
      </w:r>
      <w:r>
        <w:rPr>
          <w:lang w:val="sr-Cyrl-CS"/>
        </w:rPr>
        <w:t>to</w:t>
      </w:r>
      <w:r w:rsidR="00791D60" w:rsidRPr="00E95BC4">
        <w:rPr>
          <w:lang w:val="sr-Cyrl-CS"/>
        </w:rPr>
        <w:t xml:space="preserve"> </w:t>
      </w:r>
      <w:r>
        <w:rPr>
          <w:lang w:val="sr-Cyrl-CS"/>
        </w:rPr>
        <w:t>da</w:t>
      </w:r>
      <w:r w:rsidR="00791D60" w:rsidRPr="00E95BC4">
        <w:rPr>
          <w:lang w:val="sr-Cyrl-CS"/>
        </w:rPr>
        <w:t xml:space="preserve"> </w:t>
      </w:r>
      <w:r>
        <w:rPr>
          <w:lang w:val="sr-Cyrl-CS"/>
        </w:rPr>
        <w:t>se</w:t>
      </w:r>
      <w:r w:rsidR="00791D60" w:rsidRPr="00E95BC4">
        <w:rPr>
          <w:lang w:val="sr-Cyrl-CS"/>
        </w:rPr>
        <w:t xml:space="preserve">, </w:t>
      </w:r>
      <w:r>
        <w:rPr>
          <w:lang w:val="sr-Cyrl-CS"/>
        </w:rPr>
        <w:t>u</w:t>
      </w:r>
      <w:r w:rsidR="00791D60" w:rsidRPr="00E95BC4">
        <w:rPr>
          <w:lang w:val="sr-Cyrl-CS"/>
        </w:rPr>
        <w:t xml:space="preserve"> </w:t>
      </w:r>
      <w:r>
        <w:rPr>
          <w:lang w:val="sr-Cyrl-CS"/>
        </w:rPr>
        <w:t>skladu</w:t>
      </w:r>
      <w:r w:rsidR="00791D60" w:rsidRPr="00E95BC4">
        <w:rPr>
          <w:lang w:val="sr-Cyrl-CS"/>
        </w:rPr>
        <w:t xml:space="preserve"> </w:t>
      </w:r>
      <w:r>
        <w:rPr>
          <w:lang w:val="sr-Cyrl-CS"/>
        </w:rPr>
        <w:t>sa</w:t>
      </w:r>
      <w:r w:rsidR="00791D60" w:rsidRPr="00E95BC4">
        <w:rPr>
          <w:lang w:val="sr-Cyrl-CS"/>
        </w:rPr>
        <w:t xml:space="preserve"> </w:t>
      </w:r>
      <w:r>
        <w:rPr>
          <w:lang w:val="sr-Cyrl-CS"/>
        </w:rPr>
        <w:t>Zakonom</w:t>
      </w:r>
      <w:r w:rsidR="00791D60" w:rsidRPr="00E95BC4">
        <w:rPr>
          <w:lang w:val="sr-Cyrl-CS"/>
        </w:rPr>
        <w:t xml:space="preserve"> </w:t>
      </w:r>
      <w:r>
        <w:rPr>
          <w:lang w:val="sr-Cyrl-CS"/>
        </w:rPr>
        <w:t>o</w:t>
      </w:r>
      <w:r w:rsidR="00791D60" w:rsidRPr="00E95BC4">
        <w:rPr>
          <w:lang w:val="sr-Cyrl-CS"/>
        </w:rPr>
        <w:t xml:space="preserve"> </w:t>
      </w:r>
      <w:r>
        <w:rPr>
          <w:lang w:val="sr-Cyrl-CS"/>
        </w:rPr>
        <w:t>sprečavanju</w:t>
      </w:r>
      <w:r w:rsidR="00791D60" w:rsidRPr="00E95BC4">
        <w:rPr>
          <w:lang w:val="sr-Cyrl-CS"/>
        </w:rPr>
        <w:t xml:space="preserve"> </w:t>
      </w:r>
      <w:r>
        <w:rPr>
          <w:lang w:val="sr-Cyrl-CS"/>
        </w:rPr>
        <w:t>pranja</w:t>
      </w:r>
      <w:r w:rsidR="00791D60" w:rsidRPr="00E95BC4">
        <w:rPr>
          <w:lang w:val="sr-Cyrl-CS"/>
        </w:rPr>
        <w:t xml:space="preserve"> </w:t>
      </w:r>
      <w:r>
        <w:rPr>
          <w:lang w:val="sr-Cyrl-CS"/>
        </w:rPr>
        <w:t>novca</w:t>
      </w:r>
      <w:r w:rsidR="00791D60" w:rsidRPr="00E95BC4">
        <w:rPr>
          <w:lang w:val="sr-Cyrl-CS"/>
        </w:rPr>
        <w:t xml:space="preserve"> </w:t>
      </w:r>
      <w:r>
        <w:rPr>
          <w:lang w:val="sr-Cyrl-CS"/>
        </w:rPr>
        <w:t>i</w:t>
      </w:r>
      <w:r w:rsidR="00791D60" w:rsidRPr="00E95BC4">
        <w:rPr>
          <w:lang w:val="sr-Cyrl-CS"/>
        </w:rPr>
        <w:t xml:space="preserve"> </w:t>
      </w:r>
      <w:r>
        <w:rPr>
          <w:lang w:val="sr-Cyrl-CS"/>
        </w:rPr>
        <w:t>finansiranja</w:t>
      </w:r>
      <w:r w:rsidR="00791D60" w:rsidRPr="00E95BC4">
        <w:rPr>
          <w:lang w:val="sr-Cyrl-CS"/>
        </w:rPr>
        <w:t xml:space="preserve"> </w:t>
      </w:r>
      <w:r>
        <w:rPr>
          <w:lang w:val="sr-Cyrl-CS"/>
        </w:rPr>
        <w:t>terorizma</w:t>
      </w:r>
      <w:r w:rsidR="00791D60" w:rsidRPr="00E95BC4">
        <w:rPr>
          <w:lang w:val="sr-Cyrl-CS"/>
        </w:rPr>
        <w:t xml:space="preserve">, </w:t>
      </w:r>
      <w:r>
        <w:rPr>
          <w:lang w:val="sr-Cyrl-CS"/>
        </w:rPr>
        <w:t>nacionalna</w:t>
      </w:r>
      <w:r w:rsidR="00791D60" w:rsidRPr="00E95BC4">
        <w:rPr>
          <w:lang w:val="sr-Cyrl-CS"/>
        </w:rPr>
        <w:t xml:space="preserve"> </w:t>
      </w:r>
      <w:r>
        <w:rPr>
          <w:lang w:val="sr-Cyrl-CS"/>
        </w:rPr>
        <w:t>procena</w:t>
      </w:r>
      <w:r w:rsidR="00791D60" w:rsidRPr="00E95BC4">
        <w:rPr>
          <w:lang w:val="sr-Cyrl-CS"/>
        </w:rPr>
        <w:t xml:space="preserve"> </w:t>
      </w:r>
      <w:r>
        <w:rPr>
          <w:lang w:val="sr-Cyrl-CS"/>
        </w:rPr>
        <w:t>rizika</w:t>
      </w:r>
      <w:r w:rsidR="00791D60" w:rsidRPr="00E95BC4">
        <w:rPr>
          <w:lang w:val="sr-Cyrl-CS"/>
        </w:rPr>
        <w:t xml:space="preserve"> </w:t>
      </w:r>
      <w:r>
        <w:rPr>
          <w:lang w:val="sr-Cyrl-CS"/>
        </w:rPr>
        <w:t>sprovodi</w:t>
      </w:r>
      <w:r w:rsidR="00791D60" w:rsidRPr="00E95BC4">
        <w:rPr>
          <w:lang w:val="sr-Cyrl-CS"/>
        </w:rPr>
        <w:t xml:space="preserve"> </w:t>
      </w:r>
      <w:r>
        <w:rPr>
          <w:lang w:val="sr-Cyrl-CS"/>
        </w:rPr>
        <w:t>jedanput</w:t>
      </w:r>
      <w:r w:rsidR="00791D60" w:rsidRPr="00E95BC4">
        <w:rPr>
          <w:lang w:val="sr-Cyrl-CS"/>
        </w:rPr>
        <w:t xml:space="preserve"> </w:t>
      </w:r>
      <w:r>
        <w:rPr>
          <w:lang w:val="sr-Cyrl-CS"/>
        </w:rPr>
        <w:t>u</w:t>
      </w:r>
      <w:r w:rsidR="00791D60" w:rsidRPr="00E95BC4">
        <w:rPr>
          <w:lang w:val="sr-Cyrl-CS"/>
        </w:rPr>
        <w:t xml:space="preserve"> </w:t>
      </w:r>
      <w:r>
        <w:rPr>
          <w:lang w:val="sr-Cyrl-CS"/>
        </w:rPr>
        <w:t>tri</w:t>
      </w:r>
      <w:r w:rsidR="00791D60" w:rsidRPr="00E95BC4">
        <w:rPr>
          <w:lang w:val="sr-Cyrl-CS"/>
        </w:rPr>
        <w:t xml:space="preserve"> </w:t>
      </w:r>
      <w:r>
        <w:rPr>
          <w:lang w:val="sr-Cyrl-CS"/>
        </w:rPr>
        <w:t>godine</w:t>
      </w:r>
      <w:r w:rsidR="00791D60" w:rsidRPr="00E95BC4">
        <w:rPr>
          <w:lang w:val="sr-Cyrl-CS"/>
        </w:rPr>
        <w:t xml:space="preserve">, </w:t>
      </w:r>
      <w:r>
        <w:rPr>
          <w:lang w:val="sr-Cyrl-CS"/>
        </w:rPr>
        <w:t>a</w:t>
      </w:r>
      <w:r w:rsidR="00791D60" w:rsidRPr="00E95BC4">
        <w:rPr>
          <w:lang w:val="sr-Cyrl-CS"/>
        </w:rPr>
        <w:t xml:space="preserve"> </w:t>
      </w:r>
      <w:r>
        <w:rPr>
          <w:lang w:val="sr-Cyrl-CS"/>
        </w:rPr>
        <w:t>da</w:t>
      </w:r>
      <w:r w:rsidR="00791D60" w:rsidRPr="00E95BC4">
        <w:rPr>
          <w:lang w:val="sr-Cyrl-CS"/>
        </w:rPr>
        <w:t xml:space="preserve"> </w:t>
      </w:r>
      <w:r>
        <w:rPr>
          <w:lang w:val="sr-Cyrl-CS"/>
        </w:rPr>
        <w:t>su</w:t>
      </w:r>
      <w:r w:rsidR="00791D60" w:rsidRPr="00E95BC4">
        <w:rPr>
          <w:lang w:val="sr-Cyrl-CS"/>
        </w:rPr>
        <w:t xml:space="preserve"> </w:t>
      </w:r>
      <w:r>
        <w:rPr>
          <w:lang w:val="sr-Cyrl-CS"/>
        </w:rPr>
        <w:t>aktuelne</w:t>
      </w:r>
      <w:r w:rsidR="00791D60" w:rsidRPr="00E95BC4">
        <w:rPr>
          <w:lang w:val="sr-Cyrl-CS"/>
        </w:rPr>
        <w:t xml:space="preserve"> </w:t>
      </w:r>
      <w:r>
        <w:rPr>
          <w:lang w:val="sr-Cyrl-CS"/>
        </w:rPr>
        <w:t>Procena</w:t>
      </w:r>
      <w:r w:rsidR="00791D60" w:rsidRPr="00E95BC4">
        <w:rPr>
          <w:lang w:val="sr-Cyrl-CS"/>
        </w:rPr>
        <w:t xml:space="preserve"> </w:t>
      </w:r>
      <w:r>
        <w:rPr>
          <w:lang w:val="sr-Cyrl-CS"/>
        </w:rPr>
        <w:t>rizika</w:t>
      </w:r>
      <w:r w:rsidR="00791D60" w:rsidRPr="00E95BC4">
        <w:rPr>
          <w:lang w:val="sr-Cyrl-CS"/>
        </w:rPr>
        <w:t xml:space="preserve"> </w:t>
      </w:r>
      <w:r>
        <w:rPr>
          <w:lang w:val="sr-Cyrl-CS"/>
        </w:rPr>
        <w:t>od</w:t>
      </w:r>
      <w:r w:rsidR="00791D60" w:rsidRPr="00E95BC4">
        <w:rPr>
          <w:lang w:val="sr-Cyrl-CS"/>
        </w:rPr>
        <w:t xml:space="preserve"> </w:t>
      </w:r>
      <w:r>
        <w:rPr>
          <w:lang w:val="sr-Cyrl-CS"/>
        </w:rPr>
        <w:t>pranja</w:t>
      </w:r>
      <w:r w:rsidR="00791D60" w:rsidRPr="00E95BC4">
        <w:rPr>
          <w:lang w:val="sr-Cyrl-CS"/>
        </w:rPr>
        <w:t xml:space="preserve"> </w:t>
      </w:r>
      <w:r>
        <w:rPr>
          <w:lang w:val="sr-Cyrl-CS"/>
        </w:rPr>
        <w:t>novca</w:t>
      </w:r>
      <w:r w:rsidR="00791D60" w:rsidRPr="00E95BC4">
        <w:rPr>
          <w:lang w:val="sr-Cyrl-CS"/>
        </w:rPr>
        <w:t xml:space="preserve"> </w:t>
      </w:r>
      <w:r>
        <w:rPr>
          <w:lang w:val="sr-Cyrl-CS"/>
        </w:rPr>
        <w:t>i</w:t>
      </w:r>
      <w:r w:rsidR="00791D60" w:rsidRPr="00E95BC4">
        <w:rPr>
          <w:lang w:val="sr-Cyrl-CS"/>
        </w:rPr>
        <w:t xml:space="preserve"> </w:t>
      </w:r>
      <w:r>
        <w:rPr>
          <w:lang w:val="sr-Cyrl-CS"/>
        </w:rPr>
        <w:t>Procena</w:t>
      </w:r>
      <w:r w:rsidR="00791D60" w:rsidRPr="00E95BC4">
        <w:rPr>
          <w:lang w:val="sr-Cyrl-CS"/>
        </w:rPr>
        <w:t xml:space="preserve"> </w:t>
      </w:r>
      <w:r>
        <w:rPr>
          <w:lang w:val="sr-Cyrl-CS"/>
        </w:rPr>
        <w:t>rizika</w:t>
      </w:r>
      <w:r w:rsidR="00791D60" w:rsidRPr="00E95BC4">
        <w:rPr>
          <w:lang w:val="sr-Cyrl-CS"/>
        </w:rPr>
        <w:t xml:space="preserve"> </w:t>
      </w:r>
      <w:r>
        <w:rPr>
          <w:lang w:val="sr-Cyrl-CS"/>
        </w:rPr>
        <w:t>od</w:t>
      </w:r>
      <w:r w:rsidR="00791D60" w:rsidRPr="00E95BC4">
        <w:rPr>
          <w:lang w:val="sr-Cyrl-CS"/>
        </w:rPr>
        <w:t xml:space="preserve"> </w:t>
      </w:r>
      <w:r>
        <w:rPr>
          <w:lang w:val="sr-Cyrl-CS"/>
        </w:rPr>
        <w:t>finansiranja</w:t>
      </w:r>
      <w:r w:rsidR="00791D60" w:rsidRPr="00E95BC4">
        <w:rPr>
          <w:lang w:val="sr-Cyrl-CS"/>
        </w:rPr>
        <w:t xml:space="preserve"> </w:t>
      </w:r>
      <w:r>
        <w:rPr>
          <w:lang w:val="sr-Cyrl-CS"/>
        </w:rPr>
        <w:t>terorizma</w:t>
      </w:r>
      <w:r w:rsidR="00791D60" w:rsidRPr="00E95BC4">
        <w:rPr>
          <w:lang w:val="sr-Cyrl-CS"/>
        </w:rPr>
        <w:t xml:space="preserve"> </w:t>
      </w:r>
      <w:r>
        <w:rPr>
          <w:lang w:val="sr-Cyrl-CS"/>
        </w:rPr>
        <w:t>izrađene</w:t>
      </w:r>
      <w:r w:rsidR="00791D60" w:rsidRPr="00E95BC4">
        <w:rPr>
          <w:lang w:val="sr-Cyrl-CS"/>
        </w:rPr>
        <w:t xml:space="preserve"> 2018. </w:t>
      </w:r>
      <w:r>
        <w:rPr>
          <w:lang w:val="sr-Cyrl-CS"/>
        </w:rPr>
        <w:t>godine</w:t>
      </w:r>
      <w:r w:rsidR="00791D60" w:rsidRPr="00E95BC4">
        <w:rPr>
          <w:lang w:val="sr-Cyrl-CS"/>
        </w:rPr>
        <w:t xml:space="preserve">, </w:t>
      </w:r>
      <w:r>
        <w:rPr>
          <w:lang w:val="sr-Cyrl-CS"/>
        </w:rPr>
        <w:t>to</w:t>
      </w:r>
      <w:r w:rsidR="00791D60" w:rsidRPr="00E95BC4">
        <w:rPr>
          <w:lang w:val="sr-Cyrl-CS"/>
        </w:rPr>
        <w:t xml:space="preserve"> </w:t>
      </w:r>
      <w:r>
        <w:rPr>
          <w:lang w:val="sr-Cyrl-CS"/>
        </w:rPr>
        <w:t>znači</w:t>
      </w:r>
      <w:r w:rsidR="00791D60" w:rsidRPr="00E95BC4">
        <w:rPr>
          <w:lang w:val="sr-Cyrl-CS"/>
        </w:rPr>
        <w:t xml:space="preserve"> </w:t>
      </w:r>
      <w:r>
        <w:rPr>
          <w:lang w:val="sr-Cyrl-CS"/>
        </w:rPr>
        <w:t>da</w:t>
      </w:r>
      <w:r w:rsidR="00791D60" w:rsidRPr="00E95BC4">
        <w:rPr>
          <w:lang w:val="sr-Cyrl-CS"/>
        </w:rPr>
        <w:t xml:space="preserve"> </w:t>
      </w:r>
      <w:r>
        <w:rPr>
          <w:lang w:val="sr-Cyrl-CS"/>
        </w:rPr>
        <w:t>novi</w:t>
      </w:r>
      <w:r w:rsidR="00791D60" w:rsidRPr="00E95BC4">
        <w:rPr>
          <w:lang w:val="sr-Cyrl-CS"/>
        </w:rPr>
        <w:t xml:space="preserve"> </w:t>
      </w:r>
      <w:r>
        <w:rPr>
          <w:lang w:val="sr-Cyrl-CS"/>
        </w:rPr>
        <w:t>izveštaj</w:t>
      </w:r>
      <w:r w:rsidR="00791D60" w:rsidRPr="00E95BC4">
        <w:rPr>
          <w:lang w:val="sr-Cyrl-CS"/>
        </w:rPr>
        <w:t xml:space="preserve"> </w:t>
      </w:r>
      <w:r>
        <w:rPr>
          <w:lang w:val="sr-Cyrl-CS"/>
        </w:rPr>
        <w:t>o</w:t>
      </w:r>
      <w:r w:rsidR="00791D60" w:rsidRPr="00E95BC4">
        <w:rPr>
          <w:lang w:val="sr-Cyrl-CS"/>
        </w:rPr>
        <w:t xml:space="preserve"> </w:t>
      </w:r>
      <w:r>
        <w:rPr>
          <w:lang w:val="sr-Cyrl-CS"/>
        </w:rPr>
        <w:t>nacionalnoj</w:t>
      </w:r>
      <w:r w:rsidR="00791D60" w:rsidRPr="00E95BC4">
        <w:rPr>
          <w:lang w:val="sr-Cyrl-CS"/>
        </w:rPr>
        <w:t xml:space="preserve"> </w:t>
      </w:r>
      <w:r>
        <w:rPr>
          <w:lang w:val="sr-Cyrl-CS"/>
        </w:rPr>
        <w:t>proceni</w:t>
      </w:r>
      <w:r w:rsidR="00791D60" w:rsidRPr="00E95BC4">
        <w:rPr>
          <w:lang w:val="sr-Cyrl-CS"/>
        </w:rPr>
        <w:t xml:space="preserve"> </w:t>
      </w:r>
      <w:r>
        <w:rPr>
          <w:lang w:val="sr-Cyrl-CS"/>
        </w:rPr>
        <w:t>rizika</w:t>
      </w:r>
      <w:r w:rsidR="00791D60" w:rsidRPr="00E95BC4">
        <w:rPr>
          <w:lang w:val="sr-Cyrl-CS"/>
        </w:rPr>
        <w:t xml:space="preserve"> </w:t>
      </w:r>
      <w:r>
        <w:rPr>
          <w:lang w:val="sr-Cyrl-CS"/>
        </w:rPr>
        <w:t>treba</w:t>
      </w:r>
      <w:r w:rsidR="00791D60" w:rsidRPr="00E95BC4">
        <w:rPr>
          <w:lang w:val="sr-Cyrl-CS"/>
        </w:rPr>
        <w:t xml:space="preserve"> </w:t>
      </w:r>
      <w:r>
        <w:rPr>
          <w:lang w:val="sr-Cyrl-CS"/>
        </w:rPr>
        <w:t>da</w:t>
      </w:r>
      <w:r w:rsidR="00791D60" w:rsidRPr="00E95BC4">
        <w:rPr>
          <w:lang w:val="sr-Cyrl-CS"/>
        </w:rPr>
        <w:t xml:space="preserve"> </w:t>
      </w:r>
      <w:r>
        <w:rPr>
          <w:lang w:val="sr-Cyrl-CS"/>
        </w:rPr>
        <w:t>bude</w:t>
      </w:r>
      <w:r w:rsidR="00791D60" w:rsidRPr="00E95BC4">
        <w:rPr>
          <w:lang w:val="sr-Cyrl-CS"/>
        </w:rPr>
        <w:t xml:space="preserve"> </w:t>
      </w:r>
      <w:r>
        <w:rPr>
          <w:lang w:val="sr-Cyrl-CS"/>
        </w:rPr>
        <w:t>usvojen</w:t>
      </w:r>
      <w:r w:rsidR="00791D60" w:rsidRPr="00E95BC4">
        <w:rPr>
          <w:lang w:val="sr-Cyrl-CS"/>
        </w:rPr>
        <w:t xml:space="preserve"> </w:t>
      </w:r>
      <w:r>
        <w:rPr>
          <w:lang w:val="sr-Cyrl-CS"/>
        </w:rPr>
        <w:t>polovinom</w:t>
      </w:r>
      <w:r w:rsidR="00791D60" w:rsidRPr="00E95BC4">
        <w:rPr>
          <w:lang w:val="sr-Cyrl-CS"/>
        </w:rPr>
        <w:t xml:space="preserve"> 2021. </w:t>
      </w:r>
      <w:r>
        <w:rPr>
          <w:lang w:val="sr-Cyrl-CS"/>
        </w:rPr>
        <w:t>godine</w:t>
      </w:r>
      <w:r w:rsidR="00791D60" w:rsidRPr="00E95BC4">
        <w:rPr>
          <w:lang w:val="sr-Cyrl-CS"/>
        </w:rPr>
        <w:t xml:space="preserve"> </w:t>
      </w:r>
      <w:r>
        <w:rPr>
          <w:lang w:val="sr-Cyrl-CS"/>
        </w:rPr>
        <w:t>i</w:t>
      </w:r>
      <w:r w:rsidR="00791D60" w:rsidRPr="00E95BC4">
        <w:rPr>
          <w:lang w:val="sr-Cyrl-CS"/>
        </w:rPr>
        <w:t xml:space="preserve"> </w:t>
      </w:r>
      <w:r>
        <w:rPr>
          <w:lang w:val="sr-Cyrl-CS"/>
        </w:rPr>
        <w:t>da</w:t>
      </w:r>
      <w:r w:rsidR="00791D60" w:rsidRPr="00E95BC4">
        <w:rPr>
          <w:lang w:val="sr-Cyrl-CS"/>
        </w:rPr>
        <w:t xml:space="preserve"> </w:t>
      </w:r>
      <w:r>
        <w:rPr>
          <w:lang w:val="sr-Cyrl-CS"/>
        </w:rPr>
        <w:t>se</w:t>
      </w:r>
      <w:r w:rsidR="00791D60" w:rsidRPr="00E95BC4">
        <w:rPr>
          <w:lang w:val="sr-Cyrl-CS"/>
        </w:rPr>
        <w:t xml:space="preserve">, </w:t>
      </w:r>
      <w:r>
        <w:rPr>
          <w:lang w:val="sr-Cyrl-CS"/>
        </w:rPr>
        <w:t>potom</w:t>
      </w:r>
      <w:r w:rsidR="00791D60" w:rsidRPr="00E95BC4">
        <w:rPr>
          <w:lang w:val="sr-Cyrl-CS"/>
        </w:rPr>
        <w:t xml:space="preserve">, </w:t>
      </w:r>
      <w:r>
        <w:rPr>
          <w:lang w:val="sr-Cyrl-CS"/>
        </w:rPr>
        <w:t>takvo</w:t>
      </w:r>
      <w:r w:rsidR="00791D60" w:rsidRPr="00E95BC4">
        <w:rPr>
          <w:lang w:val="sr-Cyrl-CS"/>
        </w:rPr>
        <w:t xml:space="preserve"> </w:t>
      </w:r>
      <w:r>
        <w:rPr>
          <w:lang w:val="sr-Cyrl-CS"/>
        </w:rPr>
        <w:t>ažurirano</w:t>
      </w:r>
      <w:r w:rsidR="00791D60" w:rsidRPr="00E95BC4">
        <w:rPr>
          <w:lang w:val="sr-Cyrl-CS"/>
        </w:rPr>
        <w:t xml:space="preserve"> </w:t>
      </w:r>
      <w:r>
        <w:rPr>
          <w:lang w:val="sr-Cyrl-CS"/>
        </w:rPr>
        <w:t>razumevanje</w:t>
      </w:r>
      <w:r w:rsidR="00791D60" w:rsidRPr="00E95BC4">
        <w:rPr>
          <w:lang w:val="sr-Cyrl-CS"/>
        </w:rPr>
        <w:t xml:space="preserve"> </w:t>
      </w:r>
      <w:r>
        <w:rPr>
          <w:lang w:val="sr-Cyrl-CS"/>
        </w:rPr>
        <w:t>rizika</w:t>
      </w:r>
      <w:r w:rsidR="00791D60" w:rsidRPr="00E95BC4">
        <w:rPr>
          <w:lang w:val="sr-Cyrl-CS"/>
        </w:rPr>
        <w:t xml:space="preserve"> </w:t>
      </w:r>
      <w:r>
        <w:rPr>
          <w:lang w:val="sr-Cyrl-CS"/>
        </w:rPr>
        <w:t>unese</w:t>
      </w:r>
      <w:r w:rsidR="00791D60" w:rsidRPr="00E95BC4">
        <w:rPr>
          <w:lang w:val="sr-Cyrl-CS"/>
        </w:rPr>
        <w:t xml:space="preserve"> </w:t>
      </w:r>
      <w:r>
        <w:rPr>
          <w:lang w:val="sr-Cyrl-CS"/>
        </w:rPr>
        <w:t>u</w:t>
      </w:r>
      <w:r w:rsidR="00791D60" w:rsidRPr="00E95BC4">
        <w:rPr>
          <w:lang w:val="sr-Cyrl-CS"/>
        </w:rPr>
        <w:t xml:space="preserve"> </w:t>
      </w:r>
      <w:r>
        <w:rPr>
          <w:lang w:val="sr-Cyrl-CS"/>
        </w:rPr>
        <w:t>Strategiju</w:t>
      </w:r>
      <w:r w:rsidR="00791D60" w:rsidRPr="00E95BC4">
        <w:rPr>
          <w:lang w:val="sr-Cyrl-CS"/>
        </w:rPr>
        <w:t xml:space="preserve"> </w:t>
      </w:r>
      <w:r>
        <w:rPr>
          <w:lang w:val="sr-Cyrl-CS"/>
        </w:rPr>
        <w:t>i</w:t>
      </w:r>
      <w:r w:rsidR="00791D60" w:rsidRPr="00E95BC4">
        <w:rPr>
          <w:lang w:val="sr-Cyrl-CS"/>
        </w:rPr>
        <w:t xml:space="preserve"> </w:t>
      </w:r>
      <w:r>
        <w:rPr>
          <w:lang w:val="sr-Cyrl-CS"/>
        </w:rPr>
        <w:t>Akcioni</w:t>
      </w:r>
      <w:r w:rsidR="00791D60" w:rsidRPr="00E95BC4">
        <w:rPr>
          <w:lang w:val="sr-Cyrl-CS"/>
        </w:rPr>
        <w:t xml:space="preserve"> </w:t>
      </w:r>
      <w:r>
        <w:rPr>
          <w:lang w:val="sr-Cyrl-CS"/>
        </w:rPr>
        <w:t>plan</w:t>
      </w:r>
      <w:r w:rsidR="00791D60" w:rsidRPr="00E95BC4">
        <w:rPr>
          <w:lang w:val="sr-Cyrl-CS"/>
        </w:rPr>
        <w:t>.</w:t>
      </w:r>
    </w:p>
    <w:p w:rsidR="00791D60" w:rsidRDefault="005818C0" w:rsidP="00285FD7">
      <w:pPr>
        <w:ind w:firstLine="720"/>
        <w:jc w:val="both"/>
        <w:rPr>
          <w:lang w:val="sr-Cyrl-CS"/>
        </w:rPr>
      </w:pPr>
      <w:r>
        <w:rPr>
          <w:lang w:val="sr-Cyrl-CS"/>
        </w:rPr>
        <w:t>Drugi</w:t>
      </w:r>
      <w:r w:rsidR="00791D60" w:rsidRPr="00E95BC4">
        <w:rPr>
          <w:lang w:val="sr-Cyrl-CS"/>
        </w:rPr>
        <w:t xml:space="preserve"> </w:t>
      </w:r>
      <w:r>
        <w:rPr>
          <w:lang w:val="sr-Cyrl-CS"/>
        </w:rPr>
        <w:t>razlog</w:t>
      </w:r>
      <w:r w:rsidR="00791D60" w:rsidRPr="00E95BC4">
        <w:rPr>
          <w:lang w:val="sr-Cyrl-CS"/>
        </w:rPr>
        <w:t xml:space="preserve"> </w:t>
      </w:r>
      <w:r>
        <w:rPr>
          <w:lang w:val="sr-Cyrl-CS"/>
        </w:rPr>
        <w:t>je</w:t>
      </w:r>
      <w:r w:rsidR="00791D60" w:rsidRPr="00E95BC4">
        <w:rPr>
          <w:lang w:val="sr-Cyrl-CS"/>
        </w:rPr>
        <w:t xml:space="preserve"> </w:t>
      </w:r>
      <w:r>
        <w:rPr>
          <w:lang w:val="sr-Cyrl-CS"/>
        </w:rPr>
        <w:t>to</w:t>
      </w:r>
      <w:r w:rsidR="00791D60" w:rsidRPr="00E95BC4">
        <w:rPr>
          <w:lang w:val="sr-Cyrl-CS"/>
        </w:rPr>
        <w:t xml:space="preserve"> </w:t>
      </w:r>
      <w:r>
        <w:rPr>
          <w:lang w:val="sr-Cyrl-CS"/>
        </w:rPr>
        <w:t>što</w:t>
      </w:r>
      <w:r w:rsidR="00791D60" w:rsidRPr="00E95BC4">
        <w:rPr>
          <w:lang w:val="sr-Cyrl-CS"/>
        </w:rPr>
        <w:t xml:space="preserve"> </w:t>
      </w:r>
      <w:r>
        <w:rPr>
          <w:lang w:val="sr-Cyrl-CS"/>
        </w:rPr>
        <w:t>se</w:t>
      </w:r>
      <w:r w:rsidR="00791D60" w:rsidRPr="00E95BC4">
        <w:rPr>
          <w:lang w:val="sr-Cyrl-CS"/>
        </w:rPr>
        <w:t xml:space="preserve"> </w:t>
      </w:r>
      <w:r>
        <w:rPr>
          <w:lang w:val="sr-Cyrl-CS"/>
        </w:rPr>
        <w:t>ciklus</w:t>
      </w:r>
      <w:r w:rsidR="00791D60" w:rsidRPr="00E95BC4">
        <w:rPr>
          <w:lang w:val="sr-Cyrl-CS"/>
        </w:rPr>
        <w:t xml:space="preserve"> </w:t>
      </w:r>
      <w:r>
        <w:rPr>
          <w:lang w:val="sr-Cyrl-CS"/>
        </w:rPr>
        <w:t>praćenja</w:t>
      </w:r>
      <w:r w:rsidR="00791D60" w:rsidRPr="00E95BC4">
        <w:rPr>
          <w:lang w:val="sr-Cyrl-CS"/>
        </w:rPr>
        <w:t xml:space="preserve"> </w:t>
      </w:r>
      <w:r>
        <w:rPr>
          <w:lang w:val="sr-Cyrl-CS"/>
        </w:rPr>
        <w:t>sprovođenja</w:t>
      </w:r>
      <w:r w:rsidR="00791D60" w:rsidRPr="00E95BC4">
        <w:rPr>
          <w:lang w:val="sr-Cyrl-CS"/>
        </w:rPr>
        <w:t xml:space="preserve"> </w:t>
      </w:r>
      <w:r>
        <w:rPr>
          <w:lang w:val="sr-Cyrl-CS"/>
        </w:rPr>
        <w:t>preporuka</w:t>
      </w:r>
      <w:r w:rsidR="00791D60" w:rsidRPr="00E95BC4">
        <w:rPr>
          <w:lang w:val="sr-Cyrl-CS"/>
        </w:rPr>
        <w:t xml:space="preserve"> </w:t>
      </w:r>
      <w:r>
        <w:rPr>
          <w:lang w:val="sr-Cyrl-CS"/>
        </w:rPr>
        <w:t>Manivala</w:t>
      </w:r>
      <w:r w:rsidR="00345049" w:rsidRPr="00E95BC4">
        <w:rPr>
          <w:lang w:val="sr-Cyrl-CS"/>
        </w:rPr>
        <w:t xml:space="preserve">, </w:t>
      </w:r>
      <w:r>
        <w:rPr>
          <w:lang w:val="sr-Cyrl-CS"/>
        </w:rPr>
        <w:t>prema</w:t>
      </w:r>
      <w:r w:rsidR="00345049" w:rsidRPr="00E95BC4">
        <w:rPr>
          <w:lang w:val="sr-Cyrl-CS"/>
        </w:rPr>
        <w:t xml:space="preserve"> </w:t>
      </w:r>
      <w:r>
        <w:rPr>
          <w:lang w:val="sr-Cyrl-CS"/>
        </w:rPr>
        <w:t>pravilima</w:t>
      </w:r>
      <w:r w:rsidR="00345049" w:rsidRPr="00E95BC4">
        <w:rPr>
          <w:lang w:val="sr-Cyrl-CS"/>
        </w:rPr>
        <w:t xml:space="preserve">, </w:t>
      </w:r>
      <w:r>
        <w:rPr>
          <w:lang w:val="sr-Cyrl-CS"/>
        </w:rPr>
        <w:t>okončava</w:t>
      </w:r>
      <w:r w:rsidR="00345049" w:rsidRPr="00E95BC4">
        <w:rPr>
          <w:lang w:val="sr-Cyrl-CS"/>
        </w:rPr>
        <w:t xml:space="preserve"> </w:t>
      </w:r>
      <w:r>
        <w:rPr>
          <w:lang w:val="sr-Cyrl-CS"/>
        </w:rPr>
        <w:t>po</w:t>
      </w:r>
      <w:r w:rsidR="00345049" w:rsidRPr="00E95BC4">
        <w:rPr>
          <w:lang w:val="sr-Cyrl-CS"/>
        </w:rPr>
        <w:t xml:space="preserve"> </w:t>
      </w:r>
      <w:r>
        <w:rPr>
          <w:lang w:val="sr-Cyrl-CS"/>
        </w:rPr>
        <w:t>isteku</w:t>
      </w:r>
      <w:r w:rsidR="00345049" w:rsidRPr="00E95BC4">
        <w:rPr>
          <w:lang w:val="sr-Cyrl-CS"/>
        </w:rPr>
        <w:t xml:space="preserve"> </w:t>
      </w:r>
      <w:r>
        <w:rPr>
          <w:lang w:val="sr-Cyrl-CS"/>
        </w:rPr>
        <w:t>pete</w:t>
      </w:r>
      <w:r w:rsidR="00345049" w:rsidRPr="00E95BC4">
        <w:rPr>
          <w:lang w:val="sr-Cyrl-CS"/>
        </w:rPr>
        <w:t xml:space="preserve"> </w:t>
      </w:r>
      <w:r>
        <w:rPr>
          <w:lang w:val="sr-Cyrl-CS"/>
        </w:rPr>
        <w:t>godine</w:t>
      </w:r>
      <w:r w:rsidR="00345049" w:rsidRPr="00E95BC4">
        <w:rPr>
          <w:lang w:val="sr-Cyrl-CS"/>
        </w:rPr>
        <w:t xml:space="preserve"> </w:t>
      </w:r>
      <w:r>
        <w:rPr>
          <w:lang w:val="sr-Cyrl-CS"/>
        </w:rPr>
        <w:t>od</w:t>
      </w:r>
      <w:r w:rsidR="00345049" w:rsidRPr="00E95BC4">
        <w:rPr>
          <w:lang w:val="sr-Cyrl-CS"/>
        </w:rPr>
        <w:t xml:space="preserve"> </w:t>
      </w:r>
      <w:r>
        <w:rPr>
          <w:lang w:val="sr-Cyrl-CS"/>
        </w:rPr>
        <w:t>usvajanja</w:t>
      </w:r>
      <w:r w:rsidR="00345049" w:rsidRPr="00E95BC4">
        <w:rPr>
          <w:lang w:val="sr-Cyrl-CS"/>
        </w:rPr>
        <w:t xml:space="preserve"> </w:t>
      </w:r>
      <w:r>
        <w:rPr>
          <w:lang w:val="sr-Cyrl-CS"/>
        </w:rPr>
        <w:t>izveštaja</w:t>
      </w:r>
      <w:r w:rsidR="00345049" w:rsidRPr="00E95BC4">
        <w:rPr>
          <w:lang w:val="sr-Cyrl-CS"/>
        </w:rPr>
        <w:t xml:space="preserve"> </w:t>
      </w:r>
      <w:r>
        <w:rPr>
          <w:lang w:val="sr-Cyrl-CS"/>
        </w:rPr>
        <w:t>Manivala</w:t>
      </w:r>
      <w:r w:rsidR="00345049" w:rsidRPr="00E95BC4">
        <w:rPr>
          <w:lang w:val="sr-Cyrl-CS"/>
        </w:rPr>
        <w:t xml:space="preserve">. </w:t>
      </w:r>
      <w:r>
        <w:rPr>
          <w:lang w:val="sr-Cyrl-CS"/>
        </w:rPr>
        <w:t>U</w:t>
      </w:r>
      <w:r w:rsidR="00345049" w:rsidRPr="00E95BC4">
        <w:rPr>
          <w:lang w:val="sr-Cyrl-CS"/>
        </w:rPr>
        <w:t xml:space="preserve"> </w:t>
      </w:r>
      <w:r>
        <w:rPr>
          <w:lang w:val="sr-Cyrl-CS"/>
        </w:rPr>
        <w:t>kontekstu</w:t>
      </w:r>
      <w:r w:rsidR="00345049" w:rsidRPr="00E95BC4">
        <w:rPr>
          <w:lang w:val="sr-Cyrl-CS"/>
        </w:rPr>
        <w:t xml:space="preserve"> </w:t>
      </w:r>
      <w:r>
        <w:rPr>
          <w:lang w:val="sr-Cyrl-CS"/>
        </w:rPr>
        <w:t>Republike</w:t>
      </w:r>
      <w:r w:rsidR="00345049" w:rsidRPr="00E95BC4">
        <w:rPr>
          <w:lang w:val="sr-Cyrl-CS"/>
        </w:rPr>
        <w:t xml:space="preserve"> </w:t>
      </w:r>
      <w:r>
        <w:rPr>
          <w:lang w:val="sr-Cyrl-CS"/>
        </w:rPr>
        <w:t>Srbije</w:t>
      </w:r>
      <w:r w:rsidR="00345049" w:rsidRPr="00E95BC4">
        <w:rPr>
          <w:lang w:val="sr-Cyrl-CS"/>
        </w:rPr>
        <w:t xml:space="preserve">, </w:t>
      </w:r>
      <w:r>
        <w:rPr>
          <w:lang w:val="sr-Cyrl-CS"/>
        </w:rPr>
        <w:t>Manival</w:t>
      </w:r>
      <w:r w:rsidR="00345049" w:rsidRPr="00E95BC4">
        <w:rPr>
          <w:lang w:val="sr-Cyrl-CS"/>
        </w:rPr>
        <w:t xml:space="preserve"> </w:t>
      </w:r>
      <w:r>
        <w:rPr>
          <w:lang w:val="sr-Cyrl-CS"/>
        </w:rPr>
        <w:t>je</w:t>
      </w:r>
      <w:r w:rsidR="00345049" w:rsidRPr="00E95BC4">
        <w:rPr>
          <w:lang w:val="sr-Cyrl-CS"/>
        </w:rPr>
        <w:t xml:space="preserve"> </w:t>
      </w:r>
      <w:r>
        <w:rPr>
          <w:lang w:val="sr-Cyrl-CS"/>
        </w:rPr>
        <w:t>izveštaj</w:t>
      </w:r>
      <w:r w:rsidR="00345049" w:rsidRPr="00E95BC4">
        <w:rPr>
          <w:lang w:val="sr-Cyrl-CS"/>
        </w:rPr>
        <w:t xml:space="preserve"> </w:t>
      </w:r>
      <w:r>
        <w:rPr>
          <w:lang w:val="sr-Cyrl-CS"/>
        </w:rPr>
        <w:t>o</w:t>
      </w:r>
      <w:r w:rsidR="00345049" w:rsidRPr="00E95BC4">
        <w:rPr>
          <w:lang w:val="sr-Cyrl-CS"/>
        </w:rPr>
        <w:t xml:space="preserve"> </w:t>
      </w:r>
      <w:r>
        <w:rPr>
          <w:lang w:val="sr-Cyrl-CS"/>
        </w:rPr>
        <w:t>evaluaciji</w:t>
      </w:r>
      <w:r w:rsidR="00345049" w:rsidRPr="00E95BC4">
        <w:rPr>
          <w:lang w:val="sr-Cyrl-CS"/>
        </w:rPr>
        <w:t xml:space="preserve"> </w:t>
      </w:r>
      <w:r>
        <w:rPr>
          <w:lang w:val="sr-Cyrl-CS"/>
        </w:rPr>
        <w:t>usvojio</w:t>
      </w:r>
      <w:r w:rsidR="00345049" w:rsidRPr="00E95BC4">
        <w:rPr>
          <w:lang w:val="sr-Cyrl-CS"/>
        </w:rPr>
        <w:t xml:space="preserve"> 2016. </w:t>
      </w:r>
      <w:r>
        <w:rPr>
          <w:lang w:val="sr-Cyrl-CS"/>
        </w:rPr>
        <w:t>godine</w:t>
      </w:r>
      <w:r w:rsidR="00345049" w:rsidRPr="00E95BC4">
        <w:rPr>
          <w:lang w:val="sr-Cyrl-CS"/>
        </w:rPr>
        <w:t xml:space="preserve"> </w:t>
      </w:r>
      <w:r>
        <w:rPr>
          <w:lang w:val="sr-Cyrl-CS"/>
        </w:rPr>
        <w:t>što</w:t>
      </w:r>
      <w:r w:rsidR="00345049" w:rsidRPr="00E95BC4">
        <w:rPr>
          <w:lang w:val="sr-Cyrl-CS"/>
        </w:rPr>
        <w:t xml:space="preserve"> </w:t>
      </w:r>
      <w:r>
        <w:rPr>
          <w:lang w:val="sr-Cyrl-CS"/>
        </w:rPr>
        <w:t>znači</w:t>
      </w:r>
      <w:r w:rsidR="00345049" w:rsidRPr="00E95BC4">
        <w:rPr>
          <w:lang w:val="sr-Cyrl-CS"/>
        </w:rPr>
        <w:t xml:space="preserve"> </w:t>
      </w:r>
      <w:r>
        <w:rPr>
          <w:lang w:val="sr-Cyrl-CS"/>
        </w:rPr>
        <w:t>da</w:t>
      </w:r>
      <w:r w:rsidR="00345049" w:rsidRPr="00E95BC4">
        <w:rPr>
          <w:lang w:val="sr-Cyrl-CS"/>
        </w:rPr>
        <w:t xml:space="preserve"> </w:t>
      </w:r>
      <w:r>
        <w:rPr>
          <w:lang w:val="sr-Cyrl-CS"/>
        </w:rPr>
        <w:t>bi</w:t>
      </w:r>
      <w:r w:rsidR="00345049" w:rsidRPr="00E95BC4">
        <w:rPr>
          <w:lang w:val="sr-Cyrl-CS"/>
        </w:rPr>
        <w:t xml:space="preserve"> </w:t>
      </w:r>
      <w:r>
        <w:rPr>
          <w:lang w:val="sr-Cyrl-CS"/>
        </w:rPr>
        <w:t>se</w:t>
      </w:r>
      <w:r w:rsidR="00345049" w:rsidRPr="00E95BC4">
        <w:rPr>
          <w:lang w:val="sr-Cyrl-CS"/>
        </w:rPr>
        <w:t xml:space="preserve"> 2021. </w:t>
      </w:r>
      <w:r>
        <w:rPr>
          <w:lang w:val="sr-Cyrl-CS"/>
        </w:rPr>
        <w:t>ili</w:t>
      </w:r>
      <w:r w:rsidR="00345049" w:rsidRPr="00E95BC4">
        <w:rPr>
          <w:lang w:val="sr-Cyrl-CS"/>
        </w:rPr>
        <w:t xml:space="preserve"> 2022</w:t>
      </w:r>
      <w:r w:rsidR="005414D3" w:rsidRPr="00E95BC4">
        <w:rPr>
          <w:lang w:val="sr-Cyrl-CS"/>
        </w:rPr>
        <w:t xml:space="preserve">. </w:t>
      </w:r>
      <w:r>
        <w:rPr>
          <w:lang w:val="sr-Cyrl-CS"/>
        </w:rPr>
        <w:t>godine</w:t>
      </w:r>
      <w:r w:rsidR="00345049" w:rsidRPr="00E95BC4">
        <w:rPr>
          <w:lang w:val="sr-Cyrl-CS"/>
        </w:rPr>
        <w:t xml:space="preserve">, </w:t>
      </w:r>
      <w:r>
        <w:rPr>
          <w:lang w:val="sr-Cyrl-CS"/>
        </w:rPr>
        <w:t>u</w:t>
      </w:r>
      <w:r w:rsidR="00345049" w:rsidRPr="00E95BC4">
        <w:rPr>
          <w:lang w:val="sr-Cyrl-CS"/>
        </w:rPr>
        <w:t xml:space="preserve"> </w:t>
      </w:r>
      <w:r>
        <w:rPr>
          <w:lang w:val="sr-Cyrl-CS"/>
        </w:rPr>
        <w:t>zavisnosti</w:t>
      </w:r>
      <w:r w:rsidR="00345049" w:rsidRPr="00E95BC4">
        <w:rPr>
          <w:lang w:val="sr-Cyrl-CS"/>
        </w:rPr>
        <w:t xml:space="preserve"> </w:t>
      </w:r>
      <w:r>
        <w:rPr>
          <w:lang w:val="sr-Cyrl-CS"/>
        </w:rPr>
        <w:t>od</w:t>
      </w:r>
      <w:r w:rsidR="00345049" w:rsidRPr="00E95BC4">
        <w:rPr>
          <w:lang w:val="sr-Cyrl-CS"/>
        </w:rPr>
        <w:t xml:space="preserve"> </w:t>
      </w:r>
      <w:r>
        <w:rPr>
          <w:lang w:val="sr-Cyrl-CS"/>
        </w:rPr>
        <w:t>internih</w:t>
      </w:r>
      <w:r w:rsidR="00345049" w:rsidRPr="00E95BC4">
        <w:rPr>
          <w:lang w:val="sr-Cyrl-CS"/>
        </w:rPr>
        <w:t xml:space="preserve"> </w:t>
      </w:r>
      <w:r>
        <w:rPr>
          <w:lang w:val="sr-Cyrl-CS"/>
        </w:rPr>
        <w:t>mogućnosti</w:t>
      </w:r>
      <w:r w:rsidR="00345049" w:rsidRPr="00E95BC4">
        <w:rPr>
          <w:lang w:val="sr-Cyrl-CS"/>
        </w:rPr>
        <w:t xml:space="preserve"> </w:t>
      </w:r>
      <w:r>
        <w:rPr>
          <w:lang w:val="sr-Cyrl-CS"/>
        </w:rPr>
        <w:t>i</w:t>
      </w:r>
      <w:r w:rsidR="00345049" w:rsidRPr="00E95BC4">
        <w:rPr>
          <w:lang w:val="sr-Cyrl-CS"/>
        </w:rPr>
        <w:t xml:space="preserve"> </w:t>
      </w:r>
      <w:r>
        <w:rPr>
          <w:lang w:val="sr-Cyrl-CS"/>
        </w:rPr>
        <w:t>planova</w:t>
      </w:r>
      <w:r w:rsidR="00345049" w:rsidRPr="00E95BC4">
        <w:rPr>
          <w:lang w:val="sr-Cyrl-CS"/>
        </w:rPr>
        <w:t xml:space="preserve"> </w:t>
      </w:r>
      <w:r>
        <w:rPr>
          <w:lang w:val="sr-Cyrl-CS"/>
        </w:rPr>
        <w:t>Manivala</w:t>
      </w:r>
      <w:r w:rsidR="00345049" w:rsidRPr="00E95BC4">
        <w:rPr>
          <w:lang w:val="sr-Cyrl-CS"/>
        </w:rPr>
        <w:t xml:space="preserve">, </w:t>
      </w:r>
      <w:r>
        <w:rPr>
          <w:lang w:val="sr-Cyrl-CS"/>
        </w:rPr>
        <w:t>moglo</w:t>
      </w:r>
      <w:r w:rsidR="00345049" w:rsidRPr="00E95BC4">
        <w:rPr>
          <w:lang w:val="sr-Cyrl-CS"/>
        </w:rPr>
        <w:t xml:space="preserve"> </w:t>
      </w:r>
      <w:r>
        <w:rPr>
          <w:lang w:val="sr-Cyrl-CS"/>
        </w:rPr>
        <w:t>očekivati</w:t>
      </w:r>
      <w:r w:rsidR="00345049" w:rsidRPr="00E95BC4">
        <w:rPr>
          <w:lang w:val="sr-Cyrl-CS"/>
        </w:rPr>
        <w:t xml:space="preserve"> </w:t>
      </w:r>
      <w:r>
        <w:rPr>
          <w:lang w:val="sr-Cyrl-CS"/>
        </w:rPr>
        <w:t>da</w:t>
      </w:r>
      <w:r w:rsidR="00345049" w:rsidRPr="00E95BC4">
        <w:rPr>
          <w:lang w:val="sr-Cyrl-CS"/>
        </w:rPr>
        <w:t xml:space="preserve"> </w:t>
      </w:r>
      <w:r>
        <w:rPr>
          <w:lang w:val="sr-Cyrl-CS"/>
        </w:rPr>
        <w:t>u</w:t>
      </w:r>
      <w:r w:rsidR="00345049" w:rsidRPr="00E95BC4">
        <w:rPr>
          <w:lang w:val="sr-Cyrl-CS"/>
        </w:rPr>
        <w:t xml:space="preserve"> </w:t>
      </w:r>
      <w:r>
        <w:rPr>
          <w:lang w:val="sr-Cyrl-CS"/>
        </w:rPr>
        <w:t>Republiku</w:t>
      </w:r>
      <w:r w:rsidR="00121E8F" w:rsidRPr="00E95BC4">
        <w:rPr>
          <w:lang w:val="sr-Cyrl-CS"/>
        </w:rPr>
        <w:t xml:space="preserve"> </w:t>
      </w:r>
      <w:r>
        <w:rPr>
          <w:lang w:val="sr-Cyrl-CS"/>
        </w:rPr>
        <w:t>Srbiju</w:t>
      </w:r>
      <w:r w:rsidR="00345049" w:rsidRPr="00E95BC4">
        <w:rPr>
          <w:lang w:val="sr-Cyrl-CS"/>
        </w:rPr>
        <w:t xml:space="preserve"> </w:t>
      </w:r>
      <w:r>
        <w:rPr>
          <w:lang w:val="sr-Cyrl-CS"/>
        </w:rPr>
        <w:t>bude</w:t>
      </w:r>
      <w:r w:rsidR="00345049" w:rsidRPr="00E95BC4">
        <w:rPr>
          <w:lang w:val="sr-Cyrl-CS"/>
        </w:rPr>
        <w:t xml:space="preserve"> </w:t>
      </w:r>
      <w:r>
        <w:rPr>
          <w:lang w:val="sr-Cyrl-CS"/>
        </w:rPr>
        <w:t>upućena</w:t>
      </w:r>
      <w:r w:rsidR="00345049" w:rsidRPr="00E95BC4">
        <w:rPr>
          <w:lang w:val="sr-Cyrl-CS"/>
        </w:rPr>
        <w:t xml:space="preserve"> </w:t>
      </w:r>
      <w:r>
        <w:rPr>
          <w:lang w:val="sr-Cyrl-CS"/>
        </w:rPr>
        <w:t>misija</w:t>
      </w:r>
      <w:r w:rsidR="00345049" w:rsidRPr="00E95BC4">
        <w:rPr>
          <w:lang w:val="sr-Cyrl-CS"/>
        </w:rPr>
        <w:t xml:space="preserve"> </w:t>
      </w:r>
      <w:r>
        <w:rPr>
          <w:lang w:val="sr-Cyrl-CS"/>
        </w:rPr>
        <w:t>koja</w:t>
      </w:r>
      <w:r w:rsidR="00345049" w:rsidRPr="00E95BC4">
        <w:rPr>
          <w:lang w:val="sr-Cyrl-CS"/>
        </w:rPr>
        <w:t xml:space="preserve"> </w:t>
      </w:r>
      <w:r>
        <w:rPr>
          <w:lang w:val="sr-Cyrl-CS"/>
        </w:rPr>
        <w:t>će</w:t>
      </w:r>
      <w:r w:rsidR="00345049" w:rsidRPr="00E95BC4">
        <w:rPr>
          <w:lang w:val="sr-Cyrl-CS"/>
        </w:rPr>
        <w:t xml:space="preserve"> </w:t>
      </w:r>
      <w:r>
        <w:rPr>
          <w:lang w:val="sr-Cyrl-CS"/>
        </w:rPr>
        <w:t>konstatovati</w:t>
      </w:r>
      <w:r w:rsidR="00345049" w:rsidRPr="00E95BC4">
        <w:rPr>
          <w:lang w:val="sr-Cyrl-CS"/>
        </w:rPr>
        <w:t xml:space="preserve"> </w:t>
      </w:r>
      <w:r>
        <w:rPr>
          <w:lang w:val="sr-Cyrl-CS"/>
        </w:rPr>
        <w:t>u</w:t>
      </w:r>
      <w:r w:rsidR="00345049" w:rsidRPr="00E95BC4">
        <w:rPr>
          <w:lang w:val="sr-Cyrl-CS"/>
        </w:rPr>
        <w:t xml:space="preserve"> </w:t>
      </w:r>
      <w:r>
        <w:rPr>
          <w:lang w:val="sr-Cyrl-CS"/>
        </w:rPr>
        <w:t>kojoj</w:t>
      </w:r>
      <w:r w:rsidR="00345049" w:rsidRPr="00E95BC4">
        <w:rPr>
          <w:lang w:val="sr-Cyrl-CS"/>
        </w:rPr>
        <w:t xml:space="preserve"> </w:t>
      </w:r>
      <w:r>
        <w:rPr>
          <w:lang w:val="sr-Cyrl-CS"/>
        </w:rPr>
        <w:t>meri</w:t>
      </w:r>
      <w:r w:rsidR="00345049" w:rsidRPr="00E95BC4">
        <w:rPr>
          <w:lang w:val="sr-Cyrl-CS"/>
        </w:rPr>
        <w:t xml:space="preserve"> </w:t>
      </w:r>
      <w:r>
        <w:rPr>
          <w:lang w:val="sr-Cyrl-CS"/>
        </w:rPr>
        <w:t>se</w:t>
      </w:r>
      <w:r w:rsidR="00345049" w:rsidRPr="00E95BC4">
        <w:rPr>
          <w:lang w:val="sr-Cyrl-CS"/>
        </w:rPr>
        <w:t xml:space="preserve"> </w:t>
      </w:r>
      <w:r>
        <w:rPr>
          <w:lang w:val="sr-Cyrl-CS"/>
        </w:rPr>
        <w:t>ostvaruju</w:t>
      </w:r>
      <w:r w:rsidR="00345049" w:rsidRPr="00E95BC4">
        <w:rPr>
          <w:lang w:val="sr-Cyrl-CS"/>
        </w:rPr>
        <w:t xml:space="preserve"> </w:t>
      </w:r>
      <w:r>
        <w:rPr>
          <w:lang w:val="sr-Cyrl-CS"/>
        </w:rPr>
        <w:t>preporuka</w:t>
      </w:r>
      <w:r w:rsidR="00345049" w:rsidRPr="00E95BC4">
        <w:rPr>
          <w:lang w:val="sr-Cyrl-CS"/>
        </w:rPr>
        <w:t xml:space="preserve"> </w:t>
      </w:r>
      <w:r>
        <w:rPr>
          <w:lang w:val="sr-Cyrl-CS"/>
        </w:rPr>
        <w:t>Manivala</w:t>
      </w:r>
      <w:r w:rsidR="00345049" w:rsidRPr="00E95BC4">
        <w:rPr>
          <w:lang w:val="sr-Cyrl-CS"/>
        </w:rPr>
        <w:t xml:space="preserve"> </w:t>
      </w:r>
      <w:r>
        <w:rPr>
          <w:lang w:val="sr-Cyrl-CS"/>
        </w:rPr>
        <w:t>na</w:t>
      </w:r>
      <w:r w:rsidR="00345049" w:rsidRPr="00E95BC4">
        <w:rPr>
          <w:lang w:val="sr-Cyrl-CS"/>
        </w:rPr>
        <w:t xml:space="preserve"> </w:t>
      </w:r>
      <w:r>
        <w:rPr>
          <w:lang w:val="sr-Cyrl-CS"/>
        </w:rPr>
        <w:t>terenu</w:t>
      </w:r>
      <w:r w:rsidR="00345049" w:rsidRPr="00E95BC4">
        <w:rPr>
          <w:lang w:val="sr-Cyrl-CS"/>
        </w:rPr>
        <w:t xml:space="preserve">, </w:t>
      </w:r>
      <w:r>
        <w:rPr>
          <w:lang w:val="sr-Cyrl-CS"/>
        </w:rPr>
        <w:t>a</w:t>
      </w:r>
      <w:r w:rsidR="00345049" w:rsidRPr="00E95BC4">
        <w:rPr>
          <w:lang w:val="sr-Cyrl-CS"/>
        </w:rPr>
        <w:t xml:space="preserve"> </w:t>
      </w:r>
      <w:r>
        <w:rPr>
          <w:lang w:val="sr-Cyrl-CS"/>
        </w:rPr>
        <w:t>posebno</w:t>
      </w:r>
      <w:r w:rsidR="00345049" w:rsidRPr="00E95BC4">
        <w:rPr>
          <w:lang w:val="sr-Cyrl-CS"/>
        </w:rPr>
        <w:t xml:space="preserve"> </w:t>
      </w:r>
      <w:r>
        <w:rPr>
          <w:lang w:val="sr-Cyrl-CS"/>
        </w:rPr>
        <w:t>kada</w:t>
      </w:r>
      <w:r w:rsidR="00345049" w:rsidRPr="00E95BC4">
        <w:rPr>
          <w:lang w:val="sr-Cyrl-CS"/>
        </w:rPr>
        <w:t xml:space="preserve"> </w:t>
      </w:r>
      <w:r>
        <w:rPr>
          <w:lang w:val="sr-Cyrl-CS"/>
        </w:rPr>
        <w:t>je</w:t>
      </w:r>
      <w:r w:rsidR="00345049" w:rsidRPr="00E95BC4">
        <w:rPr>
          <w:lang w:val="sr-Cyrl-CS"/>
        </w:rPr>
        <w:t xml:space="preserve"> </w:t>
      </w:r>
      <w:r>
        <w:rPr>
          <w:lang w:val="sr-Cyrl-CS"/>
        </w:rPr>
        <w:t>reč</w:t>
      </w:r>
      <w:r w:rsidR="00345049" w:rsidRPr="00E95BC4">
        <w:rPr>
          <w:lang w:val="sr-Cyrl-CS"/>
        </w:rPr>
        <w:t xml:space="preserve"> </w:t>
      </w:r>
      <w:r>
        <w:rPr>
          <w:lang w:val="sr-Cyrl-CS"/>
        </w:rPr>
        <w:t>o</w:t>
      </w:r>
      <w:r w:rsidR="00345049" w:rsidRPr="00E95BC4">
        <w:rPr>
          <w:lang w:val="sr-Cyrl-CS"/>
        </w:rPr>
        <w:t xml:space="preserve"> </w:t>
      </w:r>
      <w:r>
        <w:rPr>
          <w:lang w:val="sr-Cyrl-CS"/>
        </w:rPr>
        <w:t>aspektima</w:t>
      </w:r>
      <w:r w:rsidR="00345049" w:rsidRPr="00E95BC4">
        <w:rPr>
          <w:lang w:val="sr-Cyrl-CS"/>
        </w:rPr>
        <w:t xml:space="preserve"> </w:t>
      </w:r>
      <w:r>
        <w:rPr>
          <w:lang w:val="sr-Cyrl-CS"/>
        </w:rPr>
        <w:t>delotvornosti</w:t>
      </w:r>
      <w:r w:rsidR="00345049" w:rsidRPr="00E95BC4">
        <w:rPr>
          <w:lang w:val="sr-Cyrl-CS"/>
        </w:rPr>
        <w:t xml:space="preserve">. </w:t>
      </w:r>
      <w:r>
        <w:rPr>
          <w:lang w:val="sr-Cyrl-CS"/>
        </w:rPr>
        <w:t>Zaključke</w:t>
      </w:r>
      <w:r w:rsidR="00345049" w:rsidRPr="00E95BC4">
        <w:rPr>
          <w:lang w:val="sr-Cyrl-CS"/>
        </w:rPr>
        <w:t xml:space="preserve"> </w:t>
      </w:r>
      <w:r>
        <w:rPr>
          <w:lang w:val="sr-Cyrl-CS"/>
        </w:rPr>
        <w:t>te</w:t>
      </w:r>
      <w:r w:rsidR="00345049" w:rsidRPr="00E95BC4">
        <w:rPr>
          <w:lang w:val="sr-Cyrl-CS"/>
        </w:rPr>
        <w:t xml:space="preserve"> </w:t>
      </w:r>
      <w:r>
        <w:rPr>
          <w:lang w:val="sr-Cyrl-CS"/>
        </w:rPr>
        <w:t>misije</w:t>
      </w:r>
      <w:r w:rsidR="00345049" w:rsidRPr="00E95BC4">
        <w:rPr>
          <w:lang w:val="sr-Cyrl-CS"/>
        </w:rPr>
        <w:t xml:space="preserve"> </w:t>
      </w:r>
      <w:r>
        <w:rPr>
          <w:lang w:val="sr-Cyrl-CS"/>
        </w:rPr>
        <w:t>treba</w:t>
      </w:r>
      <w:r w:rsidR="00345049" w:rsidRPr="00E95BC4">
        <w:rPr>
          <w:lang w:val="sr-Cyrl-CS"/>
        </w:rPr>
        <w:t xml:space="preserve"> </w:t>
      </w:r>
      <w:r>
        <w:rPr>
          <w:lang w:val="sr-Cyrl-CS"/>
        </w:rPr>
        <w:t>imati</w:t>
      </w:r>
      <w:r w:rsidR="00345049" w:rsidRPr="00E95BC4">
        <w:rPr>
          <w:lang w:val="sr-Cyrl-CS"/>
        </w:rPr>
        <w:t xml:space="preserve"> </w:t>
      </w:r>
      <w:r>
        <w:rPr>
          <w:lang w:val="sr-Cyrl-CS"/>
        </w:rPr>
        <w:t>u</w:t>
      </w:r>
      <w:r w:rsidR="00345049" w:rsidRPr="00E95BC4">
        <w:rPr>
          <w:lang w:val="sr-Cyrl-CS"/>
        </w:rPr>
        <w:t xml:space="preserve"> </w:t>
      </w:r>
      <w:r>
        <w:rPr>
          <w:lang w:val="sr-Cyrl-CS"/>
        </w:rPr>
        <w:t>vidu</w:t>
      </w:r>
      <w:r w:rsidR="00345049" w:rsidRPr="00E95BC4">
        <w:rPr>
          <w:lang w:val="sr-Cyrl-CS"/>
        </w:rPr>
        <w:t xml:space="preserve"> </w:t>
      </w:r>
      <w:r>
        <w:rPr>
          <w:lang w:val="sr-Cyrl-CS"/>
        </w:rPr>
        <w:t>u</w:t>
      </w:r>
      <w:r w:rsidR="00345049" w:rsidRPr="00E95BC4">
        <w:rPr>
          <w:lang w:val="sr-Cyrl-CS"/>
        </w:rPr>
        <w:t xml:space="preserve"> </w:t>
      </w:r>
      <w:r>
        <w:rPr>
          <w:lang w:val="sr-Cyrl-CS"/>
        </w:rPr>
        <w:t>kontekstu</w:t>
      </w:r>
      <w:r w:rsidR="00345049" w:rsidRPr="00E95BC4">
        <w:rPr>
          <w:lang w:val="sr-Cyrl-CS"/>
        </w:rPr>
        <w:t xml:space="preserve"> </w:t>
      </w:r>
      <w:r>
        <w:rPr>
          <w:lang w:val="sr-Cyrl-CS"/>
        </w:rPr>
        <w:t>ažuriranja</w:t>
      </w:r>
      <w:r w:rsidR="005414D3" w:rsidRPr="00E95BC4">
        <w:rPr>
          <w:lang w:val="sr-Cyrl-CS"/>
        </w:rPr>
        <w:t xml:space="preserve"> </w:t>
      </w:r>
      <w:r>
        <w:rPr>
          <w:lang w:val="sr-Cyrl-CS"/>
        </w:rPr>
        <w:t>Akcionog</w:t>
      </w:r>
      <w:r w:rsidR="005414D3" w:rsidRPr="00E95BC4">
        <w:rPr>
          <w:lang w:val="sr-Cyrl-CS"/>
        </w:rPr>
        <w:t xml:space="preserve"> </w:t>
      </w:r>
      <w:r>
        <w:rPr>
          <w:lang w:val="sr-Cyrl-CS"/>
        </w:rPr>
        <w:t>plana</w:t>
      </w:r>
      <w:r w:rsidR="005414D3" w:rsidRPr="00E95BC4">
        <w:rPr>
          <w:lang w:val="sr-Cyrl-CS"/>
        </w:rPr>
        <w:t xml:space="preserve"> </w:t>
      </w:r>
      <w:r>
        <w:rPr>
          <w:lang w:val="sr-Cyrl-CS"/>
        </w:rPr>
        <w:t>uz</w:t>
      </w:r>
      <w:r w:rsidR="005414D3" w:rsidRPr="00E95BC4">
        <w:rPr>
          <w:lang w:val="sr-Cyrl-CS"/>
        </w:rPr>
        <w:t xml:space="preserve"> </w:t>
      </w:r>
      <w:r>
        <w:rPr>
          <w:lang w:val="sr-Cyrl-CS"/>
        </w:rPr>
        <w:t>Strategiju</w:t>
      </w:r>
      <w:r w:rsidR="000B75F7" w:rsidRPr="00E95BC4">
        <w:rPr>
          <w:lang w:val="sr-Cyrl-CS"/>
        </w:rPr>
        <w:t>.</w:t>
      </w:r>
      <w:r w:rsidR="00345049" w:rsidRPr="00E95BC4">
        <w:rPr>
          <w:lang w:val="sr-Cyrl-CS"/>
        </w:rPr>
        <w:t xml:space="preserve">  </w:t>
      </w:r>
    </w:p>
    <w:p w:rsidR="00E8557B" w:rsidRPr="00E8557B" w:rsidRDefault="00E8557B" w:rsidP="00285FD7">
      <w:pPr>
        <w:ind w:firstLine="720"/>
        <w:jc w:val="both"/>
        <w:rPr>
          <w:sz w:val="16"/>
          <w:szCs w:val="16"/>
          <w:lang w:val="sr-Cyrl-CS"/>
        </w:rPr>
      </w:pPr>
    </w:p>
    <w:p w:rsidR="00DA75CF" w:rsidRPr="00E95BC4" w:rsidRDefault="005818C0" w:rsidP="00285FD7">
      <w:pPr>
        <w:ind w:firstLine="720"/>
        <w:jc w:val="both"/>
        <w:rPr>
          <w:rFonts w:eastAsia="Times New Roman"/>
          <w:color w:val="auto"/>
          <w:kern w:val="0"/>
          <w:lang w:val="sr-Cyrl-CS" w:eastAsia="en-GB"/>
        </w:rPr>
      </w:pPr>
      <w:r>
        <w:rPr>
          <w:b/>
          <w:lang w:val="sr-Cyrl-CS"/>
        </w:rPr>
        <w:t>Praćenje</w:t>
      </w:r>
      <w:r w:rsidR="00345049" w:rsidRPr="00E95BC4">
        <w:rPr>
          <w:b/>
          <w:lang w:val="sr-Cyrl-CS"/>
        </w:rPr>
        <w:t xml:space="preserve"> </w:t>
      </w:r>
      <w:r>
        <w:rPr>
          <w:b/>
          <w:lang w:val="sr-Cyrl-CS"/>
        </w:rPr>
        <w:t>sprovođenja</w:t>
      </w:r>
      <w:r w:rsidR="00345049" w:rsidRPr="00E95BC4">
        <w:rPr>
          <w:b/>
          <w:lang w:val="sr-Cyrl-CS"/>
        </w:rPr>
        <w:t xml:space="preserve"> </w:t>
      </w:r>
      <w:r>
        <w:rPr>
          <w:b/>
          <w:lang w:val="sr-Cyrl-CS"/>
        </w:rPr>
        <w:t>Strategije</w:t>
      </w:r>
      <w:r w:rsidR="00345049" w:rsidRPr="00E95BC4">
        <w:rPr>
          <w:b/>
          <w:lang w:val="sr-Cyrl-CS"/>
        </w:rPr>
        <w:t xml:space="preserve"> </w:t>
      </w:r>
      <w:r>
        <w:rPr>
          <w:b/>
          <w:lang w:val="sr-Cyrl-CS"/>
        </w:rPr>
        <w:t>i</w:t>
      </w:r>
      <w:r w:rsidR="00345049" w:rsidRPr="00E95BC4">
        <w:rPr>
          <w:b/>
          <w:lang w:val="sr-Cyrl-CS"/>
        </w:rPr>
        <w:t xml:space="preserve"> </w:t>
      </w:r>
      <w:r>
        <w:rPr>
          <w:b/>
          <w:lang w:val="sr-Cyrl-CS"/>
        </w:rPr>
        <w:t>Akcionog</w:t>
      </w:r>
      <w:r w:rsidR="00345049" w:rsidRPr="00E95BC4">
        <w:rPr>
          <w:b/>
          <w:lang w:val="sr-Cyrl-CS"/>
        </w:rPr>
        <w:t xml:space="preserve"> </w:t>
      </w:r>
      <w:r>
        <w:rPr>
          <w:b/>
          <w:lang w:val="sr-Cyrl-CS"/>
        </w:rPr>
        <w:t>plana</w:t>
      </w:r>
      <w:r w:rsidR="00345049" w:rsidRPr="00E95BC4">
        <w:rPr>
          <w:b/>
          <w:lang w:val="sr-Cyrl-CS"/>
        </w:rPr>
        <w:t xml:space="preserve">. </w:t>
      </w:r>
      <w:r>
        <w:rPr>
          <w:rFonts w:eastAsia="Times New Roman"/>
          <w:color w:val="auto"/>
          <w:kern w:val="0"/>
          <w:lang w:val="sr-Cyrl-CS" w:eastAsia="en-GB"/>
        </w:rPr>
        <w:t>Vlada</w:t>
      </w:r>
      <w:r w:rsidR="00DA75CF" w:rsidRPr="00E95BC4">
        <w:rPr>
          <w:lang w:val="sr-Cyrl-CS" w:eastAsia="en-GB"/>
        </w:rPr>
        <w:t xml:space="preserve"> </w:t>
      </w:r>
      <w:r>
        <w:rPr>
          <w:lang w:val="sr-Cyrl-CS" w:eastAsia="en-GB"/>
        </w:rPr>
        <w:t>je</w:t>
      </w:r>
      <w:r w:rsidR="00DA75CF" w:rsidRPr="00E95BC4">
        <w:rPr>
          <w:lang w:val="sr-Cyrl-CS" w:eastAsia="en-GB"/>
        </w:rPr>
        <w:t xml:space="preserve"> </w:t>
      </w:r>
      <w:r w:rsidR="00DA75CF" w:rsidRPr="00E95BC4">
        <w:rPr>
          <w:rFonts w:eastAsia="Times New Roman"/>
          <w:color w:val="auto"/>
          <w:kern w:val="0"/>
          <w:lang w:val="sr-Cyrl-CS" w:eastAsia="en-GB"/>
        </w:rPr>
        <w:t xml:space="preserve">12. </w:t>
      </w:r>
      <w:r>
        <w:rPr>
          <w:rFonts w:eastAsia="Times New Roman"/>
          <w:color w:val="auto"/>
          <w:kern w:val="0"/>
          <w:lang w:val="sr-Cyrl-CS" w:eastAsia="en-GB"/>
        </w:rPr>
        <w:t>jula</w:t>
      </w:r>
      <w:r w:rsidR="00DA75CF" w:rsidRPr="00E95BC4">
        <w:rPr>
          <w:rFonts w:eastAsia="Times New Roman"/>
          <w:color w:val="auto"/>
          <w:kern w:val="0"/>
          <w:lang w:val="sr-Cyrl-CS" w:eastAsia="en-GB"/>
        </w:rPr>
        <w:t xml:space="preserve"> 2018. </w:t>
      </w:r>
      <w:r>
        <w:rPr>
          <w:rFonts w:eastAsia="Times New Roman"/>
          <w:color w:val="auto"/>
          <w:kern w:val="0"/>
          <w:lang w:val="sr-Cyrl-CS" w:eastAsia="en-GB"/>
        </w:rPr>
        <w:t>godine</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donela</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Odluku</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o</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obrazovanju</w:t>
      </w:r>
      <w:r w:rsidR="00DA75CF" w:rsidRPr="00E95BC4">
        <w:rPr>
          <w:rFonts w:eastAsia="Times New Roman"/>
          <w:color w:val="auto"/>
          <w:kern w:val="0"/>
          <w:lang w:val="sr-Cyrl-CS" w:eastAsia="en-GB"/>
        </w:rPr>
        <w:t xml:space="preserve"> </w:t>
      </w:r>
      <w:r>
        <w:rPr>
          <w:rFonts w:eastAsia="Times New Roman"/>
          <w:b/>
          <w:color w:val="auto"/>
          <w:kern w:val="0"/>
          <w:lang w:val="sr-Cyrl-CS" w:eastAsia="en-GB"/>
        </w:rPr>
        <w:t>Koordinacionog</w:t>
      </w:r>
      <w:r w:rsidR="00DA75CF" w:rsidRPr="00E95BC4">
        <w:rPr>
          <w:rFonts w:eastAsia="Times New Roman"/>
          <w:b/>
          <w:color w:val="auto"/>
          <w:kern w:val="0"/>
          <w:lang w:val="sr-Cyrl-CS" w:eastAsia="en-GB"/>
        </w:rPr>
        <w:t xml:space="preserve"> </w:t>
      </w:r>
      <w:r>
        <w:rPr>
          <w:rFonts w:eastAsia="Times New Roman"/>
          <w:b/>
          <w:color w:val="auto"/>
          <w:kern w:val="0"/>
          <w:lang w:val="sr-Cyrl-CS" w:eastAsia="en-GB"/>
        </w:rPr>
        <w:t>tela</w:t>
      </w:r>
      <w:r w:rsidR="00DA75CF" w:rsidRPr="00E95BC4">
        <w:rPr>
          <w:rFonts w:eastAsia="Times New Roman"/>
          <w:b/>
          <w:color w:val="auto"/>
          <w:kern w:val="0"/>
          <w:lang w:val="sr-Cyrl-CS" w:eastAsia="en-GB"/>
        </w:rPr>
        <w:t xml:space="preserve"> </w:t>
      </w:r>
      <w:r>
        <w:rPr>
          <w:rFonts w:eastAsia="Times New Roman"/>
          <w:b/>
          <w:color w:val="auto"/>
          <w:kern w:val="0"/>
          <w:lang w:val="sr-Cyrl-CS" w:eastAsia="en-GB"/>
        </w:rPr>
        <w:t>za</w:t>
      </w:r>
      <w:r w:rsidR="00DA75CF" w:rsidRPr="00E95BC4">
        <w:rPr>
          <w:rFonts w:eastAsia="Times New Roman"/>
          <w:b/>
          <w:color w:val="auto"/>
          <w:kern w:val="0"/>
          <w:lang w:val="sr-Cyrl-CS" w:eastAsia="en-GB"/>
        </w:rPr>
        <w:t xml:space="preserve"> </w:t>
      </w:r>
      <w:r>
        <w:rPr>
          <w:rFonts w:eastAsia="Times New Roman"/>
          <w:b/>
          <w:color w:val="auto"/>
          <w:kern w:val="0"/>
          <w:lang w:val="sr-Cyrl-CS" w:eastAsia="en-GB"/>
        </w:rPr>
        <w:t>sprečavanje</w:t>
      </w:r>
      <w:r w:rsidR="00DA75CF" w:rsidRPr="00E95BC4">
        <w:rPr>
          <w:rFonts w:eastAsia="Times New Roman"/>
          <w:b/>
          <w:color w:val="auto"/>
          <w:kern w:val="0"/>
          <w:lang w:val="sr-Cyrl-CS" w:eastAsia="en-GB"/>
        </w:rPr>
        <w:t xml:space="preserve"> </w:t>
      </w:r>
      <w:r>
        <w:rPr>
          <w:rFonts w:eastAsia="Times New Roman"/>
          <w:b/>
          <w:color w:val="auto"/>
          <w:kern w:val="0"/>
          <w:lang w:val="sr-Cyrl-CS" w:eastAsia="en-GB"/>
        </w:rPr>
        <w:t>pranja</w:t>
      </w:r>
      <w:r w:rsidR="00DA75CF" w:rsidRPr="00E95BC4">
        <w:rPr>
          <w:rFonts w:eastAsia="Times New Roman"/>
          <w:b/>
          <w:color w:val="auto"/>
          <w:kern w:val="0"/>
          <w:lang w:val="sr-Cyrl-CS" w:eastAsia="en-GB"/>
        </w:rPr>
        <w:t xml:space="preserve"> </w:t>
      </w:r>
      <w:r>
        <w:rPr>
          <w:rFonts w:eastAsia="Times New Roman"/>
          <w:b/>
          <w:color w:val="auto"/>
          <w:kern w:val="0"/>
          <w:lang w:val="sr-Cyrl-CS" w:eastAsia="en-GB"/>
        </w:rPr>
        <w:t>novca</w:t>
      </w:r>
      <w:r w:rsidR="00DA75CF" w:rsidRPr="00E95BC4">
        <w:rPr>
          <w:rFonts w:eastAsia="Times New Roman"/>
          <w:b/>
          <w:color w:val="auto"/>
          <w:kern w:val="0"/>
          <w:lang w:val="sr-Cyrl-CS" w:eastAsia="en-GB"/>
        </w:rPr>
        <w:t xml:space="preserve"> </w:t>
      </w:r>
      <w:r>
        <w:rPr>
          <w:rFonts w:eastAsia="Times New Roman"/>
          <w:b/>
          <w:color w:val="auto"/>
          <w:kern w:val="0"/>
          <w:lang w:val="sr-Cyrl-CS" w:eastAsia="en-GB"/>
        </w:rPr>
        <w:t>i</w:t>
      </w:r>
      <w:r w:rsidR="00DA75CF" w:rsidRPr="00E95BC4">
        <w:rPr>
          <w:rFonts w:eastAsia="Times New Roman"/>
          <w:b/>
          <w:color w:val="auto"/>
          <w:kern w:val="0"/>
          <w:lang w:val="sr-Cyrl-CS" w:eastAsia="en-GB"/>
        </w:rPr>
        <w:t xml:space="preserve"> </w:t>
      </w:r>
      <w:r>
        <w:rPr>
          <w:rFonts w:eastAsia="Times New Roman"/>
          <w:b/>
          <w:color w:val="auto"/>
          <w:kern w:val="0"/>
          <w:lang w:val="sr-Cyrl-CS" w:eastAsia="en-GB"/>
        </w:rPr>
        <w:t>finansiranja</w:t>
      </w:r>
      <w:r w:rsidR="00DA75CF" w:rsidRPr="00E95BC4">
        <w:rPr>
          <w:rFonts w:eastAsia="Times New Roman"/>
          <w:b/>
          <w:color w:val="auto"/>
          <w:kern w:val="0"/>
          <w:lang w:val="sr-Cyrl-CS" w:eastAsia="en-GB"/>
        </w:rPr>
        <w:t xml:space="preserve"> </w:t>
      </w:r>
      <w:r>
        <w:rPr>
          <w:rFonts w:eastAsia="Times New Roman"/>
          <w:b/>
          <w:color w:val="auto"/>
          <w:kern w:val="0"/>
          <w:lang w:val="sr-Cyrl-CS" w:eastAsia="en-GB"/>
        </w:rPr>
        <w:t>terorizma</w:t>
      </w:r>
      <w:r w:rsidR="005414D3" w:rsidRPr="00E95BC4">
        <w:rPr>
          <w:rFonts w:eastAsia="Times New Roman"/>
          <w:b/>
          <w:color w:val="auto"/>
          <w:kern w:val="0"/>
          <w:lang w:val="sr-Cyrl-CS" w:eastAsia="en-GB"/>
        </w:rPr>
        <w:t xml:space="preserve"> </w:t>
      </w:r>
      <w:r w:rsidR="005414D3" w:rsidRPr="00E95BC4">
        <w:rPr>
          <w:rFonts w:eastAsia="Times New Roman"/>
          <w:color w:val="auto"/>
          <w:kern w:val="0"/>
          <w:lang w:val="sr-Cyrl-CS" w:eastAsia="en-GB"/>
        </w:rPr>
        <w:t>(„</w:t>
      </w:r>
      <w:r>
        <w:rPr>
          <w:rFonts w:eastAsia="Times New Roman"/>
          <w:color w:val="auto"/>
          <w:kern w:val="0"/>
          <w:lang w:val="sr-Cyrl-CS" w:eastAsia="en-GB"/>
        </w:rPr>
        <w:t>Službeni</w:t>
      </w:r>
      <w:r w:rsidR="005414D3" w:rsidRPr="00E95BC4">
        <w:rPr>
          <w:rFonts w:eastAsia="Times New Roman"/>
          <w:color w:val="auto"/>
          <w:kern w:val="0"/>
          <w:lang w:val="sr-Cyrl-CS" w:eastAsia="en-GB"/>
        </w:rPr>
        <w:t xml:space="preserve"> </w:t>
      </w:r>
      <w:r>
        <w:rPr>
          <w:rFonts w:eastAsia="Times New Roman"/>
          <w:color w:val="auto"/>
          <w:kern w:val="0"/>
          <w:lang w:val="sr-Cyrl-CS" w:eastAsia="en-GB"/>
        </w:rPr>
        <w:t>glasnik</w:t>
      </w:r>
      <w:r w:rsidR="005414D3" w:rsidRPr="00E95BC4">
        <w:rPr>
          <w:rFonts w:eastAsia="Times New Roman"/>
          <w:color w:val="auto"/>
          <w:kern w:val="0"/>
          <w:lang w:val="sr-Cyrl-CS" w:eastAsia="en-GB"/>
        </w:rPr>
        <w:t xml:space="preserve"> </w:t>
      </w:r>
      <w:r>
        <w:rPr>
          <w:rFonts w:eastAsia="Times New Roman"/>
          <w:color w:val="auto"/>
          <w:kern w:val="0"/>
          <w:lang w:val="sr-Cyrl-CS" w:eastAsia="en-GB"/>
        </w:rPr>
        <w:t>RS</w:t>
      </w:r>
      <w:r w:rsidR="005414D3" w:rsidRPr="00E95BC4">
        <w:rPr>
          <w:rFonts w:eastAsia="Times New Roman"/>
          <w:color w:val="auto"/>
          <w:kern w:val="0"/>
          <w:lang w:val="sr-Cyrl-CS" w:eastAsia="en-GB"/>
        </w:rPr>
        <w:t>”</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br</w:t>
      </w:r>
      <w:r w:rsidR="005414D3" w:rsidRPr="00E95BC4">
        <w:rPr>
          <w:rFonts w:eastAsia="Times New Roman"/>
          <w:color w:val="auto"/>
          <w:kern w:val="0"/>
          <w:lang w:val="sr-Cyrl-CS" w:eastAsia="en-GB"/>
        </w:rPr>
        <w:t xml:space="preserve">. 54/18 </w:t>
      </w:r>
      <w:r>
        <w:rPr>
          <w:rFonts w:eastAsia="Times New Roman"/>
          <w:color w:val="auto"/>
          <w:kern w:val="0"/>
          <w:lang w:val="sr-Cyrl-CS" w:eastAsia="en-GB"/>
        </w:rPr>
        <w:t>i</w:t>
      </w:r>
      <w:r w:rsidR="005414D3" w:rsidRPr="00E95BC4">
        <w:rPr>
          <w:rFonts w:eastAsia="Times New Roman"/>
          <w:color w:val="auto"/>
          <w:kern w:val="0"/>
          <w:lang w:val="sr-Cyrl-CS" w:eastAsia="en-GB"/>
        </w:rPr>
        <w:t xml:space="preserve"> 84/</w:t>
      </w:r>
      <w:r w:rsidR="00DA75CF" w:rsidRPr="00E95BC4">
        <w:rPr>
          <w:rFonts w:eastAsia="Times New Roman"/>
          <w:color w:val="auto"/>
          <w:kern w:val="0"/>
          <w:lang w:val="sr-Cyrl-CS" w:eastAsia="en-GB"/>
        </w:rPr>
        <w:t>19)</w:t>
      </w:r>
      <w:r w:rsidR="00DA75CF" w:rsidRPr="00E95BC4">
        <w:rPr>
          <w:rStyle w:val="FootnoteReference"/>
          <w:rFonts w:eastAsia="Times New Roman"/>
          <w:color w:val="auto"/>
          <w:kern w:val="0"/>
          <w:lang w:val="sr-Cyrl-CS" w:eastAsia="en-GB"/>
        </w:rPr>
        <w:footnoteReference w:id="27"/>
      </w:r>
      <w:r w:rsidR="00285FD7" w:rsidRPr="00E95BC4">
        <w:rPr>
          <w:rFonts w:eastAsia="Times New Roman"/>
          <w:color w:val="auto"/>
          <w:kern w:val="0"/>
          <w:lang w:val="sr-Cyrl-CS" w:eastAsia="en-GB"/>
        </w:rPr>
        <w:t>.</w:t>
      </w:r>
    </w:p>
    <w:p w:rsidR="00DA75CF" w:rsidRPr="00E95BC4" w:rsidRDefault="005818C0" w:rsidP="00285FD7">
      <w:pPr>
        <w:ind w:firstLine="720"/>
        <w:rPr>
          <w:rFonts w:eastAsia="Times New Roman"/>
          <w:color w:val="auto"/>
          <w:kern w:val="0"/>
          <w:lang w:val="sr-Cyrl-CS" w:eastAsia="en-GB"/>
        </w:rPr>
      </w:pPr>
      <w:r>
        <w:rPr>
          <w:rFonts w:eastAsia="Times New Roman"/>
          <w:color w:val="auto"/>
          <w:kern w:val="0"/>
          <w:lang w:val="sr-Cyrl-CS" w:eastAsia="en-GB"/>
        </w:rPr>
        <w:lastRenderedPageBreak/>
        <w:t>Zadaci</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Koordinacionog</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tela</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su</w:t>
      </w:r>
      <w:r w:rsidR="00DA75CF" w:rsidRPr="00E95BC4">
        <w:rPr>
          <w:rFonts w:eastAsia="Times New Roman"/>
          <w:color w:val="auto"/>
          <w:kern w:val="0"/>
          <w:lang w:val="sr-Cyrl-CS" w:eastAsia="en-GB"/>
        </w:rPr>
        <w:t>:</w:t>
      </w:r>
    </w:p>
    <w:p w:rsidR="00DA75CF" w:rsidRPr="00E95BC4" w:rsidRDefault="005818C0" w:rsidP="00AC7277">
      <w:pPr>
        <w:pStyle w:val="ListParagraph"/>
        <w:numPr>
          <w:ilvl w:val="0"/>
          <w:numId w:val="14"/>
        </w:numPr>
        <w:rPr>
          <w:rFonts w:eastAsia="Times New Roman"/>
          <w:color w:val="auto"/>
          <w:kern w:val="0"/>
          <w:lang w:val="sr-Cyrl-CS" w:eastAsia="en-GB"/>
        </w:rPr>
      </w:pPr>
      <w:r>
        <w:rPr>
          <w:rFonts w:eastAsia="Times New Roman"/>
          <w:color w:val="auto"/>
          <w:kern w:val="0"/>
          <w:lang w:val="sr-Cyrl-CS" w:eastAsia="en-GB"/>
        </w:rPr>
        <w:t>analiza</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najznačajnijih</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pitanja</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za</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funkcionisanje</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sistema</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za</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borbu</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protiv</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pranja</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novca</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finansiranja</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terorizma</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i</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finansiranja</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širenja</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oružja</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za</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masovno</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uništenje</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koordiniranje</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i</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predlaganje</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mera</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nadležnim</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organima</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za</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unapređenje</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tog</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sistema</w:t>
      </w:r>
      <w:r w:rsidR="00DA75CF" w:rsidRPr="00E95BC4">
        <w:rPr>
          <w:rFonts w:eastAsia="Times New Roman"/>
          <w:color w:val="auto"/>
          <w:kern w:val="0"/>
          <w:lang w:val="sr-Cyrl-CS" w:eastAsia="en-GB"/>
        </w:rPr>
        <w:t>;</w:t>
      </w:r>
    </w:p>
    <w:p w:rsidR="00DA75CF" w:rsidRPr="00E95BC4" w:rsidRDefault="005818C0" w:rsidP="00AC7277">
      <w:pPr>
        <w:pStyle w:val="ListParagraph"/>
        <w:numPr>
          <w:ilvl w:val="0"/>
          <w:numId w:val="14"/>
        </w:numPr>
        <w:rPr>
          <w:rFonts w:eastAsia="Times New Roman"/>
          <w:color w:val="auto"/>
          <w:kern w:val="0"/>
          <w:lang w:val="sr-Cyrl-CS" w:eastAsia="en-GB"/>
        </w:rPr>
      </w:pPr>
      <w:r>
        <w:rPr>
          <w:rFonts w:eastAsia="Times New Roman"/>
          <w:color w:val="auto"/>
          <w:kern w:val="0"/>
          <w:lang w:val="sr-Cyrl-CS" w:eastAsia="en-GB"/>
        </w:rPr>
        <w:t>utvrđivanje</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metodologije</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i</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sprovođenje</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nacionalne</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procene</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rizika</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od</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pranja</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novca</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i</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finansiranja</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terorizma</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i</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da</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u</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primerenoj</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formi</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dostavlja</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delove</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nacionalne</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procene</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rizika</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svim</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učesnicima</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u</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sistemu</w:t>
      </w:r>
      <w:r w:rsidR="00DA75CF" w:rsidRPr="00E95BC4">
        <w:rPr>
          <w:rFonts w:eastAsia="Times New Roman"/>
          <w:color w:val="auto"/>
          <w:kern w:val="0"/>
          <w:lang w:val="sr-Cyrl-CS" w:eastAsia="en-GB"/>
        </w:rPr>
        <w:t>;</w:t>
      </w:r>
    </w:p>
    <w:p w:rsidR="00DA75CF" w:rsidRPr="00E95BC4" w:rsidRDefault="005818C0" w:rsidP="00AC7277">
      <w:pPr>
        <w:pStyle w:val="ListParagraph"/>
        <w:numPr>
          <w:ilvl w:val="0"/>
          <w:numId w:val="14"/>
        </w:numPr>
        <w:rPr>
          <w:rFonts w:eastAsia="Times New Roman"/>
          <w:color w:val="auto"/>
          <w:kern w:val="0"/>
          <w:lang w:val="sr-Cyrl-CS" w:eastAsia="en-GB"/>
        </w:rPr>
      </w:pPr>
      <w:r>
        <w:rPr>
          <w:rFonts w:eastAsia="Times New Roman"/>
          <w:color w:val="auto"/>
          <w:kern w:val="0"/>
          <w:lang w:val="sr-Cyrl-CS" w:eastAsia="en-GB"/>
        </w:rPr>
        <w:t>staranje</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o</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tome</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da</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rezultati</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nacionalne</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procene</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rizika</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budu</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uzeti</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u</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obzir</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prilikom</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izrade</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ili</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ažuriranja</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Nacionalne</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strategije</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za</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borbu</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protiv</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pranja</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novca</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i</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finansiranja</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terorizma</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i</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pratećeg</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akcionog</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plana</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u</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daljem</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tekstu</w:t>
      </w:r>
      <w:r w:rsidR="00DA75CF" w:rsidRPr="00E95BC4">
        <w:rPr>
          <w:rFonts w:eastAsia="Times New Roman"/>
          <w:color w:val="auto"/>
          <w:kern w:val="0"/>
          <w:lang w:val="sr-Cyrl-CS" w:eastAsia="en-GB"/>
        </w:rPr>
        <w:t>: „</w:t>
      </w:r>
      <w:r>
        <w:rPr>
          <w:rFonts w:eastAsia="Times New Roman"/>
          <w:color w:val="auto"/>
          <w:kern w:val="0"/>
          <w:lang w:val="sr-Cyrl-CS" w:eastAsia="en-GB"/>
        </w:rPr>
        <w:t>Nacionalna</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strategija</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i</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da</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ciljevi</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i</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politike</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organa</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pojedinačno</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budu</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u</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skladu</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sa</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nacionalnim</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politikama</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i</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rizicima</w:t>
      </w:r>
      <w:r w:rsidR="00DA75CF" w:rsidRPr="00E95BC4">
        <w:rPr>
          <w:rFonts w:eastAsia="Times New Roman"/>
          <w:color w:val="auto"/>
          <w:kern w:val="0"/>
          <w:lang w:val="sr-Cyrl-CS" w:eastAsia="en-GB"/>
        </w:rPr>
        <w:t>;</w:t>
      </w:r>
    </w:p>
    <w:p w:rsidR="00DA75CF" w:rsidRPr="00E95BC4" w:rsidRDefault="005818C0" w:rsidP="00AC7277">
      <w:pPr>
        <w:pStyle w:val="ListParagraph"/>
        <w:numPr>
          <w:ilvl w:val="0"/>
          <w:numId w:val="14"/>
        </w:numPr>
        <w:rPr>
          <w:rFonts w:eastAsia="Times New Roman"/>
          <w:b/>
          <w:color w:val="auto"/>
          <w:kern w:val="0"/>
          <w:lang w:val="sr-Cyrl-CS" w:eastAsia="en-GB"/>
        </w:rPr>
      </w:pPr>
      <w:r>
        <w:rPr>
          <w:rFonts w:eastAsia="Times New Roman"/>
          <w:b/>
          <w:color w:val="auto"/>
          <w:kern w:val="0"/>
          <w:lang w:val="sr-Cyrl-CS" w:eastAsia="en-GB"/>
        </w:rPr>
        <w:t>praćenje</w:t>
      </w:r>
      <w:r w:rsidR="00DA75CF" w:rsidRPr="00E95BC4">
        <w:rPr>
          <w:rFonts w:eastAsia="Times New Roman"/>
          <w:b/>
          <w:color w:val="auto"/>
          <w:kern w:val="0"/>
          <w:lang w:val="sr-Cyrl-CS" w:eastAsia="en-GB"/>
        </w:rPr>
        <w:t xml:space="preserve"> </w:t>
      </w:r>
      <w:r>
        <w:rPr>
          <w:rFonts w:eastAsia="Times New Roman"/>
          <w:b/>
          <w:color w:val="auto"/>
          <w:kern w:val="0"/>
          <w:lang w:val="sr-Cyrl-CS" w:eastAsia="en-GB"/>
        </w:rPr>
        <w:t>primene</w:t>
      </w:r>
      <w:r w:rsidR="00DA75CF" w:rsidRPr="00E95BC4">
        <w:rPr>
          <w:rFonts w:eastAsia="Times New Roman"/>
          <w:b/>
          <w:color w:val="auto"/>
          <w:kern w:val="0"/>
          <w:lang w:val="sr-Cyrl-CS" w:eastAsia="en-GB"/>
        </w:rPr>
        <w:t xml:space="preserve"> </w:t>
      </w:r>
      <w:r>
        <w:rPr>
          <w:rFonts w:eastAsia="Times New Roman"/>
          <w:b/>
          <w:color w:val="auto"/>
          <w:kern w:val="0"/>
          <w:lang w:val="sr-Cyrl-CS" w:eastAsia="en-GB"/>
        </w:rPr>
        <w:t>Nacionalne</w:t>
      </w:r>
      <w:r w:rsidR="00DA75CF" w:rsidRPr="00E95BC4">
        <w:rPr>
          <w:rFonts w:eastAsia="Times New Roman"/>
          <w:b/>
          <w:color w:val="auto"/>
          <w:kern w:val="0"/>
          <w:lang w:val="sr-Cyrl-CS" w:eastAsia="en-GB"/>
        </w:rPr>
        <w:t xml:space="preserve"> </w:t>
      </w:r>
      <w:r>
        <w:rPr>
          <w:rFonts w:eastAsia="Times New Roman"/>
          <w:b/>
          <w:color w:val="auto"/>
          <w:kern w:val="0"/>
          <w:lang w:val="sr-Cyrl-CS" w:eastAsia="en-GB"/>
        </w:rPr>
        <w:t>strategije</w:t>
      </w:r>
      <w:r w:rsidR="00DA75CF" w:rsidRPr="00E95BC4">
        <w:rPr>
          <w:rFonts w:eastAsia="Times New Roman"/>
          <w:b/>
          <w:color w:val="auto"/>
          <w:kern w:val="0"/>
          <w:lang w:val="sr-Cyrl-CS" w:eastAsia="en-GB"/>
        </w:rPr>
        <w:t xml:space="preserve"> </w:t>
      </w:r>
      <w:r>
        <w:rPr>
          <w:rFonts w:eastAsia="Times New Roman"/>
          <w:b/>
          <w:color w:val="auto"/>
          <w:kern w:val="0"/>
          <w:lang w:val="sr-Cyrl-CS" w:eastAsia="en-GB"/>
        </w:rPr>
        <w:t>i</w:t>
      </w:r>
      <w:r w:rsidR="00DA75CF" w:rsidRPr="00E95BC4">
        <w:rPr>
          <w:rFonts w:eastAsia="Times New Roman"/>
          <w:b/>
          <w:color w:val="auto"/>
          <w:kern w:val="0"/>
          <w:lang w:val="sr-Cyrl-CS" w:eastAsia="en-GB"/>
        </w:rPr>
        <w:t xml:space="preserve"> </w:t>
      </w:r>
      <w:r>
        <w:rPr>
          <w:rFonts w:eastAsia="Times New Roman"/>
          <w:b/>
          <w:color w:val="auto"/>
          <w:kern w:val="0"/>
          <w:lang w:val="sr-Cyrl-CS" w:eastAsia="en-GB"/>
        </w:rPr>
        <w:t>koordiniranje</w:t>
      </w:r>
      <w:r w:rsidR="00DA75CF" w:rsidRPr="00E95BC4">
        <w:rPr>
          <w:rFonts w:eastAsia="Times New Roman"/>
          <w:b/>
          <w:color w:val="auto"/>
          <w:kern w:val="0"/>
          <w:lang w:val="sr-Cyrl-CS" w:eastAsia="en-GB"/>
        </w:rPr>
        <w:t xml:space="preserve"> </w:t>
      </w:r>
      <w:r>
        <w:rPr>
          <w:rFonts w:eastAsia="Times New Roman"/>
          <w:b/>
          <w:color w:val="auto"/>
          <w:kern w:val="0"/>
          <w:lang w:val="sr-Cyrl-CS" w:eastAsia="en-GB"/>
        </w:rPr>
        <w:t>sprovođenja</w:t>
      </w:r>
      <w:r w:rsidR="00DA75CF" w:rsidRPr="00E95BC4">
        <w:rPr>
          <w:rFonts w:eastAsia="Times New Roman"/>
          <w:b/>
          <w:color w:val="auto"/>
          <w:kern w:val="0"/>
          <w:lang w:val="sr-Cyrl-CS" w:eastAsia="en-GB"/>
        </w:rPr>
        <w:t xml:space="preserve"> </w:t>
      </w:r>
      <w:r>
        <w:rPr>
          <w:rFonts w:eastAsia="Times New Roman"/>
          <w:b/>
          <w:color w:val="auto"/>
          <w:kern w:val="0"/>
          <w:lang w:val="sr-Cyrl-CS" w:eastAsia="en-GB"/>
        </w:rPr>
        <w:t>mera</w:t>
      </w:r>
      <w:r w:rsidR="00DA75CF" w:rsidRPr="00E95BC4">
        <w:rPr>
          <w:rFonts w:eastAsia="Times New Roman"/>
          <w:b/>
          <w:color w:val="auto"/>
          <w:kern w:val="0"/>
          <w:lang w:val="sr-Cyrl-CS" w:eastAsia="en-GB"/>
        </w:rPr>
        <w:t xml:space="preserve"> </w:t>
      </w:r>
      <w:r>
        <w:rPr>
          <w:rFonts w:eastAsia="Times New Roman"/>
          <w:b/>
          <w:color w:val="auto"/>
          <w:kern w:val="0"/>
          <w:lang w:val="sr-Cyrl-CS" w:eastAsia="en-GB"/>
        </w:rPr>
        <w:t>predviđenih</w:t>
      </w:r>
      <w:r w:rsidR="00DA75CF" w:rsidRPr="00E95BC4">
        <w:rPr>
          <w:rFonts w:eastAsia="Times New Roman"/>
          <w:b/>
          <w:color w:val="auto"/>
          <w:kern w:val="0"/>
          <w:lang w:val="sr-Cyrl-CS" w:eastAsia="en-GB"/>
        </w:rPr>
        <w:t xml:space="preserve"> </w:t>
      </w:r>
      <w:r>
        <w:rPr>
          <w:rFonts w:eastAsia="Times New Roman"/>
          <w:b/>
          <w:color w:val="auto"/>
          <w:kern w:val="0"/>
          <w:lang w:val="sr-Cyrl-CS" w:eastAsia="en-GB"/>
        </w:rPr>
        <w:t>Nacionalnom</w:t>
      </w:r>
      <w:r w:rsidR="00DA75CF" w:rsidRPr="00E95BC4">
        <w:rPr>
          <w:rFonts w:eastAsia="Times New Roman"/>
          <w:b/>
          <w:color w:val="auto"/>
          <w:kern w:val="0"/>
          <w:lang w:val="sr-Cyrl-CS" w:eastAsia="en-GB"/>
        </w:rPr>
        <w:t xml:space="preserve"> </w:t>
      </w:r>
      <w:r>
        <w:rPr>
          <w:rFonts w:eastAsia="Times New Roman"/>
          <w:b/>
          <w:color w:val="auto"/>
          <w:kern w:val="0"/>
          <w:lang w:val="sr-Cyrl-CS" w:eastAsia="en-GB"/>
        </w:rPr>
        <w:t>strategijom</w:t>
      </w:r>
      <w:r w:rsidR="00DA75CF" w:rsidRPr="00E95BC4">
        <w:rPr>
          <w:rFonts w:eastAsia="Times New Roman"/>
          <w:b/>
          <w:color w:val="auto"/>
          <w:kern w:val="0"/>
          <w:lang w:val="sr-Cyrl-CS" w:eastAsia="en-GB"/>
        </w:rPr>
        <w:t>;</w:t>
      </w:r>
    </w:p>
    <w:p w:rsidR="00DA75CF" w:rsidRPr="00E95BC4" w:rsidRDefault="005818C0" w:rsidP="00AC7277">
      <w:pPr>
        <w:pStyle w:val="ListParagraph"/>
        <w:numPr>
          <w:ilvl w:val="0"/>
          <w:numId w:val="14"/>
        </w:numPr>
        <w:rPr>
          <w:rFonts w:eastAsia="Times New Roman"/>
          <w:color w:val="auto"/>
          <w:kern w:val="0"/>
          <w:lang w:val="sr-Cyrl-CS" w:eastAsia="en-GB"/>
        </w:rPr>
      </w:pPr>
      <w:r>
        <w:rPr>
          <w:rFonts w:eastAsia="Times New Roman"/>
          <w:color w:val="auto"/>
          <w:kern w:val="0"/>
          <w:lang w:val="sr-Cyrl-CS" w:eastAsia="en-GB"/>
        </w:rPr>
        <w:t>redovno</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preispitivanje</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delotvornosti</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mehanizama</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međusobne</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i</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međunarodne</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saradnje</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i</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razmene</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informacija</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i</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davanje</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predloga</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za</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unapređenje</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stanja</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u</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toj</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oblasti</w:t>
      </w:r>
      <w:r w:rsidR="00DA75CF" w:rsidRPr="00E95BC4">
        <w:rPr>
          <w:rFonts w:eastAsia="Times New Roman"/>
          <w:color w:val="auto"/>
          <w:kern w:val="0"/>
          <w:lang w:val="sr-Cyrl-CS" w:eastAsia="en-GB"/>
        </w:rPr>
        <w:t>;</w:t>
      </w:r>
    </w:p>
    <w:p w:rsidR="00DA75CF" w:rsidRPr="00E95BC4" w:rsidRDefault="005818C0" w:rsidP="00AC7277">
      <w:pPr>
        <w:pStyle w:val="ListParagraph"/>
        <w:numPr>
          <w:ilvl w:val="0"/>
          <w:numId w:val="14"/>
        </w:numPr>
        <w:rPr>
          <w:rFonts w:eastAsia="Times New Roman"/>
          <w:color w:val="auto"/>
          <w:kern w:val="0"/>
          <w:lang w:val="sr-Cyrl-CS" w:eastAsia="en-GB"/>
        </w:rPr>
      </w:pPr>
      <w:r>
        <w:rPr>
          <w:rFonts w:eastAsia="Times New Roman"/>
          <w:color w:val="auto"/>
          <w:kern w:val="0"/>
          <w:lang w:val="sr-Cyrl-CS" w:eastAsia="en-GB"/>
        </w:rPr>
        <w:t>praćenje</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i</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koordiniranje</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korišćenja</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programa</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tehničke</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pomoći</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i</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obuke</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u</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vezi</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sa</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borbom</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protiv</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pranja</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novca</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finansiranja</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terorizma</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finansiranja</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širenja</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oružja</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za</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masovno</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uništenje</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i</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drugih</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relevantnih</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oblasti</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i</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obezbeđivanje</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da</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se</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ti</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programi</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aktivno</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delotvorno</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i</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efikasno</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koriste</w:t>
      </w:r>
      <w:r w:rsidR="00DA75CF" w:rsidRPr="00E95BC4">
        <w:rPr>
          <w:rFonts w:eastAsia="Times New Roman"/>
          <w:color w:val="auto"/>
          <w:kern w:val="0"/>
          <w:lang w:val="sr-Cyrl-CS" w:eastAsia="en-GB"/>
        </w:rPr>
        <w:t>;</w:t>
      </w:r>
    </w:p>
    <w:p w:rsidR="00DA75CF" w:rsidRDefault="005818C0" w:rsidP="00AC7277">
      <w:pPr>
        <w:pStyle w:val="ListParagraph"/>
        <w:numPr>
          <w:ilvl w:val="0"/>
          <w:numId w:val="14"/>
        </w:numPr>
        <w:rPr>
          <w:rFonts w:eastAsia="Times New Roman"/>
          <w:color w:val="auto"/>
          <w:kern w:val="0"/>
          <w:lang w:val="sr-Cyrl-CS" w:eastAsia="en-GB"/>
        </w:rPr>
      </w:pPr>
      <w:r>
        <w:rPr>
          <w:rFonts w:eastAsia="Times New Roman"/>
          <w:color w:val="auto"/>
          <w:kern w:val="0"/>
          <w:lang w:val="sr-Cyrl-CS" w:eastAsia="en-GB"/>
        </w:rPr>
        <w:t>obavljanje</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i</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drugih</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poslova</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od</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značaja</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za</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sprečavanje</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pranja</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novca</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i</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finansiranja</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terorizma</w:t>
      </w:r>
      <w:r w:rsidR="00DA75CF" w:rsidRPr="00E95BC4">
        <w:rPr>
          <w:rFonts w:eastAsia="Times New Roman"/>
          <w:color w:val="auto"/>
          <w:kern w:val="0"/>
          <w:lang w:val="sr-Cyrl-CS" w:eastAsia="en-GB"/>
        </w:rPr>
        <w:t>.</w:t>
      </w:r>
    </w:p>
    <w:p w:rsidR="007C6285" w:rsidRPr="007C6285" w:rsidRDefault="007C6285" w:rsidP="007C6285">
      <w:pPr>
        <w:ind w:left="360"/>
        <w:rPr>
          <w:rFonts w:eastAsia="Times New Roman"/>
          <w:color w:val="auto"/>
          <w:kern w:val="0"/>
          <w:lang w:val="sr-Cyrl-CS" w:eastAsia="en-GB"/>
        </w:rPr>
      </w:pPr>
    </w:p>
    <w:p w:rsidR="00DA75CF" w:rsidRPr="00E95BC4" w:rsidRDefault="005818C0" w:rsidP="0076321C">
      <w:pPr>
        <w:ind w:firstLine="720"/>
        <w:jc w:val="both"/>
        <w:rPr>
          <w:rFonts w:eastAsia="Times New Roman"/>
          <w:color w:val="auto"/>
          <w:kern w:val="0"/>
          <w:lang w:val="sr-Cyrl-CS" w:eastAsia="en-GB"/>
        </w:rPr>
      </w:pPr>
      <w:r>
        <w:rPr>
          <w:rFonts w:eastAsia="Times New Roman"/>
          <w:color w:val="auto"/>
          <w:kern w:val="0"/>
          <w:lang w:val="sr-Cyrl-CS" w:eastAsia="en-GB"/>
        </w:rPr>
        <w:t>Radi</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izvršavanja</w:t>
      </w:r>
      <w:r w:rsidR="00285FD7" w:rsidRPr="00E95BC4">
        <w:rPr>
          <w:rFonts w:eastAsia="Times New Roman"/>
          <w:color w:val="auto"/>
          <w:kern w:val="0"/>
          <w:lang w:val="sr-Cyrl-CS" w:eastAsia="en-GB"/>
        </w:rPr>
        <w:t xml:space="preserve"> </w:t>
      </w:r>
      <w:r>
        <w:rPr>
          <w:rFonts w:eastAsia="Times New Roman"/>
          <w:color w:val="auto"/>
          <w:kern w:val="0"/>
          <w:lang w:val="sr-Cyrl-CS" w:eastAsia="en-GB"/>
        </w:rPr>
        <w:t>predviđenih</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zadataka</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Koordinaciono</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telo</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može</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obrazovati</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stručne</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timove</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i</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angažovati</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predstavnike</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drugih</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državnih</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organa</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i</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stručnjake</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iz</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pojedinih</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oblasti</w:t>
      </w:r>
      <w:r w:rsidR="00DA75CF" w:rsidRPr="00E95BC4">
        <w:rPr>
          <w:rFonts w:eastAsia="Times New Roman"/>
          <w:color w:val="auto"/>
          <w:kern w:val="0"/>
          <w:lang w:val="sr-Cyrl-CS" w:eastAsia="en-GB"/>
        </w:rPr>
        <w:t>.</w:t>
      </w:r>
      <w:r w:rsidR="00285FD7" w:rsidRPr="00E95BC4">
        <w:rPr>
          <w:rFonts w:eastAsia="Times New Roman"/>
          <w:color w:val="auto"/>
          <w:kern w:val="0"/>
          <w:lang w:val="sr-Cyrl-CS" w:eastAsia="en-GB"/>
        </w:rPr>
        <w:t xml:space="preserve"> </w:t>
      </w:r>
      <w:r>
        <w:rPr>
          <w:rFonts w:eastAsia="Times New Roman"/>
          <w:color w:val="auto"/>
          <w:kern w:val="0"/>
          <w:lang w:val="sr-Cyrl-CS" w:eastAsia="en-GB"/>
        </w:rPr>
        <w:t>Koordinaciono</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telo</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podnosi</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sledeće</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izveštaje</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Vladi</w:t>
      </w:r>
      <w:r w:rsidR="00DA75CF" w:rsidRPr="00E95BC4">
        <w:rPr>
          <w:rFonts w:eastAsia="Times New Roman"/>
          <w:color w:val="auto"/>
          <w:kern w:val="0"/>
          <w:lang w:val="sr-Cyrl-CS" w:eastAsia="en-GB"/>
        </w:rPr>
        <w:t>:</w:t>
      </w:r>
    </w:p>
    <w:p w:rsidR="00DA75CF" w:rsidRPr="00E95BC4" w:rsidRDefault="005818C0" w:rsidP="00AC7277">
      <w:pPr>
        <w:pStyle w:val="ListParagraph"/>
        <w:numPr>
          <w:ilvl w:val="0"/>
          <w:numId w:val="15"/>
        </w:numPr>
        <w:rPr>
          <w:rFonts w:eastAsia="Times New Roman"/>
          <w:color w:val="auto"/>
          <w:kern w:val="0"/>
          <w:lang w:val="sr-Cyrl-CS" w:eastAsia="en-GB"/>
        </w:rPr>
      </w:pPr>
      <w:r>
        <w:rPr>
          <w:rFonts w:eastAsia="Times New Roman"/>
          <w:color w:val="auto"/>
          <w:kern w:val="0"/>
          <w:lang w:val="sr-Cyrl-CS" w:eastAsia="en-GB"/>
        </w:rPr>
        <w:t>izveštaj</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o</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radu</w:t>
      </w:r>
      <w:r w:rsidR="00DA75CF" w:rsidRPr="00E95BC4">
        <w:rPr>
          <w:rFonts w:eastAsia="Times New Roman"/>
          <w:color w:val="auto"/>
          <w:kern w:val="0"/>
          <w:lang w:val="sr-Cyrl-CS" w:eastAsia="en-GB"/>
        </w:rPr>
        <w:t>;</w:t>
      </w:r>
    </w:p>
    <w:p w:rsidR="00DA75CF" w:rsidRPr="00E95BC4" w:rsidRDefault="005818C0" w:rsidP="00AC7277">
      <w:pPr>
        <w:pStyle w:val="ListParagraph"/>
        <w:numPr>
          <w:ilvl w:val="0"/>
          <w:numId w:val="15"/>
        </w:numPr>
        <w:rPr>
          <w:rFonts w:eastAsia="Times New Roman"/>
          <w:b/>
          <w:color w:val="auto"/>
          <w:kern w:val="0"/>
          <w:lang w:val="sr-Cyrl-CS" w:eastAsia="en-GB"/>
        </w:rPr>
      </w:pPr>
      <w:r>
        <w:rPr>
          <w:rFonts w:eastAsia="Times New Roman"/>
          <w:b/>
          <w:color w:val="auto"/>
          <w:kern w:val="0"/>
          <w:lang w:val="sr-Cyrl-CS" w:eastAsia="en-GB"/>
        </w:rPr>
        <w:t>izveštaj</w:t>
      </w:r>
      <w:r w:rsidR="00DA75CF" w:rsidRPr="00E95BC4">
        <w:rPr>
          <w:rFonts w:eastAsia="Times New Roman"/>
          <w:b/>
          <w:color w:val="auto"/>
          <w:kern w:val="0"/>
          <w:lang w:val="sr-Cyrl-CS" w:eastAsia="en-GB"/>
        </w:rPr>
        <w:t xml:space="preserve"> </w:t>
      </w:r>
      <w:r>
        <w:rPr>
          <w:rFonts w:eastAsia="Times New Roman"/>
          <w:b/>
          <w:color w:val="auto"/>
          <w:kern w:val="0"/>
          <w:lang w:val="sr-Cyrl-CS" w:eastAsia="en-GB"/>
        </w:rPr>
        <w:t>o</w:t>
      </w:r>
      <w:r w:rsidR="00DA75CF" w:rsidRPr="00E95BC4">
        <w:rPr>
          <w:rFonts w:eastAsia="Times New Roman"/>
          <w:b/>
          <w:color w:val="auto"/>
          <w:kern w:val="0"/>
          <w:lang w:val="sr-Cyrl-CS" w:eastAsia="en-GB"/>
        </w:rPr>
        <w:t xml:space="preserve"> </w:t>
      </w:r>
      <w:r>
        <w:rPr>
          <w:rFonts w:eastAsia="Times New Roman"/>
          <w:b/>
          <w:color w:val="auto"/>
          <w:kern w:val="0"/>
          <w:lang w:val="sr-Cyrl-CS" w:eastAsia="en-GB"/>
        </w:rPr>
        <w:t>sprovođenju</w:t>
      </w:r>
      <w:r w:rsidR="00DA75CF" w:rsidRPr="00E95BC4">
        <w:rPr>
          <w:rFonts w:eastAsia="Times New Roman"/>
          <w:b/>
          <w:color w:val="auto"/>
          <w:kern w:val="0"/>
          <w:lang w:val="sr-Cyrl-CS" w:eastAsia="en-GB"/>
        </w:rPr>
        <w:t xml:space="preserve"> </w:t>
      </w:r>
      <w:r>
        <w:rPr>
          <w:rFonts w:eastAsia="Times New Roman"/>
          <w:b/>
          <w:color w:val="auto"/>
          <w:kern w:val="0"/>
          <w:lang w:val="sr-Cyrl-CS" w:eastAsia="en-GB"/>
        </w:rPr>
        <w:t>aktivnosti</w:t>
      </w:r>
      <w:r w:rsidR="00DA75CF" w:rsidRPr="00E95BC4">
        <w:rPr>
          <w:rFonts w:eastAsia="Times New Roman"/>
          <w:b/>
          <w:color w:val="auto"/>
          <w:kern w:val="0"/>
          <w:lang w:val="sr-Cyrl-CS" w:eastAsia="en-GB"/>
        </w:rPr>
        <w:t xml:space="preserve"> </w:t>
      </w:r>
      <w:r>
        <w:rPr>
          <w:rFonts w:eastAsia="Times New Roman"/>
          <w:b/>
          <w:color w:val="auto"/>
          <w:kern w:val="0"/>
          <w:lang w:val="sr-Cyrl-CS" w:eastAsia="en-GB"/>
        </w:rPr>
        <w:t>utvrđenih</w:t>
      </w:r>
      <w:r w:rsidR="00DA75CF" w:rsidRPr="00E95BC4">
        <w:rPr>
          <w:rFonts w:eastAsia="Times New Roman"/>
          <w:b/>
          <w:color w:val="auto"/>
          <w:kern w:val="0"/>
          <w:lang w:val="sr-Cyrl-CS" w:eastAsia="en-GB"/>
        </w:rPr>
        <w:t xml:space="preserve"> </w:t>
      </w:r>
      <w:r>
        <w:rPr>
          <w:rFonts w:eastAsia="Times New Roman"/>
          <w:b/>
          <w:color w:val="auto"/>
          <w:kern w:val="0"/>
          <w:lang w:val="sr-Cyrl-CS" w:eastAsia="en-GB"/>
        </w:rPr>
        <w:t>Akcionim</w:t>
      </w:r>
      <w:r w:rsidR="00DA75CF" w:rsidRPr="00E95BC4">
        <w:rPr>
          <w:rFonts w:eastAsia="Times New Roman"/>
          <w:b/>
          <w:color w:val="auto"/>
          <w:kern w:val="0"/>
          <w:lang w:val="sr-Cyrl-CS" w:eastAsia="en-GB"/>
        </w:rPr>
        <w:t xml:space="preserve"> </w:t>
      </w:r>
      <w:r>
        <w:rPr>
          <w:rFonts w:eastAsia="Times New Roman"/>
          <w:b/>
          <w:color w:val="auto"/>
          <w:kern w:val="0"/>
          <w:lang w:val="sr-Cyrl-CS" w:eastAsia="en-GB"/>
        </w:rPr>
        <w:t>planom</w:t>
      </w:r>
      <w:r w:rsidR="00DA75CF" w:rsidRPr="00E95BC4">
        <w:rPr>
          <w:rFonts w:eastAsia="Times New Roman"/>
          <w:b/>
          <w:color w:val="auto"/>
          <w:kern w:val="0"/>
          <w:lang w:val="sr-Cyrl-CS" w:eastAsia="en-GB"/>
        </w:rPr>
        <w:t xml:space="preserve"> </w:t>
      </w:r>
      <w:r>
        <w:rPr>
          <w:rFonts w:eastAsia="Times New Roman"/>
          <w:b/>
          <w:color w:val="auto"/>
          <w:kern w:val="0"/>
          <w:lang w:val="sr-Cyrl-CS" w:eastAsia="en-GB"/>
        </w:rPr>
        <w:t>za</w:t>
      </w:r>
      <w:r w:rsidR="00DA75CF" w:rsidRPr="00E95BC4">
        <w:rPr>
          <w:rFonts w:eastAsia="Times New Roman"/>
          <w:b/>
          <w:color w:val="auto"/>
          <w:kern w:val="0"/>
          <w:lang w:val="sr-Cyrl-CS" w:eastAsia="en-GB"/>
        </w:rPr>
        <w:t xml:space="preserve"> </w:t>
      </w:r>
      <w:r>
        <w:rPr>
          <w:rFonts w:eastAsia="Times New Roman"/>
          <w:b/>
          <w:color w:val="auto"/>
          <w:kern w:val="0"/>
          <w:lang w:val="sr-Cyrl-CS" w:eastAsia="en-GB"/>
        </w:rPr>
        <w:t>sprovođenje</w:t>
      </w:r>
      <w:r w:rsidR="00DA75CF" w:rsidRPr="00E95BC4">
        <w:rPr>
          <w:rFonts w:eastAsia="Times New Roman"/>
          <w:b/>
          <w:color w:val="auto"/>
          <w:kern w:val="0"/>
          <w:lang w:val="sr-Cyrl-CS" w:eastAsia="en-GB"/>
        </w:rPr>
        <w:t xml:space="preserve"> </w:t>
      </w:r>
      <w:r>
        <w:rPr>
          <w:rFonts w:eastAsia="Times New Roman"/>
          <w:b/>
          <w:color w:val="auto"/>
          <w:kern w:val="0"/>
          <w:lang w:val="sr-Cyrl-CS" w:eastAsia="en-GB"/>
        </w:rPr>
        <w:t>Nacionalne</w:t>
      </w:r>
      <w:r w:rsidR="00DA75CF" w:rsidRPr="00E95BC4">
        <w:rPr>
          <w:rFonts w:eastAsia="Times New Roman"/>
          <w:b/>
          <w:color w:val="auto"/>
          <w:kern w:val="0"/>
          <w:lang w:val="sr-Cyrl-CS" w:eastAsia="en-GB"/>
        </w:rPr>
        <w:t xml:space="preserve"> </w:t>
      </w:r>
      <w:r>
        <w:rPr>
          <w:rFonts w:eastAsia="Times New Roman"/>
          <w:b/>
          <w:color w:val="auto"/>
          <w:kern w:val="0"/>
          <w:lang w:val="sr-Cyrl-CS" w:eastAsia="en-GB"/>
        </w:rPr>
        <w:t>strategije</w:t>
      </w:r>
      <w:r w:rsidR="00DA75CF" w:rsidRPr="00E95BC4">
        <w:rPr>
          <w:rFonts w:eastAsia="Times New Roman"/>
          <w:b/>
          <w:color w:val="auto"/>
          <w:kern w:val="0"/>
          <w:lang w:val="sr-Cyrl-CS" w:eastAsia="en-GB"/>
        </w:rPr>
        <w:t xml:space="preserve"> </w:t>
      </w:r>
      <w:r>
        <w:rPr>
          <w:rFonts w:eastAsia="Times New Roman"/>
          <w:b/>
          <w:color w:val="auto"/>
          <w:kern w:val="0"/>
          <w:lang w:val="sr-Cyrl-CS" w:eastAsia="en-GB"/>
        </w:rPr>
        <w:t>za</w:t>
      </w:r>
      <w:r w:rsidR="00DA75CF" w:rsidRPr="00E95BC4">
        <w:rPr>
          <w:rFonts w:eastAsia="Times New Roman"/>
          <w:b/>
          <w:color w:val="auto"/>
          <w:kern w:val="0"/>
          <w:lang w:val="sr-Cyrl-CS" w:eastAsia="en-GB"/>
        </w:rPr>
        <w:t xml:space="preserve"> </w:t>
      </w:r>
      <w:r>
        <w:rPr>
          <w:rFonts w:eastAsia="Times New Roman"/>
          <w:b/>
          <w:color w:val="auto"/>
          <w:kern w:val="0"/>
          <w:lang w:val="sr-Cyrl-CS" w:eastAsia="en-GB"/>
        </w:rPr>
        <w:t>borbu</w:t>
      </w:r>
      <w:r w:rsidR="00DA75CF" w:rsidRPr="00E95BC4">
        <w:rPr>
          <w:rFonts w:eastAsia="Times New Roman"/>
          <w:b/>
          <w:color w:val="auto"/>
          <w:kern w:val="0"/>
          <w:lang w:val="sr-Cyrl-CS" w:eastAsia="en-GB"/>
        </w:rPr>
        <w:t xml:space="preserve"> </w:t>
      </w:r>
      <w:r>
        <w:rPr>
          <w:rFonts w:eastAsia="Times New Roman"/>
          <w:b/>
          <w:color w:val="auto"/>
          <w:kern w:val="0"/>
          <w:lang w:val="sr-Cyrl-CS" w:eastAsia="en-GB"/>
        </w:rPr>
        <w:t>protiv</w:t>
      </w:r>
      <w:r w:rsidR="00DA75CF" w:rsidRPr="00E95BC4">
        <w:rPr>
          <w:rFonts w:eastAsia="Times New Roman"/>
          <w:b/>
          <w:color w:val="auto"/>
          <w:kern w:val="0"/>
          <w:lang w:val="sr-Cyrl-CS" w:eastAsia="en-GB"/>
        </w:rPr>
        <w:t xml:space="preserve"> </w:t>
      </w:r>
      <w:r>
        <w:rPr>
          <w:rFonts w:eastAsia="Times New Roman"/>
          <w:b/>
          <w:color w:val="auto"/>
          <w:kern w:val="0"/>
          <w:lang w:val="sr-Cyrl-CS" w:eastAsia="en-GB"/>
        </w:rPr>
        <w:t>pranja</w:t>
      </w:r>
      <w:r w:rsidR="00DA75CF" w:rsidRPr="00E95BC4">
        <w:rPr>
          <w:rFonts w:eastAsia="Times New Roman"/>
          <w:b/>
          <w:color w:val="auto"/>
          <w:kern w:val="0"/>
          <w:lang w:val="sr-Cyrl-CS" w:eastAsia="en-GB"/>
        </w:rPr>
        <w:t xml:space="preserve"> </w:t>
      </w:r>
      <w:r>
        <w:rPr>
          <w:rFonts w:eastAsia="Times New Roman"/>
          <w:b/>
          <w:color w:val="auto"/>
          <w:kern w:val="0"/>
          <w:lang w:val="sr-Cyrl-CS" w:eastAsia="en-GB"/>
        </w:rPr>
        <w:t>novca</w:t>
      </w:r>
      <w:r w:rsidR="00DA75CF" w:rsidRPr="00E95BC4">
        <w:rPr>
          <w:rFonts w:eastAsia="Times New Roman"/>
          <w:b/>
          <w:color w:val="auto"/>
          <w:kern w:val="0"/>
          <w:lang w:val="sr-Cyrl-CS" w:eastAsia="en-GB"/>
        </w:rPr>
        <w:t xml:space="preserve"> </w:t>
      </w:r>
      <w:r>
        <w:rPr>
          <w:rFonts w:eastAsia="Times New Roman"/>
          <w:b/>
          <w:color w:val="auto"/>
          <w:kern w:val="0"/>
          <w:lang w:val="sr-Cyrl-CS" w:eastAsia="en-GB"/>
        </w:rPr>
        <w:t>i</w:t>
      </w:r>
      <w:r w:rsidR="00DA75CF" w:rsidRPr="00E95BC4">
        <w:rPr>
          <w:rFonts w:eastAsia="Times New Roman"/>
          <w:b/>
          <w:color w:val="auto"/>
          <w:kern w:val="0"/>
          <w:lang w:val="sr-Cyrl-CS" w:eastAsia="en-GB"/>
        </w:rPr>
        <w:t xml:space="preserve"> </w:t>
      </w:r>
      <w:r>
        <w:rPr>
          <w:rFonts w:eastAsia="Times New Roman"/>
          <w:b/>
          <w:color w:val="auto"/>
          <w:kern w:val="0"/>
          <w:lang w:val="sr-Cyrl-CS" w:eastAsia="en-GB"/>
        </w:rPr>
        <w:t>finansiranja</w:t>
      </w:r>
      <w:r w:rsidR="00DA75CF" w:rsidRPr="00E95BC4">
        <w:rPr>
          <w:rFonts w:eastAsia="Times New Roman"/>
          <w:b/>
          <w:color w:val="auto"/>
          <w:kern w:val="0"/>
          <w:lang w:val="sr-Cyrl-CS" w:eastAsia="en-GB"/>
        </w:rPr>
        <w:t xml:space="preserve"> </w:t>
      </w:r>
      <w:r>
        <w:rPr>
          <w:rFonts w:eastAsia="Times New Roman"/>
          <w:b/>
          <w:color w:val="auto"/>
          <w:kern w:val="0"/>
          <w:lang w:val="sr-Cyrl-CS" w:eastAsia="en-GB"/>
        </w:rPr>
        <w:t>terorizma</w:t>
      </w:r>
      <w:r w:rsidR="00DA75CF" w:rsidRPr="00E95BC4">
        <w:rPr>
          <w:rFonts w:eastAsia="Times New Roman"/>
          <w:b/>
          <w:color w:val="auto"/>
          <w:kern w:val="0"/>
          <w:lang w:val="sr-Cyrl-CS" w:eastAsia="en-GB"/>
        </w:rPr>
        <w:t>;</w:t>
      </w:r>
    </w:p>
    <w:p w:rsidR="00DA75CF" w:rsidRPr="00E95BC4" w:rsidRDefault="005818C0" w:rsidP="00AC7277">
      <w:pPr>
        <w:pStyle w:val="ListParagraph"/>
        <w:numPr>
          <w:ilvl w:val="0"/>
          <w:numId w:val="15"/>
        </w:numPr>
        <w:rPr>
          <w:rFonts w:eastAsia="Times New Roman"/>
          <w:color w:val="auto"/>
          <w:kern w:val="0"/>
          <w:lang w:val="sr-Cyrl-CS" w:eastAsia="en-GB"/>
        </w:rPr>
      </w:pPr>
      <w:r>
        <w:rPr>
          <w:rFonts w:eastAsia="Times New Roman"/>
          <w:color w:val="auto"/>
          <w:kern w:val="0"/>
          <w:lang w:val="sr-Cyrl-CS" w:eastAsia="en-GB"/>
        </w:rPr>
        <w:t>izveštaj</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o</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nacionalnoj</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proceni</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rizika</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od</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pranja</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novca</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i</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finansiranja</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terorizma</w:t>
      </w:r>
      <w:r w:rsidR="00DA75CF" w:rsidRPr="00E95BC4">
        <w:rPr>
          <w:rFonts w:eastAsia="Times New Roman"/>
          <w:color w:val="auto"/>
          <w:kern w:val="0"/>
          <w:lang w:val="sr-Cyrl-CS" w:eastAsia="en-GB"/>
        </w:rPr>
        <w:t>;</w:t>
      </w:r>
    </w:p>
    <w:p w:rsidR="00B150CA" w:rsidRPr="00E95BC4" w:rsidRDefault="005818C0" w:rsidP="00AC7277">
      <w:pPr>
        <w:pStyle w:val="ListParagraph"/>
        <w:numPr>
          <w:ilvl w:val="0"/>
          <w:numId w:val="15"/>
        </w:numPr>
        <w:rPr>
          <w:rFonts w:eastAsia="Times New Roman"/>
          <w:color w:val="auto"/>
          <w:kern w:val="0"/>
          <w:lang w:val="sr-Cyrl-CS" w:eastAsia="en-GB"/>
        </w:rPr>
      </w:pPr>
      <w:r>
        <w:rPr>
          <w:rFonts w:eastAsia="Times New Roman"/>
          <w:color w:val="auto"/>
          <w:kern w:val="0"/>
          <w:lang w:val="sr-Cyrl-CS" w:eastAsia="en-GB"/>
        </w:rPr>
        <w:t>druge</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izveštaje</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u</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vezi</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sa</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zadacima</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Koordinacionog</w:t>
      </w:r>
      <w:r w:rsidR="00DA75CF" w:rsidRPr="00E95BC4">
        <w:rPr>
          <w:rFonts w:eastAsia="Times New Roman"/>
          <w:color w:val="auto"/>
          <w:kern w:val="0"/>
          <w:lang w:val="sr-Cyrl-CS" w:eastAsia="en-GB"/>
        </w:rPr>
        <w:t xml:space="preserve"> </w:t>
      </w:r>
      <w:r>
        <w:rPr>
          <w:rFonts w:eastAsia="Times New Roman"/>
          <w:color w:val="auto"/>
          <w:kern w:val="0"/>
          <w:lang w:val="sr-Cyrl-CS" w:eastAsia="en-GB"/>
        </w:rPr>
        <w:t>tela</w:t>
      </w:r>
      <w:r w:rsidR="00DA75CF" w:rsidRPr="00E95BC4">
        <w:rPr>
          <w:rFonts w:eastAsia="Times New Roman"/>
          <w:color w:val="auto"/>
          <w:kern w:val="0"/>
          <w:lang w:val="sr-Cyrl-CS" w:eastAsia="en-GB"/>
        </w:rPr>
        <w:t>.</w:t>
      </w:r>
    </w:p>
    <w:p w:rsidR="00285FD7" w:rsidRPr="00E95BC4" w:rsidRDefault="00285FD7" w:rsidP="00285FD7">
      <w:pPr>
        <w:tabs>
          <w:tab w:val="left" w:pos="900"/>
        </w:tabs>
        <w:jc w:val="both"/>
        <w:rPr>
          <w:highlight w:val="yellow"/>
          <w:lang w:val="sr-Cyrl-CS"/>
        </w:rPr>
      </w:pPr>
    </w:p>
    <w:p w:rsidR="00E856F4" w:rsidRPr="00E95BC4" w:rsidRDefault="001043A5" w:rsidP="001043A5">
      <w:pPr>
        <w:jc w:val="both"/>
        <w:rPr>
          <w:color w:val="auto"/>
          <w:lang w:val="sr-Cyrl-CS"/>
        </w:rPr>
      </w:pPr>
      <w:r w:rsidRPr="00E95BC4">
        <w:rPr>
          <w:color w:val="auto"/>
          <w:lang w:val="sr-Cyrl-CS"/>
        </w:rPr>
        <w:tab/>
      </w:r>
      <w:r w:rsidR="005818C0">
        <w:rPr>
          <w:color w:val="auto"/>
          <w:lang w:val="sr-Cyrl-CS"/>
        </w:rPr>
        <w:t>Koordinaciono</w:t>
      </w:r>
      <w:r w:rsidR="00E856F4" w:rsidRPr="00E95BC4">
        <w:rPr>
          <w:color w:val="auto"/>
          <w:lang w:val="sr-Cyrl-CS"/>
        </w:rPr>
        <w:t xml:space="preserve"> </w:t>
      </w:r>
      <w:r w:rsidR="005818C0">
        <w:rPr>
          <w:color w:val="auto"/>
          <w:lang w:val="sr-Cyrl-CS"/>
        </w:rPr>
        <w:t>telo</w:t>
      </w:r>
      <w:r w:rsidR="00E856F4" w:rsidRPr="00E95BC4">
        <w:rPr>
          <w:color w:val="auto"/>
          <w:lang w:val="sr-Cyrl-CS"/>
        </w:rPr>
        <w:t xml:space="preserve"> </w:t>
      </w:r>
      <w:r w:rsidR="005818C0">
        <w:rPr>
          <w:color w:val="auto"/>
          <w:lang w:val="sr-Cyrl-CS"/>
        </w:rPr>
        <w:t>će</w:t>
      </w:r>
      <w:r w:rsidR="00E856F4" w:rsidRPr="00E95BC4">
        <w:rPr>
          <w:color w:val="auto"/>
          <w:lang w:val="sr-Cyrl-CS"/>
        </w:rPr>
        <w:t xml:space="preserve"> </w:t>
      </w:r>
      <w:r w:rsidR="005818C0">
        <w:rPr>
          <w:color w:val="auto"/>
          <w:lang w:val="sr-Cyrl-CS"/>
        </w:rPr>
        <w:t>redovno</w:t>
      </w:r>
      <w:r w:rsidR="00E856F4" w:rsidRPr="00E95BC4">
        <w:rPr>
          <w:color w:val="auto"/>
          <w:lang w:val="sr-Cyrl-CS"/>
        </w:rPr>
        <w:t xml:space="preserve"> </w:t>
      </w:r>
      <w:r w:rsidR="005818C0">
        <w:rPr>
          <w:color w:val="auto"/>
          <w:lang w:val="sr-Cyrl-CS"/>
        </w:rPr>
        <w:t>na</w:t>
      </w:r>
      <w:r w:rsidR="00E856F4" w:rsidRPr="00E95BC4">
        <w:rPr>
          <w:color w:val="auto"/>
          <w:lang w:val="sr-Cyrl-CS"/>
        </w:rPr>
        <w:t xml:space="preserve"> </w:t>
      </w:r>
      <w:r w:rsidR="005818C0">
        <w:rPr>
          <w:color w:val="auto"/>
          <w:lang w:val="sr-Cyrl-CS"/>
        </w:rPr>
        <w:t>sednicama</w:t>
      </w:r>
      <w:r w:rsidR="00E856F4" w:rsidRPr="00E95BC4">
        <w:rPr>
          <w:color w:val="auto"/>
          <w:lang w:val="sr-Cyrl-CS"/>
        </w:rPr>
        <w:t xml:space="preserve"> </w:t>
      </w:r>
      <w:r w:rsidR="005818C0">
        <w:rPr>
          <w:color w:val="auto"/>
          <w:lang w:val="sr-Cyrl-CS"/>
        </w:rPr>
        <w:t>sagledavati</w:t>
      </w:r>
      <w:r w:rsidR="00E856F4" w:rsidRPr="00E95BC4">
        <w:rPr>
          <w:color w:val="auto"/>
          <w:lang w:val="sr-Cyrl-CS"/>
        </w:rPr>
        <w:t xml:space="preserve"> </w:t>
      </w:r>
      <w:r w:rsidR="005818C0">
        <w:rPr>
          <w:color w:val="auto"/>
          <w:lang w:val="sr-Cyrl-CS"/>
        </w:rPr>
        <w:t>stepen</w:t>
      </w:r>
      <w:r w:rsidR="00E856F4" w:rsidRPr="00E95BC4">
        <w:rPr>
          <w:color w:val="auto"/>
          <w:lang w:val="sr-Cyrl-CS"/>
        </w:rPr>
        <w:t xml:space="preserve"> </w:t>
      </w:r>
      <w:r w:rsidR="005818C0">
        <w:rPr>
          <w:color w:val="auto"/>
          <w:lang w:val="sr-Cyrl-CS"/>
        </w:rPr>
        <w:t>ispunjenosti</w:t>
      </w:r>
      <w:r w:rsidR="00E856F4" w:rsidRPr="00E95BC4">
        <w:rPr>
          <w:color w:val="auto"/>
          <w:lang w:val="sr-Cyrl-CS"/>
        </w:rPr>
        <w:t xml:space="preserve"> </w:t>
      </w:r>
      <w:r w:rsidR="005818C0">
        <w:rPr>
          <w:color w:val="auto"/>
          <w:lang w:val="sr-Cyrl-CS"/>
        </w:rPr>
        <w:t>Akcionog</w:t>
      </w:r>
      <w:r w:rsidR="00E856F4" w:rsidRPr="00E95BC4">
        <w:rPr>
          <w:color w:val="auto"/>
          <w:lang w:val="sr-Cyrl-CS"/>
        </w:rPr>
        <w:t xml:space="preserve"> </w:t>
      </w:r>
      <w:r w:rsidR="005818C0">
        <w:rPr>
          <w:color w:val="auto"/>
          <w:lang w:val="sr-Cyrl-CS"/>
        </w:rPr>
        <w:t>plana</w:t>
      </w:r>
      <w:r w:rsidR="00E856F4" w:rsidRPr="00E95BC4">
        <w:rPr>
          <w:color w:val="auto"/>
          <w:lang w:val="sr-Cyrl-CS"/>
        </w:rPr>
        <w:t xml:space="preserve">, </w:t>
      </w:r>
      <w:r w:rsidR="005818C0">
        <w:rPr>
          <w:color w:val="auto"/>
          <w:lang w:val="sr-Cyrl-CS"/>
        </w:rPr>
        <w:t>razmatrati</w:t>
      </w:r>
      <w:r w:rsidR="00E856F4" w:rsidRPr="00E95BC4">
        <w:rPr>
          <w:color w:val="auto"/>
          <w:lang w:val="sr-Cyrl-CS"/>
        </w:rPr>
        <w:t xml:space="preserve"> </w:t>
      </w:r>
      <w:r w:rsidR="005818C0">
        <w:rPr>
          <w:color w:val="auto"/>
          <w:lang w:val="sr-Cyrl-CS"/>
        </w:rPr>
        <w:t>eventualne</w:t>
      </w:r>
      <w:r w:rsidR="00E856F4" w:rsidRPr="00E95BC4">
        <w:rPr>
          <w:color w:val="auto"/>
          <w:lang w:val="sr-Cyrl-CS"/>
        </w:rPr>
        <w:t xml:space="preserve"> </w:t>
      </w:r>
      <w:r w:rsidR="005818C0">
        <w:rPr>
          <w:color w:val="auto"/>
          <w:lang w:val="sr-Cyrl-CS"/>
        </w:rPr>
        <w:t>zastoje</w:t>
      </w:r>
      <w:r w:rsidR="00E856F4" w:rsidRPr="00E95BC4">
        <w:rPr>
          <w:color w:val="auto"/>
          <w:lang w:val="sr-Cyrl-CS"/>
        </w:rPr>
        <w:t xml:space="preserve"> </w:t>
      </w:r>
      <w:r w:rsidR="005818C0">
        <w:rPr>
          <w:color w:val="auto"/>
          <w:lang w:val="sr-Cyrl-CS"/>
        </w:rPr>
        <w:t>i</w:t>
      </w:r>
      <w:r w:rsidR="00E856F4" w:rsidRPr="00E95BC4">
        <w:rPr>
          <w:color w:val="auto"/>
          <w:lang w:val="sr-Cyrl-CS"/>
        </w:rPr>
        <w:t xml:space="preserve"> </w:t>
      </w:r>
      <w:r w:rsidR="005818C0">
        <w:rPr>
          <w:color w:val="auto"/>
          <w:lang w:val="sr-Cyrl-CS"/>
        </w:rPr>
        <w:t>probleme</w:t>
      </w:r>
      <w:r w:rsidR="00E856F4" w:rsidRPr="00E95BC4">
        <w:rPr>
          <w:color w:val="auto"/>
          <w:lang w:val="sr-Cyrl-CS"/>
        </w:rPr>
        <w:t xml:space="preserve"> </w:t>
      </w:r>
      <w:r w:rsidR="005818C0">
        <w:rPr>
          <w:color w:val="auto"/>
          <w:lang w:val="sr-Cyrl-CS"/>
        </w:rPr>
        <w:t>i</w:t>
      </w:r>
      <w:r w:rsidR="00E856F4" w:rsidRPr="00E95BC4">
        <w:rPr>
          <w:color w:val="auto"/>
          <w:lang w:val="sr-Cyrl-CS"/>
        </w:rPr>
        <w:t xml:space="preserve"> </w:t>
      </w:r>
      <w:r w:rsidR="005818C0">
        <w:rPr>
          <w:color w:val="auto"/>
          <w:lang w:val="sr-Cyrl-CS"/>
        </w:rPr>
        <w:t>inicirati</w:t>
      </w:r>
      <w:r w:rsidR="00E856F4" w:rsidRPr="00E95BC4">
        <w:rPr>
          <w:color w:val="auto"/>
          <w:lang w:val="sr-Cyrl-CS"/>
        </w:rPr>
        <w:t xml:space="preserve"> </w:t>
      </w:r>
      <w:r w:rsidR="005818C0">
        <w:rPr>
          <w:color w:val="auto"/>
          <w:lang w:val="sr-Cyrl-CS"/>
        </w:rPr>
        <w:t>njihovo</w:t>
      </w:r>
      <w:r w:rsidR="00E856F4" w:rsidRPr="00E95BC4">
        <w:rPr>
          <w:color w:val="auto"/>
          <w:lang w:val="sr-Cyrl-CS"/>
        </w:rPr>
        <w:t xml:space="preserve"> </w:t>
      </w:r>
      <w:r w:rsidR="005818C0">
        <w:rPr>
          <w:color w:val="auto"/>
          <w:lang w:val="sr-Cyrl-CS"/>
        </w:rPr>
        <w:t>rešavanje</w:t>
      </w:r>
      <w:r w:rsidR="00E856F4" w:rsidRPr="00E95BC4">
        <w:rPr>
          <w:color w:val="auto"/>
          <w:lang w:val="sr-Cyrl-CS"/>
        </w:rPr>
        <w:t xml:space="preserve"> </w:t>
      </w:r>
      <w:r w:rsidR="005818C0">
        <w:rPr>
          <w:color w:val="auto"/>
          <w:lang w:val="sr-Cyrl-CS"/>
        </w:rPr>
        <w:t>na</w:t>
      </w:r>
      <w:r w:rsidR="00E856F4" w:rsidRPr="00E95BC4">
        <w:rPr>
          <w:color w:val="auto"/>
          <w:lang w:val="sr-Cyrl-CS"/>
        </w:rPr>
        <w:t xml:space="preserve"> </w:t>
      </w:r>
      <w:r w:rsidR="005818C0">
        <w:rPr>
          <w:color w:val="auto"/>
          <w:lang w:val="sr-Cyrl-CS"/>
        </w:rPr>
        <w:t>odgovarajući</w:t>
      </w:r>
      <w:r w:rsidR="00E856F4" w:rsidRPr="00E95BC4">
        <w:rPr>
          <w:color w:val="auto"/>
          <w:lang w:val="sr-Cyrl-CS"/>
        </w:rPr>
        <w:t xml:space="preserve"> </w:t>
      </w:r>
      <w:r w:rsidR="005818C0">
        <w:rPr>
          <w:color w:val="auto"/>
          <w:lang w:val="sr-Cyrl-CS"/>
        </w:rPr>
        <w:t>način</w:t>
      </w:r>
      <w:r w:rsidR="00E856F4" w:rsidRPr="00E95BC4">
        <w:rPr>
          <w:color w:val="auto"/>
          <w:lang w:val="sr-Cyrl-CS"/>
        </w:rPr>
        <w:t>.</w:t>
      </w:r>
    </w:p>
    <w:p w:rsidR="00E856F4" w:rsidRPr="00E95BC4" w:rsidRDefault="001043A5" w:rsidP="001043A5">
      <w:pPr>
        <w:jc w:val="both"/>
        <w:rPr>
          <w:color w:val="auto"/>
          <w:lang w:val="sr-Cyrl-CS"/>
        </w:rPr>
      </w:pPr>
      <w:r w:rsidRPr="00E95BC4">
        <w:rPr>
          <w:color w:val="auto"/>
          <w:lang w:val="sr-Cyrl-CS"/>
        </w:rPr>
        <w:tab/>
      </w:r>
      <w:r w:rsidR="005818C0">
        <w:rPr>
          <w:color w:val="auto"/>
          <w:lang w:val="sr-Cyrl-CS"/>
        </w:rPr>
        <w:t>Radi</w:t>
      </w:r>
      <w:r w:rsidR="007F7F60" w:rsidRPr="00E95BC4">
        <w:rPr>
          <w:color w:val="auto"/>
          <w:lang w:val="sr-Cyrl-CS"/>
        </w:rPr>
        <w:t xml:space="preserve"> </w:t>
      </w:r>
      <w:r w:rsidR="005818C0">
        <w:rPr>
          <w:color w:val="auto"/>
          <w:lang w:val="sr-Cyrl-CS"/>
        </w:rPr>
        <w:t>efikasnijeg</w:t>
      </w:r>
      <w:r w:rsidR="007F7F60" w:rsidRPr="00E95BC4">
        <w:rPr>
          <w:color w:val="auto"/>
          <w:lang w:val="sr-Cyrl-CS"/>
        </w:rPr>
        <w:t xml:space="preserve"> </w:t>
      </w:r>
      <w:r w:rsidR="005818C0">
        <w:rPr>
          <w:color w:val="auto"/>
          <w:lang w:val="sr-Cyrl-CS"/>
        </w:rPr>
        <w:t>izveštavanja</w:t>
      </w:r>
      <w:r w:rsidR="008E17F3" w:rsidRPr="00E95BC4">
        <w:rPr>
          <w:color w:val="auto"/>
          <w:lang w:val="sr-Cyrl-CS"/>
        </w:rPr>
        <w:t xml:space="preserve"> </w:t>
      </w:r>
      <w:r w:rsidR="005818C0">
        <w:rPr>
          <w:color w:val="auto"/>
          <w:lang w:val="sr-Cyrl-CS"/>
        </w:rPr>
        <w:t>Koordinacionog</w:t>
      </w:r>
      <w:r w:rsidR="008E17F3" w:rsidRPr="00E95BC4">
        <w:rPr>
          <w:color w:val="auto"/>
          <w:lang w:val="sr-Cyrl-CS"/>
        </w:rPr>
        <w:t xml:space="preserve"> </w:t>
      </w:r>
      <w:r w:rsidR="005818C0">
        <w:rPr>
          <w:color w:val="auto"/>
          <w:lang w:val="sr-Cyrl-CS"/>
        </w:rPr>
        <w:t>tela</w:t>
      </w:r>
      <w:r w:rsidR="008E17F3" w:rsidRPr="00E95BC4">
        <w:rPr>
          <w:color w:val="auto"/>
          <w:lang w:val="sr-Cyrl-CS"/>
        </w:rPr>
        <w:t xml:space="preserve"> </w:t>
      </w:r>
      <w:r w:rsidR="005818C0">
        <w:rPr>
          <w:color w:val="auto"/>
          <w:lang w:val="sr-Cyrl-CS"/>
        </w:rPr>
        <w:t>o</w:t>
      </w:r>
      <w:r w:rsidR="008E17F3" w:rsidRPr="00E95BC4">
        <w:rPr>
          <w:color w:val="auto"/>
          <w:lang w:val="sr-Cyrl-CS"/>
        </w:rPr>
        <w:t xml:space="preserve"> </w:t>
      </w:r>
      <w:r w:rsidR="005818C0">
        <w:rPr>
          <w:color w:val="auto"/>
          <w:lang w:val="sr-Cyrl-CS"/>
        </w:rPr>
        <w:t>stepenu</w:t>
      </w:r>
      <w:r w:rsidR="008E17F3" w:rsidRPr="00E95BC4">
        <w:rPr>
          <w:color w:val="auto"/>
          <w:lang w:val="sr-Cyrl-CS"/>
        </w:rPr>
        <w:t xml:space="preserve"> </w:t>
      </w:r>
      <w:r w:rsidR="005818C0">
        <w:rPr>
          <w:color w:val="auto"/>
          <w:lang w:val="sr-Cyrl-CS"/>
        </w:rPr>
        <w:t>ispunjenosti</w:t>
      </w:r>
      <w:r w:rsidR="008E17F3" w:rsidRPr="00E95BC4">
        <w:rPr>
          <w:color w:val="auto"/>
          <w:lang w:val="sr-Cyrl-CS"/>
        </w:rPr>
        <w:t xml:space="preserve"> </w:t>
      </w:r>
      <w:r w:rsidR="005818C0">
        <w:rPr>
          <w:color w:val="auto"/>
          <w:lang w:val="sr-Cyrl-CS"/>
        </w:rPr>
        <w:t>Akcionog</w:t>
      </w:r>
      <w:r w:rsidR="008E17F3" w:rsidRPr="00E95BC4">
        <w:rPr>
          <w:color w:val="auto"/>
          <w:lang w:val="sr-Cyrl-CS"/>
        </w:rPr>
        <w:t xml:space="preserve"> </w:t>
      </w:r>
      <w:r w:rsidR="005818C0">
        <w:rPr>
          <w:color w:val="auto"/>
          <w:lang w:val="sr-Cyrl-CS"/>
        </w:rPr>
        <w:t>plana</w:t>
      </w:r>
      <w:r w:rsidR="008E17F3" w:rsidRPr="00E95BC4">
        <w:rPr>
          <w:color w:val="auto"/>
          <w:lang w:val="sr-Cyrl-CS"/>
        </w:rPr>
        <w:t xml:space="preserve">, </w:t>
      </w:r>
      <w:r w:rsidR="005818C0">
        <w:rPr>
          <w:color w:val="auto"/>
          <w:lang w:val="sr-Cyrl-CS"/>
        </w:rPr>
        <w:t>Vlada</w:t>
      </w:r>
      <w:r w:rsidR="007F7F60" w:rsidRPr="00E95BC4">
        <w:rPr>
          <w:color w:val="auto"/>
          <w:lang w:val="sr-Cyrl-CS"/>
        </w:rPr>
        <w:t xml:space="preserve"> </w:t>
      </w:r>
      <w:r w:rsidR="005818C0">
        <w:rPr>
          <w:color w:val="auto"/>
          <w:lang w:val="sr-Cyrl-CS"/>
        </w:rPr>
        <w:t>će</w:t>
      </w:r>
      <w:r w:rsidR="007F7F60" w:rsidRPr="00E95BC4">
        <w:rPr>
          <w:color w:val="auto"/>
          <w:lang w:val="sr-Cyrl-CS"/>
        </w:rPr>
        <w:t xml:space="preserve"> </w:t>
      </w:r>
      <w:r w:rsidR="005818C0">
        <w:rPr>
          <w:color w:val="auto"/>
          <w:lang w:val="sr-Cyrl-CS"/>
        </w:rPr>
        <w:t>odrediti</w:t>
      </w:r>
      <w:r w:rsidRPr="00E95BC4">
        <w:rPr>
          <w:color w:val="auto"/>
          <w:lang w:val="sr-Cyrl-CS"/>
        </w:rPr>
        <w:t xml:space="preserve"> </w:t>
      </w:r>
      <w:r w:rsidR="005818C0">
        <w:rPr>
          <w:color w:val="auto"/>
          <w:lang w:val="sr-Cyrl-CS"/>
        </w:rPr>
        <w:t>koordinatora</w:t>
      </w:r>
      <w:r w:rsidRPr="00E95BC4">
        <w:rPr>
          <w:color w:val="auto"/>
          <w:lang w:val="sr-Cyrl-CS"/>
        </w:rPr>
        <w:t xml:space="preserve"> </w:t>
      </w:r>
      <w:r w:rsidR="005818C0">
        <w:rPr>
          <w:color w:val="auto"/>
          <w:lang w:val="sr-Cyrl-CS"/>
        </w:rPr>
        <w:t>i</w:t>
      </w:r>
      <w:r w:rsidR="007F7F60" w:rsidRPr="00E95BC4">
        <w:rPr>
          <w:color w:val="auto"/>
          <w:lang w:val="sr-Cyrl-CS"/>
        </w:rPr>
        <w:t xml:space="preserve"> </w:t>
      </w:r>
      <w:r w:rsidR="005818C0">
        <w:rPr>
          <w:color w:val="auto"/>
          <w:lang w:val="sr-Cyrl-CS"/>
        </w:rPr>
        <w:t>zamenika</w:t>
      </w:r>
      <w:r w:rsidR="007F7F60" w:rsidRPr="00E95BC4">
        <w:rPr>
          <w:color w:val="auto"/>
          <w:lang w:val="sr-Cyrl-CS"/>
        </w:rPr>
        <w:t xml:space="preserve"> </w:t>
      </w:r>
      <w:r w:rsidR="005818C0">
        <w:rPr>
          <w:color w:val="auto"/>
          <w:lang w:val="sr-Cyrl-CS"/>
        </w:rPr>
        <w:t>koordinatora</w:t>
      </w:r>
      <w:r w:rsidR="00FF62B7" w:rsidRPr="00E95BC4">
        <w:rPr>
          <w:color w:val="auto"/>
          <w:lang w:val="sr-Cyrl-CS"/>
        </w:rPr>
        <w:t xml:space="preserve"> </w:t>
      </w:r>
      <w:r w:rsidR="005818C0">
        <w:rPr>
          <w:color w:val="auto"/>
          <w:lang w:val="sr-Cyrl-CS"/>
        </w:rPr>
        <w:t>za</w:t>
      </w:r>
      <w:r w:rsidR="00FF62B7" w:rsidRPr="00E95BC4">
        <w:rPr>
          <w:color w:val="auto"/>
          <w:lang w:val="sr-Cyrl-CS"/>
        </w:rPr>
        <w:t xml:space="preserve"> </w:t>
      </w:r>
      <w:r w:rsidR="005818C0">
        <w:rPr>
          <w:color w:val="auto"/>
          <w:lang w:val="sr-Cyrl-CS"/>
        </w:rPr>
        <w:t>svaku</w:t>
      </w:r>
      <w:r w:rsidR="00FF62B7" w:rsidRPr="00E95BC4">
        <w:rPr>
          <w:color w:val="auto"/>
          <w:lang w:val="sr-Cyrl-CS"/>
        </w:rPr>
        <w:t xml:space="preserve"> </w:t>
      </w:r>
      <w:r w:rsidR="005818C0">
        <w:rPr>
          <w:color w:val="auto"/>
          <w:lang w:val="sr-Cyrl-CS"/>
        </w:rPr>
        <w:t>od</w:t>
      </w:r>
      <w:r w:rsidR="00FF62B7" w:rsidRPr="00E95BC4">
        <w:rPr>
          <w:color w:val="auto"/>
          <w:lang w:val="sr-Cyrl-CS"/>
        </w:rPr>
        <w:t xml:space="preserve"> </w:t>
      </w:r>
      <w:r w:rsidR="005818C0">
        <w:rPr>
          <w:color w:val="auto"/>
          <w:lang w:val="sr-Cyrl-CS"/>
        </w:rPr>
        <w:t>sledećih</w:t>
      </w:r>
      <w:r w:rsidR="00FF62B7" w:rsidRPr="00E95BC4">
        <w:rPr>
          <w:color w:val="auto"/>
          <w:lang w:val="sr-Cyrl-CS"/>
        </w:rPr>
        <w:t xml:space="preserve"> </w:t>
      </w:r>
      <w:r w:rsidR="005818C0">
        <w:rPr>
          <w:color w:val="auto"/>
          <w:lang w:val="sr-Cyrl-CS"/>
        </w:rPr>
        <w:t>oblasti</w:t>
      </w:r>
      <w:r w:rsidR="00FF62B7" w:rsidRPr="00E95BC4">
        <w:rPr>
          <w:color w:val="auto"/>
          <w:lang w:val="sr-Cyrl-CS"/>
        </w:rPr>
        <w:t>:</w:t>
      </w:r>
    </w:p>
    <w:p w:rsidR="00E856F4" w:rsidRPr="00E95BC4" w:rsidRDefault="00E856F4" w:rsidP="00285FD7">
      <w:pPr>
        <w:tabs>
          <w:tab w:val="left" w:pos="900"/>
        </w:tabs>
        <w:jc w:val="both"/>
        <w:rPr>
          <w:color w:val="auto"/>
          <w:lang w:val="sr-Cyrl-CS"/>
        </w:rPr>
      </w:pPr>
    </w:p>
    <w:p w:rsidR="00E856F4" w:rsidRPr="00E95BC4" w:rsidRDefault="005818C0" w:rsidP="00AC7277">
      <w:pPr>
        <w:pStyle w:val="ListParagraph"/>
        <w:numPr>
          <w:ilvl w:val="0"/>
          <w:numId w:val="16"/>
        </w:numPr>
        <w:tabs>
          <w:tab w:val="left" w:pos="900"/>
        </w:tabs>
        <w:jc w:val="both"/>
        <w:rPr>
          <w:color w:val="auto"/>
          <w:lang w:val="sr-Cyrl-CS"/>
        </w:rPr>
      </w:pPr>
      <w:r>
        <w:rPr>
          <w:color w:val="auto"/>
          <w:lang w:val="sr-Cyrl-CS"/>
        </w:rPr>
        <w:t>Procena</w:t>
      </w:r>
      <w:r w:rsidR="00432822" w:rsidRPr="00E95BC4">
        <w:rPr>
          <w:color w:val="auto"/>
          <w:lang w:val="sr-Cyrl-CS"/>
        </w:rPr>
        <w:t xml:space="preserve"> </w:t>
      </w:r>
      <w:r>
        <w:rPr>
          <w:color w:val="auto"/>
          <w:lang w:val="sr-Cyrl-CS"/>
        </w:rPr>
        <w:t>rizika</w:t>
      </w:r>
      <w:r w:rsidR="00432822" w:rsidRPr="00E95BC4">
        <w:rPr>
          <w:color w:val="auto"/>
          <w:lang w:val="sr-Cyrl-CS"/>
        </w:rPr>
        <w:t xml:space="preserve">, </w:t>
      </w:r>
      <w:r>
        <w:rPr>
          <w:color w:val="auto"/>
          <w:lang w:val="sr-Cyrl-CS"/>
        </w:rPr>
        <w:t>koordinacija</w:t>
      </w:r>
      <w:r w:rsidR="00432822" w:rsidRPr="00E95BC4">
        <w:rPr>
          <w:color w:val="auto"/>
          <w:lang w:val="sr-Cyrl-CS"/>
        </w:rPr>
        <w:t xml:space="preserve">, </w:t>
      </w:r>
      <w:r>
        <w:rPr>
          <w:color w:val="auto"/>
          <w:lang w:val="sr-Cyrl-CS"/>
        </w:rPr>
        <w:t>interresorna</w:t>
      </w:r>
      <w:r w:rsidR="00E856F4" w:rsidRPr="00E95BC4">
        <w:rPr>
          <w:color w:val="auto"/>
          <w:lang w:val="sr-Cyrl-CS"/>
        </w:rPr>
        <w:t xml:space="preserve"> </w:t>
      </w:r>
      <w:r>
        <w:rPr>
          <w:color w:val="auto"/>
          <w:lang w:val="sr-Cyrl-CS"/>
        </w:rPr>
        <w:t>i</w:t>
      </w:r>
      <w:r w:rsidR="00432822" w:rsidRPr="00E95BC4">
        <w:rPr>
          <w:color w:val="auto"/>
          <w:lang w:val="sr-Cyrl-CS"/>
        </w:rPr>
        <w:t xml:space="preserve"> </w:t>
      </w:r>
      <w:r>
        <w:rPr>
          <w:color w:val="auto"/>
          <w:lang w:val="sr-Cyrl-CS"/>
        </w:rPr>
        <w:t>međunarodna</w:t>
      </w:r>
      <w:r w:rsidR="00432822" w:rsidRPr="00E95BC4">
        <w:rPr>
          <w:color w:val="auto"/>
          <w:lang w:val="sr-Cyrl-CS"/>
        </w:rPr>
        <w:t xml:space="preserve"> </w:t>
      </w:r>
      <w:r>
        <w:rPr>
          <w:color w:val="auto"/>
          <w:lang w:val="sr-Cyrl-CS"/>
        </w:rPr>
        <w:t>saradnja</w:t>
      </w:r>
      <w:r w:rsidR="00FF62B7" w:rsidRPr="00E95BC4">
        <w:rPr>
          <w:color w:val="auto"/>
          <w:lang w:val="sr-Cyrl-CS"/>
        </w:rPr>
        <w:t>;</w:t>
      </w:r>
      <w:r w:rsidR="00EC53DA" w:rsidRPr="00E95BC4">
        <w:rPr>
          <w:color w:val="auto"/>
          <w:lang w:val="sr-Cyrl-CS"/>
        </w:rPr>
        <w:t xml:space="preserve"> </w:t>
      </w:r>
    </w:p>
    <w:p w:rsidR="00E856F4" w:rsidRPr="00E95BC4" w:rsidRDefault="005818C0" w:rsidP="00AC7277">
      <w:pPr>
        <w:pStyle w:val="ListParagraph"/>
        <w:numPr>
          <w:ilvl w:val="0"/>
          <w:numId w:val="16"/>
        </w:numPr>
        <w:tabs>
          <w:tab w:val="left" w:pos="900"/>
        </w:tabs>
        <w:jc w:val="both"/>
        <w:rPr>
          <w:color w:val="auto"/>
          <w:lang w:val="sr-Cyrl-CS"/>
        </w:rPr>
      </w:pPr>
      <w:r>
        <w:rPr>
          <w:color w:val="auto"/>
          <w:lang w:val="sr-Cyrl-CS"/>
        </w:rPr>
        <w:t>Preventivne</w:t>
      </w:r>
      <w:r w:rsidR="007F7F60" w:rsidRPr="00E95BC4">
        <w:rPr>
          <w:color w:val="auto"/>
          <w:lang w:val="sr-Cyrl-CS"/>
        </w:rPr>
        <w:t xml:space="preserve"> </w:t>
      </w:r>
      <w:r>
        <w:rPr>
          <w:color w:val="auto"/>
          <w:lang w:val="sr-Cyrl-CS"/>
        </w:rPr>
        <w:t>mere</w:t>
      </w:r>
      <w:r w:rsidR="007F7F60" w:rsidRPr="00E95BC4">
        <w:rPr>
          <w:color w:val="auto"/>
          <w:lang w:val="sr-Cyrl-CS"/>
        </w:rPr>
        <w:t xml:space="preserve"> </w:t>
      </w:r>
      <w:r>
        <w:rPr>
          <w:color w:val="auto"/>
          <w:lang w:val="sr-Cyrl-CS"/>
        </w:rPr>
        <w:t>i</w:t>
      </w:r>
      <w:r w:rsidR="007F7F60" w:rsidRPr="00E95BC4">
        <w:rPr>
          <w:color w:val="auto"/>
          <w:lang w:val="sr-Cyrl-CS"/>
        </w:rPr>
        <w:t xml:space="preserve"> </w:t>
      </w:r>
      <w:r>
        <w:rPr>
          <w:color w:val="auto"/>
          <w:lang w:val="sr-Cyrl-CS"/>
        </w:rPr>
        <w:t>nadzor</w:t>
      </w:r>
      <w:r w:rsidR="00FF62B7" w:rsidRPr="00E95BC4">
        <w:rPr>
          <w:color w:val="auto"/>
          <w:lang w:val="sr-Cyrl-CS"/>
        </w:rPr>
        <w:t>;</w:t>
      </w:r>
      <w:r w:rsidR="00EC53DA" w:rsidRPr="00E95BC4">
        <w:rPr>
          <w:color w:val="auto"/>
          <w:lang w:val="sr-Cyrl-CS"/>
        </w:rPr>
        <w:t xml:space="preserve"> </w:t>
      </w:r>
    </w:p>
    <w:p w:rsidR="00E856F4" w:rsidRPr="00E95BC4" w:rsidRDefault="005818C0" w:rsidP="00AC7277">
      <w:pPr>
        <w:pStyle w:val="ListParagraph"/>
        <w:numPr>
          <w:ilvl w:val="0"/>
          <w:numId w:val="16"/>
        </w:numPr>
        <w:tabs>
          <w:tab w:val="left" w:pos="900"/>
        </w:tabs>
        <w:jc w:val="both"/>
        <w:rPr>
          <w:color w:val="auto"/>
          <w:lang w:val="sr-Cyrl-CS"/>
        </w:rPr>
      </w:pPr>
      <w:r>
        <w:rPr>
          <w:color w:val="auto"/>
          <w:lang w:val="sr-Cyrl-CS"/>
        </w:rPr>
        <w:t>Istrage</w:t>
      </w:r>
      <w:r w:rsidR="00E856F4" w:rsidRPr="00E95BC4">
        <w:rPr>
          <w:color w:val="auto"/>
          <w:lang w:val="sr-Cyrl-CS"/>
        </w:rPr>
        <w:t xml:space="preserve">, </w:t>
      </w:r>
      <w:r>
        <w:rPr>
          <w:color w:val="auto"/>
          <w:lang w:val="sr-Cyrl-CS"/>
        </w:rPr>
        <w:t>postupci</w:t>
      </w:r>
      <w:r w:rsidR="007F7F60" w:rsidRPr="00E95BC4">
        <w:rPr>
          <w:color w:val="auto"/>
          <w:lang w:val="sr-Cyrl-CS"/>
        </w:rPr>
        <w:t xml:space="preserve"> </w:t>
      </w:r>
      <w:r>
        <w:rPr>
          <w:color w:val="auto"/>
          <w:lang w:val="sr-Cyrl-CS"/>
        </w:rPr>
        <w:t>i</w:t>
      </w:r>
      <w:r w:rsidR="007F7F60" w:rsidRPr="00E95BC4">
        <w:rPr>
          <w:color w:val="auto"/>
          <w:lang w:val="sr-Cyrl-CS"/>
        </w:rPr>
        <w:t xml:space="preserve"> </w:t>
      </w:r>
      <w:r>
        <w:rPr>
          <w:color w:val="auto"/>
          <w:lang w:val="sr-Cyrl-CS"/>
        </w:rPr>
        <w:t>presude</w:t>
      </w:r>
      <w:r w:rsidR="007F7F60" w:rsidRPr="00E95BC4">
        <w:rPr>
          <w:color w:val="auto"/>
          <w:lang w:val="sr-Cyrl-CS"/>
        </w:rPr>
        <w:t xml:space="preserve"> </w:t>
      </w:r>
      <w:r>
        <w:rPr>
          <w:color w:val="auto"/>
          <w:lang w:val="sr-Cyrl-CS"/>
        </w:rPr>
        <w:t>za</w:t>
      </w:r>
      <w:r w:rsidR="007F7F60" w:rsidRPr="00E95BC4">
        <w:rPr>
          <w:color w:val="auto"/>
          <w:lang w:val="sr-Cyrl-CS"/>
        </w:rPr>
        <w:t xml:space="preserve"> </w:t>
      </w:r>
      <w:r>
        <w:rPr>
          <w:color w:val="auto"/>
          <w:lang w:val="sr-Cyrl-CS"/>
        </w:rPr>
        <w:t>pranje</w:t>
      </w:r>
      <w:r w:rsidR="007F7F60" w:rsidRPr="00E95BC4">
        <w:rPr>
          <w:color w:val="auto"/>
          <w:lang w:val="sr-Cyrl-CS"/>
        </w:rPr>
        <w:t xml:space="preserve"> </w:t>
      </w:r>
      <w:r>
        <w:rPr>
          <w:color w:val="auto"/>
          <w:lang w:val="sr-Cyrl-CS"/>
        </w:rPr>
        <w:t>novca</w:t>
      </w:r>
      <w:r w:rsidR="00FF62B7" w:rsidRPr="00E95BC4">
        <w:rPr>
          <w:color w:val="auto"/>
          <w:lang w:val="sr-Cyrl-CS"/>
        </w:rPr>
        <w:t>;</w:t>
      </w:r>
      <w:r w:rsidR="00EC53DA" w:rsidRPr="00E95BC4">
        <w:rPr>
          <w:color w:val="auto"/>
          <w:lang w:val="sr-Cyrl-CS"/>
        </w:rPr>
        <w:t xml:space="preserve"> </w:t>
      </w:r>
    </w:p>
    <w:p w:rsidR="00E856F4" w:rsidRPr="00E95BC4" w:rsidRDefault="005818C0" w:rsidP="00AC7277">
      <w:pPr>
        <w:pStyle w:val="ListParagraph"/>
        <w:numPr>
          <w:ilvl w:val="0"/>
          <w:numId w:val="16"/>
        </w:numPr>
        <w:tabs>
          <w:tab w:val="left" w:pos="900"/>
        </w:tabs>
        <w:jc w:val="both"/>
        <w:rPr>
          <w:color w:val="auto"/>
          <w:lang w:val="sr-Cyrl-CS"/>
        </w:rPr>
      </w:pPr>
      <w:r>
        <w:rPr>
          <w:color w:val="auto"/>
          <w:lang w:val="sr-Cyrl-CS"/>
        </w:rPr>
        <w:t>Finansiranje</w:t>
      </w:r>
      <w:r w:rsidR="00AB16CA" w:rsidRPr="00E95BC4">
        <w:rPr>
          <w:color w:val="auto"/>
          <w:lang w:val="sr-Cyrl-CS"/>
        </w:rPr>
        <w:t xml:space="preserve"> </w:t>
      </w:r>
      <w:r>
        <w:rPr>
          <w:color w:val="auto"/>
          <w:lang w:val="sr-Cyrl-CS"/>
        </w:rPr>
        <w:t>terorizma</w:t>
      </w:r>
      <w:r w:rsidR="006E0804" w:rsidRPr="00E95BC4">
        <w:rPr>
          <w:color w:val="auto"/>
          <w:lang w:val="sr-Cyrl-CS"/>
        </w:rPr>
        <w:t xml:space="preserve"> </w:t>
      </w:r>
      <w:r>
        <w:rPr>
          <w:color w:val="auto"/>
          <w:lang w:val="sr-Cyrl-CS"/>
        </w:rPr>
        <w:t>i</w:t>
      </w:r>
      <w:r w:rsidR="006E0804" w:rsidRPr="00E95BC4">
        <w:rPr>
          <w:color w:val="auto"/>
          <w:lang w:val="sr-Cyrl-CS"/>
        </w:rPr>
        <w:t xml:space="preserve"> </w:t>
      </w:r>
      <w:r>
        <w:rPr>
          <w:color w:val="auto"/>
          <w:lang w:val="sr-Cyrl-CS"/>
        </w:rPr>
        <w:t>ciljane</w:t>
      </w:r>
      <w:r w:rsidR="006E0804" w:rsidRPr="00E95BC4">
        <w:rPr>
          <w:color w:val="auto"/>
          <w:lang w:val="sr-Cyrl-CS"/>
        </w:rPr>
        <w:t xml:space="preserve"> </w:t>
      </w:r>
      <w:r>
        <w:rPr>
          <w:color w:val="auto"/>
          <w:lang w:val="sr-Cyrl-CS"/>
        </w:rPr>
        <w:t>finansijske</w:t>
      </w:r>
      <w:r w:rsidR="006E0804" w:rsidRPr="00E95BC4">
        <w:rPr>
          <w:color w:val="auto"/>
          <w:lang w:val="sr-Cyrl-CS"/>
        </w:rPr>
        <w:t xml:space="preserve"> </w:t>
      </w:r>
      <w:r>
        <w:rPr>
          <w:color w:val="auto"/>
          <w:lang w:val="sr-Cyrl-CS"/>
        </w:rPr>
        <w:t>sankcije</w:t>
      </w:r>
      <w:r w:rsidR="007F7F60" w:rsidRPr="00E95BC4">
        <w:rPr>
          <w:color w:val="auto"/>
          <w:lang w:val="sr-Cyrl-CS"/>
        </w:rPr>
        <w:t>.</w:t>
      </w:r>
    </w:p>
    <w:p w:rsidR="00AB16CA" w:rsidRPr="00E95BC4" w:rsidRDefault="00AB16CA" w:rsidP="00AB16CA">
      <w:pPr>
        <w:tabs>
          <w:tab w:val="left" w:pos="900"/>
        </w:tabs>
        <w:jc w:val="both"/>
        <w:rPr>
          <w:color w:val="FF0000"/>
          <w:lang w:val="sr-Cyrl-CS"/>
        </w:rPr>
      </w:pPr>
    </w:p>
    <w:p w:rsidR="00E856F4" w:rsidRPr="00E95BC4" w:rsidRDefault="001043A5" w:rsidP="001043A5">
      <w:pPr>
        <w:jc w:val="both"/>
        <w:rPr>
          <w:color w:val="auto"/>
          <w:lang w:val="sr-Cyrl-CS"/>
        </w:rPr>
      </w:pPr>
      <w:r w:rsidRPr="00E95BC4">
        <w:rPr>
          <w:color w:val="auto"/>
          <w:lang w:val="sr-Cyrl-CS"/>
        </w:rPr>
        <w:lastRenderedPageBreak/>
        <w:tab/>
      </w:r>
      <w:r w:rsidR="005818C0">
        <w:rPr>
          <w:color w:val="auto"/>
          <w:lang w:val="sr-Cyrl-CS"/>
        </w:rPr>
        <w:t>Koordinatori</w:t>
      </w:r>
      <w:r w:rsidR="00AB16CA" w:rsidRPr="00E95BC4">
        <w:rPr>
          <w:color w:val="auto"/>
          <w:lang w:val="sr-Cyrl-CS"/>
        </w:rPr>
        <w:t xml:space="preserve"> </w:t>
      </w:r>
      <w:r w:rsidR="005818C0">
        <w:rPr>
          <w:color w:val="auto"/>
          <w:lang w:val="sr-Cyrl-CS"/>
        </w:rPr>
        <w:t>će</w:t>
      </w:r>
      <w:r w:rsidR="00AB16CA" w:rsidRPr="00E95BC4">
        <w:rPr>
          <w:color w:val="auto"/>
          <w:lang w:val="sr-Cyrl-CS"/>
        </w:rPr>
        <w:t xml:space="preserve"> </w:t>
      </w:r>
      <w:r w:rsidR="005818C0">
        <w:rPr>
          <w:color w:val="auto"/>
          <w:lang w:val="sr-Cyrl-CS"/>
        </w:rPr>
        <w:t>za</w:t>
      </w:r>
      <w:r w:rsidR="00AB16CA" w:rsidRPr="00E95BC4">
        <w:rPr>
          <w:color w:val="auto"/>
          <w:lang w:val="sr-Cyrl-CS"/>
        </w:rPr>
        <w:t xml:space="preserve"> </w:t>
      </w:r>
      <w:r w:rsidR="005818C0">
        <w:rPr>
          <w:color w:val="auto"/>
          <w:lang w:val="sr-Cyrl-CS"/>
        </w:rPr>
        <w:t>potrebe</w:t>
      </w:r>
      <w:r w:rsidR="00AB16CA" w:rsidRPr="00E95BC4">
        <w:rPr>
          <w:color w:val="auto"/>
          <w:lang w:val="sr-Cyrl-CS"/>
        </w:rPr>
        <w:t xml:space="preserve"> </w:t>
      </w:r>
      <w:r w:rsidR="005818C0">
        <w:rPr>
          <w:color w:val="auto"/>
          <w:lang w:val="sr-Cyrl-CS"/>
        </w:rPr>
        <w:t>praćenja</w:t>
      </w:r>
      <w:r w:rsidR="00AB16CA" w:rsidRPr="00E95BC4">
        <w:rPr>
          <w:color w:val="auto"/>
          <w:lang w:val="sr-Cyrl-CS"/>
        </w:rPr>
        <w:t xml:space="preserve"> </w:t>
      </w:r>
      <w:r w:rsidR="005818C0">
        <w:rPr>
          <w:color w:val="auto"/>
          <w:lang w:val="sr-Cyrl-CS"/>
        </w:rPr>
        <w:t>sprovođenja</w:t>
      </w:r>
      <w:r w:rsidR="00AB16CA" w:rsidRPr="00E95BC4">
        <w:rPr>
          <w:color w:val="auto"/>
          <w:lang w:val="sr-Cyrl-CS"/>
        </w:rPr>
        <w:t xml:space="preserve"> </w:t>
      </w:r>
      <w:r w:rsidR="005818C0">
        <w:rPr>
          <w:color w:val="auto"/>
          <w:lang w:val="sr-Cyrl-CS"/>
        </w:rPr>
        <w:t>Akcionog</w:t>
      </w:r>
      <w:r w:rsidR="00AB16CA" w:rsidRPr="00E95BC4">
        <w:rPr>
          <w:color w:val="auto"/>
          <w:lang w:val="sr-Cyrl-CS"/>
        </w:rPr>
        <w:t xml:space="preserve"> </w:t>
      </w:r>
      <w:r w:rsidR="005818C0">
        <w:rPr>
          <w:color w:val="auto"/>
          <w:lang w:val="sr-Cyrl-CS"/>
        </w:rPr>
        <w:t>plana</w:t>
      </w:r>
      <w:r w:rsidR="00AB16CA" w:rsidRPr="00E95BC4">
        <w:rPr>
          <w:color w:val="auto"/>
          <w:lang w:val="sr-Cyrl-CS"/>
        </w:rPr>
        <w:t xml:space="preserve"> </w:t>
      </w:r>
      <w:r w:rsidR="005818C0">
        <w:rPr>
          <w:color w:val="auto"/>
          <w:lang w:val="sr-Cyrl-CS"/>
        </w:rPr>
        <w:t>davati</w:t>
      </w:r>
      <w:r w:rsidR="00037BF6" w:rsidRPr="00E95BC4">
        <w:rPr>
          <w:color w:val="auto"/>
          <w:lang w:val="sr-Cyrl-CS"/>
        </w:rPr>
        <w:t xml:space="preserve"> </w:t>
      </w:r>
      <w:r w:rsidR="005818C0">
        <w:rPr>
          <w:color w:val="auto"/>
          <w:lang w:val="sr-Cyrl-CS"/>
        </w:rPr>
        <w:t>inicijative</w:t>
      </w:r>
      <w:r w:rsidR="00037BF6" w:rsidRPr="00E95BC4">
        <w:rPr>
          <w:color w:val="auto"/>
          <w:lang w:val="sr-Cyrl-CS"/>
        </w:rPr>
        <w:t xml:space="preserve"> </w:t>
      </w:r>
      <w:r w:rsidR="005818C0">
        <w:rPr>
          <w:color w:val="auto"/>
          <w:lang w:val="sr-Cyrl-CS"/>
        </w:rPr>
        <w:t>za</w:t>
      </w:r>
      <w:r w:rsidR="00037BF6" w:rsidRPr="00E95BC4">
        <w:rPr>
          <w:color w:val="auto"/>
          <w:lang w:val="sr-Cyrl-CS"/>
        </w:rPr>
        <w:t xml:space="preserve"> </w:t>
      </w:r>
      <w:r w:rsidR="005818C0">
        <w:rPr>
          <w:color w:val="auto"/>
          <w:lang w:val="sr-Cyrl-CS"/>
        </w:rPr>
        <w:t>obrazovanje</w:t>
      </w:r>
      <w:r w:rsidR="00037BF6" w:rsidRPr="00E95BC4">
        <w:rPr>
          <w:color w:val="auto"/>
          <w:lang w:val="sr-Cyrl-CS"/>
        </w:rPr>
        <w:t xml:space="preserve"> </w:t>
      </w:r>
      <w:r w:rsidR="005818C0">
        <w:rPr>
          <w:color w:val="auto"/>
          <w:lang w:val="sr-Cyrl-CS"/>
        </w:rPr>
        <w:t>stručnih</w:t>
      </w:r>
      <w:r w:rsidR="00AB16CA" w:rsidRPr="00E95BC4">
        <w:rPr>
          <w:color w:val="auto"/>
          <w:lang w:val="sr-Cyrl-CS"/>
        </w:rPr>
        <w:t xml:space="preserve"> </w:t>
      </w:r>
      <w:r w:rsidR="005818C0">
        <w:rPr>
          <w:color w:val="auto"/>
          <w:lang w:val="sr-Cyrl-CS"/>
        </w:rPr>
        <w:t>timova</w:t>
      </w:r>
      <w:r w:rsidR="00037BF6" w:rsidRPr="00E95BC4">
        <w:rPr>
          <w:color w:val="auto"/>
          <w:lang w:val="sr-Cyrl-CS"/>
        </w:rPr>
        <w:t xml:space="preserve"> </w:t>
      </w:r>
      <w:r w:rsidR="005818C0">
        <w:rPr>
          <w:color w:val="auto"/>
          <w:lang w:val="sr-Cyrl-CS"/>
        </w:rPr>
        <w:t>Koordinacionog</w:t>
      </w:r>
      <w:r w:rsidR="00037BF6" w:rsidRPr="00E95BC4">
        <w:rPr>
          <w:color w:val="auto"/>
          <w:lang w:val="sr-Cyrl-CS"/>
        </w:rPr>
        <w:t xml:space="preserve"> </w:t>
      </w:r>
      <w:r w:rsidR="005818C0">
        <w:rPr>
          <w:color w:val="auto"/>
          <w:lang w:val="sr-Cyrl-CS"/>
        </w:rPr>
        <w:t>tela</w:t>
      </w:r>
      <w:r w:rsidR="00037BF6" w:rsidRPr="00E95BC4">
        <w:rPr>
          <w:color w:val="auto"/>
          <w:lang w:val="sr-Cyrl-CS"/>
        </w:rPr>
        <w:t xml:space="preserve">, </w:t>
      </w:r>
      <w:r w:rsidR="005818C0">
        <w:rPr>
          <w:color w:val="auto"/>
          <w:lang w:val="sr-Cyrl-CS"/>
        </w:rPr>
        <w:t>po</w:t>
      </w:r>
      <w:r w:rsidR="00037BF6" w:rsidRPr="00E95BC4">
        <w:rPr>
          <w:color w:val="auto"/>
          <w:lang w:val="sr-Cyrl-CS"/>
        </w:rPr>
        <w:t xml:space="preserve"> </w:t>
      </w:r>
      <w:r w:rsidR="005818C0">
        <w:rPr>
          <w:color w:val="auto"/>
          <w:lang w:val="sr-Cyrl-CS"/>
        </w:rPr>
        <w:t>potrebi</w:t>
      </w:r>
      <w:r w:rsidR="00037BF6" w:rsidRPr="00E95BC4">
        <w:rPr>
          <w:color w:val="auto"/>
          <w:lang w:val="sr-Cyrl-CS"/>
        </w:rPr>
        <w:t xml:space="preserve"> </w:t>
      </w:r>
      <w:r w:rsidR="005818C0">
        <w:rPr>
          <w:color w:val="auto"/>
          <w:lang w:val="sr-Cyrl-CS"/>
        </w:rPr>
        <w:t>i</w:t>
      </w:r>
      <w:r w:rsidR="00037BF6" w:rsidRPr="00E95BC4">
        <w:rPr>
          <w:color w:val="auto"/>
          <w:lang w:val="sr-Cyrl-CS"/>
        </w:rPr>
        <w:t xml:space="preserve"> </w:t>
      </w:r>
      <w:r w:rsidR="005818C0">
        <w:rPr>
          <w:color w:val="auto"/>
          <w:lang w:val="sr-Cyrl-CS"/>
        </w:rPr>
        <w:t>u</w:t>
      </w:r>
      <w:r w:rsidR="00806E9B" w:rsidRPr="00E95BC4">
        <w:rPr>
          <w:color w:val="auto"/>
          <w:lang w:val="sr-Cyrl-CS"/>
        </w:rPr>
        <w:t xml:space="preserve"> </w:t>
      </w:r>
      <w:r w:rsidR="005818C0">
        <w:rPr>
          <w:color w:val="auto"/>
          <w:lang w:val="sr-Cyrl-CS"/>
        </w:rPr>
        <w:t>skladu</w:t>
      </w:r>
      <w:r w:rsidR="00806E9B" w:rsidRPr="00E95BC4">
        <w:rPr>
          <w:color w:val="auto"/>
          <w:lang w:val="sr-Cyrl-CS"/>
        </w:rPr>
        <w:t xml:space="preserve"> </w:t>
      </w:r>
      <w:r w:rsidR="005818C0">
        <w:rPr>
          <w:color w:val="auto"/>
          <w:lang w:val="sr-Cyrl-CS"/>
        </w:rPr>
        <w:t>sa</w:t>
      </w:r>
      <w:r w:rsidR="00806E9B" w:rsidRPr="00E95BC4">
        <w:rPr>
          <w:color w:val="auto"/>
          <w:lang w:val="sr-Cyrl-CS"/>
        </w:rPr>
        <w:t xml:space="preserve"> </w:t>
      </w:r>
      <w:r w:rsidR="005818C0">
        <w:rPr>
          <w:color w:val="auto"/>
          <w:lang w:val="sr-Cyrl-CS"/>
        </w:rPr>
        <w:t>Poslovnikom</w:t>
      </w:r>
      <w:r w:rsidR="00806E9B" w:rsidRPr="00E95BC4">
        <w:rPr>
          <w:color w:val="auto"/>
          <w:lang w:val="sr-Cyrl-CS"/>
        </w:rPr>
        <w:t xml:space="preserve"> </w:t>
      </w:r>
      <w:r w:rsidR="005818C0">
        <w:rPr>
          <w:color w:val="auto"/>
          <w:lang w:val="sr-Cyrl-CS"/>
        </w:rPr>
        <w:t>Koordinacionog</w:t>
      </w:r>
      <w:r w:rsidR="00806E9B" w:rsidRPr="00E95BC4">
        <w:rPr>
          <w:color w:val="auto"/>
          <w:lang w:val="sr-Cyrl-CS"/>
        </w:rPr>
        <w:t xml:space="preserve"> </w:t>
      </w:r>
      <w:r w:rsidR="005818C0">
        <w:rPr>
          <w:color w:val="auto"/>
          <w:lang w:val="sr-Cyrl-CS"/>
        </w:rPr>
        <w:t>tela</w:t>
      </w:r>
      <w:r w:rsidR="00AB16CA" w:rsidRPr="00E95BC4">
        <w:rPr>
          <w:color w:val="auto"/>
          <w:lang w:val="sr-Cyrl-CS"/>
        </w:rPr>
        <w:t>.</w:t>
      </w:r>
      <w:r w:rsidR="008E17F3" w:rsidRPr="00E95BC4">
        <w:rPr>
          <w:color w:val="auto"/>
          <w:lang w:val="sr-Cyrl-CS"/>
        </w:rPr>
        <w:t xml:space="preserve"> </w:t>
      </w:r>
      <w:r w:rsidR="005818C0">
        <w:rPr>
          <w:color w:val="auto"/>
          <w:lang w:val="sr-Cyrl-CS"/>
        </w:rPr>
        <w:t>Članovi</w:t>
      </w:r>
      <w:r w:rsidR="008E17F3" w:rsidRPr="00E95BC4">
        <w:rPr>
          <w:color w:val="auto"/>
          <w:lang w:val="sr-Cyrl-CS"/>
        </w:rPr>
        <w:t xml:space="preserve"> </w:t>
      </w:r>
      <w:r w:rsidR="005818C0">
        <w:rPr>
          <w:color w:val="auto"/>
          <w:lang w:val="sr-Cyrl-CS"/>
        </w:rPr>
        <w:t>Koordinacionog</w:t>
      </w:r>
      <w:r w:rsidR="008E17F3" w:rsidRPr="00E95BC4">
        <w:rPr>
          <w:color w:val="auto"/>
          <w:lang w:val="sr-Cyrl-CS"/>
        </w:rPr>
        <w:t xml:space="preserve"> </w:t>
      </w:r>
      <w:r w:rsidR="005818C0">
        <w:rPr>
          <w:color w:val="auto"/>
          <w:lang w:val="sr-Cyrl-CS"/>
        </w:rPr>
        <w:t>tela</w:t>
      </w:r>
      <w:r w:rsidR="008E17F3" w:rsidRPr="00E95BC4">
        <w:rPr>
          <w:color w:val="auto"/>
          <w:lang w:val="sr-Cyrl-CS"/>
        </w:rPr>
        <w:t xml:space="preserve"> </w:t>
      </w:r>
      <w:r w:rsidR="005818C0">
        <w:rPr>
          <w:color w:val="auto"/>
          <w:lang w:val="sr-Cyrl-CS"/>
        </w:rPr>
        <w:t>mogu</w:t>
      </w:r>
      <w:r w:rsidR="008E17F3" w:rsidRPr="00E95BC4">
        <w:rPr>
          <w:color w:val="auto"/>
          <w:lang w:val="sr-Cyrl-CS"/>
        </w:rPr>
        <w:t xml:space="preserve"> </w:t>
      </w:r>
      <w:r w:rsidR="005818C0">
        <w:rPr>
          <w:color w:val="auto"/>
          <w:lang w:val="sr-Cyrl-CS"/>
        </w:rPr>
        <w:t>i</w:t>
      </w:r>
      <w:r w:rsidR="008E17F3" w:rsidRPr="00E95BC4">
        <w:rPr>
          <w:color w:val="auto"/>
          <w:lang w:val="sr-Cyrl-CS"/>
        </w:rPr>
        <w:t xml:space="preserve"> </w:t>
      </w:r>
      <w:r w:rsidR="005818C0">
        <w:rPr>
          <w:color w:val="auto"/>
          <w:lang w:val="sr-Cyrl-CS"/>
        </w:rPr>
        <w:t>neposredno</w:t>
      </w:r>
      <w:r w:rsidR="008E17F3" w:rsidRPr="00E95BC4">
        <w:rPr>
          <w:color w:val="auto"/>
          <w:lang w:val="sr-Cyrl-CS"/>
        </w:rPr>
        <w:t xml:space="preserve"> </w:t>
      </w:r>
      <w:r w:rsidR="005818C0">
        <w:rPr>
          <w:color w:val="auto"/>
          <w:lang w:val="sr-Cyrl-CS"/>
        </w:rPr>
        <w:t>izlagati</w:t>
      </w:r>
      <w:r w:rsidR="008E17F3" w:rsidRPr="00E95BC4">
        <w:rPr>
          <w:color w:val="auto"/>
          <w:lang w:val="sr-Cyrl-CS"/>
        </w:rPr>
        <w:t xml:space="preserve"> </w:t>
      </w:r>
      <w:r w:rsidR="005818C0">
        <w:rPr>
          <w:color w:val="auto"/>
          <w:lang w:val="sr-Cyrl-CS"/>
        </w:rPr>
        <w:t>informacije</w:t>
      </w:r>
      <w:r w:rsidR="008E17F3" w:rsidRPr="00E95BC4">
        <w:rPr>
          <w:color w:val="auto"/>
          <w:lang w:val="sr-Cyrl-CS"/>
        </w:rPr>
        <w:t xml:space="preserve"> </w:t>
      </w:r>
      <w:r w:rsidR="005818C0">
        <w:rPr>
          <w:color w:val="auto"/>
          <w:lang w:val="sr-Cyrl-CS"/>
        </w:rPr>
        <w:t>o</w:t>
      </w:r>
      <w:r w:rsidR="008E17F3" w:rsidRPr="00E95BC4">
        <w:rPr>
          <w:color w:val="auto"/>
          <w:lang w:val="sr-Cyrl-CS"/>
        </w:rPr>
        <w:t xml:space="preserve"> </w:t>
      </w:r>
      <w:r w:rsidR="005818C0">
        <w:rPr>
          <w:color w:val="auto"/>
          <w:lang w:val="sr-Cyrl-CS"/>
        </w:rPr>
        <w:t>realizaciji</w:t>
      </w:r>
      <w:r w:rsidR="008E17F3" w:rsidRPr="00E95BC4">
        <w:rPr>
          <w:color w:val="auto"/>
          <w:lang w:val="sr-Cyrl-CS"/>
        </w:rPr>
        <w:t xml:space="preserve"> </w:t>
      </w:r>
      <w:r w:rsidR="005818C0">
        <w:rPr>
          <w:color w:val="auto"/>
          <w:lang w:val="sr-Cyrl-CS"/>
        </w:rPr>
        <w:t>pojedinih</w:t>
      </w:r>
      <w:r w:rsidR="008E17F3" w:rsidRPr="00E95BC4">
        <w:rPr>
          <w:color w:val="auto"/>
          <w:lang w:val="sr-Cyrl-CS"/>
        </w:rPr>
        <w:t xml:space="preserve"> </w:t>
      </w:r>
      <w:r w:rsidR="005818C0">
        <w:rPr>
          <w:color w:val="auto"/>
          <w:lang w:val="sr-Cyrl-CS"/>
        </w:rPr>
        <w:t>aktivnosti</w:t>
      </w:r>
      <w:r w:rsidR="008E17F3" w:rsidRPr="00E95BC4">
        <w:rPr>
          <w:color w:val="auto"/>
          <w:lang w:val="sr-Cyrl-CS"/>
        </w:rPr>
        <w:t>.</w:t>
      </w:r>
    </w:p>
    <w:p w:rsidR="00C46CB0" w:rsidRPr="00E95BC4" w:rsidRDefault="005818C0" w:rsidP="00C46CB0">
      <w:pPr>
        <w:ind w:firstLine="720"/>
        <w:jc w:val="both"/>
        <w:rPr>
          <w:lang w:val="sr-Cyrl-CS"/>
        </w:rPr>
      </w:pPr>
      <w:r>
        <w:rPr>
          <w:lang w:val="sr-Cyrl-CS"/>
        </w:rPr>
        <w:t>Treba</w:t>
      </w:r>
      <w:r w:rsidR="00C46CB0" w:rsidRPr="00E95BC4">
        <w:rPr>
          <w:lang w:val="sr-Cyrl-CS"/>
        </w:rPr>
        <w:t xml:space="preserve"> </w:t>
      </w:r>
      <w:r>
        <w:rPr>
          <w:lang w:val="sr-Cyrl-CS"/>
        </w:rPr>
        <w:t>napomenuti</w:t>
      </w:r>
      <w:r w:rsidR="00C46CB0" w:rsidRPr="00E95BC4">
        <w:rPr>
          <w:lang w:val="sr-Cyrl-CS"/>
        </w:rPr>
        <w:t xml:space="preserve"> </w:t>
      </w:r>
      <w:r>
        <w:rPr>
          <w:lang w:val="sr-Cyrl-CS"/>
        </w:rPr>
        <w:t>da</w:t>
      </w:r>
      <w:r w:rsidR="00C46CB0" w:rsidRPr="00E95BC4">
        <w:rPr>
          <w:lang w:val="sr-Cyrl-CS"/>
        </w:rPr>
        <w:t xml:space="preserve"> </w:t>
      </w:r>
      <w:r>
        <w:rPr>
          <w:lang w:val="sr-Cyrl-CS"/>
        </w:rPr>
        <w:t>je</w:t>
      </w:r>
      <w:r w:rsidR="00C46CB0" w:rsidRPr="00E95BC4">
        <w:rPr>
          <w:lang w:val="sr-Cyrl-CS"/>
        </w:rPr>
        <w:t xml:space="preserve">, </w:t>
      </w:r>
      <w:r>
        <w:rPr>
          <w:lang w:val="sr-Cyrl-CS"/>
        </w:rPr>
        <w:t>u</w:t>
      </w:r>
      <w:r w:rsidR="00C46CB0" w:rsidRPr="00E95BC4">
        <w:rPr>
          <w:lang w:val="sr-Cyrl-CS"/>
        </w:rPr>
        <w:t xml:space="preserve"> </w:t>
      </w:r>
      <w:r>
        <w:rPr>
          <w:lang w:val="sr-Cyrl-CS"/>
        </w:rPr>
        <w:t>skladu</w:t>
      </w:r>
      <w:r w:rsidR="00C46CB0" w:rsidRPr="00E95BC4">
        <w:rPr>
          <w:lang w:val="sr-Cyrl-CS"/>
        </w:rPr>
        <w:t xml:space="preserve"> </w:t>
      </w:r>
      <w:r>
        <w:rPr>
          <w:lang w:val="sr-Cyrl-CS"/>
        </w:rPr>
        <w:t>sa</w:t>
      </w:r>
      <w:r w:rsidR="00C46CB0" w:rsidRPr="00E95BC4">
        <w:rPr>
          <w:lang w:val="sr-Cyrl-CS"/>
        </w:rPr>
        <w:t xml:space="preserve"> </w:t>
      </w:r>
      <w:r>
        <w:rPr>
          <w:lang w:val="sr-Cyrl-CS"/>
        </w:rPr>
        <w:t>uputstvom</w:t>
      </w:r>
      <w:r w:rsidR="00C46CB0" w:rsidRPr="00E95BC4">
        <w:rPr>
          <w:lang w:val="sr-Cyrl-CS"/>
        </w:rPr>
        <w:t xml:space="preserve"> </w:t>
      </w:r>
      <w:r>
        <w:rPr>
          <w:lang w:val="sr-Cyrl-CS"/>
        </w:rPr>
        <w:t>Republičkog</w:t>
      </w:r>
      <w:r w:rsidR="00C46CB0" w:rsidRPr="00E95BC4">
        <w:rPr>
          <w:lang w:val="sr-Cyrl-CS"/>
        </w:rPr>
        <w:t xml:space="preserve"> </w:t>
      </w:r>
      <w:r>
        <w:rPr>
          <w:lang w:val="sr-Cyrl-CS"/>
        </w:rPr>
        <w:t>sekretarijata</w:t>
      </w:r>
      <w:r w:rsidR="00C46CB0" w:rsidRPr="00E95BC4">
        <w:rPr>
          <w:lang w:val="sr-Cyrl-CS"/>
        </w:rPr>
        <w:t xml:space="preserve"> </w:t>
      </w:r>
      <w:r>
        <w:rPr>
          <w:lang w:val="sr-Cyrl-CS"/>
        </w:rPr>
        <w:t>za</w:t>
      </w:r>
      <w:r w:rsidR="00C46CB0" w:rsidRPr="00E95BC4">
        <w:rPr>
          <w:lang w:val="sr-Cyrl-CS"/>
        </w:rPr>
        <w:t xml:space="preserve"> </w:t>
      </w:r>
      <w:r>
        <w:rPr>
          <w:lang w:val="sr-Cyrl-CS"/>
        </w:rPr>
        <w:t>javne</w:t>
      </w:r>
      <w:r w:rsidR="00C46CB0" w:rsidRPr="00E95BC4">
        <w:rPr>
          <w:lang w:val="sr-Cyrl-CS"/>
        </w:rPr>
        <w:t xml:space="preserve"> </w:t>
      </w:r>
      <w:r>
        <w:rPr>
          <w:lang w:val="sr-Cyrl-CS"/>
        </w:rPr>
        <w:t>politike</w:t>
      </w:r>
      <w:r w:rsidR="00C46CB0" w:rsidRPr="00E95BC4">
        <w:rPr>
          <w:lang w:val="sr-Cyrl-CS"/>
        </w:rPr>
        <w:t xml:space="preserve">, </w:t>
      </w:r>
      <w:r>
        <w:rPr>
          <w:lang w:val="sr-Cyrl-CS"/>
        </w:rPr>
        <w:t>u</w:t>
      </w:r>
      <w:r w:rsidR="00C46CB0" w:rsidRPr="00E95BC4">
        <w:rPr>
          <w:lang w:val="sr-Cyrl-CS"/>
        </w:rPr>
        <w:t xml:space="preserve"> </w:t>
      </w:r>
      <w:r>
        <w:rPr>
          <w:lang w:val="sr-Cyrl-CS"/>
        </w:rPr>
        <w:t>tabeli</w:t>
      </w:r>
      <w:r w:rsidR="00C46CB0" w:rsidRPr="00E95BC4">
        <w:rPr>
          <w:lang w:val="sr-Cyrl-CS"/>
        </w:rPr>
        <w:t xml:space="preserve"> </w:t>
      </w:r>
      <w:r>
        <w:rPr>
          <w:lang w:val="sr-Cyrl-CS"/>
        </w:rPr>
        <w:t>Akcionog</w:t>
      </w:r>
      <w:r w:rsidR="00C46CB0" w:rsidRPr="00E95BC4">
        <w:rPr>
          <w:lang w:val="sr-Cyrl-CS"/>
        </w:rPr>
        <w:t xml:space="preserve"> </w:t>
      </w:r>
      <w:r>
        <w:rPr>
          <w:lang w:val="sr-Cyrl-CS"/>
        </w:rPr>
        <w:t>plana</w:t>
      </w:r>
      <w:r w:rsidR="00C46CB0" w:rsidRPr="00E95BC4">
        <w:rPr>
          <w:lang w:val="sr-Cyrl-CS"/>
        </w:rPr>
        <w:t xml:space="preserve">, </w:t>
      </w:r>
      <w:r>
        <w:rPr>
          <w:lang w:val="sr-Cyrl-CS"/>
        </w:rPr>
        <w:t>za</w:t>
      </w:r>
      <w:r w:rsidR="00C46CB0" w:rsidRPr="00E95BC4">
        <w:rPr>
          <w:lang w:val="sr-Cyrl-CS"/>
        </w:rPr>
        <w:t xml:space="preserve"> </w:t>
      </w:r>
      <w:r>
        <w:rPr>
          <w:lang w:val="sr-Cyrl-CS"/>
        </w:rPr>
        <w:t>određene</w:t>
      </w:r>
      <w:r w:rsidR="00C46CB0" w:rsidRPr="00E95BC4">
        <w:rPr>
          <w:lang w:val="sr-Cyrl-CS"/>
        </w:rPr>
        <w:t xml:space="preserve"> </w:t>
      </w:r>
      <w:r>
        <w:rPr>
          <w:lang w:val="sr-Cyrl-CS"/>
        </w:rPr>
        <w:t>aktivnosti</w:t>
      </w:r>
      <w:r w:rsidR="00C46CB0" w:rsidRPr="00E95BC4">
        <w:rPr>
          <w:lang w:val="sr-Cyrl-CS"/>
        </w:rPr>
        <w:t xml:space="preserve"> </w:t>
      </w:r>
      <w:r>
        <w:rPr>
          <w:lang w:val="sr-Cyrl-CS"/>
        </w:rPr>
        <w:t>koje</w:t>
      </w:r>
      <w:r w:rsidR="00C46CB0" w:rsidRPr="00E95BC4">
        <w:rPr>
          <w:lang w:val="sr-Cyrl-CS"/>
        </w:rPr>
        <w:t xml:space="preserve"> </w:t>
      </w:r>
      <w:r>
        <w:rPr>
          <w:lang w:val="sr-Cyrl-CS"/>
        </w:rPr>
        <w:t>su</w:t>
      </w:r>
      <w:r w:rsidR="00C46CB0" w:rsidRPr="00E95BC4">
        <w:rPr>
          <w:lang w:val="sr-Cyrl-CS"/>
        </w:rPr>
        <w:t xml:space="preserve"> </w:t>
      </w:r>
      <w:r>
        <w:rPr>
          <w:lang w:val="sr-Cyrl-CS"/>
        </w:rPr>
        <w:t>po</w:t>
      </w:r>
      <w:r w:rsidR="00C46CB0" w:rsidRPr="00E95BC4">
        <w:rPr>
          <w:lang w:val="sr-Cyrl-CS"/>
        </w:rPr>
        <w:t xml:space="preserve"> </w:t>
      </w:r>
      <w:r>
        <w:rPr>
          <w:lang w:val="sr-Cyrl-CS"/>
        </w:rPr>
        <w:t>prirodi</w:t>
      </w:r>
      <w:r w:rsidR="00C46CB0" w:rsidRPr="00E95BC4">
        <w:rPr>
          <w:i/>
          <w:lang w:val="sr-Cyrl-CS"/>
        </w:rPr>
        <w:t xml:space="preserve"> </w:t>
      </w:r>
      <w:r>
        <w:rPr>
          <w:i/>
          <w:lang w:val="sr-Cyrl-CS"/>
        </w:rPr>
        <w:t>kontinuirane</w:t>
      </w:r>
      <w:r w:rsidR="00E91A83" w:rsidRPr="00E95BC4">
        <w:rPr>
          <w:lang w:val="sr-Cyrl-CS"/>
        </w:rPr>
        <w:t xml:space="preserve">, </w:t>
      </w:r>
      <w:r>
        <w:rPr>
          <w:lang w:val="sr-Cyrl-CS"/>
        </w:rPr>
        <w:t>upisivano</w:t>
      </w:r>
      <w:r w:rsidR="00E91A83" w:rsidRPr="00E95BC4">
        <w:rPr>
          <w:lang w:val="sr-Cyrl-CS"/>
        </w:rPr>
        <w:t xml:space="preserve"> „IV </w:t>
      </w:r>
      <w:r>
        <w:rPr>
          <w:lang w:val="sr-Cyrl-CS"/>
        </w:rPr>
        <w:t>kvartal</w:t>
      </w:r>
      <w:r w:rsidR="00E91A83" w:rsidRPr="00E95BC4">
        <w:rPr>
          <w:lang w:val="sr-Cyrl-CS"/>
        </w:rPr>
        <w:t xml:space="preserve"> 2022”</w:t>
      </w:r>
      <w:r w:rsidR="00C46CB0" w:rsidRPr="00E95BC4">
        <w:rPr>
          <w:lang w:val="sr-Cyrl-CS"/>
        </w:rPr>
        <w:t xml:space="preserve"> </w:t>
      </w:r>
      <w:r>
        <w:rPr>
          <w:lang w:val="sr-Cyrl-CS"/>
        </w:rPr>
        <w:t>kao</w:t>
      </w:r>
      <w:r w:rsidR="00C46CB0" w:rsidRPr="00E95BC4">
        <w:rPr>
          <w:lang w:val="sr-Cyrl-CS"/>
        </w:rPr>
        <w:t xml:space="preserve"> </w:t>
      </w:r>
      <w:r>
        <w:rPr>
          <w:lang w:val="sr-Cyrl-CS"/>
        </w:rPr>
        <w:t>poslednja</w:t>
      </w:r>
      <w:r w:rsidR="00C46CB0" w:rsidRPr="00E95BC4">
        <w:rPr>
          <w:lang w:val="sr-Cyrl-CS"/>
        </w:rPr>
        <w:t xml:space="preserve"> </w:t>
      </w:r>
      <w:r>
        <w:rPr>
          <w:lang w:val="sr-Cyrl-CS"/>
        </w:rPr>
        <w:t>godina</w:t>
      </w:r>
      <w:r w:rsidR="00C46CB0" w:rsidRPr="00E95BC4">
        <w:rPr>
          <w:lang w:val="sr-Cyrl-CS"/>
        </w:rPr>
        <w:t xml:space="preserve"> </w:t>
      </w:r>
      <w:r>
        <w:rPr>
          <w:lang w:val="sr-Cyrl-CS"/>
        </w:rPr>
        <w:t>važenja</w:t>
      </w:r>
      <w:r w:rsidR="00C46CB0" w:rsidRPr="00E95BC4">
        <w:rPr>
          <w:lang w:val="sr-Cyrl-CS"/>
        </w:rPr>
        <w:t xml:space="preserve"> </w:t>
      </w:r>
      <w:r>
        <w:rPr>
          <w:lang w:val="sr-Cyrl-CS"/>
        </w:rPr>
        <w:t>Akcionog</w:t>
      </w:r>
      <w:r w:rsidR="00C46CB0" w:rsidRPr="00E95BC4">
        <w:rPr>
          <w:lang w:val="sr-Cyrl-CS"/>
        </w:rPr>
        <w:t xml:space="preserve"> </w:t>
      </w:r>
      <w:r>
        <w:rPr>
          <w:lang w:val="sr-Cyrl-CS"/>
        </w:rPr>
        <w:t>plana</w:t>
      </w:r>
      <w:r w:rsidR="00C46CB0" w:rsidRPr="00E95BC4">
        <w:rPr>
          <w:lang w:val="sr-Cyrl-CS"/>
        </w:rPr>
        <w:t xml:space="preserve">. </w:t>
      </w:r>
      <w:r>
        <w:rPr>
          <w:lang w:val="sr-Cyrl-CS"/>
        </w:rPr>
        <w:t>U</w:t>
      </w:r>
      <w:r w:rsidR="00C46CB0" w:rsidRPr="00E95BC4">
        <w:rPr>
          <w:lang w:val="sr-Cyrl-CS"/>
        </w:rPr>
        <w:t xml:space="preserve"> </w:t>
      </w:r>
      <w:r>
        <w:rPr>
          <w:lang w:val="sr-Cyrl-CS"/>
        </w:rPr>
        <w:t>takvim</w:t>
      </w:r>
      <w:r w:rsidR="00C46CB0" w:rsidRPr="00E95BC4">
        <w:rPr>
          <w:lang w:val="sr-Cyrl-CS"/>
        </w:rPr>
        <w:t xml:space="preserve"> </w:t>
      </w:r>
      <w:r>
        <w:rPr>
          <w:lang w:val="sr-Cyrl-CS"/>
        </w:rPr>
        <w:t>slučajevima</w:t>
      </w:r>
      <w:r w:rsidR="00C46CB0" w:rsidRPr="00E95BC4">
        <w:rPr>
          <w:lang w:val="sr-Cyrl-CS"/>
        </w:rPr>
        <w:t xml:space="preserve"> </w:t>
      </w:r>
      <w:r>
        <w:rPr>
          <w:lang w:val="sr-Cyrl-CS"/>
        </w:rPr>
        <w:t>može</w:t>
      </w:r>
      <w:r w:rsidR="00C46CB0" w:rsidRPr="00E95BC4">
        <w:rPr>
          <w:lang w:val="sr-Cyrl-CS"/>
        </w:rPr>
        <w:t xml:space="preserve"> </w:t>
      </w:r>
      <w:r>
        <w:rPr>
          <w:lang w:val="sr-Cyrl-CS"/>
        </w:rPr>
        <w:t>doći</w:t>
      </w:r>
      <w:r w:rsidR="00C46CB0" w:rsidRPr="00E95BC4">
        <w:rPr>
          <w:lang w:val="sr-Cyrl-CS"/>
        </w:rPr>
        <w:t xml:space="preserve"> </w:t>
      </w:r>
      <w:r>
        <w:rPr>
          <w:lang w:val="sr-Cyrl-CS"/>
        </w:rPr>
        <w:t>do</w:t>
      </w:r>
      <w:r w:rsidR="00C46CB0" w:rsidRPr="00E95BC4">
        <w:rPr>
          <w:lang w:val="sr-Cyrl-CS"/>
        </w:rPr>
        <w:t xml:space="preserve"> </w:t>
      </w:r>
      <w:r>
        <w:rPr>
          <w:lang w:val="sr-Cyrl-CS"/>
        </w:rPr>
        <w:t>zabune</w:t>
      </w:r>
      <w:r w:rsidR="00C46CB0" w:rsidRPr="00E95BC4">
        <w:rPr>
          <w:lang w:val="sr-Cyrl-CS"/>
        </w:rPr>
        <w:t xml:space="preserve"> </w:t>
      </w:r>
      <w:r>
        <w:rPr>
          <w:lang w:val="sr-Cyrl-CS"/>
        </w:rPr>
        <w:t>između</w:t>
      </w:r>
      <w:r w:rsidR="00C46CB0" w:rsidRPr="00E95BC4">
        <w:rPr>
          <w:lang w:val="sr-Cyrl-CS"/>
        </w:rPr>
        <w:t xml:space="preserve"> </w:t>
      </w:r>
      <w:r>
        <w:rPr>
          <w:lang w:val="sr-Cyrl-CS"/>
        </w:rPr>
        <w:t>takvih</w:t>
      </w:r>
      <w:r w:rsidR="00C46CB0" w:rsidRPr="00E95BC4">
        <w:rPr>
          <w:lang w:val="sr-Cyrl-CS"/>
        </w:rPr>
        <w:t xml:space="preserve"> </w:t>
      </w:r>
      <w:r>
        <w:rPr>
          <w:i/>
          <w:lang w:val="sr-Cyrl-CS"/>
        </w:rPr>
        <w:t>kontinuiranih</w:t>
      </w:r>
      <w:r w:rsidR="00C46CB0" w:rsidRPr="00E95BC4">
        <w:rPr>
          <w:i/>
          <w:lang w:val="sr-Cyrl-CS"/>
        </w:rPr>
        <w:t xml:space="preserve"> </w:t>
      </w:r>
      <w:r>
        <w:rPr>
          <w:lang w:val="sr-Cyrl-CS"/>
        </w:rPr>
        <w:t>aktivnosti</w:t>
      </w:r>
      <w:r w:rsidR="00C46CB0" w:rsidRPr="00E95BC4">
        <w:rPr>
          <w:lang w:val="sr-Cyrl-CS"/>
        </w:rPr>
        <w:t xml:space="preserve"> </w:t>
      </w:r>
      <w:r>
        <w:rPr>
          <w:lang w:val="sr-Cyrl-CS"/>
        </w:rPr>
        <w:t>i</w:t>
      </w:r>
      <w:r w:rsidR="00C46CB0" w:rsidRPr="00E95BC4">
        <w:rPr>
          <w:lang w:val="sr-Cyrl-CS"/>
        </w:rPr>
        <w:t xml:space="preserve"> </w:t>
      </w:r>
      <w:r>
        <w:rPr>
          <w:lang w:val="sr-Cyrl-CS"/>
        </w:rPr>
        <w:t>aktivnosti</w:t>
      </w:r>
      <w:r w:rsidR="00C46CB0" w:rsidRPr="00E95BC4">
        <w:rPr>
          <w:lang w:val="sr-Cyrl-CS"/>
        </w:rPr>
        <w:t xml:space="preserve"> </w:t>
      </w:r>
      <w:r>
        <w:rPr>
          <w:lang w:val="sr-Cyrl-CS"/>
        </w:rPr>
        <w:t>kod</w:t>
      </w:r>
      <w:r w:rsidR="00C46CB0" w:rsidRPr="00E95BC4">
        <w:rPr>
          <w:lang w:val="sr-Cyrl-CS"/>
        </w:rPr>
        <w:t xml:space="preserve"> </w:t>
      </w:r>
      <w:r>
        <w:rPr>
          <w:lang w:val="sr-Cyrl-CS"/>
        </w:rPr>
        <w:t>kojih</w:t>
      </w:r>
      <w:r w:rsidR="00C46CB0" w:rsidRPr="00E95BC4">
        <w:rPr>
          <w:lang w:val="sr-Cyrl-CS"/>
        </w:rPr>
        <w:t xml:space="preserve"> </w:t>
      </w:r>
      <w:r>
        <w:rPr>
          <w:lang w:val="sr-Cyrl-CS"/>
        </w:rPr>
        <w:t>je</w:t>
      </w:r>
      <w:r w:rsidR="00C46CB0" w:rsidRPr="00E95BC4">
        <w:rPr>
          <w:lang w:val="sr-Cyrl-CS"/>
        </w:rPr>
        <w:t xml:space="preserve"> </w:t>
      </w:r>
      <w:r>
        <w:rPr>
          <w:lang w:val="sr-Cyrl-CS"/>
        </w:rPr>
        <w:t>rok</w:t>
      </w:r>
      <w:r w:rsidR="00C46CB0" w:rsidRPr="00E95BC4">
        <w:rPr>
          <w:lang w:val="sr-Cyrl-CS"/>
        </w:rPr>
        <w:t xml:space="preserve"> </w:t>
      </w:r>
      <w:r>
        <w:rPr>
          <w:lang w:val="sr-Cyrl-CS"/>
        </w:rPr>
        <w:t>za</w:t>
      </w:r>
      <w:r w:rsidR="00C46CB0" w:rsidRPr="00E95BC4">
        <w:rPr>
          <w:lang w:val="sr-Cyrl-CS"/>
        </w:rPr>
        <w:t xml:space="preserve"> </w:t>
      </w:r>
      <w:r>
        <w:rPr>
          <w:lang w:val="sr-Cyrl-CS"/>
        </w:rPr>
        <w:t>izvršenje</w:t>
      </w:r>
      <w:r w:rsidR="00C46CB0" w:rsidRPr="00E95BC4">
        <w:rPr>
          <w:lang w:val="sr-Cyrl-CS"/>
        </w:rPr>
        <w:t xml:space="preserve"> </w:t>
      </w:r>
      <w:r>
        <w:rPr>
          <w:lang w:val="sr-Cyrl-CS"/>
        </w:rPr>
        <w:t>upravo</w:t>
      </w:r>
      <w:r w:rsidR="00C46CB0" w:rsidRPr="00E95BC4">
        <w:rPr>
          <w:lang w:val="sr-Cyrl-CS"/>
        </w:rPr>
        <w:t xml:space="preserve"> </w:t>
      </w:r>
      <w:r>
        <w:rPr>
          <w:lang w:val="sr-Cyrl-CS"/>
        </w:rPr>
        <w:t>taj</w:t>
      </w:r>
      <w:r w:rsidR="00C46CB0" w:rsidRPr="00E95BC4">
        <w:rPr>
          <w:lang w:val="sr-Cyrl-CS"/>
        </w:rPr>
        <w:t xml:space="preserve"> </w:t>
      </w:r>
      <w:r>
        <w:rPr>
          <w:lang w:val="sr-Cyrl-CS"/>
        </w:rPr>
        <w:t>kvartal</w:t>
      </w:r>
      <w:r w:rsidR="00C46CB0" w:rsidRPr="00E95BC4">
        <w:rPr>
          <w:lang w:val="sr-Cyrl-CS"/>
        </w:rPr>
        <w:t xml:space="preserve"> 2022, </w:t>
      </w:r>
      <w:r>
        <w:rPr>
          <w:lang w:val="sr-Cyrl-CS"/>
        </w:rPr>
        <w:t>o</w:t>
      </w:r>
      <w:r w:rsidR="00C46CB0" w:rsidRPr="00E95BC4">
        <w:rPr>
          <w:lang w:val="sr-Cyrl-CS"/>
        </w:rPr>
        <w:t xml:space="preserve"> </w:t>
      </w:r>
      <w:r>
        <w:rPr>
          <w:lang w:val="sr-Cyrl-CS"/>
        </w:rPr>
        <w:t>čemu</w:t>
      </w:r>
      <w:r w:rsidR="00C46CB0" w:rsidRPr="00E95BC4">
        <w:rPr>
          <w:lang w:val="sr-Cyrl-CS"/>
        </w:rPr>
        <w:t xml:space="preserve"> </w:t>
      </w:r>
      <w:r>
        <w:rPr>
          <w:lang w:val="sr-Cyrl-CS"/>
        </w:rPr>
        <w:t>treba</w:t>
      </w:r>
      <w:r w:rsidR="00C46CB0" w:rsidRPr="00E95BC4">
        <w:rPr>
          <w:lang w:val="sr-Cyrl-CS"/>
        </w:rPr>
        <w:t xml:space="preserve"> </w:t>
      </w:r>
      <w:r>
        <w:rPr>
          <w:lang w:val="sr-Cyrl-CS"/>
        </w:rPr>
        <w:t>voditi</w:t>
      </w:r>
      <w:r w:rsidR="00C46CB0" w:rsidRPr="00E95BC4">
        <w:rPr>
          <w:lang w:val="sr-Cyrl-CS"/>
        </w:rPr>
        <w:t xml:space="preserve"> </w:t>
      </w:r>
      <w:r>
        <w:rPr>
          <w:lang w:val="sr-Cyrl-CS"/>
        </w:rPr>
        <w:t>računa</w:t>
      </w:r>
      <w:r w:rsidR="00C46CB0" w:rsidRPr="00E95BC4">
        <w:rPr>
          <w:lang w:val="sr-Cyrl-CS"/>
        </w:rPr>
        <w:t xml:space="preserve"> </w:t>
      </w:r>
      <w:r>
        <w:rPr>
          <w:lang w:val="sr-Cyrl-CS"/>
        </w:rPr>
        <w:t>prilikom</w:t>
      </w:r>
      <w:r w:rsidR="00C46CB0" w:rsidRPr="00E95BC4">
        <w:rPr>
          <w:lang w:val="sr-Cyrl-CS"/>
        </w:rPr>
        <w:t xml:space="preserve"> </w:t>
      </w:r>
      <w:r>
        <w:rPr>
          <w:lang w:val="sr-Cyrl-CS"/>
        </w:rPr>
        <w:t>izveštavanja</w:t>
      </w:r>
      <w:r w:rsidR="00C46CB0" w:rsidRPr="00E95BC4">
        <w:rPr>
          <w:lang w:val="sr-Cyrl-CS"/>
        </w:rPr>
        <w:t xml:space="preserve"> </w:t>
      </w:r>
      <w:r>
        <w:rPr>
          <w:lang w:val="sr-Cyrl-CS"/>
        </w:rPr>
        <w:t>o</w:t>
      </w:r>
      <w:r w:rsidR="00C46CB0" w:rsidRPr="00E95BC4">
        <w:rPr>
          <w:lang w:val="sr-Cyrl-CS"/>
        </w:rPr>
        <w:t xml:space="preserve"> </w:t>
      </w:r>
      <w:r>
        <w:rPr>
          <w:lang w:val="sr-Cyrl-CS"/>
        </w:rPr>
        <w:t>stepenu</w:t>
      </w:r>
      <w:r w:rsidR="00C46CB0" w:rsidRPr="00E95BC4">
        <w:rPr>
          <w:lang w:val="sr-Cyrl-CS"/>
        </w:rPr>
        <w:t xml:space="preserve"> </w:t>
      </w:r>
      <w:r>
        <w:rPr>
          <w:lang w:val="sr-Cyrl-CS"/>
        </w:rPr>
        <w:t>ispunjenja</w:t>
      </w:r>
      <w:r w:rsidR="00C46CB0" w:rsidRPr="00E95BC4">
        <w:rPr>
          <w:lang w:val="sr-Cyrl-CS"/>
        </w:rPr>
        <w:t xml:space="preserve"> </w:t>
      </w:r>
      <w:r>
        <w:rPr>
          <w:lang w:val="sr-Cyrl-CS"/>
        </w:rPr>
        <w:t>Strategije</w:t>
      </w:r>
      <w:r w:rsidR="00C46CB0" w:rsidRPr="00E95BC4">
        <w:rPr>
          <w:lang w:val="sr-Cyrl-CS"/>
        </w:rPr>
        <w:t xml:space="preserve">. </w:t>
      </w:r>
      <w:r>
        <w:rPr>
          <w:lang w:val="sr-Cyrl-CS"/>
        </w:rPr>
        <w:t>Kontinuiran</w:t>
      </w:r>
      <w:r w:rsidR="00C46CB0" w:rsidRPr="00E95BC4">
        <w:rPr>
          <w:lang w:val="sr-Cyrl-CS"/>
        </w:rPr>
        <w:t xml:space="preserve"> </w:t>
      </w:r>
      <w:r>
        <w:rPr>
          <w:lang w:val="sr-Cyrl-CS"/>
        </w:rPr>
        <w:t>karakter</w:t>
      </w:r>
      <w:r w:rsidR="00C46CB0" w:rsidRPr="00E95BC4">
        <w:rPr>
          <w:lang w:val="sr-Cyrl-CS"/>
        </w:rPr>
        <w:t xml:space="preserve"> </w:t>
      </w:r>
      <w:r>
        <w:rPr>
          <w:lang w:val="sr-Cyrl-CS"/>
        </w:rPr>
        <w:t>nekih</w:t>
      </w:r>
      <w:r w:rsidR="00C46CB0" w:rsidRPr="00E95BC4">
        <w:rPr>
          <w:lang w:val="sr-Cyrl-CS"/>
        </w:rPr>
        <w:t xml:space="preserve"> </w:t>
      </w:r>
      <w:r>
        <w:rPr>
          <w:lang w:val="sr-Cyrl-CS"/>
        </w:rPr>
        <w:t>aktivnosti</w:t>
      </w:r>
      <w:r w:rsidR="00C46CB0" w:rsidRPr="00E95BC4">
        <w:rPr>
          <w:lang w:val="sr-Cyrl-CS"/>
        </w:rPr>
        <w:t xml:space="preserve"> </w:t>
      </w:r>
      <w:r>
        <w:rPr>
          <w:lang w:val="sr-Cyrl-CS"/>
        </w:rPr>
        <w:t>naglašen</w:t>
      </w:r>
      <w:r w:rsidR="00C46CB0" w:rsidRPr="00E95BC4">
        <w:rPr>
          <w:lang w:val="sr-Cyrl-CS"/>
        </w:rPr>
        <w:t xml:space="preserve"> </w:t>
      </w:r>
      <w:r>
        <w:rPr>
          <w:lang w:val="sr-Cyrl-CS"/>
        </w:rPr>
        <w:t>je</w:t>
      </w:r>
      <w:r w:rsidR="00C46CB0" w:rsidRPr="00E95BC4">
        <w:rPr>
          <w:lang w:val="sr-Cyrl-CS"/>
        </w:rPr>
        <w:t xml:space="preserve"> </w:t>
      </w:r>
      <w:r>
        <w:rPr>
          <w:lang w:val="sr-Cyrl-CS"/>
        </w:rPr>
        <w:t>upotrebom</w:t>
      </w:r>
      <w:r w:rsidR="00C46CB0" w:rsidRPr="00E95BC4">
        <w:rPr>
          <w:lang w:val="sr-Cyrl-CS"/>
        </w:rPr>
        <w:t xml:space="preserve"> </w:t>
      </w:r>
      <w:r>
        <w:rPr>
          <w:lang w:val="sr-Cyrl-CS"/>
        </w:rPr>
        <w:t>te</w:t>
      </w:r>
      <w:r w:rsidR="00C46CB0" w:rsidRPr="00E95BC4">
        <w:rPr>
          <w:lang w:val="sr-Cyrl-CS"/>
        </w:rPr>
        <w:t xml:space="preserve"> </w:t>
      </w:r>
      <w:r>
        <w:rPr>
          <w:lang w:val="sr-Cyrl-CS"/>
        </w:rPr>
        <w:t>reči</w:t>
      </w:r>
      <w:r w:rsidR="00C46CB0" w:rsidRPr="00E95BC4">
        <w:rPr>
          <w:lang w:val="sr-Cyrl-CS"/>
        </w:rPr>
        <w:t xml:space="preserve"> </w:t>
      </w:r>
      <w:r>
        <w:rPr>
          <w:lang w:val="sr-Cyrl-CS"/>
        </w:rPr>
        <w:t>i</w:t>
      </w:r>
      <w:r w:rsidR="00C46CB0" w:rsidRPr="00E95BC4">
        <w:rPr>
          <w:lang w:val="sr-Cyrl-CS"/>
        </w:rPr>
        <w:t xml:space="preserve"> </w:t>
      </w:r>
      <w:r>
        <w:rPr>
          <w:lang w:val="sr-Cyrl-CS"/>
        </w:rPr>
        <w:t>sličnih</w:t>
      </w:r>
      <w:r w:rsidR="00C46CB0" w:rsidRPr="00E95BC4">
        <w:rPr>
          <w:lang w:val="sr-Cyrl-CS"/>
        </w:rPr>
        <w:t xml:space="preserve"> </w:t>
      </w:r>
      <w:r>
        <w:rPr>
          <w:lang w:val="sr-Cyrl-CS"/>
        </w:rPr>
        <w:t>reči</w:t>
      </w:r>
      <w:r w:rsidR="00C46CB0" w:rsidRPr="00E95BC4">
        <w:rPr>
          <w:lang w:val="sr-Cyrl-CS"/>
        </w:rPr>
        <w:t xml:space="preserve">, </w:t>
      </w:r>
      <w:r>
        <w:rPr>
          <w:lang w:val="sr-Cyrl-CS"/>
        </w:rPr>
        <w:t>npr</w:t>
      </w:r>
      <w:r w:rsidR="00C46CB0" w:rsidRPr="00E95BC4">
        <w:rPr>
          <w:lang w:val="sr-Cyrl-CS"/>
        </w:rPr>
        <w:t xml:space="preserve">. </w:t>
      </w:r>
      <w:r>
        <w:rPr>
          <w:lang w:val="sr-Cyrl-CS"/>
        </w:rPr>
        <w:t>kontinuirane</w:t>
      </w:r>
      <w:r w:rsidR="00C46CB0" w:rsidRPr="00E95BC4">
        <w:rPr>
          <w:lang w:val="sr-Cyrl-CS"/>
        </w:rPr>
        <w:t xml:space="preserve"> (</w:t>
      </w:r>
      <w:r>
        <w:rPr>
          <w:lang w:val="sr-Cyrl-CS"/>
        </w:rPr>
        <w:t>obuke</w:t>
      </w:r>
      <w:r w:rsidR="00C46CB0" w:rsidRPr="00E95BC4">
        <w:rPr>
          <w:lang w:val="sr-Cyrl-CS"/>
        </w:rPr>
        <w:t xml:space="preserve"> </w:t>
      </w:r>
      <w:r>
        <w:rPr>
          <w:lang w:val="sr-Cyrl-CS"/>
        </w:rPr>
        <w:t>i</w:t>
      </w:r>
      <w:r w:rsidR="00C46CB0" w:rsidRPr="00E95BC4">
        <w:rPr>
          <w:lang w:val="sr-Cyrl-CS"/>
        </w:rPr>
        <w:t xml:space="preserve"> </w:t>
      </w:r>
      <w:r>
        <w:rPr>
          <w:lang w:val="sr-Cyrl-CS"/>
        </w:rPr>
        <w:t>sl</w:t>
      </w:r>
      <w:r w:rsidR="00C46CB0" w:rsidRPr="00E95BC4">
        <w:rPr>
          <w:lang w:val="sr-Cyrl-CS"/>
        </w:rPr>
        <w:t xml:space="preserve">.), </w:t>
      </w:r>
      <w:r>
        <w:rPr>
          <w:lang w:val="sr-Cyrl-CS"/>
        </w:rPr>
        <w:t>periodično</w:t>
      </w:r>
      <w:r w:rsidR="00C46CB0" w:rsidRPr="00E95BC4">
        <w:rPr>
          <w:lang w:val="sr-Cyrl-CS"/>
        </w:rPr>
        <w:t xml:space="preserve">, </w:t>
      </w:r>
      <w:r>
        <w:rPr>
          <w:lang w:val="sr-Cyrl-CS"/>
        </w:rPr>
        <w:t>kvartalno</w:t>
      </w:r>
      <w:r w:rsidR="00C46CB0" w:rsidRPr="00E95BC4">
        <w:rPr>
          <w:lang w:val="sr-Cyrl-CS"/>
        </w:rPr>
        <w:t xml:space="preserve">, </w:t>
      </w:r>
      <w:r>
        <w:rPr>
          <w:lang w:val="sr-Cyrl-CS"/>
        </w:rPr>
        <w:t>redovno</w:t>
      </w:r>
      <w:r w:rsidR="00C46CB0" w:rsidRPr="00E95BC4">
        <w:rPr>
          <w:lang w:val="sr-Cyrl-CS"/>
        </w:rPr>
        <w:t>.</w:t>
      </w:r>
    </w:p>
    <w:p w:rsidR="00C46CB0" w:rsidRPr="00E95BC4" w:rsidRDefault="005818C0" w:rsidP="00C46CB0">
      <w:pPr>
        <w:ind w:firstLine="720"/>
        <w:jc w:val="both"/>
        <w:rPr>
          <w:lang w:val="sr-Cyrl-CS"/>
        </w:rPr>
      </w:pPr>
      <w:r>
        <w:rPr>
          <w:lang w:val="sr-Cyrl-CS"/>
        </w:rPr>
        <w:t>Takođe</w:t>
      </w:r>
      <w:r w:rsidR="00C46CB0" w:rsidRPr="00E95BC4">
        <w:rPr>
          <w:lang w:val="sr-Cyrl-CS"/>
        </w:rPr>
        <w:t xml:space="preserve">, </w:t>
      </w:r>
      <w:r>
        <w:rPr>
          <w:lang w:val="sr-Cyrl-CS"/>
        </w:rPr>
        <w:t>kada</w:t>
      </w:r>
      <w:r w:rsidR="00C46CB0" w:rsidRPr="00E95BC4">
        <w:rPr>
          <w:lang w:val="sr-Cyrl-CS"/>
        </w:rPr>
        <w:t xml:space="preserve"> </w:t>
      </w:r>
      <w:r>
        <w:rPr>
          <w:lang w:val="sr-Cyrl-CS"/>
        </w:rPr>
        <w:t>je</w:t>
      </w:r>
      <w:r w:rsidR="00C46CB0" w:rsidRPr="00E95BC4">
        <w:rPr>
          <w:lang w:val="sr-Cyrl-CS"/>
        </w:rPr>
        <w:t xml:space="preserve"> </w:t>
      </w:r>
      <w:r>
        <w:rPr>
          <w:lang w:val="sr-Cyrl-CS"/>
        </w:rPr>
        <w:t>reč</w:t>
      </w:r>
      <w:r w:rsidR="00C46CB0" w:rsidRPr="00E95BC4">
        <w:rPr>
          <w:lang w:val="sr-Cyrl-CS"/>
        </w:rPr>
        <w:t xml:space="preserve"> </w:t>
      </w:r>
      <w:r>
        <w:rPr>
          <w:lang w:val="sr-Cyrl-CS"/>
        </w:rPr>
        <w:t>o</w:t>
      </w:r>
      <w:r w:rsidR="00C46CB0" w:rsidRPr="00E95BC4">
        <w:rPr>
          <w:lang w:val="sr-Cyrl-CS"/>
        </w:rPr>
        <w:t xml:space="preserve"> </w:t>
      </w:r>
      <w:r>
        <w:rPr>
          <w:lang w:val="sr-Cyrl-CS"/>
        </w:rPr>
        <w:t>određivanju</w:t>
      </w:r>
      <w:r w:rsidR="00C46CB0" w:rsidRPr="00E95BC4">
        <w:rPr>
          <w:lang w:val="sr-Cyrl-CS"/>
        </w:rPr>
        <w:t xml:space="preserve"> </w:t>
      </w:r>
      <w:r w:rsidR="00E91A83" w:rsidRPr="00E95BC4">
        <w:rPr>
          <w:lang w:val="sr-Cyrl-CS"/>
        </w:rPr>
        <w:t>„</w:t>
      </w:r>
      <w:r>
        <w:rPr>
          <w:lang w:val="sr-Cyrl-CS"/>
        </w:rPr>
        <w:t>organa</w:t>
      </w:r>
      <w:r w:rsidR="00E91A83" w:rsidRPr="00E95BC4">
        <w:rPr>
          <w:lang w:val="sr-Cyrl-CS"/>
        </w:rPr>
        <w:t xml:space="preserve"> </w:t>
      </w:r>
      <w:r>
        <w:rPr>
          <w:lang w:val="sr-Cyrl-CS"/>
        </w:rPr>
        <w:t>koji</w:t>
      </w:r>
      <w:r w:rsidR="00E91A83" w:rsidRPr="00E95BC4">
        <w:rPr>
          <w:lang w:val="sr-Cyrl-CS"/>
        </w:rPr>
        <w:t xml:space="preserve"> </w:t>
      </w:r>
      <w:r>
        <w:rPr>
          <w:lang w:val="sr-Cyrl-CS"/>
        </w:rPr>
        <w:t>sprovodi</w:t>
      </w:r>
      <w:r w:rsidR="00E91A83" w:rsidRPr="00E95BC4">
        <w:rPr>
          <w:lang w:val="sr-Cyrl-CS"/>
        </w:rPr>
        <w:t xml:space="preserve"> </w:t>
      </w:r>
      <w:r>
        <w:rPr>
          <w:lang w:val="sr-Cyrl-CS"/>
        </w:rPr>
        <w:t>aktivnost</w:t>
      </w:r>
      <w:r w:rsidR="00E91A83" w:rsidRPr="00E95BC4">
        <w:rPr>
          <w:lang w:val="sr-Cyrl-CS"/>
        </w:rPr>
        <w:t>”</w:t>
      </w:r>
      <w:r w:rsidR="00C46CB0" w:rsidRPr="00E95BC4">
        <w:rPr>
          <w:lang w:val="sr-Cyrl-CS"/>
        </w:rPr>
        <w:t xml:space="preserve"> </w:t>
      </w:r>
      <w:r>
        <w:rPr>
          <w:lang w:val="sr-Cyrl-CS"/>
        </w:rPr>
        <w:t>u</w:t>
      </w:r>
      <w:r w:rsidR="00C46CB0" w:rsidRPr="00E95BC4">
        <w:rPr>
          <w:lang w:val="sr-Cyrl-CS"/>
        </w:rPr>
        <w:t xml:space="preserve"> </w:t>
      </w:r>
      <w:r>
        <w:rPr>
          <w:lang w:val="sr-Cyrl-CS"/>
        </w:rPr>
        <w:t>više</w:t>
      </w:r>
      <w:r w:rsidR="00C46CB0" w:rsidRPr="00E95BC4">
        <w:rPr>
          <w:lang w:val="sr-Cyrl-CS"/>
        </w:rPr>
        <w:t xml:space="preserve"> </w:t>
      </w:r>
      <w:r>
        <w:rPr>
          <w:lang w:val="sr-Cyrl-CS"/>
        </w:rPr>
        <w:t>slučajeva</w:t>
      </w:r>
      <w:r w:rsidR="00C46CB0" w:rsidRPr="00E95BC4">
        <w:rPr>
          <w:lang w:val="sr-Cyrl-CS"/>
        </w:rPr>
        <w:t xml:space="preserve"> </w:t>
      </w:r>
      <w:r>
        <w:rPr>
          <w:lang w:val="sr-Cyrl-CS"/>
        </w:rPr>
        <w:t>je</w:t>
      </w:r>
      <w:r w:rsidR="00C46CB0" w:rsidRPr="00E95BC4">
        <w:rPr>
          <w:lang w:val="sr-Cyrl-CS"/>
        </w:rPr>
        <w:t xml:space="preserve"> </w:t>
      </w:r>
      <w:r>
        <w:rPr>
          <w:lang w:val="sr-Cyrl-CS"/>
        </w:rPr>
        <w:t>bilo</w:t>
      </w:r>
      <w:r w:rsidR="00C46CB0" w:rsidRPr="00E95BC4">
        <w:rPr>
          <w:lang w:val="sr-Cyrl-CS"/>
        </w:rPr>
        <w:t xml:space="preserve"> </w:t>
      </w:r>
      <w:r>
        <w:rPr>
          <w:lang w:val="sr-Cyrl-CS"/>
        </w:rPr>
        <w:t>primereno</w:t>
      </w:r>
      <w:r w:rsidR="00C46CB0" w:rsidRPr="00E95BC4">
        <w:rPr>
          <w:lang w:val="sr-Cyrl-CS"/>
        </w:rPr>
        <w:t xml:space="preserve"> </w:t>
      </w:r>
      <w:r>
        <w:rPr>
          <w:lang w:val="sr-Cyrl-CS"/>
        </w:rPr>
        <w:t>uneti</w:t>
      </w:r>
      <w:r w:rsidR="00C46CB0" w:rsidRPr="00E95BC4">
        <w:rPr>
          <w:lang w:val="sr-Cyrl-CS"/>
        </w:rPr>
        <w:t xml:space="preserve"> </w:t>
      </w:r>
      <w:r>
        <w:rPr>
          <w:lang w:val="sr-Cyrl-CS"/>
        </w:rPr>
        <w:t>veći</w:t>
      </w:r>
      <w:r w:rsidR="00C46CB0" w:rsidRPr="00E95BC4">
        <w:rPr>
          <w:lang w:val="sr-Cyrl-CS"/>
        </w:rPr>
        <w:t xml:space="preserve"> </w:t>
      </w:r>
      <w:r>
        <w:rPr>
          <w:lang w:val="sr-Cyrl-CS"/>
        </w:rPr>
        <w:t>broj</w:t>
      </w:r>
      <w:r w:rsidR="00C46CB0" w:rsidRPr="00E95BC4">
        <w:rPr>
          <w:lang w:val="sr-Cyrl-CS"/>
        </w:rPr>
        <w:t xml:space="preserve"> </w:t>
      </w:r>
      <w:r>
        <w:rPr>
          <w:lang w:val="sr-Cyrl-CS"/>
        </w:rPr>
        <w:t>organa</w:t>
      </w:r>
      <w:r w:rsidR="00C46CB0" w:rsidRPr="00E95BC4">
        <w:rPr>
          <w:lang w:val="sr-Cyrl-CS"/>
        </w:rPr>
        <w:t xml:space="preserve"> (</w:t>
      </w:r>
      <w:r>
        <w:rPr>
          <w:lang w:val="sr-Cyrl-CS"/>
        </w:rPr>
        <w:t>npr</w:t>
      </w:r>
      <w:r w:rsidR="00C46CB0" w:rsidRPr="00E95BC4">
        <w:rPr>
          <w:lang w:val="sr-Cyrl-CS"/>
        </w:rPr>
        <w:t>. „</w:t>
      </w:r>
      <w:r>
        <w:rPr>
          <w:lang w:val="sr-Cyrl-CS"/>
        </w:rPr>
        <w:t>svi</w:t>
      </w:r>
      <w:r w:rsidR="00C46CB0" w:rsidRPr="00E95BC4">
        <w:rPr>
          <w:lang w:val="sr-Cyrl-CS"/>
        </w:rPr>
        <w:t xml:space="preserve"> </w:t>
      </w:r>
      <w:r>
        <w:rPr>
          <w:lang w:val="sr-Cyrl-CS"/>
        </w:rPr>
        <w:t>nadzorni</w:t>
      </w:r>
      <w:r w:rsidR="00C46CB0" w:rsidRPr="00E95BC4">
        <w:rPr>
          <w:lang w:val="sr-Cyrl-CS"/>
        </w:rPr>
        <w:t xml:space="preserve"> </w:t>
      </w:r>
      <w:r>
        <w:rPr>
          <w:lang w:val="sr-Cyrl-CS"/>
        </w:rPr>
        <w:t>organi</w:t>
      </w:r>
      <w:r w:rsidR="003067CB" w:rsidRPr="00E95BC4">
        <w:rPr>
          <w:lang w:val="sr-Cyrl-CS"/>
        </w:rPr>
        <w:t>”</w:t>
      </w:r>
      <w:r w:rsidR="00C46CB0" w:rsidRPr="00E95BC4">
        <w:rPr>
          <w:lang w:val="sr-Cyrl-CS"/>
        </w:rPr>
        <w:t xml:space="preserve">), </w:t>
      </w:r>
      <w:r>
        <w:rPr>
          <w:lang w:val="sr-Cyrl-CS"/>
        </w:rPr>
        <w:t>ali</w:t>
      </w:r>
      <w:r w:rsidR="00C46CB0" w:rsidRPr="00E95BC4">
        <w:rPr>
          <w:lang w:val="sr-Cyrl-CS"/>
        </w:rPr>
        <w:t xml:space="preserve"> </w:t>
      </w:r>
      <w:r>
        <w:rPr>
          <w:lang w:val="sr-Cyrl-CS"/>
        </w:rPr>
        <w:t>je</w:t>
      </w:r>
      <w:r w:rsidR="00C46CB0" w:rsidRPr="00E95BC4">
        <w:rPr>
          <w:lang w:val="sr-Cyrl-CS"/>
        </w:rPr>
        <w:t xml:space="preserve"> </w:t>
      </w:r>
      <w:r>
        <w:rPr>
          <w:lang w:val="sr-Cyrl-CS"/>
        </w:rPr>
        <w:t>prema</w:t>
      </w:r>
      <w:r w:rsidR="00C46CB0" w:rsidRPr="00E95BC4">
        <w:rPr>
          <w:lang w:val="sr-Cyrl-CS"/>
        </w:rPr>
        <w:t xml:space="preserve"> </w:t>
      </w:r>
      <w:r>
        <w:rPr>
          <w:lang w:val="sr-Cyrl-CS"/>
        </w:rPr>
        <w:t>preporuci</w:t>
      </w:r>
      <w:r w:rsidR="00C46CB0" w:rsidRPr="00E95BC4">
        <w:rPr>
          <w:lang w:val="sr-Cyrl-CS"/>
        </w:rPr>
        <w:t xml:space="preserve"> </w:t>
      </w:r>
      <w:r>
        <w:rPr>
          <w:lang w:val="sr-Cyrl-CS"/>
        </w:rPr>
        <w:t>Republičkog</w:t>
      </w:r>
      <w:r w:rsidR="00C46CB0" w:rsidRPr="00E95BC4">
        <w:rPr>
          <w:lang w:val="sr-Cyrl-CS"/>
        </w:rPr>
        <w:t xml:space="preserve"> </w:t>
      </w:r>
      <w:r>
        <w:rPr>
          <w:lang w:val="sr-Cyrl-CS"/>
        </w:rPr>
        <w:t>sekretarijata</w:t>
      </w:r>
      <w:r w:rsidR="00C46CB0" w:rsidRPr="00E95BC4">
        <w:rPr>
          <w:lang w:val="sr-Cyrl-CS"/>
        </w:rPr>
        <w:t xml:space="preserve"> </w:t>
      </w:r>
      <w:r>
        <w:rPr>
          <w:lang w:val="sr-Cyrl-CS"/>
        </w:rPr>
        <w:t>za</w:t>
      </w:r>
      <w:r w:rsidR="00C46CB0" w:rsidRPr="00E95BC4">
        <w:rPr>
          <w:lang w:val="sr-Cyrl-CS"/>
        </w:rPr>
        <w:t xml:space="preserve"> </w:t>
      </w:r>
      <w:r>
        <w:rPr>
          <w:lang w:val="sr-Cyrl-CS"/>
        </w:rPr>
        <w:t>javne</w:t>
      </w:r>
      <w:r w:rsidR="00C46CB0" w:rsidRPr="00E95BC4">
        <w:rPr>
          <w:lang w:val="sr-Cyrl-CS"/>
        </w:rPr>
        <w:t xml:space="preserve"> </w:t>
      </w:r>
      <w:r>
        <w:rPr>
          <w:lang w:val="sr-Cyrl-CS"/>
        </w:rPr>
        <w:t>politike</w:t>
      </w:r>
      <w:r w:rsidR="00C46CB0" w:rsidRPr="00E95BC4">
        <w:rPr>
          <w:lang w:val="sr-Cyrl-CS"/>
        </w:rPr>
        <w:t xml:space="preserve"> </w:t>
      </w:r>
      <w:r>
        <w:rPr>
          <w:lang w:val="sr-Cyrl-CS"/>
        </w:rPr>
        <w:t>u</w:t>
      </w:r>
      <w:r w:rsidR="00C46CB0" w:rsidRPr="00E95BC4">
        <w:rPr>
          <w:lang w:val="sr-Cyrl-CS"/>
        </w:rPr>
        <w:t xml:space="preserve"> </w:t>
      </w:r>
      <w:r>
        <w:rPr>
          <w:lang w:val="sr-Cyrl-CS"/>
        </w:rPr>
        <w:t>takvim</w:t>
      </w:r>
      <w:r w:rsidR="00C46CB0" w:rsidRPr="00E95BC4">
        <w:rPr>
          <w:lang w:val="sr-Cyrl-CS"/>
        </w:rPr>
        <w:t xml:space="preserve"> </w:t>
      </w:r>
      <w:r>
        <w:rPr>
          <w:lang w:val="sr-Cyrl-CS"/>
        </w:rPr>
        <w:t>slučajevima</w:t>
      </w:r>
      <w:r w:rsidR="00C46CB0" w:rsidRPr="00E95BC4">
        <w:rPr>
          <w:lang w:val="sr-Cyrl-CS"/>
        </w:rPr>
        <w:t xml:space="preserve"> </w:t>
      </w:r>
      <w:r>
        <w:rPr>
          <w:lang w:val="sr-Cyrl-CS"/>
        </w:rPr>
        <w:t>ili</w:t>
      </w:r>
      <w:r w:rsidR="00C46CB0" w:rsidRPr="00E95BC4">
        <w:rPr>
          <w:lang w:val="sr-Cyrl-CS"/>
        </w:rPr>
        <w:t xml:space="preserve"> </w:t>
      </w:r>
      <w:r>
        <w:rPr>
          <w:lang w:val="sr-Cyrl-CS"/>
        </w:rPr>
        <w:t>identifikovan</w:t>
      </w:r>
      <w:r w:rsidR="00C46CB0" w:rsidRPr="00E95BC4">
        <w:rPr>
          <w:lang w:val="sr-Cyrl-CS"/>
        </w:rPr>
        <w:t xml:space="preserve"> </w:t>
      </w:r>
      <w:r>
        <w:rPr>
          <w:lang w:val="sr-Cyrl-CS"/>
        </w:rPr>
        <w:t>samo</w:t>
      </w:r>
      <w:r w:rsidR="00C46CB0" w:rsidRPr="00E95BC4">
        <w:rPr>
          <w:lang w:val="sr-Cyrl-CS"/>
        </w:rPr>
        <w:t xml:space="preserve"> </w:t>
      </w:r>
      <w:r>
        <w:rPr>
          <w:lang w:val="sr-Cyrl-CS"/>
        </w:rPr>
        <w:t>jedan</w:t>
      </w:r>
      <w:r w:rsidR="00C46CB0" w:rsidRPr="00E95BC4">
        <w:rPr>
          <w:lang w:val="sr-Cyrl-CS"/>
        </w:rPr>
        <w:t xml:space="preserve"> </w:t>
      </w:r>
      <w:r>
        <w:rPr>
          <w:lang w:val="sr-Cyrl-CS"/>
        </w:rPr>
        <w:t>od</w:t>
      </w:r>
      <w:r w:rsidR="00C46CB0" w:rsidRPr="00E95BC4">
        <w:rPr>
          <w:lang w:val="sr-Cyrl-CS"/>
        </w:rPr>
        <w:t xml:space="preserve"> </w:t>
      </w:r>
      <w:r>
        <w:rPr>
          <w:lang w:val="sr-Cyrl-CS"/>
        </w:rPr>
        <w:t>tih</w:t>
      </w:r>
      <w:r w:rsidR="00C46CB0" w:rsidRPr="00E95BC4">
        <w:rPr>
          <w:lang w:val="sr-Cyrl-CS"/>
        </w:rPr>
        <w:t xml:space="preserve"> </w:t>
      </w:r>
      <w:r>
        <w:rPr>
          <w:lang w:val="sr-Cyrl-CS"/>
        </w:rPr>
        <w:t>organa</w:t>
      </w:r>
      <w:r w:rsidR="00C46CB0" w:rsidRPr="00E95BC4">
        <w:rPr>
          <w:lang w:val="sr-Cyrl-CS"/>
        </w:rPr>
        <w:t xml:space="preserve">, </w:t>
      </w:r>
      <w:r>
        <w:rPr>
          <w:lang w:val="sr-Cyrl-CS"/>
        </w:rPr>
        <w:t>što</w:t>
      </w:r>
      <w:r w:rsidR="00C46CB0" w:rsidRPr="00E95BC4">
        <w:rPr>
          <w:lang w:val="sr-Cyrl-CS"/>
        </w:rPr>
        <w:t xml:space="preserve"> </w:t>
      </w:r>
      <w:r>
        <w:rPr>
          <w:lang w:val="sr-Cyrl-CS"/>
        </w:rPr>
        <w:t>ne</w:t>
      </w:r>
      <w:r w:rsidR="00C46CB0" w:rsidRPr="00E95BC4">
        <w:rPr>
          <w:lang w:val="sr-Cyrl-CS"/>
        </w:rPr>
        <w:t xml:space="preserve"> </w:t>
      </w:r>
      <w:r>
        <w:rPr>
          <w:lang w:val="sr-Cyrl-CS"/>
        </w:rPr>
        <w:t>znači</w:t>
      </w:r>
      <w:r w:rsidR="00C46CB0" w:rsidRPr="00E95BC4">
        <w:rPr>
          <w:lang w:val="sr-Cyrl-CS"/>
        </w:rPr>
        <w:t xml:space="preserve"> </w:t>
      </w:r>
      <w:r>
        <w:rPr>
          <w:lang w:val="sr-Cyrl-CS"/>
        </w:rPr>
        <w:t>da</w:t>
      </w:r>
      <w:r w:rsidR="00C46CB0" w:rsidRPr="00E95BC4">
        <w:rPr>
          <w:lang w:val="sr-Cyrl-CS"/>
        </w:rPr>
        <w:t xml:space="preserve"> </w:t>
      </w:r>
      <w:r>
        <w:rPr>
          <w:lang w:val="sr-Cyrl-CS"/>
        </w:rPr>
        <w:t>je</w:t>
      </w:r>
      <w:r w:rsidR="00C46CB0" w:rsidRPr="00E95BC4">
        <w:rPr>
          <w:lang w:val="sr-Cyrl-CS"/>
        </w:rPr>
        <w:t xml:space="preserve"> </w:t>
      </w:r>
      <w:r>
        <w:rPr>
          <w:lang w:val="sr-Cyrl-CS"/>
        </w:rPr>
        <w:t>taj</w:t>
      </w:r>
      <w:r w:rsidR="00C46CB0" w:rsidRPr="00E95BC4">
        <w:rPr>
          <w:lang w:val="sr-Cyrl-CS"/>
        </w:rPr>
        <w:t xml:space="preserve"> </w:t>
      </w:r>
      <w:r>
        <w:rPr>
          <w:lang w:val="sr-Cyrl-CS"/>
        </w:rPr>
        <w:t>organ</w:t>
      </w:r>
      <w:r w:rsidR="00C46CB0" w:rsidRPr="00E95BC4">
        <w:rPr>
          <w:lang w:val="sr-Cyrl-CS"/>
        </w:rPr>
        <w:t xml:space="preserve"> </w:t>
      </w:r>
      <w:r>
        <w:rPr>
          <w:lang w:val="sr-Cyrl-CS"/>
        </w:rPr>
        <w:t>isključivo</w:t>
      </w:r>
      <w:r w:rsidR="00C46CB0" w:rsidRPr="00E95BC4">
        <w:rPr>
          <w:lang w:val="sr-Cyrl-CS"/>
        </w:rPr>
        <w:t xml:space="preserve"> </w:t>
      </w:r>
      <w:r>
        <w:rPr>
          <w:lang w:val="sr-Cyrl-CS"/>
        </w:rPr>
        <w:t>nadležan</w:t>
      </w:r>
      <w:r w:rsidR="00C46CB0" w:rsidRPr="00E95BC4">
        <w:rPr>
          <w:lang w:val="sr-Cyrl-CS"/>
        </w:rPr>
        <w:t xml:space="preserve"> </w:t>
      </w:r>
      <w:r>
        <w:rPr>
          <w:lang w:val="sr-Cyrl-CS"/>
        </w:rPr>
        <w:t>za</w:t>
      </w:r>
      <w:r w:rsidR="00C46CB0" w:rsidRPr="00E95BC4">
        <w:rPr>
          <w:lang w:val="sr-Cyrl-CS"/>
        </w:rPr>
        <w:t xml:space="preserve"> </w:t>
      </w:r>
      <w:r>
        <w:rPr>
          <w:lang w:val="sr-Cyrl-CS"/>
        </w:rPr>
        <w:t>tu</w:t>
      </w:r>
      <w:r w:rsidR="00C46CB0" w:rsidRPr="00E95BC4">
        <w:rPr>
          <w:lang w:val="sr-Cyrl-CS"/>
        </w:rPr>
        <w:t xml:space="preserve"> </w:t>
      </w:r>
      <w:r>
        <w:rPr>
          <w:lang w:val="sr-Cyrl-CS"/>
        </w:rPr>
        <w:t>aktivnost</w:t>
      </w:r>
      <w:r w:rsidR="00C46CB0" w:rsidRPr="00E95BC4">
        <w:rPr>
          <w:lang w:val="sr-Cyrl-CS"/>
        </w:rPr>
        <w:t xml:space="preserve"> </w:t>
      </w:r>
      <w:r>
        <w:rPr>
          <w:lang w:val="sr-Cyrl-CS"/>
        </w:rPr>
        <w:t>nego</w:t>
      </w:r>
      <w:r w:rsidR="00C46CB0" w:rsidRPr="00E95BC4">
        <w:rPr>
          <w:lang w:val="sr-Cyrl-CS"/>
        </w:rPr>
        <w:t xml:space="preserve"> </w:t>
      </w:r>
      <w:r>
        <w:rPr>
          <w:lang w:val="sr-Cyrl-CS"/>
        </w:rPr>
        <w:t>se</w:t>
      </w:r>
      <w:r w:rsidR="00C46CB0" w:rsidRPr="00E95BC4">
        <w:rPr>
          <w:lang w:val="sr-Cyrl-CS"/>
        </w:rPr>
        <w:t xml:space="preserve"> </w:t>
      </w:r>
      <w:r>
        <w:rPr>
          <w:lang w:val="sr-Cyrl-CS"/>
        </w:rPr>
        <w:t>posmatra</w:t>
      </w:r>
      <w:r w:rsidR="00C46CB0" w:rsidRPr="00E95BC4">
        <w:rPr>
          <w:lang w:val="sr-Cyrl-CS"/>
        </w:rPr>
        <w:t xml:space="preserve"> </w:t>
      </w:r>
      <w:r>
        <w:rPr>
          <w:lang w:val="sr-Cyrl-CS"/>
        </w:rPr>
        <w:t>više</w:t>
      </w:r>
      <w:r w:rsidR="00C46CB0" w:rsidRPr="00E95BC4">
        <w:rPr>
          <w:lang w:val="sr-Cyrl-CS"/>
        </w:rPr>
        <w:t xml:space="preserve"> </w:t>
      </w:r>
      <w:r>
        <w:rPr>
          <w:lang w:val="sr-Cyrl-CS"/>
        </w:rPr>
        <w:t>kao</w:t>
      </w:r>
      <w:r w:rsidR="00C46CB0" w:rsidRPr="00E95BC4">
        <w:rPr>
          <w:lang w:val="sr-Cyrl-CS"/>
        </w:rPr>
        <w:t xml:space="preserve"> </w:t>
      </w:r>
      <w:r>
        <w:rPr>
          <w:lang w:val="sr-Cyrl-CS"/>
        </w:rPr>
        <w:t>koordinator</w:t>
      </w:r>
      <w:r w:rsidR="00C46CB0" w:rsidRPr="00E95BC4">
        <w:rPr>
          <w:lang w:val="sr-Cyrl-CS"/>
        </w:rPr>
        <w:t xml:space="preserve"> </w:t>
      </w:r>
      <w:r>
        <w:rPr>
          <w:lang w:val="sr-Cyrl-CS"/>
        </w:rPr>
        <w:t>realizacije</w:t>
      </w:r>
      <w:r w:rsidR="00C46CB0" w:rsidRPr="00E95BC4">
        <w:rPr>
          <w:lang w:val="sr-Cyrl-CS"/>
        </w:rPr>
        <w:t xml:space="preserve">, </w:t>
      </w:r>
      <w:r>
        <w:rPr>
          <w:lang w:val="sr-Cyrl-CS"/>
        </w:rPr>
        <w:t>a</w:t>
      </w:r>
      <w:r w:rsidR="00C46CB0" w:rsidRPr="00E95BC4">
        <w:rPr>
          <w:lang w:val="sr-Cyrl-CS"/>
        </w:rPr>
        <w:t xml:space="preserve"> </w:t>
      </w:r>
      <w:r>
        <w:rPr>
          <w:lang w:val="sr-Cyrl-CS"/>
        </w:rPr>
        <w:t>u</w:t>
      </w:r>
      <w:r w:rsidR="00C46CB0" w:rsidRPr="00E95BC4">
        <w:rPr>
          <w:lang w:val="sr-Cyrl-CS"/>
        </w:rPr>
        <w:t xml:space="preserve"> </w:t>
      </w:r>
      <w:r>
        <w:rPr>
          <w:lang w:val="sr-Cyrl-CS"/>
        </w:rPr>
        <w:t>većem</w:t>
      </w:r>
      <w:r w:rsidR="00C46CB0" w:rsidRPr="00E95BC4">
        <w:rPr>
          <w:lang w:val="sr-Cyrl-CS"/>
        </w:rPr>
        <w:t xml:space="preserve"> </w:t>
      </w:r>
      <w:r>
        <w:rPr>
          <w:lang w:val="sr-Cyrl-CS"/>
        </w:rPr>
        <w:t>broju</w:t>
      </w:r>
      <w:r w:rsidR="00C46CB0" w:rsidRPr="00E95BC4">
        <w:rPr>
          <w:lang w:val="sr-Cyrl-CS"/>
        </w:rPr>
        <w:t xml:space="preserve"> </w:t>
      </w:r>
      <w:r>
        <w:rPr>
          <w:lang w:val="sr-Cyrl-CS"/>
        </w:rPr>
        <w:t>takvih</w:t>
      </w:r>
      <w:r w:rsidR="00C46CB0" w:rsidRPr="00E95BC4">
        <w:rPr>
          <w:lang w:val="sr-Cyrl-CS"/>
        </w:rPr>
        <w:t xml:space="preserve"> </w:t>
      </w:r>
      <w:r>
        <w:rPr>
          <w:lang w:val="sr-Cyrl-CS"/>
        </w:rPr>
        <w:t>slučajeva</w:t>
      </w:r>
      <w:r w:rsidR="00C46CB0" w:rsidRPr="00E95BC4">
        <w:rPr>
          <w:lang w:val="sr-Cyrl-CS"/>
        </w:rPr>
        <w:t xml:space="preserve"> </w:t>
      </w:r>
      <w:r>
        <w:rPr>
          <w:lang w:val="sr-Cyrl-CS"/>
        </w:rPr>
        <w:t>kao</w:t>
      </w:r>
      <w:r w:rsidR="00C46CB0" w:rsidRPr="00E95BC4">
        <w:rPr>
          <w:lang w:val="sr-Cyrl-CS"/>
        </w:rPr>
        <w:t xml:space="preserve"> </w:t>
      </w:r>
      <w:r>
        <w:rPr>
          <w:lang w:val="sr-Cyrl-CS"/>
        </w:rPr>
        <w:t>organ</w:t>
      </w:r>
      <w:r w:rsidR="00C46CB0" w:rsidRPr="00E95BC4">
        <w:rPr>
          <w:lang w:val="sr-Cyrl-CS"/>
        </w:rPr>
        <w:t xml:space="preserve"> </w:t>
      </w:r>
      <w:r>
        <w:rPr>
          <w:lang w:val="sr-Cyrl-CS"/>
        </w:rPr>
        <w:t>koji</w:t>
      </w:r>
      <w:r w:rsidR="00C46CB0" w:rsidRPr="00E95BC4">
        <w:rPr>
          <w:lang w:val="sr-Cyrl-CS"/>
        </w:rPr>
        <w:t xml:space="preserve"> </w:t>
      </w:r>
      <w:r>
        <w:rPr>
          <w:lang w:val="sr-Cyrl-CS"/>
        </w:rPr>
        <w:t>sprovodi</w:t>
      </w:r>
      <w:r w:rsidR="00C46CB0" w:rsidRPr="00E95BC4">
        <w:rPr>
          <w:lang w:val="sr-Cyrl-CS"/>
        </w:rPr>
        <w:t xml:space="preserve"> </w:t>
      </w:r>
      <w:r>
        <w:rPr>
          <w:lang w:val="sr-Cyrl-CS"/>
        </w:rPr>
        <w:t>aktivnost</w:t>
      </w:r>
      <w:r w:rsidR="00C46CB0" w:rsidRPr="00E95BC4">
        <w:rPr>
          <w:lang w:val="sr-Cyrl-CS"/>
        </w:rPr>
        <w:t xml:space="preserve"> (</w:t>
      </w:r>
      <w:r>
        <w:rPr>
          <w:lang w:val="sr-Cyrl-CS"/>
        </w:rPr>
        <w:t>nosilac</w:t>
      </w:r>
      <w:r w:rsidR="00C46CB0" w:rsidRPr="00E95BC4">
        <w:rPr>
          <w:lang w:val="sr-Cyrl-CS"/>
        </w:rPr>
        <w:t xml:space="preserve">) </w:t>
      </w:r>
      <w:r>
        <w:rPr>
          <w:lang w:val="sr-Cyrl-CS"/>
        </w:rPr>
        <w:t>navođena</w:t>
      </w:r>
      <w:r w:rsidR="00C46CB0" w:rsidRPr="00E95BC4">
        <w:rPr>
          <w:lang w:val="sr-Cyrl-CS"/>
        </w:rPr>
        <w:t xml:space="preserve"> </w:t>
      </w:r>
      <w:r>
        <w:rPr>
          <w:lang w:val="sr-Cyrl-CS"/>
        </w:rPr>
        <w:t>su</w:t>
      </w:r>
      <w:r w:rsidR="00C46CB0" w:rsidRPr="00E95BC4">
        <w:rPr>
          <w:lang w:val="sr-Cyrl-CS"/>
        </w:rPr>
        <w:t xml:space="preserve"> </w:t>
      </w:r>
      <w:r>
        <w:rPr>
          <w:lang w:val="sr-Cyrl-CS"/>
        </w:rPr>
        <w:t>šira</w:t>
      </w:r>
      <w:r w:rsidR="00C46CB0" w:rsidRPr="00E95BC4">
        <w:rPr>
          <w:lang w:val="sr-Cyrl-CS"/>
        </w:rPr>
        <w:t xml:space="preserve"> </w:t>
      </w:r>
      <w:r>
        <w:rPr>
          <w:lang w:val="sr-Cyrl-CS"/>
        </w:rPr>
        <w:t>koordinaciona</w:t>
      </w:r>
      <w:r w:rsidR="00C46CB0" w:rsidRPr="00E95BC4">
        <w:rPr>
          <w:lang w:val="sr-Cyrl-CS"/>
        </w:rPr>
        <w:t xml:space="preserve"> </w:t>
      </w:r>
      <w:r>
        <w:rPr>
          <w:lang w:val="sr-Cyrl-CS"/>
        </w:rPr>
        <w:t>tela</w:t>
      </w:r>
      <w:r w:rsidR="00C46CB0" w:rsidRPr="00E95BC4">
        <w:rPr>
          <w:lang w:val="sr-Cyrl-CS"/>
        </w:rPr>
        <w:t xml:space="preserve"> </w:t>
      </w:r>
      <w:r>
        <w:rPr>
          <w:lang w:val="sr-Cyrl-CS"/>
        </w:rPr>
        <w:t>kao</w:t>
      </w:r>
      <w:r w:rsidR="00C46CB0" w:rsidRPr="00E95BC4">
        <w:rPr>
          <w:lang w:val="sr-Cyrl-CS"/>
        </w:rPr>
        <w:t xml:space="preserve"> </w:t>
      </w:r>
      <w:r>
        <w:rPr>
          <w:lang w:val="sr-Cyrl-CS"/>
        </w:rPr>
        <w:t>što</w:t>
      </w:r>
      <w:r w:rsidR="00C46CB0" w:rsidRPr="00E95BC4">
        <w:rPr>
          <w:lang w:val="sr-Cyrl-CS"/>
        </w:rPr>
        <w:t xml:space="preserve"> </w:t>
      </w:r>
      <w:r>
        <w:rPr>
          <w:lang w:val="sr-Cyrl-CS"/>
        </w:rPr>
        <w:t>su</w:t>
      </w:r>
      <w:r w:rsidR="00C46CB0" w:rsidRPr="00E95BC4">
        <w:rPr>
          <w:lang w:val="sr-Cyrl-CS"/>
        </w:rPr>
        <w:t xml:space="preserve"> </w:t>
      </w:r>
      <w:r>
        <w:rPr>
          <w:lang w:val="sr-Cyrl-CS"/>
        </w:rPr>
        <w:t>Koordinaciono</w:t>
      </w:r>
      <w:r w:rsidR="00C46CB0" w:rsidRPr="00E95BC4">
        <w:rPr>
          <w:lang w:val="sr-Cyrl-CS"/>
        </w:rPr>
        <w:t xml:space="preserve"> </w:t>
      </w:r>
      <w:r>
        <w:rPr>
          <w:lang w:val="sr-Cyrl-CS"/>
        </w:rPr>
        <w:t>telo</w:t>
      </w:r>
      <w:r w:rsidR="00C46CB0" w:rsidRPr="00E95BC4">
        <w:rPr>
          <w:lang w:val="sr-Cyrl-CS"/>
        </w:rPr>
        <w:t xml:space="preserve"> </w:t>
      </w:r>
      <w:r>
        <w:rPr>
          <w:lang w:val="sr-Cyrl-CS"/>
        </w:rPr>
        <w:t>za</w:t>
      </w:r>
      <w:r w:rsidR="00C46CB0" w:rsidRPr="00E95BC4">
        <w:rPr>
          <w:lang w:val="sr-Cyrl-CS"/>
        </w:rPr>
        <w:t xml:space="preserve"> </w:t>
      </w:r>
      <w:r>
        <w:rPr>
          <w:lang w:val="sr-Cyrl-CS"/>
        </w:rPr>
        <w:t>sprečavanje</w:t>
      </w:r>
      <w:r w:rsidR="00C46CB0" w:rsidRPr="00E95BC4">
        <w:rPr>
          <w:lang w:val="sr-Cyrl-CS"/>
        </w:rPr>
        <w:t xml:space="preserve"> </w:t>
      </w:r>
      <w:r>
        <w:rPr>
          <w:lang w:val="sr-Cyrl-CS"/>
        </w:rPr>
        <w:t>pranja</w:t>
      </w:r>
      <w:r w:rsidR="00C46CB0" w:rsidRPr="00E95BC4">
        <w:rPr>
          <w:lang w:val="sr-Cyrl-CS"/>
        </w:rPr>
        <w:t xml:space="preserve"> </w:t>
      </w:r>
      <w:r>
        <w:rPr>
          <w:lang w:val="sr-Cyrl-CS"/>
        </w:rPr>
        <w:t>novca</w:t>
      </w:r>
      <w:r w:rsidR="00C46CB0" w:rsidRPr="00E95BC4">
        <w:rPr>
          <w:lang w:val="sr-Cyrl-CS"/>
        </w:rPr>
        <w:t xml:space="preserve"> </w:t>
      </w:r>
      <w:r>
        <w:rPr>
          <w:lang w:val="sr-Cyrl-CS"/>
        </w:rPr>
        <w:t>i</w:t>
      </w:r>
      <w:r w:rsidR="00C46CB0" w:rsidRPr="00E95BC4">
        <w:rPr>
          <w:lang w:val="sr-Cyrl-CS"/>
        </w:rPr>
        <w:t xml:space="preserve"> </w:t>
      </w:r>
      <w:r>
        <w:rPr>
          <w:lang w:val="sr-Cyrl-CS"/>
        </w:rPr>
        <w:t>finansiranja</w:t>
      </w:r>
      <w:r w:rsidR="00C46CB0" w:rsidRPr="00E95BC4">
        <w:rPr>
          <w:lang w:val="sr-Cyrl-CS"/>
        </w:rPr>
        <w:t xml:space="preserve"> </w:t>
      </w:r>
      <w:r>
        <w:rPr>
          <w:lang w:val="sr-Cyrl-CS"/>
        </w:rPr>
        <w:t>terorizma</w:t>
      </w:r>
      <w:r w:rsidR="00C46CB0" w:rsidRPr="00E95BC4">
        <w:rPr>
          <w:lang w:val="sr-Cyrl-CS"/>
        </w:rPr>
        <w:t xml:space="preserve">, </w:t>
      </w:r>
      <w:r>
        <w:rPr>
          <w:lang w:val="sr-Cyrl-CS"/>
        </w:rPr>
        <w:t>Nacionalno</w:t>
      </w:r>
      <w:r w:rsidR="00C46CB0" w:rsidRPr="00E95BC4">
        <w:rPr>
          <w:lang w:val="sr-Cyrl-CS"/>
        </w:rPr>
        <w:t xml:space="preserve"> </w:t>
      </w:r>
      <w:r>
        <w:rPr>
          <w:lang w:val="sr-Cyrl-CS"/>
        </w:rPr>
        <w:t>koordinaciono</w:t>
      </w:r>
      <w:r w:rsidR="00C46CB0" w:rsidRPr="00E95BC4">
        <w:rPr>
          <w:lang w:val="sr-Cyrl-CS"/>
        </w:rPr>
        <w:t xml:space="preserve"> </w:t>
      </w:r>
      <w:r>
        <w:rPr>
          <w:lang w:val="sr-Cyrl-CS"/>
        </w:rPr>
        <w:t>telo</w:t>
      </w:r>
      <w:r w:rsidR="003A648B" w:rsidRPr="00E95BC4">
        <w:rPr>
          <w:lang w:val="sr-Cyrl-CS"/>
        </w:rPr>
        <w:t xml:space="preserve"> </w:t>
      </w:r>
      <w:r>
        <w:rPr>
          <w:lang w:val="sr-Cyrl-CS"/>
        </w:rPr>
        <w:t>za</w:t>
      </w:r>
      <w:r w:rsidR="003A648B" w:rsidRPr="00E95BC4">
        <w:rPr>
          <w:lang w:val="sr-Cyrl-CS"/>
        </w:rPr>
        <w:t xml:space="preserve"> </w:t>
      </w:r>
      <w:r>
        <w:rPr>
          <w:lang w:val="sr-Cyrl-CS"/>
        </w:rPr>
        <w:t>sprečavanje</w:t>
      </w:r>
      <w:r w:rsidR="003A648B" w:rsidRPr="00E95BC4">
        <w:rPr>
          <w:lang w:val="sr-Cyrl-CS"/>
        </w:rPr>
        <w:t xml:space="preserve"> </w:t>
      </w:r>
      <w:r>
        <w:rPr>
          <w:lang w:val="sr-Cyrl-CS"/>
        </w:rPr>
        <w:t>i</w:t>
      </w:r>
      <w:r w:rsidR="003A648B" w:rsidRPr="00E95BC4">
        <w:rPr>
          <w:lang w:val="sr-Cyrl-CS"/>
        </w:rPr>
        <w:t xml:space="preserve"> </w:t>
      </w:r>
      <w:r>
        <w:rPr>
          <w:lang w:val="sr-Cyrl-CS"/>
        </w:rPr>
        <w:t>borbu</w:t>
      </w:r>
      <w:r w:rsidR="003A648B" w:rsidRPr="00E95BC4">
        <w:rPr>
          <w:lang w:val="sr-Cyrl-CS"/>
        </w:rPr>
        <w:t xml:space="preserve"> </w:t>
      </w:r>
      <w:r>
        <w:rPr>
          <w:lang w:val="sr-Cyrl-CS"/>
        </w:rPr>
        <w:t>protiv</w:t>
      </w:r>
      <w:r w:rsidR="00526B4C">
        <w:rPr>
          <w:lang w:val="sr-Cyrl-CS"/>
        </w:rPr>
        <w:t xml:space="preserve"> </w:t>
      </w:r>
      <w:r>
        <w:rPr>
          <w:lang w:val="sr-Cyrl-CS"/>
        </w:rPr>
        <w:t>terorizma</w:t>
      </w:r>
      <w:r w:rsidR="00526B4C">
        <w:rPr>
          <w:lang w:val="sr-Cyrl-CS"/>
        </w:rPr>
        <w:t xml:space="preserve"> </w:t>
      </w:r>
      <w:r>
        <w:rPr>
          <w:lang w:val="sr-Cyrl-CS"/>
        </w:rPr>
        <w:t>ili</w:t>
      </w:r>
      <w:r w:rsidR="00526B4C">
        <w:rPr>
          <w:lang w:val="sr-Cyrl-CS"/>
        </w:rPr>
        <w:t xml:space="preserve"> </w:t>
      </w:r>
      <w:r>
        <w:rPr>
          <w:lang w:val="sr-Cyrl-CS"/>
        </w:rPr>
        <w:t>Koordinaciona</w:t>
      </w:r>
      <w:r w:rsidR="00C46CB0" w:rsidRPr="00E95BC4">
        <w:rPr>
          <w:lang w:val="sr-Cyrl-CS"/>
        </w:rPr>
        <w:t xml:space="preserve"> </w:t>
      </w:r>
      <w:r>
        <w:rPr>
          <w:lang w:val="sr-Cyrl-CS"/>
        </w:rPr>
        <w:t>komisija</w:t>
      </w:r>
      <w:r w:rsidR="00C46CB0" w:rsidRPr="00E95BC4">
        <w:rPr>
          <w:lang w:val="sr-Cyrl-CS"/>
        </w:rPr>
        <w:t xml:space="preserve"> </w:t>
      </w:r>
      <w:r>
        <w:rPr>
          <w:lang w:val="sr-Cyrl-CS"/>
        </w:rPr>
        <w:t>za</w:t>
      </w:r>
      <w:r w:rsidR="00C46CB0" w:rsidRPr="00E95BC4">
        <w:rPr>
          <w:lang w:val="sr-Cyrl-CS"/>
        </w:rPr>
        <w:t xml:space="preserve"> </w:t>
      </w:r>
      <w:r>
        <w:rPr>
          <w:lang w:val="sr-Cyrl-CS"/>
        </w:rPr>
        <w:t>inspekcijski</w:t>
      </w:r>
      <w:r w:rsidR="00C46CB0" w:rsidRPr="00E95BC4">
        <w:rPr>
          <w:lang w:val="sr-Cyrl-CS"/>
        </w:rPr>
        <w:t xml:space="preserve"> </w:t>
      </w:r>
      <w:r>
        <w:rPr>
          <w:lang w:val="sr-Cyrl-CS"/>
        </w:rPr>
        <w:t>nadzor</w:t>
      </w:r>
      <w:r w:rsidR="00C46CB0" w:rsidRPr="00E95BC4">
        <w:rPr>
          <w:lang w:val="sr-Cyrl-CS"/>
        </w:rPr>
        <w:t xml:space="preserve">. </w:t>
      </w:r>
    </w:p>
    <w:p w:rsidR="00317E78" w:rsidRPr="00E95BC4" w:rsidRDefault="00317E78" w:rsidP="00285FD7">
      <w:pPr>
        <w:tabs>
          <w:tab w:val="left" w:pos="900"/>
        </w:tabs>
        <w:jc w:val="both"/>
        <w:rPr>
          <w:lang w:val="sr-Cyrl-CS"/>
        </w:rPr>
      </w:pPr>
    </w:p>
    <w:p w:rsidR="00A278FF" w:rsidRPr="00E95BC4" w:rsidRDefault="005818C0" w:rsidP="00285FD7">
      <w:pPr>
        <w:pStyle w:val="Heading1"/>
        <w:spacing w:before="0"/>
        <w:ind w:firstLine="720"/>
        <w:rPr>
          <w:rFonts w:ascii="Times New Roman" w:hAnsi="Times New Roman" w:cs="Times New Roman"/>
          <w:color w:val="auto"/>
          <w:sz w:val="24"/>
          <w:szCs w:val="24"/>
          <w:lang w:val="sr-Cyrl-CS"/>
        </w:rPr>
      </w:pPr>
      <w:bookmarkStart w:id="11" w:name="_Toc32409900"/>
      <w:r>
        <w:rPr>
          <w:rFonts w:ascii="Times New Roman" w:hAnsi="Times New Roman" w:cs="Times New Roman"/>
          <w:color w:val="auto"/>
          <w:sz w:val="24"/>
          <w:szCs w:val="24"/>
          <w:lang w:val="sr-Cyrl-CS"/>
        </w:rPr>
        <w:t>Sprovedene</w:t>
      </w:r>
      <w:r w:rsidR="00A278FF" w:rsidRPr="00E95BC4">
        <w:rPr>
          <w:rFonts w:ascii="Times New Roman" w:hAnsi="Times New Roman" w:cs="Times New Roman"/>
          <w:color w:val="auto"/>
          <w:sz w:val="24"/>
          <w:szCs w:val="24"/>
          <w:lang w:val="sr-Cyrl-CS"/>
        </w:rPr>
        <w:t xml:space="preserve"> </w:t>
      </w:r>
      <w:r>
        <w:rPr>
          <w:rFonts w:ascii="Times New Roman" w:hAnsi="Times New Roman" w:cs="Times New Roman"/>
          <w:color w:val="auto"/>
          <w:sz w:val="24"/>
          <w:szCs w:val="24"/>
          <w:lang w:val="sr-Cyrl-CS"/>
        </w:rPr>
        <w:t>konsultacije</w:t>
      </w:r>
      <w:r w:rsidR="00A278FF" w:rsidRPr="00E95BC4">
        <w:rPr>
          <w:rFonts w:ascii="Times New Roman" w:hAnsi="Times New Roman" w:cs="Times New Roman"/>
          <w:color w:val="auto"/>
          <w:sz w:val="24"/>
          <w:szCs w:val="24"/>
          <w:lang w:val="sr-Cyrl-CS"/>
        </w:rPr>
        <w:t xml:space="preserve"> </w:t>
      </w:r>
      <w:r>
        <w:rPr>
          <w:rFonts w:ascii="Times New Roman" w:hAnsi="Times New Roman" w:cs="Times New Roman"/>
          <w:color w:val="auto"/>
          <w:sz w:val="24"/>
          <w:szCs w:val="24"/>
          <w:lang w:val="sr-Cyrl-CS"/>
        </w:rPr>
        <w:t>sa</w:t>
      </w:r>
      <w:r w:rsidR="00A278FF" w:rsidRPr="00E95BC4">
        <w:rPr>
          <w:rFonts w:ascii="Times New Roman" w:hAnsi="Times New Roman" w:cs="Times New Roman"/>
          <w:color w:val="auto"/>
          <w:sz w:val="24"/>
          <w:szCs w:val="24"/>
          <w:lang w:val="sr-Cyrl-CS"/>
        </w:rPr>
        <w:t xml:space="preserve"> </w:t>
      </w:r>
      <w:r>
        <w:rPr>
          <w:rFonts w:ascii="Times New Roman" w:hAnsi="Times New Roman" w:cs="Times New Roman"/>
          <w:color w:val="auto"/>
          <w:sz w:val="24"/>
          <w:szCs w:val="24"/>
          <w:lang w:val="sr-Cyrl-CS"/>
        </w:rPr>
        <w:t>zainteresovanim</w:t>
      </w:r>
      <w:r w:rsidR="00A278FF" w:rsidRPr="00E95BC4">
        <w:rPr>
          <w:rFonts w:ascii="Times New Roman" w:hAnsi="Times New Roman" w:cs="Times New Roman"/>
          <w:color w:val="auto"/>
          <w:sz w:val="24"/>
          <w:szCs w:val="24"/>
          <w:lang w:val="sr-Cyrl-CS"/>
        </w:rPr>
        <w:t xml:space="preserve"> </w:t>
      </w:r>
      <w:r>
        <w:rPr>
          <w:rFonts w:ascii="Times New Roman" w:hAnsi="Times New Roman" w:cs="Times New Roman"/>
          <w:color w:val="auto"/>
          <w:sz w:val="24"/>
          <w:szCs w:val="24"/>
          <w:lang w:val="sr-Cyrl-CS"/>
        </w:rPr>
        <w:t>stranama</w:t>
      </w:r>
      <w:bookmarkEnd w:id="11"/>
    </w:p>
    <w:p w:rsidR="00891EE4" w:rsidRPr="00E95BC4" w:rsidRDefault="00891EE4" w:rsidP="00285FD7">
      <w:pPr>
        <w:ind w:firstLine="720"/>
        <w:jc w:val="both"/>
        <w:rPr>
          <w:lang w:val="sr-Cyrl-CS"/>
        </w:rPr>
      </w:pPr>
    </w:p>
    <w:p w:rsidR="00891EE4" w:rsidRDefault="005818C0" w:rsidP="00285FD7">
      <w:pPr>
        <w:ind w:firstLine="720"/>
        <w:jc w:val="both"/>
        <w:rPr>
          <w:lang w:val="sr-Cyrl-CS"/>
        </w:rPr>
      </w:pPr>
      <w:r>
        <w:rPr>
          <w:b/>
          <w:lang w:val="sr-Cyrl-CS"/>
        </w:rPr>
        <w:t>Ciljne</w:t>
      </w:r>
      <w:r w:rsidR="00891EE4" w:rsidRPr="00E95BC4">
        <w:rPr>
          <w:b/>
          <w:lang w:val="sr-Cyrl-CS"/>
        </w:rPr>
        <w:t xml:space="preserve"> </w:t>
      </w:r>
      <w:r>
        <w:rPr>
          <w:b/>
          <w:lang w:val="sr-Cyrl-CS"/>
        </w:rPr>
        <w:t>grupe</w:t>
      </w:r>
      <w:r w:rsidR="00891EE4" w:rsidRPr="00E95BC4">
        <w:rPr>
          <w:b/>
          <w:lang w:val="sr-Cyrl-CS"/>
        </w:rPr>
        <w:t xml:space="preserve"> </w:t>
      </w:r>
      <w:r>
        <w:rPr>
          <w:b/>
          <w:lang w:val="sr-Cyrl-CS"/>
        </w:rPr>
        <w:t>i</w:t>
      </w:r>
      <w:r w:rsidR="00891EE4" w:rsidRPr="00E95BC4">
        <w:rPr>
          <w:b/>
          <w:lang w:val="sr-Cyrl-CS"/>
        </w:rPr>
        <w:t xml:space="preserve"> </w:t>
      </w:r>
      <w:r>
        <w:rPr>
          <w:b/>
          <w:lang w:val="sr-Cyrl-CS"/>
        </w:rPr>
        <w:t>druge</w:t>
      </w:r>
      <w:r w:rsidR="00891EE4" w:rsidRPr="00E95BC4">
        <w:rPr>
          <w:b/>
          <w:lang w:val="sr-Cyrl-CS"/>
        </w:rPr>
        <w:t xml:space="preserve"> </w:t>
      </w:r>
      <w:r>
        <w:rPr>
          <w:b/>
          <w:lang w:val="sr-Cyrl-CS"/>
        </w:rPr>
        <w:t>zainteresovane</w:t>
      </w:r>
      <w:r w:rsidR="00891EE4" w:rsidRPr="00E95BC4">
        <w:rPr>
          <w:b/>
          <w:lang w:val="sr-Cyrl-CS"/>
        </w:rPr>
        <w:t xml:space="preserve"> </w:t>
      </w:r>
      <w:r>
        <w:rPr>
          <w:b/>
          <w:lang w:val="sr-Cyrl-CS"/>
        </w:rPr>
        <w:t>strane</w:t>
      </w:r>
      <w:r w:rsidR="00891EE4" w:rsidRPr="00E95BC4">
        <w:rPr>
          <w:b/>
          <w:lang w:val="sr-Cyrl-CS"/>
        </w:rPr>
        <w:t xml:space="preserve">. </w:t>
      </w:r>
      <w:r>
        <w:rPr>
          <w:lang w:val="sr-Cyrl-CS"/>
        </w:rPr>
        <w:t>U</w:t>
      </w:r>
      <w:r w:rsidR="00891EE4" w:rsidRPr="00E95BC4">
        <w:rPr>
          <w:lang w:val="sr-Cyrl-CS"/>
        </w:rPr>
        <w:t xml:space="preserve"> </w:t>
      </w:r>
      <w:r>
        <w:rPr>
          <w:lang w:val="sr-Cyrl-CS"/>
        </w:rPr>
        <w:t>nastavku</w:t>
      </w:r>
      <w:r w:rsidR="00891EE4" w:rsidRPr="00E95BC4">
        <w:rPr>
          <w:lang w:val="sr-Cyrl-CS"/>
        </w:rPr>
        <w:t xml:space="preserve"> </w:t>
      </w:r>
      <w:r>
        <w:rPr>
          <w:lang w:val="sr-Cyrl-CS"/>
        </w:rPr>
        <w:t>se</w:t>
      </w:r>
      <w:r w:rsidR="00891EE4" w:rsidRPr="00E95BC4">
        <w:rPr>
          <w:lang w:val="sr-Cyrl-CS"/>
        </w:rPr>
        <w:t xml:space="preserve"> </w:t>
      </w:r>
      <w:r>
        <w:rPr>
          <w:lang w:val="sr-Cyrl-CS"/>
        </w:rPr>
        <w:t>identifikuju</w:t>
      </w:r>
      <w:r w:rsidR="00891EE4" w:rsidRPr="00E95BC4">
        <w:rPr>
          <w:lang w:val="sr-Cyrl-CS"/>
        </w:rPr>
        <w:t xml:space="preserve"> </w:t>
      </w:r>
      <w:r>
        <w:rPr>
          <w:lang w:val="sr-Cyrl-CS"/>
        </w:rPr>
        <w:t>ciljne</w:t>
      </w:r>
      <w:r w:rsidR="00891EE4" w:rsidRPr="00E95BC4">
        <w:rPr>
          <w:lang w:val="sr-Cyrl-CS"/>
        </w:rPr>
        <w:t xml:space="preserve"> </w:t>
      </w:r>
      <w:r>
        <w:rPr>
          <w:lang w:val="sr-Cyrl-CS"/>
        </w:rPr>
        <w:t>grupe</w:t>
      </w:r>
      <w:r w:rsidR="00891EE4" w:rsidRPr="00E95BC4">
        <w:rPr>
          <w:lang w:val="sr-Cyrl-CS"/>
        </w:rPr>
        <w:t xml:space="preserve"> </w:t>
      </w:r>
      <w:r>
        <w:rPr>
          <w:lang w:val="sr-Cyrl-CS"/>
        </w:rPr>
        <w:t>i</w:t>
      </w:r>
      <w:r w:rsidR="00891EE4" w:rsidRPr="00E95BC4">
        <w:rPr>
          <w:lang w:val="sr-Cyrl-CS"/>
        </w:rPr>
        <w:t xml:space="preserve"> </w:t>
      </w:r>
      <w:r>
        <w:rPr>
          <w:lang w:val="sr-Cyrl-CS"/>
        </w:rPr>
        <w:t>druge</w:t>
      </w:r>
      <w:r w:rsidR="00891EE4" w:rsidRPr="00E95BC4">
        <w:rPr>
          <w:lang w:val="sr-Cyrl-CS"/>
        </w:rPr>
        <w:t xml:space="preserve"> </w:t>
      </w:r>
      <w:r>
        <w:rPr>
          <w:lang w:val="sr-Cyrl-CS"/>
        </w:rPr>
        <w:t>zainteresovane</w:t>
      </w:r>
      <w:r w:rsidR="00891EE4" w:rsidRPr="00E95BC4">
        <w:rPr>
          <w:lang w:val="sr-Cyrl-CS"/>
        </w:rPr>
        <w:t xml:space="preserve"> </w:t>
      </w:r>
      <w:r>
        <w:rPr>
          <w:lang w:val="sr-Cyrl-CS"/>
        </w:rPr>
        <w:t>strane</w:t>
      </w:r>
      <w:r w:rsidR="00891EE4" w:rsidRPr="00E95BC4">
        <w:rPr>
          <w:lang w:val="sr-Cyrl-CS"/>
        </w:rPr>
        <w:t xml:space="preserve"> </w:t>
      </w:r>
      <w:r>
        <w:rPr>
          <w:lang w:val="sr-Cyrl-CS"/>
        </w:rPr>
        <w:t>na</w:t>
      </w:r>
      <w:r w:rsidR="00891EE4" w:rsidRPr="00E95BC4">
        <w:rPr>
          <w:lang w:val="sr-Cyrl-CS"/>
        </w:rPr>
        <w:t xml:space="preserve"> </w:t>
      </w:r>
      <w:r>
        <w:rPr>
          <w:lang w:val="sr-Cyrl-CS"/>
        </w:rPr>
        <w:t>koje</w:t>
      </w:r>
      <w:r w:rsidR="00891EE4" w:rsidRPr="00E95BC4">
        <w:rPr>
          <w:lang w:val="sr-Cyrl-CS"/>
        </w:rPr>
        <w:t xml:space="preserve"> </w:t>
      </w:r>
      <w:r>
        <w:rPr>
          <w:lang w:val="sr-Cyrl-CS"/>
        </w:rPr>
        <w:t>promena</w:t>
      </w:r>
      <w:r w:rsidR="00891EE4" w:rsidRPr="00E95BC4">
        <w:rPr>
          <w:lang w:val="sr-Cyrl-CS"/>
        </w:rPr>
        <w:t xml:space="preserve"> </w:t>
      </w:r>
      <w:r>
        <w:rPr>
          <w:lang w:val="sr-Cyrl-CS"/>
        </w:rPr>
        <w:t>koja</w:t>
      </w:r>
      <w:r w:rsidR="00891EE4" w:rsidRPr="00E95BC4">
        <w:rPr>
          <w:lang w:val="sr-Cyrl-CS"/>
        </w:rPr>
        <w:t xml:space="preserve"> </w:t>
      </w:r>
      <w:r>
        <w:rPr>
          <w:lang w:val="sr-Cyrl-CS"/>
        </w:rPr>
        <w:t>se</w:t>
      </w:r>
      <w:r w:rsidR="00891EE4" w:rsidRPr="00E95BC4">
        <w:rPr>
          <w:lang w:val="sr-Cyrl-CS"/>
        </w:rPr>
        <w:t xml:space="preserve"> </w:t>
      </w:r>
      <w:r>
        <w:rPr>
          <w:lang w:val="sr-Cyrl-CS"/>
        </w:rPr>
        <w:t>uvodi</w:t>
      </w:r>
      <w:r w:rsidR="00891EE4" w:rsidRPr="00E95BC4">
        <w:rPr>
          <w:lang w:val="sr-Cyrl-CS"/>
        </w:rPr>
        <w:t xml:space="preserve"> </w:t>
      </w:r>
      <w:r>
        <w:rPr>
          <w:lang w:val="sr-Cyrl-CS"/>
        </w:rPr>
        <w:t>ovom</w:t>
      </w:r>
      <w:r w:rsidR="00891EE4" w:rsidRPr="00E95BC4">
        <w:rPr>
          <w:lang w:val="sr-Cyrl-CS"/>
        </w:rPr>
        <w:t xml:space="preserve"> </w:t>
      </w:r>
      <w:r>
        <w:rPr>
          <w:lang w:val="sr-Cyrl-CS"/>
        </w:rPr>
        <w:t>strategijom</w:t>
      </w:r>
      <w:r w:rsidR="00037BF6" w:rsidRPr="00E95BC4">
        <w:rPr>
          <w:lang w:val="sr-Cyrl-CS"/>
        </w:rPr>
        <w:t xml:space="preserve"> </w:t>
      </w:r>
      <w:r>
        <w:rPr>
          <w:lang w:val="sr-Cyrl-CS"/>
        </w:rPr>
        <w:t>i</w:t>
      </w:r>
      <w:r w:rsidR="00037BF6" w:rsidRPr="00E95BC4">
        <w:rPr>
          <w:lang w:val="sr-Cyrl-CS"/>
        </w:rPr>
        <w:t xml:space="preserve"> </w:t>
      </w:r>
      <w:r>
        <w:rPr>
          <w:lang w:val="sr-Cyrl-CS"/>
        </w:rPr>
        <w:t>njeni</w:t>
      </w:r>
      <w:r w:rsidR="00037BF6" w:rsidRPr="00E95BC4">
        <w:rPr>
          <w:lang w:val="sr-Cyrl-CS"/>
        </w:rPr>
        <w:t xml:space="preserve"> </w:t>
      </w:r>
      <w:r>
        <w:rPr>
          <w:lang w:val="sr-Cyrl-CS"/>
        </w:rPr>
        <w:t>elementi</w:t>
      </w:r>
      <w:r w:rsidR="00037BF6" w:rsidRPr="00E95BC4">
        <w:rPr>
          <w:lang w:val="sr-Cyrl-CS"/>
        </w:rPr>
        <w:t xml:space="preserve"> </w:t>
      </w:r>
      <w:r>
        <w:rPr>
          <w:lang w:val="sr-Cyrl-CS"/>
        </w:rPr>
        <w:t>najviše</w:t>
      </w:r>
      <w:r w:rsidR="00037BF6" w:rsidRPr="00E95BC4">
        <w:rPr>
          <w:lang w:val="sr-Cyrl-CS"/>
        </w:rPr>
        <w:t xml:space="preserve"> </w:t>
      </w:r>
      <w:r>
        <w:rPr>
          <w:lang w:val="sr-Cyrl-CS"/>
        </w:rPr>
        <w:t>utiču</w:t>
      </w:r>
      <w:r w:rsidR="00891EE4" w:rsidRPr="00E95BC4">
        <w:rPr>
          <w:lang w:val="sr-Cyrl-CS"/>
        </w:rPr>
        <w:t>.</w:t>
      </w:r>
    </w:p>
    <w:p w:rsidR="00E8557B" w:rsidRPr="00E95BC4" w:rsidRDefault="00E8557B" w:rsidP="00285FD7">
      <w:pPr>
        <w:ind w:firstLine="720"/>
        <w:jc w:val="both"/>
        <w:rPr>
          <w:lang w:val="sr-Cyrl-CS"/>
        </w:rPr>
      </w:pPr>
    </w:p>
    <w:p w:rsidR="00891EE4" w:rsidRPr="00E95BC4" w:rsidRDefault="005818C0" w:rsidP="00285FD7">
      <w:pPr>
        <w:ind w:firstLine="720"/>
        <w:rPr>
          <w:lang w:val="sr-Cyrl-CS"/>
        </w:rPr>
      </w:pPr>
      <w:r>
        <w:rPr>
          <w:lang w:val="sr-Cyrl-CS"/>
        </w:rPr>
        <w:t>Ciljne</w:t>
      </w:r>
      <w:r w:rsidR="00891EE4" w:rsidRPr="00E95BC4">
        <w:rPr>
          <w:lang w:val="sr-Cyrl-CS"/>
        </w:rPr>
        <w:t xml:space="preserve"> </w:t>
      </w:r>
      <w:r>
        <w:rPr>
          <w:lang w:val="sr-Cyrl-CS"/>
        </w:rPr>
        <w:t>grupe</w:t>
      </w:r>
      <w:r w:rsidR="00891EE4" w:rsidRPr="00E95BC4">
        <w:rPr>
          <w:lang w:val="sr-Cyrl-CS"/>
        </w:rPr>
        <w:t xml:space="preserve"> </w:t>
      </w:r>
      <w:r>
        <w:rPr>
          <w:lang w:val="sr-Cyrl-CS"/>
        </w:rPr>
        <w:t>i</w:t>
      </w:r>
      <w:r w:rsidR="00891EE4" w:rsidRPr="00E95BC4">
        <w:rPr>
          <w:lang w:val="sr-Cyrl-CS"/>
        </w:rPr>
        <w:t xml:space="preserve"> </w:t>
      </w:r>
      <w:r>
        <w:rPr>
          <w:lang w:val="sr-Cyrl-CS"/>
        </w:rPr>
        <w:t>druge</w:t>
      </w:r>
      <w:r w:rsidR="00891EE4" w:rsidRPr="00E95BC4">
        <w:rPr>
          <w:lang w:val="sr-Cyrl-CS"/>
        </w:rPr>
        <w:t xml:space="preserve"> </w:t>
      </w:r>
      <w:r>
        <w:rPr>
          <w:lang w:val="sr-Cyrl-CS"/>
        </w:rPr>
        <w:t>zainteresovane</w:t>
      </w:r>
      <w:r w:rsidR="00891EE4" w:rsidRPr="00E95BC4">
        <w:rPr>
          <w:lang w:val="sr-Cyrl-CS"/>
        </w:rPr>
        <w:t xml:space="preserve"> </w:t>
      </w:r>
      <w:r>
        <w:rPr>
          <w:lang w:val="sr-Cyrl-CS"/>
        </w:rPr>
        <w:t>strane</w:t>
      </w:r>
      <w:r w:rsidR="00891EE4" w:rsidRPr="00E95BC4">
        <w:rPr>
          <w:lang w:val="sr-Cyrl-CS"/>
        </w:rPr>
        <w:t xml:space="preserve"> </w:t>
      </w:r>
      <w:r>
        <w:rPr>
          <w:lang w:val="sr-Cyrl-CS"/>
        </w:rPr>
        <w:t>mogu</w:t>
      </w:r>
      <w:r w:rsidR="00891EE4" w:rsidRPr="00E95BC4">
        <w:rPr>
          <w:lang w:val="sr-Cyrl-CS"/>
        </w:rPr>
        <w:t xml:space="preserve"> </w:t>
      </w:r>
      <w:r>
        <w:rPr>
          <w:lang w:val="sr-Cyrl-CS"/>
        </w:rPr>
        <w:t>se</w:t>
      </w:r>
      <w:r w:rsidR="00891EE4" w:rsidRPr="00E95BC4">
        <w:rPr>
          <w:lang w:val="sr-Cyrl-CS"/>
        </w:rPr>
        <w:t xml:space="preserve"> </w:t>
      </w:r>
      <w:r>
        <w:rPr>
          <w:lang w:val="sr-Cyrl-CS"/>
        </w:rPr>
        <w:t>svrstati</w:t>
      </w:r>
      <w:r w:rsidR="00891EE4" w:rsidRPr="00E95BC4">
        <w:rPr>
          <w:lang w:val="sr-Cyrl-CS"/>
        </w:rPr>
        <w:t xml:space="preserve"> </w:t>
      </w:r>
      <w:r>
        <w:rPr>
          <w:lang w:val="sr-Cyrl-CS"/>
        </w:rPr>
        <w:t>na</w:t>
      </w:r>
      <w:r w:rsidR="00891EE4" w:rsidRPr="00E95BC4">
        <w:rPr>
          <w:lang w:val="sr-Cyrl-CS"/>
        </w:rPr>
        <w:t xml:space="preserve"> </w:t>
      </w:r>
      <w:r>
        <w:rPr>
          <w:lang w:val="sr-Cyrl-CS"/>
        </w:rPr>
        <w:t>sledeći</w:t>
      </w:r>
      <w:r w:rsidR="00891EE4" w:rsidRPr="00E95BC4">
        <w:rPr>
          <w:lang w:val="sr-Cyrl-CS"/>
        </w:rPr>
        <w:t xml:space="preserve"> </w:t>
      </w:r>
      <w:r>
        <w:rPr>
          <w:lang w:val="sr-Cyrl-CS"/>
        </w:rPr>
        <w:t>način</w:t>
      </w:r>
      <w:r w:rsidR="00891EE4" w:rsidRPr="00E95BC4">
        <w:rPr>
          <w:lang w:val="sr-Cyrl-CS"/>
        </w:rPr>
        <w:t>:</w:t>
      </w:r>
    </w:p>
    <w:p w:rsidR="002247A8" w:rsidRPr="00E95BC4" w:rsidRDefault="002247A8" w:rsidP="00285FD7">
      <w:pPr>
        <w:ind w:firstLine="720"/>
        <w:rPr>
          <w:lang w:val="sr-Cyrl-CS"/>
        </w:rPr>
      </w:pPr>
    </w:p>
    <w:p w:rsidR="00891EE4" w:rsidRPr="00E95BC4" w:rsidRDefault="005818C0" w:rsidP="00AC7277">
      <w:pPr>
        <w:pStyle w:val="ListParagraph"/>
        <w:numPr>
          <w:ilvl w:val="0"/>
          <w:numId w:val="11"/>
        </w:numPr>
        <w:rPr>
          <w:rFonts w:eastAsia="Times New Roman"/>
          <w:b/>
          <w:bCs/>
          <w:color w:val="auto"/>
          <w:kern w:val="0"/>
          <w:lang w:val="sr-Cyrl-CS"/>
        </w:rPr>
      </w:pPr>
      <w:r>
        <w:rPr>
          <w:rFonts w:eastAsia="Times New Roman"/>
          <w:b/>
          <w:bCs/>
          <w:color w:val="auto"/>
          <w:kern w:val="0"/>
          <w:lang w:val="sr-Cyrl-CS"/>
        </w:rPr>
        <w:t>Obveznici</w:t>
      </w:r>
      <w:r w:rsidR="00891EE4" w:rsidRPr="00E95BC4">
        <w:rPr>
          <w:rFonts w:eastAsia="Times New Roman"/>
          <w:b/>
          <w:bCs/>
          <w:color w:val="auto"/>
          <w:kern w:val="0"/>
          <w:lang w:val="sr-Cyrl-CS"/>
        </w:rPr>
        <w:t xml:space="preserve"> </w:t>
      </w:r>
      <w:r>
        <w:rPr>
          <w:rFonts w:eastAsia="Times New Roman"/>
          <w:b/>
          <w:bCs/>
          <w:color w:val="auto"/>
          <w:kern w:val="0"/>
          <w:lang w:val="sr-Cyrl-CS"/>
        </w:rPr>
        <w:t>iz</w:t>
      </w:r>
      <w:r w:rsidR="00891EE4" w:rsidRPr="00E95BC4">
        <w:rPr>
          <w:rFonts w:eastAsia="Times New Roman"/>
          <w:b/>
          <w:bCs/>
          <w:color w:val="auto"/>
          <w:kern w:val="0"/>
          <w:lang w:val="sr-Cyrl-CS"/>
        </w:rPr>
        <w:t xml:space="preserve"> </w:t>
      </w:r>
      <w:r>
        <w:rPr>
          <w:rFonts w:eastAsia="Times New Roman"/>
          <w:b/>
          <w:bCs/>
          <w:color w:val="auto"/>
          <w:kern w:val="0"/>
          <w:lang w:val="sr-Cyrl-CS"/>
        </w:rPr>
        <w:t>člana</w:t>
      </w:r>
      <w:r w:rsidR="00891EE4" w:rsidRPr="00E95BC4">
        <w:rPr>
          <w:rFonts w:eastAsia="Times New Roman"/>
          <w:b/>
          <w:bCs/>
          <w:color w:val="auto"/>
          <w:kern w:val="0"/>
          <w:lang w:val="sr-Cyrl-CS"/>
        </w:rPr>
        <w:t xml:space="preserve"> 4. </w:t>
      </w:r>
      <w:r>
        <w:rPr>
          <w:rFonts w:eastAsia="Times New Roman"/>
          <w:b/>
          <w:bCs/>
          <w:color w:val="auto"/>
          <w:kern w:val="0"/>
          <w:lang w:val="sr-Cyrl-CS"/>
        </w:rPr>
        <w:t>Zakona</w:t>
      </w:r>
      <w:r w:rsidR="00891EE4" w:rsidRPr="00E95BC4">
        <w:rPr>
          <w:rFonts w:eastAsia="Times New Roman"/>
          <w:b/>
          <w:bCs/>
          <w:color w:val="auto"/>
          <w:kern w:val="0"/>
          <w:lang w:val="sr-Cyrl-CS"/>
        </w:rPr>
        <w:t xml:space="preserve"> </w:t>
      </w:r>
      <w:r>
        <w:rPr>
          <w:rFonts w:eastAsia="Times New Roman"/>
          <w:b/>
          <w:bCs/>
          <w:color w:val="auto"/>
          <w:kern w:val="0"/>
          <w:lang w:val="sr-Cyrl-CS"/>
        </w:rPr>
        <w:t>o</w:t>
      </w:r>
      <w:r w:rsidR="00891EE4" w:rsidRPr="00E95BC4">
        <w:rPr>
          <w:rFonts w:eastAsia="Times New Roman"/>
          <w:b/>
          <w:bCs/>
          <w:color w:val="auto"/>
          <w:kern w:val="0"/>
          <w:lang w:val="sr-Cyrl-CS"/>
        </w:rPr>
        <w:t xml:space="preserve"> </w:t>
      </w:r>
      <w:r>
        <w:rPr>
          <w:rFonts w:eastAsia="Times New Roman"/>
          <w:b/>
          <w:bCs/>
          <w:color w:val="auto"/>
          <w:kern w:val="0"/>
          <w:lang w:val="sr-Cyrl-CS"/>
        </w:rPr>
        <w:t>sprečavanju</w:t>
      </w:r>
      <w:r w:rsidR="00891EE4" w:rsidRPr="00E95BC4">
        <w:rPr>
          <w:rFonts w:eastAsia="Times New Roman"/>
          <w:b/>
          <w:bCs/>
          <w:color w:val="auto"/>
          <w:kern w:val="0"/>
          <w:lang w:val="sr-Cyrl-CS"/>
        </w:rPr>
        <w:t xml:space="preserve"> </w:t>
      </w:r>
      <w:r>
        <w:rPr>
          <w:rFonts w:eastAsia="Times New Roman"/>
          <w:b/>
          <w:bCs/>
          <w:color w:val="auto"/>
          <w:kern w:val="0"/>
          <w:lang w:val="sr-Cyrl-CS"/>
        </w:rPr>
        <w:t>pranja</w:t>
      </w:r>
      <w:r w:rsidR="00891EE4" w:rsidRPr="00E95BC4">
        <w:rPr>
          <w:rFonts w:eastAsia="Times New Roman"/>
          <w:b/>
          <w:bCs/>
          <w:color w:val="auto"/>
          <w:kern w:val="0"/>
          <w:lang w:val="sr-Cyrl-CS"/>
        </w:rPr>
        <w:t xml:space="preserve"> </w:t>
      </w:r>
      <w:r>
        <w:rPr>
          <w:rFonts w:eastAsia="Times New Roman"/>
          <w:b/>
          <w:bCs/>
          <w:color w:val="auto"/>
          <w:kern w:val="0"/>
          <w:lang w:val="sr-Cyrl-CS"/>
        </w:rPr>
        <w:t>novca</w:t>
      </w:r>
      <w:r w:rsidR="00891EE4" w:rsidRPr="00E95BC4">
        <w:rPr>
          <w:rFonts w:eastAsia="Times New Roman"/>
          <w:b/>
          <w:bCs/>
          <w:color w:val="auto"/>
          <w:kern w:val="0"/>
          <w:lang w:val="sr-Cyrl-CS"/>
        </w:rPr>
        <w:t xml:space="preserve"> </w:t>
      </w:r>
      <w:r>
        <w:rPr>
          <w:rFonts w:eastAsia="Times New Roman"/>
          <w:b/>
          <w:bCs/>
          <w:color w:val="auto"/>
          <w:kern w:val="0"/>
          <w:lang w:val="sr-Cyrl-CS"/>
        </w:rPr>
        <w:t>i</w:t>
      </w:r>
      <w:r w:rsidR="00891EE4" w:rsidRPr="00E95BC4">
        <w:rPr>
          <w:rFonts w:eastAsia="Times New Roman"/>
          <w:b/>
          <w:bCs/>
          <w:color w:val="auto"/>
          <w:kern w:val="0"/>
          <w:lang w:val="sr-Cyrl-CS"/>
        </w:rPr>
        <w:t xml:space="preserve"> </w:t>
      </w:r>
      <w:r>
        <w:rPr>
          <w:rFonts w:eastAsia="Times New Roman"/>
          <w:b/>
          <w:bCs/>
          <w:color w:val="auto"/>
          <w:kern w:val="0"/>
          <w:lang w:val="sr-Cyrl-CS"/>
        </w:rPr>
        <w:t>finansiranja</w:t>
      </w:r>
      <w:r w:rsidR="00891EE4" w:rsidRPr="00E95BC4">
        <w:rPr>
          <w:rFonts w:eastAsia="Times New Roman"/>
          <w:b/>
          <w:bCs/>
          <w:color w:val="auto"/>
          <w:kern w:val="0"/>
          <w:lang w:val="sr-Cyrl-CS"/>
        </w:rPr>
        <w:t xml:space="preserve"> </w:t>
      </w:r>
      <w:r>
        <w:rPr>
          <w:rFonts w:eastAsia="Times New Roman"/>
          <w:b/>
          <w:bCs/>
          <w:color w:val="auto"/>
          <w:kern w:val="0"/>
          <w:lang w:val="sr-Cyrl-CS"/>
        </w:rPr>
        <w:t>terorizma</w:t>
      </w:r>
      <w:r w:rsidR="00891EE4" w:rsidRPr="00E95BC4">
        <w:rPr>
          <w:rFonts w:eastAsia="Times New Roman"/>
          <w:b/>
          <w:bCs/>
          <w:color w:val="auto"/>
          <w:kern w:val="0"/>
          <w:lang w:val="sr-Cyrl-CS"/>
        </w:rPr>
        <w:t xml:space="preserve"> </w:t>
      </w:r>
      <w:r w:rsidR="007574CB" w:rsidRPr="00E95BC4">
        <w:rPr>
          <w:rFonts w:eastAsia="Times New Roman"/>
          <w:b/>
          <w:bCs/>
          <w:color w:val="auto"/>
          <w:kern w:val="0"/>
          <w:lang w:val="sr-Cyrl-CS"/>
        </w:rPr>
        <w:t>(</w:t>
      </w:r>
      <w:r>
        <w:rPr>
          <w:rFonts w:eastAsia="Times New Roman"/>
          <w:b/>
          <w:bCs/>
          <w:color w:val="auto"/>
          <w:kern w:val="0"/>
          <w:lang w:val="sr-Cyrl-CS"/>
        </w:rPr>
        <w:t>partneri</w:t>
      </w:r>
      <w:r w:rsidR="007574CB" w:rsidRPr="00E95BC4">
        <w:rPr>
          <w:rFonts w:eastAsia="Times New Roman"/>
          <w:b/>
          <w:bCs/>
          <w:color w:val="auto"/>
          <w:kern w:val="0"/>
          <w:lang w:val="sr-Cyrl-CS"/>
        </w:rPr>
        <w:t xml:space="preserve"> </w:t>
      </w:r>
      <w:r>
        <w:rPr>
          <w:rFonts w:eastAsia="Times New Roman"/>
          <w:b/>
          <w:bCs/>
          <w:color w:val="auto"/>
          <w:kern w:val="0"/>
          <w:lang w:val="sr-Cyrl-CS"/>
        </w:rPr>
        <w:t>iz</w:t>
      </w:r>
      <w:r w:rsidR="007574CB" w:rsidRPr="00E95BC4">
        <w:rPr>
          <w:rFonts w:eastAsia="Times New Roman"/>
          <w:b/>
          <w:bCs/>
          <w:color w:val="auto"/>
          <w:kern w:val="0"/>
          <w:lang w:val="sr-Cyrl-CS"/>
        </w:rPr>
        <w:t xml:space="preserve"> </w:t>
      </w:r>
      <w:r>
        <w:rPr>
          <w:rFonts w:eastAsia="Times New Roman"/>
          <w:b/>
          <w:bCs/>
          <w:color w:val="auto"/>
          <w:kern w:val="0"/>
          <w:lang w:val="sr-Cyrl-CS"/>
        </w:rPr>
        <w:t>privatnog</w:t>
      </w:r>
      <w:r w:rsidR="007574CB" w:rsidRPr="00E95BC4">
        <w:rPr>
          <w:rFonts w:eastAsia="Times New Roman"/>
          <w:b/>
          <w:bCs/>
          <w:color w:val="auto"/>
          <w:kern w:val="0"/>
          <w:lang w:val="sr-Cyrl-CS"/>
        </w:rPr>
        <w:t xml:space="preserve"> </w:t>
      </w:r>
      <w:r>
        <w:rPr>
          <w:rFonts w:eastAsia="Times New Roman"/>
          <w:b/>
          <w:bCs/>
          <w:color w:val="auto"/>
          <w:kern w:val="0"/>
          <w:lang w:val="sr-Cyrl-CS"/>
        </w:rPr>
        <w:t>sektora</w:t>
      </w:r>
      <w:r w:rsidR="007574CB" w:rsidRPr="00E95BC4">
        <w:rPr>
          <w:rFonts w:eastAsia="Times New Roman"/>
          <w:b/>
          <w:bCs/>
          <w:color w:val="auto"/>
          <w:kern w:val="0"/>
          <w:lang w:val="sr-Cyrl-CS"/>
        </w:rPr>
        <w:t>)</w:t>
      </w:r>
      <w:r w:rsidR="006C3A16">
        <w:rPr>
          <w:rFonts w:eastAsia="Times New Roman"/>
          <w:b/>
          <w:bCs/>
          <w:color w:val="auto"/>
          <w:kern w:val="0"/>
          <w:lang w:val="sr-Cyrl-CS"/>
        </w:rPr>
        <w:t>:</w:t>
      </w:r>
    </w:p>
    <w:p w:rsidR="008B4459" w:rsidRPr="00E95BC4" w:rsidRDefault="008B4459" w:rsidP="008B4459">
      <w:pPr>
        <w:pStyle w:val="ListParagraph"/>
        <w:rPr>
          <w:rFonts w:eastAsia="Times New Roman"/>
          <w:b/>
          <w:bCs/>
          <w:color w:val="auto"/>
          <w:kern w:val="0"/>
          <w:lang w:val="sr-Cyrl-CS"/>
        </w:rPr>
      </w:pPr>
    </w:p>
    <w:p w:rsidR="00784AA9" w:rsidRPr="00E95BC4" w:rsidRDefault="005818C0" w:rsidP="00784AA9">
      <w:pPr>
        <w:numPr>
          <w:ilvl w:val="0"/>
          <w:numId w:val="8"/>
        </w:numPr>
        <w:tabs>
          <w:tab w:val="clear" w:pos="720"/>
        </w:tabs>
        <w:ind w:left="459"/>
        <w:jc w:val="both"/>
        <w:rPr>
          <w:rFonts w:eastAsia="Times New Roman"/>
          <w:color w:val="auto"/>
          <w:kern w:val="0"/>
          <w:lang w:val="sr-Cyrl-CS"/>
        </w:rPr>
      </w:pPr>
      <w:r>
        <w:rPr>
          <w:rFonts w:eastAsia="Times New Roman"/>
          <w:color w:val="auto"/>
          <w:kern w:val="0"/>
          <w:lang w:val="sr-Cyrl-CS"/>
        </w:rPr>
        <w:t>banke</w:t>
      </w:r>
      <w:r w:rsidR="00784AA9" w:rsidRPr="00E95BC4">
        <w:rPr>
          <w:rFonts w:eastAsia="Times New Roman"/>
          <w:color w:val="auto"/>
          <w:kern w:val="0"/>
          <w:lang w:val="sr-Cyrl-CS"/>
        </w:rPr>
        <w:t>;</w:t>
      </w:r>
    </w:p>
    <w:p w:rsidR="00784AA9" w:rsidRPr="00E95BC4" w:rsidRDefault="005818C0" w:rsidP="00784AA9">
      <w:pPr>
        <w:numPr>
          <w:ilvl w:val="0"/>
          <w:numId w:val="8"/>
        </w:numPr>
        <w:tabs>
          <w:tab w:val="clear" w:pos="720"/>
        </w:tabs>
        <w:ind w:left="459"/>
        <w:jc w:val="both"/>
        <w:rPr>
          <w:rFonts w:eastAsia="Times New Roman"/>
          <w:color w:val="auto"/>
          <w:kern w:val="0"/>
          <w:lang w:val="sr-Cyrl-CS"/>
        </w:rPr>
      </w:pPr>
      <w:r>
        <w:rPr>
          <w:rFonts w:eastAsia="Times New Roman"/>
          <w:color w:val="auto"/>
          <w:kern w:val="0"/>
          <w:lang w:val="sr-Cyrl-CS"/>
        </w:rPr>
        <w:t>ovlašćeni</w:t>
      </w:r>
      <w:r w:rsidR="00784AA9" w:rsidRPr="00E95BC4">
        <w:rPr>
          <w:rFonts w:eastAsia="Times New Roman"/>
          <w:color w:val="auto"/>
          <w:kern w:val="0"/>
          <w:lang w:val="sr-Cyrl-CS"/>
        </w:rPr>
        <w:t xml:space="preserve"> </w:t>
      </w:r>
      <w:r>
        <w:rPr>
          <w:rFonts w:eastAsia="Times New Roman"/>
          <w:color w:val="auto"/>
          <w:kern w:val="0"/>
          <w:lang w:val="sr-Cyrl-CS"/>
        </w:rPr>
        <w:t>menjači</w:t>
      </w:r>
      <w:r w:rsidR="00784AA9" w:rsidRPr="00E95BC4">
        <w:rPr>
          <w:rFonts w:eastAsia="Times New Roman"/>
          <w:color w:val="auto"/>
          <w:kern w:val="0"/>
          <w:lang w:val="sr-Cyrl-CS"/>
        </w:rPr>
        <w:t xml:space="preserve"> </w:t>
      </w:r>
      <w:r>
        <w:rPr>
          <w:rFonts w:eastAsia="Times New Roman"/>
          <w:color w:val="auto"/>
          <w:kern w:val="0"/>
          <w:lang w:val="sr-Cyrl-CS"/>
        </w:rPr>
        <w:t>i</w:t>
      </w:r>
      <w:r w:rsidR="00784AA9" w:rsidRPr="00E95BC4">
        <w:rPr>
          <w:rFonts w:eastAsia="Times New Roman"/>
          <w:color w:val="auto"/>
          <w:kern w:val="0"/>
          <w:lang w:val="sr-Cyrl-CS"/>
        </w:rPr>
        <w:t xml:space="preserve"> </w:t>
      </w:r>
      <w:r>
        <w:rPr>
          <w:rFonts w:eastAsia="Times New Roman"/>
          <w:color w:val="auto"/>
          <w:kern w:val="0"/>
          <w:lang w:val="sr-Cyrl-CS"/>
        </w:rPr>
        <w:t>privredni</w:t>
      </w:r>
      <w:r w:rsidR="00784AA9" w:rsidRPr="00E95BC4">
        <w:rPr>
          <w:rFonts w:eastAsia="Times New Roman"/>
          <w:color w:val="auto"/>
          <w:kern w:val="0"/>
          <w:lang w:val="sr-Cyrl-CS"/>
        </w:rPr>
        <w:t xml:space="preserve"> </w:t>
      </w:r>
      <w:r>
        <w:rPr>
          <w:rFonts w:eastAsia="Times New Roman"/>
          <w:color w:val="auto"/>
          <w:kern w:val="0"/>
          <w:lang w:val="sr-Cyrl-CS"/>
        </w:rPr>
        <w:t>subjekti</w:t>
      </w:r>
      <w:r w:rsidR="00784AA9" w:rsidRPr="00E95BC4">
        <w:rPr>
          <w:rFonts w:eastAsia="Times New Roman"/>
          <w:color w:val="auto"/>
          <w:kern w:val="0"/>
          <w:lang w:val="sr-Cyrl-CS"/>
        </w:rPr>
        <w:t xml:space="preserve"> </w:t>
      </w:r>
      <w:r>
        <w:rPr>
          <w:rFonts w:eastAsia="Times New Roman"/>
          <w:color w:val="auto"/>
          <w:kern w:val="0"/>
          <w:lang w:val="sr-Cyrl-CS"/>
        </w:rPr>
        <w:t>koji</w:t>
      </w:r>
      <w:r w:rsidR="00784AA9" w:rsidRPr="00E95BC4">
        <w:rPr>
          <w:rFonts w:eastAsia="Times New Roman"/>
          <w:color w:val="auto"/>
          <w:kern w:val="0"/>
          <w:lang w:val="sr-Cyrl-CS"/>
        </w:rPr>
        <w:t xml:space="preserve"> </w:t>
      </w:r>
      <w:r>
        <w:rPr>
          <w:rFonts w:eastAsia="Times New Roman"/>
          <w:color w:val="auto"/>
          <w:kern w:val="0"/>
          <w:lang w:val="sr-Cyrl-CS"/>
        </w:rPr>
        <w:t>menjačke</w:t>
      </w:r>
      <w:r w:rsidR="00784AA9" w:rsidRPr="00E95BC4">
        <w:rPr>
          <w:rFonts w:eastAsia="Times New Roman"/>
          <w:color w:val="auto"/>
          <w:kern w:val="0"/>
          <w:lang w:val="sr-Cyrl-CS"/>
        </w:rPr>
        <w:t xml:space="preserve"> </w:t>
      </w:r>
      <w:r>
        <w:rPr>
          <w:rFonts w:eastAsia="Times New Roman"/>
          <w:color w:val="auto"/>
          <w:kern w:val="0"/>
          <w:lang w:val="sr-Cyrl-CS"/>
        </w:rPr>
        <w:t>poslove</w:t>
      </w:r>
      <w:r w:rsidR="00784AA9" w:rsidRPr="00E95BC4">
        <w:rPr>
          <w:rFonts w:eastAsia="Times New Roman"/>
          <w:color w:val="auto"/>
          <w:kern w:val="0"/>
          <w:lang w:val="sr-Cyrl-CS"/>
        </w:rPr>
        <w:t xml:space="preserve"> </w:t>
      </w:r>
      <w:r>
        <w:rPr>
          <w:rFonts w:eastAsia="Times New Roman"/>
          <w:color w:val="auto"/>
          <w:kern w:val="0"/>
          <w:lang w:val="sr-Cyrl-CS"/>
        </w:rPr>
        <w:t>obavljaju</w:t>
      </w:r>
      <w:r w:rsidR="00784AA9" w:rsidRPr="00E95BC4">
        <w:rPr>
          <w:rFonts w:eastAsia="Times New Roman"/>
          <w:color w:val="auto"/>
          <w:kern w:val="0"/>
          <w:lang w:val="sr-Cyrl-CS"/>
        </w:rPr>
        <w:t xml:space="preserve"> </w:t>
      </w:r>
      <w:r>
        <w:rPr>
          <w:rFonts w:eastAsia="Times New Roman"/>
          <w:color w:val="auto"/>
          <w:kern w:val="0"/>
          <w:lang w:val="sr-Cyrl-CS"/>
        </w:rPr>
        <w:t>na</w:t>
      </w:r>
      <w:r w:rsidR="00784AA9" w:rsidRPr="00E95BC4">
        <w:rPr>
          <w:rFonts w:eastAsia="Times New Roman"/>
          <w:color w:val="auto"/>
          <w:kern w:val="0"/>
          <w:lang w:val="sr-Cyrl-CS"/>
        </w:rPr>
        <w:t xml:space="preserve"> </w:t>
      </w:r>
      <w:r>
        <w:rPr>
          <w:rFonts w:eastAsia="Times New Roman"/>
          <w:color w:val="auto"/>
          <w:kern w:val="0"/>
          <w:lang w:val="sr-Cyrl-CS"/>
        </w:rPr>
        <w:t>osnovu</w:t>
      </w:r>
      <w:r w:rsidR="00784AA9" w:rsidRPr="00E95BC4">
        <w:rPr>
          <w:rFonts w:eastAsia="Times New Roman"/>
          <w:color w:val="auto"/>
          <w:kern w:val="0"/>
          <w:lang w:val="sr-Cyrl-CS"/>
        </w:rPr>
        <w:t xml:space="preserve"> </w:t>
      </w:r>
      <w:r>
        <w:rPr>
          <w:rFonts w:eastAsia="Times New Roman"/>
          <w:color w:val="auto"/>
          <w:kern w:val="0"/>
          <w:lang w:val="sr-Cyrl-CS"/>
        </w:rPr>
        <w:t>posebnog</w:t>
      </w:r>
      <w:r w:rsidR="00784AA9" w:rsidRPr="00E95BC4">
        <w:rPr>
          <w:rFonts w:eastAsia="Times New Roman"/>
          <w:color w:val="auto"/>
          <w:kern w:val="0"/>
          <w:lang w:val="sr-Cyrl-CS"/>
        </w:rPr>
        <w:t xml:space="preserve"> </w:t>
      </w:r>
      <w:r>
        <w:rPr>
          <w:rFonts w:eastAsia="Times New Roman"/>
          <w:color w:val="auto"/>
          <w:kern w:val="0"/>
          <w:lang w:val="sr-Cyrl-CS"/>
        </w:rPr>
        <w:t>zakona</w:t>
      </w:r>
      <w:r w:rsidR="00784AA9" w:rsidRPr="00E95BC4">
        <w:rPr>
          <w:rFonts w:eastAsia="Times New Roman"/>
          <w:color w:val="auto"/>
          <w:kern w:val="0"/>
          <w:lang w:val="sr-Cyrl-CS"/>
        </w:rPr>
        <w:t xml:space="preserve"> </w:t>
      </w:r>
      <w:r>
        <w:rPr>
          <w:rFonts w:eastAsia="Times New Roman"/>
          <w:color w:val="auto"/>
          <w:kern w:val="0"/>
          <w:lang w:val="sr-Cyrl-CS"/>
        </w:rPr>
        <w:t>kojim</w:t>
      </w:r>
      <w:r w:rsidR="00784AA9" w:rsidRPr="00E95BC4">
        <w:rPr>
          <w:rFonts w:eastAsia="Times New Roman"/>
          <w:color w:val="auto"/>
          <w:kern w:val="0"/>
          <w:lang w:val="sr-Cyrl-CS"/>
        </w:rPr>
        <w:t xml:space="preserve"> </w:t>
      </w:r>
      <w:r>
        <w:rPr>
          <w:rFonts w:eastAsia="Times New Roman"/>
          <w:color w:val="auto"/>
          <w:kern w:val="0"/>
          <w:lang w:val="sr-Cyrl-CS"/>
        </w:rPr>
        <w:t>se</w:t>
      </w:r>
      <w:r w:rsidR="00784AA9" w:rsidRPr="00E95BC4">
        <w:rPr>
          <w:rFonts w:eastAsia="Times New Roman"/>
          <w:color w:val="auto"/>
          <w:kern w:val="0"/>
          <w:lang w:val="sr-Cyrl-CS"/>
        </w:rPr>
        <w:t xml:space="preserve"> </w:t>
      </w:r>
      <w:r>
        <w:rPr>
          <w:rFonts w:eastAsia="Times New Roman"/>
          <w:color w:val="auto"/>
          <w:kern w:val="0"/>
          <w:lang w:val="sr-Cyrl-CS"/>
        </w:rPr>
        <w:t>uređuje</w:t>
      </w:r>
      <w:r w:rsidR="00784AA9" w:rsidRPr="00E95BC4">
        <w:rPr>
          <w:rFonts w:eastAsia="Times New Roman"/>
          <w:color w:val="auto"/>
          <w:kern w:val="0"/>
          <w:lang w:val="sr-Cyrl-CS"/>
        </w:rPr>
        <w:t xml:space="preserve"> </w:t>
      </w:r>
      <w:r>
        <w:rPr>
          <w:rFonts w:eastAsia="Times New Roman"/>
          <w:color w:val="auto"/>
          <w:kern w:val="0"/>
          <w:lang w:val="sr-Cyrl-CS"/>
        </w:rPr>
        <w:t>njihova</w:t>
      </w:r>
      <w:r w:rsidR="00784AA9" w:rsidRPr="00E95BC4">
        <w:rPr>
          <w:rFonts w:eastAsia="Times New Roman"/>
          <w:color w:val="auto"/>
          <w:kern w:val="0"/>
          <w:lang w:val="sr-Cyrl-CS"/>
        </w:rPr>
        <w:t xml:space="preserve"> </w:t>
      </w:r>
      <w:r>
        <w:rPr>
          <w:rFonts w:eastAsia="Times New Roman"/>
          <w:color w:val="auto"/>
          <w:kern w:val="0"/>
          <w:lang w:val="sr-Cyrl-CS"/>
        </w:rPr>
        <w:t>delatnost</w:t>
      </w:r>
      <w:r w:rsidR="00784AA9" w:rsidRPr="00E95BC4">
        <w:rPr>
          <w:rFonts w:eastAsia="Times New Roman"/>
          <w:color w:val="auto"/>
          <w:kern w:val="0"/>
          <w:lang w:val="sr-Cyrl-CS"/>
        </w:rPr>
        <w:t>;</w:t>
      </w:r>
    </w:p>
    <w:p w:rsidR="00784AA9" w:rsidRPr="00E95BC4" w:rsidRDefault="005818C0" w:rsidP="00784AA9">
      <w:pPr>
        <w:numPr>
          <w:ilvl w:val="0"/>
          <w:numId w:val="8"/>
        </w:numPr>
        <w:tabs>
          <w:tab w:val="clear" w:pos="720"/>
        </w:tabs>
        <w:ind w:left="459"/>
        <w:jc w:val="both"/>
        <w:rPr>
          <w:rFonts w:eastAsia="Times New Roman"/>
          <w:color w:val="auto"/>
          <w:kern w:val="0"/>
          <w:lang w:val="sr-Cyrl-CS"/>
        </w:rPr>
      </w:pPr>
      <w:r>
        <w:rPr>
          <w:rFonts w:eastAsia="Times New Roman"/>
          <w:color w:val="auto"/>
          <w:kern w:val="0"/>
          <w:lang w:val="sr-Cyrl-CS"/>
        </w:rPr>
        <w:t>društva</w:t>
      </w:r>
      <w:r w:rsidR="00784AA9" w:rsidRPr="00E95BC4">
        <w:rPr>
          <w:rFonts w:eastAsia="Times New Roman"/>
          <w:color w:val="auto"/>
          <w:kern w:val="0"/>
          <w:lang w:val="sr-Cyrl-CS"/>
        </w:rPr>
        <w:t xml:space="preserve"> </w:t>
      </w:r>
      <w:r>
        <w:rPr>
          <w:rFonts w:eastAsia="Times New Roman"/>
          <w:color w:val="auto"/>
          <w:kern w:val="0"/>
          <w:lang w:val="sr-Cyrl-CS"/>
        </w:rPr>
        <w:t>za</w:t>
      </w:r>
      <w:r w:rsidR="00784AA9" w:rsidRPr="00E95BC4">
        <w:rPr>
          <w:rFonts w:eastAsia="Times New Roman"/>
          <w:color w:val="auto"/>
          <w:kern w:val="0"/>
          <w:lang w:val="sr-Cyrl-CS"/>
        </w:rPr>
        <w:t xml:space="preserve"> </w:t>
      </w:r>
      <w:r>
        <w:rPr>
          <w:rFonts w:eastAsia="Times New Roman"/>
          <w:color w:val="auto"/>
          <w:kern w:val="0"/>
          <w:lang w:val="sr-Cyrl-CS"/>
        </w:rPr>
        <w:t>upravljanje</w:t>
      </w:r>
      <w:r w:rsidR="00784AA9" w:rsidRPr="00E95BC4">
        <w:rPr>
          <w:rFonts w:eastAsia="Times New Roman"/>
          <w:color w:val="auto"/>
          <w:kern w:val="0"/>
          <w:lang w:val="sr-Cyrl-CS"/>
        </w:rPr>
        <w:t xml:space="preserve"> </w:t>
      </w:r>
      <w:r>
        <w:rPr>
          <w:rFonts w:eastAsia="Times New Roman"/>
          <w:color w:val="auto"/>
          <w:kern w:val="0"/>
          <w:lang w:val="sr-Cyrl-CS"/>
        </w:rPr>
        <w:t>investicionim</w:t>
      </w:r>
      <w:r w:rsidR="00784AA9" w:rsidRPr="00E95BC4">
        <w:rPr>
          <w:rFonts w:eastAsia="Times New Roman"/>
          <w:color w:val="auto"/>
          <w:kern w:val="0"/>
          <w:lang w:val="sr-Cyrl-CS"/>
        </w:rPr>
        <w:t xml:space="preserve"> </w:t>
      </w:r>
      <w:r>
        <w:rPr>
          <w:rFonts w:eastAsia="Times New Roman"/>
          <w:color w:val="auto"/>
          <w:kern w:val="0"/>
          <w:lang w:val="sr-Cyrl-CS"/>
        </w:rPr>
        <w:t>fondovima</w:t>
      </w:r>
      <w:r w:rsidR="00784AA9" w:rsidRPr="00E95BC4">
        <w:rPr>
          <w:rFonts w:eastAsia="Times New Roman"/>
          <w:color w:val="auto"/>
          <w:kern w:val="0"/>
          <w:lang w:val="sr-Cyrl-CS"/>
        </w:rPr>
        <w:t>;</w:t>
      </w:r>
    </w:p>
    <w:p w:rsidR="00784AA9" w:rsidRPr="00E95BC4" w:rsidRDefault="005818C0" w:rsidP="00784AA9">
      <w:pPr>
        <w:numPr>
          <w:ilvl w:val="0"/>
          <w:numId w:val="8"/>
        </w:numPr>
        <w:tabs>
          <w:tab w:val="clear" w:pos="720"/>
        </w:tabs>
        <w:ind w:left="459"/>
        <w:jc w:val="both"/>
        <w:rPr>
          <w:rFonts w:eastAsia="Times New Roman"/>
          <w:color w:val="auto"/>
          <w:kern w:val="0"/>
          <w:lang w:val="sr-Cyrl-CS"/>
        </w:rPr>
      </w:pPr>
      <w:r>
        <w:rPr>
          <w:rFonts w:eastAsia="Times New Roman"/>
          <w:color w:val="auto"/>
          <w:kern w:val="0"/>
          <w:lang w:val="sr-Cyrl-CS"/>
        </w:rPr>
        <w:t>društva</w:t>
      </w:r>
      <w:r w:rsidR="00784AA9" w:rsidRPr="00E95BC4">
        <w:rPr>
          <w:rFonts w:eastAsia="Times New Roman"/>
          <w:color w:val="auto"/>
          <w:kern w:val="0"/>
          <w:lang w:val="sr-Cyrl-CS"/>
        </w:rPr>
        <w:t xml:space="preserve"> </w:t>
      </w:r>
      <w:r>
        <w:rPr>
          <w:rFonts w:eastAsia="Times New Roman"/>
          <w:color w:val="auto"/>
          <w:kern w:val="0"/>
          <w:lang w:val="sr-Cyrl-CS"/>
        </w:rPr>
        <w:t>za</w:t>
      </w:r>
      <w:r w:rsidR="00784AA9" w:rsidRPr="00E95BC4">
        <w:rPr>
          <w:rFonts w:eastAsia="Times New Roman"/>
          <w:color w:val="auto"/>
          <w:kern w:val="0"/>
          <w:lang w:val="sr-Cyrl-CS"/>
        </w:rPr>
        <w:t xml:space="preserve"> </w:t>
      </w:r>
      <w:r>
        <w:rPr>
          <w:rFonts w:eastAsia="Times New Roman"/>
          <w:color w:val="auto"/>
          <w:kern w:val="0"/>
          <w:lang w:val="sr-Cyrl-CS"/>
        </w:rPr>
        <w:t>upravljanje</w:t>
      </w:r>
      <w:r w:rsidR="00784AA9" w:rsidRPr="00E95BC4">
        <w:rPr>
          <w:rFonts w:eastAsia="Times New Roman"/>
          <w:color w:val="auto"/>
          <w:kern w:val="0"/>
          <w:lang w:val="sr-Cyrl-CS"/>
        </w:rPr>
        <w:t xml:space="preserve"> </w:t>
      </w:r>
      <w:r>
        <w:rPr>
          <w:rFonts w:eastAsia="Times New Roman"/>
          <w:color w:val="auto"/>
          <w:kern w:val="0"/>
          <w:lang w:val="sr-Cyrl-CS"/>
        </w:rPr>
        <w:t>dobrovoljnim</w:t>
      </w:r>
      <w:r w:rsidR="00784AA9" w:rsidRPr="00E95BC4">
        <w:rPr>
          <w:rFonts w:eastAsia="Times New Roman"/>
          <w:color w:val="auto"/>
          <w:kern w:val="0"/>
          <w:lang w:val="sr-Cyrl-CS"/>
        </w:rPr>
        <w:t xml:space="preserve"> </w:t>
      </w:r>
      <w:r>
        <w:rPr>
          <w:rFonts w:eastAsia="Times New Roman"/>
          <w:color w:val="auto"/>
          <w:kern w:val="0"/>
          <w:lang w:val="sr-Cyrl-CS"/>
        </w:rPr>
        <w:t>penzijskim</w:t>
      </w:r>
      <w:r w:rsidR="00784AA9" w:rsidRPr="00E95BC4">
        <w:rPr>
          <w:rFonts w:eastAsia="Times New Roman"/>
          <w:color w:val="auto"/>
          <w:kern w:val="0"/>
          <w:lang w:val="sr-Cyrl-CS"/>
        </w:rPr>
        <w:t xml:space="preserve"> </w:t>
      </w:r>
      <w:r>
        <w:rPr>
          <w:rFonts w:eastAsia="Times New Roman"/>
          <w:color w:val="auto"/>
          <w:kern w:val="0"/>
          <w:lang w:val="sr-Cyrl-CS"/>
        </w:rPr>
        <w:t>fondovima</w:t>
      </w:r>
      <w:r w:rsidR="00784AA9" w:rsidRPr="00E95BC4">
        <w:rPr>
          <w:rFonts w:eastAsia="Times New Roman"/>
          <w:color w:val="auto"/>
          <w:kern w:val="0"/>
          <w:lang w:val="sr-Cyrl-CS"/>
        </w:rPr>
        <w:t>;</w:t>
      </w:r>
    </w:p>
    <w:p w:rsidR="00784AA9" w:rsidRPr="00E95BC4" w:rsidRDefault="005818C0" w:rsidP="00784AA9">
      <w:pPr>
        <w:numPr>
          <w:ilvl w:val="0"/>
          <w:numId w:val="8"/>
        </w:numPr>
        <w:tabs>
          <w:tab w:val="clear" w:pos="720"/>
        </w:tabs>
        <w:ind w:left="459"/>
        <w:jc w:val="both"/>
        <w:rPr>
          <w:rFonts w:eastAsia="Times New Roman"/>
          <w:color w:val="auto"/>
          <w:kern w:val="0"/>
          <w:lang w:val="sr-Cyrl-CS"/>
        </w:rPr>
      </w:pPr>
      <w:r>
        <w:rPr>
          <w:rFonts w:eastAsia="Times New Roman"/>
          <w:color w:val="auto"/>
          <w:kern w:val="0"/>
          <w:lang w:val="sr-Cyrl-CS"/>
        </w:rPr>
        <w:t>davaoci</w:t>
      </w:r>
      <w:r w:rsidR="00784AA9" w:rsidRPr="00E95BC4">
        <w:rPr>
          <w:rFonts w:eastAsia="Times New Roman"/>
          <w:color w:val="auto"/>
          <w:kern w:val="0"/>
          <w:lang w:val="sr-Cyrl-CS"/>
        </w:rPr>
        <w:t xml:space="preserve"> </w:t>
      </w:r>
      <w:r>
        <w:rPr>
          <w:rFonts w:eastAsia="Times New Roman"/>
          <w:color w:val="auto"/>
          <w:kern w:val="0"/>
          <w:lang w:val="sr-Cyrl-CS"/>
        </w:rPr>
        <w:t>finansijskog</w:t>
      </w:r>
      <w:r w:rsidR="00784AA9" w:rsidRPr="00E95BC4">
        <w:rPr>
          <w:rFonts w:eastAsia="Times New Roman"/>
          <w:color w:val="auto"/>
          <w:kern w:val="0"/>
          <w:lang w:val="sr-Cyrl-CS"/>
        </w:rPr>
        <w:t xml:space="preserve"> </w:t>
      </w:r>
      <w:r>
        <w:rPr>
          <w:rFonts w:eastAsia="Times New Roman"/>
          <w:color w:val="auto"/>
          <w:kern w:val="0"/>
          <w:lang w:val="sr-Cyrl-CS"/>
        </w:rPr>
        <w:t>lizinga</w:t>
      </w:r>
      <w:r w:rsidR="00784AA9" w:rsidRPr="00E95BC4">
        <w:rPr>
          <w:rFonts w:eastAsia="Times New Roman"/>
          <w:color w:val="auto"/>
          <w:kern w:val="0"/>
          <w:lang w:val="sr-Cyrl-CS"/>
        </w:rPr>
        <w:t>;</w:t>
      </w:r>
    </w:p>
    <w:p w:rsidR="00784AA9" w:rsidRPr="00E95BC4" w:rsidRDefault="005818C0" w:rsidP="00784AA9">
      <w:pPr>
        <w:numPr>
          <w:ilvl w:val="0"/>
          <w:numId w:val="8"/>
        </w:numPr>
        <w:tabs>
          <w:tab w:val="clear" w:pos="720"/>
        </w:tabs>
        <w:ind w:left="459"/>
        <w:jc w:val="both"/>
        <w:rPr>
          <w:rFonts w:eastAsia="Times New Roman"/>
          <w:color w:val="auto"/>
          <w:kern w:val="0"/>
          <w:lang w:val="sr-Cyrl-CS"/>
        </w:rPr>
      </w:pPr>
      <w:r>
        <w:rPr>
          <w:rFonts w:eastAsia="Times New Roman"/>
          <w:color w:val="auto"/>
          <w:kern w:val="0"/>
          <w:lang w:val="sr-Cyrl-CS"/>
        </w:rPr>
        <w:t>društva</w:t>
      </w:r>
      <w:r w:rsidR="00784AA9" w:rsidRPr="00E95BC4">
        <w:rPr>
          <w:rFonts w:eastAsia="Times New Roman"/>
          <w:color w:val="auto"/>
          <w:kern w:val="0"/>
          <w:lang w:val="sr-Cyrl-CS"/>
        </w:rPr>
        <w:t xml:space="preserve"> </w:t>
      </w:r>
      <w:r>
        <w:rPr>
          <w:rFonts w:eastAsia="Times New Roman"/>
          <w:color w:val="auto"/>
          <w:kern w:val="0"/>
          <w:lang w:val="sr-Cyrl-CS"/>
        </w:rPr>
        <w:t>za</w:t>
      </w:r>
      <w:r w:rsidR="00784AA9" w:rsidRPr="00E95BC4">
        <w:rPr>
          <w:rFonts w:eastAsia="Times New Roman"/>
          <w:color w:val="auto"/>
          <w:kern w:val="0"/>
          <w:lang w:val="sr-Cyrl-CS"/>
        </w:rPr>
        <w:t xml:space="preserve"> </w:t>
      </w:r>
      <w:r>
        <w:rPr>
          <w:rFonts w:eastAsia="Times New Roman"/>
          <w:color w:val="auto"/>
          <w:kern w:val="0"/>
          <w:lang w:val="sr-Cyrl-CS"/>
        </w:rPr>
        <w:t>osiguranje</w:t>
      </w:r>
      <w:r w:rsidR="00784AA9" w:rsidRPr="00E95BC4">
        <w:rPr>
          <w:rFonts w:eastAsia="Times New Roman"/>
          <w:color w:val="auto"/>
          <w:kern w:val="0"/>
          <w:lang w:val="sr-Cyrl-CS"/>
        </w:rPr>
        <w:t xml:space="preserve"> </w:t>
      </w:r>
      <w:r>
        <w:rPr>
          <w:rFonts w:eastAsia="Times New Roman"/>
          <w:color w:val="auto"/>
          <w:kern w:val="0"/>
          <w:lang w:val="sr-Cyrl-CS"/>
        </w:rPr>
        <w:t>koja</w:t>
      </w:r>
      <w:r w:rsidR="00784AA9" w:rsidRPr="00E95BC4">
        <w:rPr>
          <w:rFonts w:eastAsia="Times New Roman"/>
          <w:color w:val="auto"/>
          <w:kern w:val="0"/>
          <w:lang w:val="sr-Cyrl-CS"/>
        </w:rPr>
        <w:t xml:space="preserve"> </w:t>
      </w:r>
      <w:r>
        <w:rPr>
          <w:rFonts w:eastAsia="Times New Roman"/>
          <w:color w:val="auto"/>
          <w:kern w:val="0"/>
          <w:lang w:val="sr-Cyrl-CS"/>
        </w:rPr>
        <w:t>poseduju</w:t>
      </w:r>
      <w:r w:rsidR="00784AA9" w:rsidRPr="00E95BC4">
        <w:rPr>
          <w:rFonts w:eastAsia="Times New Roman"/>
          <w:color w:val="auto"/>
          <w:kern w:val="0"/>
          <w:lang w:val="sr-Cyrl-CS"/>
        </w:rPr>
        <w:t xml:space="preserve"> </w:t>
      </w:r>
      <w:r>
        <w:rPr>
          <w:rFonts w:eastAsia="Times New Roman"/>
          <w:color w:val="auto"/>
          <w:kern w:val="0"/>
          <w:lang w:val="sr-Cyrl-CS"/>
        </w:rPr>
        <w:t>dozvolu</w:t>
      </w:r>
      <w:r w:rsidR="00784AA9" w:rsidRPr="00E95BC4">
        <w:rPr>
          <w:rFonts w:eastAsia="Times New Roman"/>
          <w:color w:val="auto"/>
          <w:kern w:val="0"/>
          <w:lang w:val="sr-Cyrl-CS"/>
        </w:rPr>
        <w:t xml:space="preserve"> </w:t>
      </w:r>
      <w:r>
        <w:rPr>
          <w:rFonts w:eastAsia="Times New Roman"/>
          <w:color w:val="auto"/>
          <w:kern w:val="0"/>
          <w:lang w:val="sr-Cyrl-CS"/>
        </w:rPr>
        <w:t>za</w:t>
      </w:r>
      <w:r w:rsidR="00784AA9" w:rsidRPr="00E95BC4">
        <w:rPr>
          <w:rFonts w:eastAsia="Times New Roman"/>
          <w:color w:val="auto"/>
          <w:kern w:val="0"/>
          <w:lang w:val="sr-Cyrl-CS"/>
        </w:rPr>
        <w:t xml:space="preserve"> </w:t>
      </w:r>
      <w:r>
        <w:rPr>
          <w:rFonts w:eastAsia="Times New Roman"/>
          <w:color w:val="auto"/>
          <w:kern w:val="0"/>
          <w:lang w:val="sr-Cyrl-CS"/>
        </w:rPr>
        <w:t>obavljanje</w:t>
      </w:r>
      <w:r w:rsidR="00784AA9" w:rsidRPr="00E95BC4">
        <w:rPr>
          <w:rFonts w:eastAsia="Times New Roman"/>
          <w:color w:val="auto"/>
          <w:kern w:val="0"/>
          <w:lang w:val="sr-Cyrl-CS"/>
        </w:rPr>
        <w:t xml:space="preserve"> </w:t>
      </w:r>
      <w:r>
        <w:rPr>
          <w:rFonts w:eastAsia="Times New Roman"/>
          <w:color w:val="auto"/>
          <w:kern w:val="0"/>
          <w:lang w:val="sr-Cyrl-CS"/>
        </w:rPr>
        <w:t>životnih</w:t>
      </w:r>
      <w:r w:rsidR="00784AA9" w:rsidRPr="00E95BC4">
        <w:rPr>
          <w:rFonts w:eastAsia="Times New Roman"/>
          <w:color w:val="auto"/>
          <w:kern w:val="0"/>
          <w:lang w:val="sr-Cyrl-CS"/>
        </w:rPr>
        <w:t xml:space="preserve"> </w:t>
      </w:r>
      <w:r>
        <w:rPr>
          <w:rFonts w:eastAsia="Times New Roman"/>
          <w:color w:val="auto"/>
          <w:kern w:val="0"/>
          <w:lang w:val="sr-Cyrl-CS"/>
        </w:rPr>
        <w:t>osiguranja</w:t>
      </w:r>
      <w:r w:rsidR="00784AA9" w:rsidRPr="00E95BC4">
        <w:rPr>
          <w:rFonts w:eastAsia="Times New Roman"/>
          <w:color w:val="auto"/>
          <w:kern w:val="0"/>
          <w:lang w:val="sr-Cyrl-CS"/>
        </w:rPr>
        <w:t xml:space="preserve"> </w:t>
      </w:r>
      <w:r>
        <w:rPr>
          <w:rFonts w:eastAsia="Times New Roman"/>
          <w:color w:val="auto"/>
          <w:kern w:val="0"/>
          <w:lang w:val="sr-Cyrl-CS"/>
        </w:rPr>
        <w:t>i</w:t>
      </w:r>
      <w:r w:rsidR="00784AA9" w:rsidRPr="00E95BC4">
        <w:rPr>
          <w:rFonts w:eastAsia="Times New Roman"/>
          <w:color w:val="auto"/>
          <w:kern w:val="0"/>
          <w:lang w:val="sr-Cyrl-CS"/>
        </w:rPr>
        <w:t xml:space="preserve"> </w:t>
      </w:r>
      <w:r>
        <w:rPr>
          <w:rFonts w:eastAsia="Times New Roman"/>
          <w:color w:val="auto"/>
          <w:kern w:val="0"/>
          <w:lang w:val="sr-Cyrl-CS"/>
        </w:rPr>
        <w:t>društva</w:t>
      </w:r>
      <w:r w:rsidR="00784AA9" w:rsidRPr="00E95BC4">
        <w:rPr>
          <w:rFonts w:eastAsia="Times New Roman"/>
          <w:color w:val="auto"/>
          <w:kern w:val="0"/>
          <w:lang w:val="sr-Cyrl-CS"/>
        </w:rPr>
        <w:t xml:space="preserve"> </w:t>
      </w:r>
      <w:r>
        <w:rPr>
          <w:rFonts w:eastAsia="Times New Roman"/>
          <w:color w:val="auto"/>
          <w:kern w:val="0"/>
          <w:lang w:val="sr-Cyrl-CS"/>
        </w:rPr>
        <w:t>za</w:t>
      </w:r>
      <w:r w:rsidR="00784AA9" w:rsidRPr="00E95BC4">
        <w:rPr>
          <w:rFonts w:eastAsia="Times New Roman"/>
          <w:color w:val="auto"/>
          <w:kern w:val="0"/>
          <w:lang w:val="sr-Cyrl-CS"/>
        </w:rPr>
        <w:t xml:space="preserve"> </w:t>
      </w:r>
      <w:r>
        <w:rPr>
          <w:rFonts w:eastAsia="Times New Roman"/>
          <w:color w:val="auto"/>
          <w:kern w:val="0"/>
          <w:lang w:val="sr-Cyrl-CS"/>
        </w:rPr>
        <w:t>posredovanje</w:t>
      </w:r>
      <w:r w:rsidR="00784AA9" w:rsidRPr="00E95BC4">
        <w:rPr>
          <w:rFonts w:eastAsia="Times New Roman"/>
          <w:color w:val="auto"/>
          <w:kern w:val="0"/>
          <w:lang w:val="sr-Cyrl-CS"/>
        </w:rPr>
        <w:t xml:space="preserve"> </w:t>
      </w:r>
      <w:r>
        <w:rPr>
          <w:rFonts w:eastAsia="Times New Roman"/>
          <w:color w:val="auto"/>
          <w:kern w:val="0"/>
          <w:lang w:val="sr-Cyrl-CS"/>
        </w:rPr>
        <w:t>u</w:t>
      </w:r>
      <w:r w:rsidR="00784AA9" w:rsidRPr="00E95BC4">
        <w:rPr>
          <w:rFonts w:eastAsia="Times New Roman"/>
          <w:color w:val="auto"/>
          <w:kern w:val="0"/>
          <w:lang w:val="sr-Cyrl-CS"/>
        </w:rPr>
        <w:t xml:space="preserve"> </w:t>
      </w:r>
      <w:r>
        <w:rPr>
          <w:rFonts w:eastAsia="Times New Roman"/>
          <w:color w:val="auto"/>
          <w:kern w:val="0"/>
          <w:lang w:val="sr-Cyrl-CS"/>
        </w:rPr>
        <w:t>osiguranju</w:t>
      </w:r>
      <w:r w:rsidR="00784AA9" w:rsidRPr="00E95BC4">
        <w:rPr>
          <w:rFonts w:eastAsia="Times New Roman"/>
          <w:color w:val="auto"/>
          <w:kern w:val="0"/>
          <w:lang w:val="sr-Cyrl-CS"/>
        </w:rPr>
        <w:t xml:space="preserve"> </w:t>
      </w:r>
      <w:r>
        <w:rPr>
          <w:rFonts w:eastAsia="Times New Roman"/>
          <w:color w:val="auto"/>
          <w:kern w:val="0"/>
          <w:lang w:val="sr-Cyrl-CS"/>
        </w:rPr>
        <w:t>kada</w:t>
      </w:r>
      <w:r w:rsidR="00784AA9" w:rsidRPr="00E95BC4">
        <w:rPr>
          <w:rFonts w:eastAsia="Times New Roman"/>
          <w:color w:val="auto"/>
          <w:kern w:val="0"/>
          <w:lang w:val="sr-Cyrl-CS"/>
        </w:rPr>
        <w:t xml:space="preserve"> </w:t>
      </w:r>
      <w:r>
        <w:rPr>
          <w:rFonts w:eastAsia="Times New Roman"/>
          <w:color w:val="auto"/>
          <w:kern w:val="0"/>
          <w:lang w:val="sr-Cyrl-CS"/>
        </w:rPr>
        <w:t>obavljaju</w:t>
      </w:r>
      <w:r w:rsidR="00784AA9" w:rsidRPr="00E95BC4">
        <w:rPr>
          <w:rFonts w:eastAsia="Times New Roman"/>
          <w:color w:val="auto"/>
          <w:kern w:val="0"/>
          <w:lang w:val="sr-Cyrl-CS"/>
        </w:rPr>
        <w:t xml:space="preserve"> </w:t>
      </w:r>
      <w:r>
        <w:rPr>
          <w:rFonts w:eastAsia="Times New Roman"/>
          <w:color w:val="auto"/>
          <w:kern w:val="0"/>
          <w:lang w:val="sr-Cyrl-CS"/>
        </w:rPr>
        <w:t>poslove</w:t>
      </w:r>
      <w:r w:rsidR="00784AA9" w:rsidRPr="00E95BC4">
        <w:rPr>
          <w:rFonts w:eastAsia="Times New Roman"/>
          <w:color w:val="auto"/>
          <w:kern w:val="0"/>
          <w:lang w:val="sr-Cyrl-CS"/>
        </w:rPr>
        <w:t xml:space="preserve"> </w:t>
      </w:r>
      <w:r>
        <w:rPr>
          <w:rFonts w:eastAsia="Times New Roman"/>
          <w:color w:val="auto"/>
          <w:kern w:val="0"/>
          <w:lang w:val="sr-Cyrl-CS"/>
        </w:rPr>
        <w:t>posredovanja</w:t>
      </w:r>
      <w:r w:rsidR="00784AA9" w:rsidRPr="00E95BC4">
        <w:rPr>
          <w:rFonts w:eastAsia="Times New Roman"/>
          <w:color w:val="auto"/>
          <w:kern w:val="0"/>
          <w:lang w:val="sr-Cyrl-CS"/>
        </w:rPr>
        <w:t xml:space="preserve"> </w:t>
      </w:r>
      <w:r>
        <w:rPr>
          <w:rFonts w:eastAsia="Times New Roman"/>
          <w:color w:val="auto"/>
          <w:kern w:val="0"/>
          <w:lang w:val="sr-Cyrl-CS"/>
        </w:rPr>
        <w:t>u</w:t>
      </w:r>
      <w:r w:rsidR="00784AA9" w:rsidRPr="00E95BC4">
        <w:rPr>
          <w:rFonts w:eastAsia="Times New Roman"/>
          <w:color w:val="auto"/>
          <w:kern w:val="0"/>
          <w:lang w:val="sr-Cyrl-CS"/>
        </w:rPr>
        <w:t xml:space="preserve"> </w:t>
      </w:r>
      <w:r>
        <w:rPr>
          <w:rFonts w:eastAsia="Times New Roman"/>
          <w:color w:val="auto"/>
          <w:kern w:val="0"/>
          <w:lang w:val="sr-Cyrl-CS"/>
        </w:rPr>
        <w:t>životnim</w:t>
      </w:r>
      <w:r w:rsidR="00784AA9" w:rsidRPr="00E95BC4">
        <w:rPr>
          <w:rFonts w:eastAsia="Times New Roman"/>
          <w:color w:val="auto"/>
          <w:kern w:val="0"/>
          <w:lang w:val="sr-Cyrl-CS"/>
        </w:rPr>
        <w:t xml:space="preserve"> </w:t>
      </w:r>
      <w:r>
        <w:rPr>
          <w:rFonts w:eastAsia="Times New Roman"/>
          <w:color w:val="auto"/>
          <w:kern w:val="0"/>
          <w:lang w:val="sr-Cyrl-CS"/>
        </w:rPr>
        <w:t>osiguranjima</w:t>
      </w:r>
      <w:r w:rsidR="00784AA9" w:rsidRPr="00E95BC4">
        <w:rPr>
          <w:rFonts w:eastAsia="Times New Roman"/>
          <w:color w:val="auto"/>
          <w:kern w:val="0"/>
          <w:lang w:val="sr-Cyrl-CS"/>
        </w:rPr>
        <w:t xml:space="preserve">; </w:t>
      </w:r>
      <w:r>
        <w:rPr>
          <w:rFonts w:eastAsia="Times New Roman"/>
          <w:color w:val="auto"/>
          <w:kern w:val="0"/>
          <w:lang w:val="sr-Cyrl-CS"/>
        </w:rPr>
        <w:t>društva</w:t>
      </w:r>
      <w:r w:rsidR="00784AA9" w:rsidRPr="00E95BC4">
        <w:rPr>
          <w:rFonts w:eastAsia="Times New Roman"/>
          <w:color w:val="auto"/>
          <w:kern w:val="0"/>
          <w:lang w:val="sr-Cyrl-CS"/>
        </w:rPr>
        <w:t xml:space="preserve"> </w:t>
      </w:r>
      <w:r>
        <w:rPr>
          <w:rFonts w:eastAsia="Times New Roman"/>
          <w:color w:val="auto"/>
          <w:kern w:val="0"/>
          <w:lang w:val="sr-Cyrl-CS"/>
        </w:rPr>
        <w:t>za</w:t>
      </w:r>
      <w:r w:rsidR="00784AA9" w:rsidRPr="00E95BC4">
        <w:rPr>
          <w:rFonts w:eastAsia="Times New Roman"/>
          <w:color w:val="auto"/>
          <w:kern w:val="0"/>
          <w:lang w:val="sr-Cyrl-CS"/>
        </w:rPr>
        <w:t xml:space="preserve"> </w:t>
      </w:r>
      <w:r>
        <w:rPr>
          <w:rFonts w:eastAsia="Times New Roman"/>
          <w:color w:val="auto"/>
          <w:kern w:val="0"/>
          <w:lang w:val="sr-Cyrl-CS"/>
        </w:rPr>
        <w:t>zastupanje</w:t>
      </w:r>
      <w:r w:rsidR="00784AA9" w:rsidRPr="00E95BC4">
        <w:rPr>
          <w:rFonts w:eastAsia="Times New Roman"/>
          <w:color w:val="auto"/>
          <w:kern w:val="0"/>
          <w:lang w:val="sr-Cyrl-CS"/>
        </w:rPr>
        <w:t xml:space="preserve"> </w:t>
      </w:r>
      <w:r>
        <w:rPr>
          <w:rFonts w:eastAsia="Times New Roman"/>
          <w:color w:val="auto"/>
          <w:kern w:val="0"/>
          <w:lang w:val="sr-Cyrl-CS"/>
        </w:rPr>
        <w:t>u</w:t>
      </w:r>
      <w:r w:rsidR="00784AA9" w:rsidRPr="00E95BC4">
        <w:rPr>
          <w:rFonts w:eastAsia="Times New Roman"/>
          <w:color w:val="auto"/>
          <w:kern w:val="0"/>
          <w:lang w:val="sr-Cyrl-CS"/>
        </w:rPr>
        <w:t xml:space="preserve"> </w:t>
      </w:r>
      <w:r>
        <w:rPr>
          <w:rFonts w:eastAsia="Times New Roman"/>
          <w:color w:val="auto"/>
          <w:kern w:val="0"/>
          <w:lang w:val="sr-Cyrl-CS"/>
        </w:rPr>
        <w:t>osiguranju</w:t>
      </w:r>
      <w:r w:rsidR="00784AA9" w:rsidRPr="00E95BC4">
        <w:rPr>
          <w:rFonts w:eastAsia="Times New Roman"/>
          <w:color w:val="auto"/>
          <w:kern w:val="0"/>
          <w:lang w:val="sr-Cyrl-CS"/>
        </w:rPr>
        <w:t xml:space="preserve"> </w:t>
      </w:r>
      <w:r>
        <w:rPr>
          <w:rFonts w:eastAsia="Times New Roman"/>
          <w:color w:val="auto"/>
          <w:kern w:val="0"/>
          <w:lang w:val="sr-Cyrl-CS"/>
        </w:rPr>
        <w:t>i</w:t>
      </w:r>
      <w:r w:rsidR="00784AA9" w:rsidRPr="00E95BC4">
        <w:rPr>
          <w:rFonts w:eastAsia="Times New Roman"/>
          <w:color w:val="auto"/>
          <w:kern w:val="0"/>
          <w:lang w:val="sr-Cyrl-CS"/>
        </w:rPr>
        <w:t xml:space="preserve"> </w:t>
      </w:r>
      <w:r>
        <w:rPr>
          <w:rFonts w:eastAsia="Times New Roman"/>
          <w:color w:val="auto"/>
          <w:kern w:val="0"/>
          <w:lang w:val="sr-Cyrl-CS"/>
        </w:rPr>
        <w:t>zastupnici</w:t>
      </w:r>
      <w:r w:rsidR="00784AA9" w:rsidRPr="00E95BC4">
        <w:rPr>
          <w:rFonts w:eastAsia="Times New Roman"/>
          <w:color w:val="auto"/>
          <w:kern w:val="0"/>
          <w:lang w:val="sr-Cyrl-CS"/>
        </w:rPr>
        <w:t xml:space="preserve"> </w:t>
      </w:r>
      <w:r>
        <w:rPr>
          <w:rFonts w:eastAsia="Times New Roman"/>
          <w:color w:val="auto"/>
          <w:kern w:val="0"/>
          <w:lang w:val="sr-Cyrl-CS"/>
        </w:rPr>
        <w:t>u</w:t>
      </w:r>
      <w:r w:rsidR="00784AA9" w:rsidRPr="00E95BC4">
        <w:rPr>
          <w:rFonts w:eastAsia="Times New Roman"/>
          <w:color w:val="auto"/>
          <w:kern w:val="0"/>
          <w:lang w:val="sr-Cyrl-CS"/>
        </w:rPr>
        <w:t xml:space="preserve"> </w:t>
      </w:r>
      <w:r>
        <w:rPr>
          <w:rFonts w:eastAsia="Times New Roman"/>
          <w:color w:val="auto"/>
          <w:kern w:val="0"/>
          <w:lang w:val="sr-Cyrl-CS"/>
        </w:rPr>
        <w:t>osiguranju</w:t>
      </w:r>
      <w:r w:rsidR="00784AA9" w:rsidRPr="00E95BC4">
        <w:rPr>
          <w:rFonts w:eastAsia="Times New Roman"/>
          <w:color w:val="auto"/>
          <w:kern w:val="0"/>
          <w:lang w:val="sr-Cyrl-CS"/>
        </w:rPr>
        <w:t xml:space="preserve">, </w:t>
      </w:r>
      <w:r>
        <w:rPr>
          <w:rFonts w:eastAsia="Times New Roman"/>
          <w:color w:val="auto"/>
          <w:kern w:val="0"/>
          <w:lang w:val="sr-Cyrl-CS"/>
        </w:rPr>
        <w:t>koji</w:t>
      </w:r>
      <w:r w:rsidR="00784AA9" w:rsidRPr="00E95BC4">
        <w:rPr>
          <w:rFonts w:eastAsia="Times New Roman"/>
          <w:color w:val="auto"/>
          <w:kern w:val="0"/>
          <w:lang w:val="sr-Cyrl-CS"/>
        </w:rPr>
        <w:t xml:space="preserve"> </w:t>
      </w:r>
      <w:r>
        <w:rPr>
          <w:rFonts w:eastAsia="Times New Roman"/>
          <w:color w:val="auto"/>
          <w:kern w:val="0"/>
          <w:lang w:val="sr-Cyrl-CS"/>
        </w:rPr>
        <w:t>imaju</w:t>
      </w:r>
      <w:r w:rsidR="00784AA9" w:rsidRPr="00E95BC4">
        <w:rPr>
          <w:rFonts w:eastAsia="Times New Roman"/>
          <w:color w:val="auto"/>
          <w:kern w:val="0"/>
          <w:lang w:val="sr-Cyrl-CS"/>
        </w:rPr>
        <w:t xml:space="preserve"> </w:t>
      </w:r>
      <w:r>
        <w:rPr>
          <w:rFonts w:eastAsia="Times New Roman"/>
          <w:color w:val="auto"/>
          <w:kern w:val="0"/>
          <w:lang w:val="sr-Cyrl-CS"/>
        </w:rPr>
        <w:t>dozvolu</w:t>
      </w:r>
      <w:r w:rsidR="00784AA9" w:rsidRPr="00E95BC4">
        <w:rPr>
          <w:rFonts w:eastAsia="Times New Roman"/>
          <w:color w:val="auto"/>
          <w:kern w:val="0"/>
          <w:lang w:val="sr-Cyrl-CS"/>
        </w:rPr>
        <w:t xml:space="preserve"> </w:t>
      </w:r>
      <w:r>
        <w:rPr>
          <w:rFonts w:eastAsia="Times New Roman"/>
          <w:color w:val="auto"/>
          <w:kern w:val="0"/>
          <w:lang w:val="sr-Cyrl-CS"/>
        </w:rPr>
        <w:t>za</w:t>
      </w:r>
      <w:r w:rsidR="00784AA9" w:rsidRPr="00E95BC4">
        <w:rPr>
          <w:rFonts w:eastAsia="Times New Roman"/>
          <w:color w:val="auto"/>
          <w:kern w:val="0"/>
          <w:lang w:val="sr-Cyrl-CS"/>
        </w:rPr>
        <w:t xml:space="preserve"> </w:t>
      </w:r>
      <w:r>
        <w:rPr>
          <w:rFonts w:eastAsia="Times New Roman"/>
          <w:color w:val="auto"/>
          <w:kern w:val="0"/>
          <w:lang w:val="sr-Cyrl-CS"/>
        </w:rPr>
        <w:t>obavljanje</w:t>
      </w:r>
      <w:r w:rsidR="00784AA9" w:rsidRPr="00E95BC4">
        <w:rPr>
          <w:rFonts w:eastAsia="Times New Roman"/>
          <w:color w:val="auto"/>
          <w:kern w:val="0"/>
          <w:lang w:val="sr-Cyrl-CS"/>
        </w:rPr>
        <w:t xml:space="preserve"> </w:t>
      </w:r>
      <w:r>
        <w:rPr>
          <w:rFonts w:eastAsia="Times New Roman"/>
          <w:color w:val="auto"/>
          <w:kern w:val="0"/>
          <w:lang w:val="sr-Cyrl-CS"/>
        </w:rPr>
        <w:t>poslova</w:t>
      </w:r>
      <w:r w:rsidR="00784AA9" w:rsidRPr="00E95BC4">
        <w:rPr>
          <w:rFonts w:eastAsia="Times New Roman"/>
          <w:color w:val="auto"/>
          <w:kern w:val="0"/>
          <w:lang w:val="sr-Cyrl-CS"/>
        </w:rPr>
        <w:t xml:space="preserve"> </w:t>
      </w:r>
      <w:r>
        <w:rPr>
          <w:rFonts w:eastAsia="Times New Roman"/>
          <w:color w:val="auto"/>
          <w:kern w:val="0"/>
          <w:lang w:val="sr-Cyrl-CS"/>
        </w:rPr>
        <w:t>osiguranja</w:t>
      </w:r>
      <w:r w:rsidR="00784AA9" w:rsidRPr="00E95BC4">
        <w:rPr>
          <w:rFonts w:eastAsia="Times New Roman"/>
          <w:color w:val="auto"/>
          <w:kern w:val="0"/>
          <w:lang w:val="sr-Cyrl-CS"/>
        </w:rPr>
        <w:t xml:space="preserve"> </w:t>
      </w:r>
      <w:r>
        <w:rPr>
          <w:rFonts w:eastAsia="Times New Roman"/>
          <w:color w:val="auto"/>
          <w:kern w:val="0"/>
          <w:lang w:val="sr-Cyrl-CS"/>
        </w:rPr>
        <w:t>života</w:t>
      </w:r>
      <w:r w:rsidR="00784AA9" w:rsidRPr="00E95BC4">
        <w:rPr>
          <w:rFonts w:eastAsia="Times New Roman"/>
          <w:color w:val="auto"/>
          <w:kern w:val="0"/>
          <w:lang w:val="sr-Cyrl-CS"/>
        </w:rPr>
        <w:t xml:space="preserve">, </w:t>
      </w:r>
      <w:r>
        <w:rPr>
          <w:rFonts w:eastAsia="Times New Roman"/>
          <w:color w:val="auto"/>
          <w:kern w:val="0"/>
          <w:lang w:val="sr-Cyrl-CS"/>
        </w:rPr>
        <w:t>osim</w:t>
      </w:r>
      <w:r w:rsidR="00784AA9" w:rsidRPr="00E95BC4">
        <w:rPr>
          <w:rFonts w:eastAsia="Times New Roman"/>
          <w:color w:val="auto"/>
          <w:kern w:val="0"/>
          <w:lang w:val="sr-Cyrl-CS"/>
        </w:rPr>
        <w:t xml:space="preserve"> </w:t>
      </w:r>
      <w:r>
        <w:rPr>
          <w:rFonts w:eastAsia="Times New Roman"/>
          <w:color w:val="auto"/>
          <w:kern w:val="0"/>
          <w:lang w:val="sr-Cyrl-CS"/>
        </w:rPr>
        <w:t>društava</w:t>
      </w:r>
      <w:r w:rsidR="00784AA9" w:rsidRPr="00E95BC4">
        <w:rPr>
          <w:rFonts w:eastAsia="Times New Roman"/>
          <w:color w:val="auto"/>
          <w:kern w:val="0"/>
          <w:lang w:val="sr-Cyrl-CS"/>
        </w:rPr>
        <w:t xml:space="preserve"> </w:t>
      </w:r>
      <w:r>
        <w:rPr>
          <w:rFonts w:eastAsia="Times New Roman"/>
          <w:color w:val="auto"/>
          <w:kern w:val="0"/>
          <w:lang w:val="sr-Cyrl-CS"/>
        </w:rPr>
        <w:t>za</w:t>
      </w:r>
      <w:r w:rsidR="00784AA9" w:rsidRPr="00E95BC4">
        <w:rPr>
          <w:rFonts w:eastAsia="Times New Roman"/>
          <w:color w:val="auto"/>
          <w:kern w:val="0"/>
          <w:lang w:val="sr-Cyrl-CS"/>
        </w:rPr>
        <w:t xml:space="preserve"> </w:t>
      </w:r>
      <w:r>
        <w:rPr>
          <w:rFonts w:eastAsia="Times New Roman"/>
          <w:color w:val="auto"/>
          <w:kern w:val="0"/>
          <w:lang w:val="sr-Cyrl-CS"/>
        </w:rPr>
        <w:t>zastupanje</w:t>
      </w:r>
      <w:r w:rsidR="00784AA9" w:rsidRPr="00E95BC4">
        <w:rPr>
          <w:rFonts w:eastAsia="Times New Roman"/>
          <w:color w:val="auto"/>
          <w:kern w:val="0"/>
          <w:lang w:val="sr-Cyrl-CS"/>
        </w:rPr>
        <w:t xml:space="preserve"> </w:t>
      </w:r>
      <w:r>
        <w:rPr>
          <w:rFonts w:eastAsia="Times New Roman"/>
          <w:color w:val="auto"/>
          <w:kern w:val="0"/>
          <w:lang w:val="sr-Cyrl-CS"/>
        </w:rPr>
        <w:t>i</w:t>
      </w:r>
      <w:r w:rsidR="00784AA9" w:rsidRPr="00E95BC4">
        <w:rPr>
          <w:rFonts w:eastAsia="Times New Roman"/>
          <w:color w:val="auto"/>
          <w:kern w:val="0"/>
          <w:lang w:val="sr-Cyrl-CS"/>
        </w:rPr>
        <w:t xml:space="preserve"> </w:t>
      </w:r>
      <w:r>
        <w:rPr>
          <w:rFonts w:eastAsia="Times New Roman"/>
          <w:color w:val="auto"/>
          <w:kern w:val="0"/>
          <w:lang w:val="sr-Cyrl-CS"/>
        </w:rPr>
        <w:t>zastupnika</w:t>
      </w:r>
      <w:r w:rsidR="00784AA9" w:rsidRPr="00E95BC4">
        <w:rPr>
          <w:rFonts w:eastAsia="Times New Roman"/>
          <w:color w:val="auto"/>
          <w:kern w:val="0"/>
          <w:lang w:val="sr-Cyrl-CS"/>
        </w:rPr>
        <w:t xml:space="preserve"> </w:t>
      </w:r>
      <w:r>
        <w:rPr>
          <w:rFonts w:eastAsia="Times New Roman"/>
          <w:color w:val="auto"/>
          <w:kern w:val="0"/>
          <w:lang w:val="sr-Cyrl-CS"/>
        </w:rPr>
        <w:t>u</w:t>
      </w:r>
      <w:r w:rsidR="00784AA9" w:rsidRPr="00E95BC4">
        <w:rPr>
          <w:rFonts w:eastAsia="Times New Roman"/>
          <w:color w:val="auto"/>
          <w:kern w:val="0"/>
          <w:lang w:val="sr-Cyrl-CS"/>
        </w:rPr>
        <w:t xml:space="preserve"> </w:t>
      </w:r>
      <w:r>
        <w:rPr>
          <w:rFonts w:eastAsia="Times New Roman"/>
          <w:color w:val="auto"/>
          <w:kern w:val="0"/>
          <w:lang w:val="sr-Cyrl-CS"/>
        </w:rPr>
        <w:t>osiguranju</w:t>
      </w:r>
      <w:r w:rsidR="00784AA9" w:rsidRPr="00E95BC4">
        <w:rPr>
          <w:rFonts w:eastAsia="Times New Roman"/>
          <w:color w:val="auto"/>
          <w:kern w:val="0"/>
          <w:lang w:val="sr-Cyrl-CS"/>
        </w:rPr>
        <w:t xml:space="preserve"> </w:t>
      </w:r>
      <w:r>
        <w:rPr>
          <w:rFonts w:eastAsia="Times New Roman"/>
          <w:color w:val="auto"/>
          <w:kern w:val="0"/>
          <w:lang w:val="sr-Cyrl-CS"/>
        </w:rPr>
        <w:t>za</w:t>
      </w:r>
      <w:r w:rsidR="00784AA9" w:rsidRPr="00E95BC4">
        <w:rPr>
          <w:rFonts w:eastAsia="Times New Roman"/>
          <w:color w:val="auto"/>
          <w:kern w:val="0"/>
          <w:lang w:val="sr-Cyrl-CS"/>
        </w:rPr>
        <w:t xml:space="preserve"> </w:t>
      </w:r>
      <w:r>
        <w:rPr>
          <w:rFonts w:eastAsia="Times New Roman"/>
          <w:color w:val="auto"/>
          <w:kern w:val="0"/>
          <w:lang w:val="sr-Cyrl-CS"/>
        </w:rPr>
        <w:t>čiji</w:t>
      </w:r>
      <w:r w:rsidR="00784AA9" w:rsidRPr="00E95BC4">
        <w:rPr>
          <w:rFonts w:eastAsia="Times New Roman"/>
          <w:color w:val="auto"/>
          <w:kern w:val="0"/>
          <w:lang w:val="sr-Cyrl-CS"/>
        </w:rPr>
        <w:t xml:space="preserve"> </w:t>
      </w:r>
      <w:r>
        <w:rPr>
          <w:rFonts w:eastAsia="Times New Roman"/>
          <w:color w:val="auto"/>
          <w:kern w:val="0"/>
          <w:lang w:val="sr-Cyrl-CS"/>
        </w:rPr>
        <w:t>rad</w:t>
      </w:r>
      <w:r w:rsidR="00784AA9" w:rsidRPr="00E95BC4">
        <w:rPr>
          <w:rFonts w:eastAsia="Times New Roman"/>
          <w:color w:val="auto"/>
          <w:kern w:val="0"/>
          <w:lang w:val="sr-Cyrl-CS"/>
        </w:rPr>
        <w:t xml:space="preserve"> </w:t>
      </w:r>
      <w:r>
        <w:rPr>
          <w:rFonts w:eastAsia="Times New Roman"/>
          <w:color w:val="auto"/>
          <w:kern w:val="0"/>
          <w:lang w:val="sr-Cyrl-CS"/>
        </w:rPr>
        <w:t>odgovara</w:t>
      </w:r>
      <w:r w:rsidR="00784AA9" w:rsidRPr="00E95BC4">
        <w:rPr>
          <w:rFonts w:eastAsia="Times New Roman"/>
          <w:color w:val="auto"/>
          <w:kern w:val="0"/>
          <w:lang w:val="sr-Cyrl-CS"/>
        </w:rPr>
        <w:t xml:space="preserve"> </w:t>
      </w:r>
      <w:r>
        <w:rPr>
          <w:rFonts w:eastAsia="Times New Roman"/>
          <w:color w:val="auto"/>
          <w:kern w:val="0"/>
          <w:lang w:val="sr-Cyrl-CS"/>
        </w:rPr>
        <w:t>društvo</w:t>
      </w:r>
      <w:r w:rsidR="00784AA9" w:rsidRPr="00E95BC4">
        <w:rPr>
          <w:rFonts w:eastAsia="Times New Roman"/>
          <w:color w:val="auto"/>
          <w:kern w:val="0"/>
          <w:lang w:val="sr-Cyrl-CS"/>
        </w:rPr>
        <w:t xml:space="preserve"> </w:t>
      </w:r>
      <w:r>
        <w:rPr>
          <w:rFonts w:eastAsia="Times New Roman"/>
          <w:color w:val="auto"/>
          <w:kern w:val="0"/>
          <w:lang w:val="sr-Cyrl-CS"/>
        </w:rPr>
        <w:t>za</w:t>
      </w:r>
      <w:r w:rsidR="00784AA9" w:rsidRPr="00E95BC4">
        <w:rPr>
          <w:rFonts w:eastAsia="Times New Roman"/>
          <w:color w:val="auto"/>
          <w:kern w:val="0"/>
          <w:lang w:val="sr-Cyrl-CS"/>
        </w:rPr>
        <w:t xml:space="preserve"> </w:t>
      </w:r>
      <w:r>
        <w:rPr>
          <w:rFonts w:eastAsia="Times New Roman"/>
          <w:color w:val="auto"/>
          <w:kern w:val="0"/>
          <w:lang w:val="sr-Cyrl-CS"/>
        </w:rPr>
        <w:t>osiguranje</w:t>
      </w:r>
      <w:r w:rsidR="00784AA9" w:rsidRPr="00E95BC4">
        <w:rPr>
          <w:rFonts w:eastAsia="Times New Roman"/>
          <w:color w:val="auto"/>
          <w:kern w:val="0"/>
          <w:lang w:val="sr-Cyrl-CS"/>
        </w:rPr>
        <w:t xml:space="preserve"> </w:t>
      </w:r>
      <w:r>
        <w:rPr>
          <w:rFonts w:eastAsia="Times New Roman"/>
          <w:color w:val="auto"/>
          <w:kern w:val="0"/>
          <w:lang w:val="sr-Cyrl-CS"/>
        </w:rPr>
        <w:t>u</w:t>
      </w:r>
      <w:r w:rsidR="00784AA9" w:rsidRPr="00E95BC4">
        <w:rPr>
          <w:rFonts w:eastAsia="Times New Roman"/>
          <w:color w:val="auto"/>
          <w:kern w:val="0"/>
          <w:lang w:val="sr-Cyrl-CS"/>
        </w:rPr>
        <w:t xml:space="preserve"> </w:t>
      </w:r>
      <w:r>
        <w:rPr>
          <w:rFonts w:eastAsia="Times New Roman"/>
          <w:color w:val="auto"/>
          <w:kern w:val="0"/>
          <w:lang w:val="sr-Cyrl-CS"/>
        </w:rPr>
        <w:t>skladu</w:t>
      </w:r>
      <w:r w:rsidR="00784AA9" w:rsidRPr="00E95BC4">
        <w:rPr>
          <w:rFonts w:eastAsia="Times New Roman"/>
          <w:color w:val="auto"/>
          <w:kern w:val="0"/>
          <w:lang w:val="sr-Cyrl-CS"/>
        </w:rPr>
        <w:t xml:space="preserve"> </w:t>
      </w:r>
      <w:r>
        <w:rPr>
          <w:rFonts w:eastAsia="Times New Roman"/>
          <w:color w:val="auto"/>
          <w:kern w:val="0"/>
          <w:lang w:val="sr-Cyrl-CS"/>
        </w:rPr>
        <w:t>sa</w:t>
      </w:r>
      <w:r w:rsidR="00784AA9" w:rsidRPr="00E95BC4">
        <w:rPr>
          <w:rFonts w:eastAsia="Times New Roman"/>
          <w:color w:val="auto"/>
          <w:kern w:val="0"/>
          <w:lang w:val="sr-Cyrl-CS"/>
        </w:rPr>
        <w:t xml:space="preserve"> </w:t>
      </w:r>
      <w:r>
        <w:rPr>
          <w:rFonts w:eastAsia="Times New Roman"/>
          <w:color w:val="auto"/>
          <w:kern w:val="0"/>
          <w:lang w:val="sr-Cyrl-CS"/>
        </w:rPr>
        <w:t>zakonom</w:t>
      </w:r>
      <w:r w:rsidR="00784AA9" w:rsidRPr="00E95BC4">
        <w:rPr>
          <w:rFonts w:eastAsia="Times New Roman"/>
          <w:color w:val="auto"/>
          <w:kern w:val="0"/>
          <w:lang w:val="sr-Cyrl-CS"/>
        </w:rPr>
        <w:t>;</w:t>
      </w:r>
    </w:p>
    <w:p w:rsidR="00784AA9" w:rsidRPr="00E95BC4" w:rsidRDefault="005818C0" w:rsidP="00784AA9">
      <w:pPr>
        <w:numPr>
          <w:ilvl w:val="0"/>
          <w:numId w:val="8"/>
        </w:numPr>
        <w:tabs>
          <w:tab w:val="clear" w:pos="720"/>
        </w:tabs>
        <w:ind w:left="459"/>
        <w:jc w:val="both"/>
        <w:rPr>
          <w:rFonts w:eastAsia="Times New Roman"/>
          <w:color w:val="auto"/>
          <w:kern w:val="0"/>
          <w:lang w:val="sr-Cyrl-CS"/>
        </w:rPr>
      </w:pPr>
      <w:r>
        <w:rPr>
          <w:rFonts w:eastAsia="Times New Roman"/>
          <w:color w:val="auto"/>
          <w:kern w:val="0"/>
          <w:lang w:val="sr-Cyrl-CS"/>
        </w:rPr>
        <w:t>brokersko</w:t>
      </w:r>
      <w:r w:rsidR="00784AA9" w:rsidRPr="00E95BC4">
        <w:rPr>
          <w:rFonts w:eastAsia="Times New Roman"/>
          <w:color w:val="auto"/>
          <w:kern w:val="0"/>
          <w:lang w:val="sr-Cyrl-CS"/>
        </w:rPr>
        <w:t>-</w:t>
      </w:r>
      <w:r>
        <w:rPr>
          <w:rFonts w:eastAsia="Times New Roman"/>
          <w:color w:val="auto"/>
          <w:kern w:val="0"/>
          <w:lang w:val="sr-Cyrl-CS"/>
        </w:rPr>
        <w:t>dilerska</w:t>
      </w:r>
      <w:r w:rsidR="00784AA9" w:rsidRPr="00E95BC4">
        <w:rPr>
          <w:rFonts w:eastAsia="Times New Roman"/>
          <w:color w:val="auto"/>
          <w:kern w:val="0"/>
          <w:lang w:val="sr-Cyrl-CS"/>
        </w:rPr>
        <w:t xml:space="preserve"> </w:t>
      </w:r>
      <w:r>
        <w:rPr>
          <w:rFonts w:eastAsia="Times New Roman"/>
          <w:color w:val="auto"/>
          <w:kern w:val="0"/>
          <w:lang w:val="sr-Cyrl-CS"/>
        </w:rPr>
        <w:t>društva</w:t>
      </w:r>
      <w:r w:rsidR="00784AA9" w:rsidRPr="00E95BC4">
        <w:rPr>
          <w:rFonts w:eastAsia="Times New Roman"/>
          <w:color w:val="auto"/>
          <w:kern w:val="0"/>
          <w:lang w:val="sr-Cyrl-CS"/>
        </w:rPr>
        <w:t>;</w:t>
      </w:r>
    </w:p>
    <w:p w:rsidR="00784AA9" w:rsidRPr="00E95BC4" w:rsidRDefault="005818C0" w:rsidP="00784AA9">
      <w:pPr>
        <w:numPr>
          <w:ilvl w:val="0"/>
          <w:numId w:val="8"/>
        </w:numPr>
        <w:tabs>
          <w:tab w:val="clear" w:pos="720"/>
        </w:tabs>
        <w:ind w:left="459"/>
        <w:jc w:val="both"/>
        <w:rPr>
          <w:rFonts w:eastAsia="Times New Roman"/>
          <w:color w:val="auto"/>
          <w:kern w:val="0"/>
          <w:lang w:val="sr-Cyrl-CS"/>
        </w:rPr>
      </w:pPr>
      <w:r>
        <w:rPr>
          <w:rFonts w:eastAsia="Times New Roman"/>
          <w:color w:val="auto"/>
          <w:kern w:val="0"/>
          <w:lang w:val="sr-Cyrl-CS"/>
        </w:rPr>
        <w:t>priređivači</w:t>
      </w:r>
      <w:r w:rsidR="00784AA9" w:rsidRPr="00E95BC4">
        <w:rPr>
          <w:rFonts w:eastAsia="Times New Roman"/>
          <w:color w:val="auto"/>
          <w:kern w:val="0"/>
          <w:lang w:val="sr-Cyrl-CS"/>
        </w:rPr>
        <w:t xml:space="preserve"> </w:t>
      </w:r>
      <w:r>
        <w:rPr>
          <w:rFonts w:eastAsia="Times New Roman"/>
          <w:color w:val="auto"/>
          <w:kern w:val="0"/>
          <w:lang w:val="sr-Cyrl-CS"/>
        </w:rPr>
        <w:t>posebnih</w:t>
      </w:r>
      <w:r w:rsidR="00784AA9" w:rsidRPr="00E95BC4">
        <w:rPr>
          <w:rFonts w:eastAsia="Times New Roman"/>
          <w:color w:val="auto"/>
          <w:kern w:val="0"/>
          <w:lang w:val="sr-Cyrl-CS"/>
        </w:rPr>
        <w:t xml:space="preserve"> </w:t>
      </w:r>
      <w:r>
        <w:rPr>
          <w:rFonts w:eastAsia="Times New Roman"/>
          <w:color w:val="auto"/>
          <w:kern w:val="0"/>
          <w:lang w:val="sr-Cyrl-CS"/>
        </w:rPr>
        <w:t>igara</w:t>
      </w:r>
      <w:r w:rsidR="00784AA9" w:rsidRPr="00E95BC4">
        <w:rPr>
          <w:rFonts w:eastAsia="Times New Roman"/>
          <w:color w:val="auto"/>
          <w:kern w:val="0"/>
          <w:lang w:val="sr-Cyrl-CS"/>
        </w:rPr>
        <w:t xml:space="preserve"> </w:t>
      </w:r>
      <w:r>
        <w:rPr>
          <w:rFonts w:eastAsia="Times New Roman"/>
          <w:color w:val="auto"/>
          <w:kern w:val="0"/>
          <w:lang w:val="sr-Cyrl-CS"/>
        </w:rPr>
        <w:t>na</w:t>
      </w:r>
      <w:r w:rsidR="00784AA9" w:rsidRPr="00E95BC4">
        <w:rPr>
          <w:rFonts w:eastAsia="Times New Roman"/>
          <w:color w:val="auto"/>
          <w:kern w:val="0"/>
          <w:lang w:val="sr-Cyrl-CS"/>
        </w:rPr>
        <w:t xml:space="preserve"> </w:t>
      </w:r>
      <w:r>
        <w:rPr>
          <w:rFonts w:eastAsia="Times New Roman"/>
          <w:color w:val="auto"/>
          <w:kern w:val="0"/>
          <w:lang w:val="sr-Cyrl-CS"/>
        </w:rPr>
        <w:t>sreću</w:t>
      </w:r>
      <w:r w:rsidR="00784AA9" w:rsidRPr="00E95BC4">
        <w:rPr>
          <w:rFonts w:eastAsia="Times New Roman"/>
          <w:color w:val="auto"/>
          <w:kern w:val="0"/>
          <w:lang w:val="sr-Cyrl-CS"/>
        </w:rPr>
        <w:t xml:space="preserve"> </w:t>
      </w:r>
      <w:r>
        <w:rPr>
          <w:rFonts w:eastAsia="Times New Roman"/>
          <w:color w:val="auto"/>
          <w:kern w:val="0"/>
          <w:lang w:val="sr-Cyrl-CS"/>
        </w:rPr>
        <w:t>u</w:t>
      </w:r>
      <w:r w:rsidR="00784AA9" w:rsidRPr="00E95BC4">
        <w:rPr>
          <w:rFonts w:eastAsia="Times New Roman"/>
          <w:color w:val="auto"/>
          <w:kern w:val="0"/>
          <w:lang w:val="sr-Cyrl-CS"/>
        </w:rPr>
        <w:t xml:space="preserve"> </w:t>
      </w:r>
      <w:r>
        <w:rPr>
          <w:rFonts w:eastAsia="Times New Roman"/>
          <w:color w:val="auto"/>
          <w:kern w:val="0"/>
          <w:lang w:val="sr-Cyrl-CS"/>
        </w:rPr>
        <w:t>igračnicama</w:t>
      </w:r>
      <w:r w:rsidR="00784AA9" w:rsidRPr="00E95BC4">
        <w:rPr>
          <w:rFonts w:eastAsia="Times New Roman"/>
          <w:color w:val="auto"/>
          <w:kern w:val="0"/>
          <w:lang w:val="sr-Cyrl-CS"/>
        </w:rPr>
        <w:t xml:space="preserve"> </w:t>
      </w:r>
      <w:r>
        <w:rPr>
          <w:rFonts w:eastAsia="Times New Roman"/>
          <w:color w:val="auto"/>
          <w:kern w:val="0"/>
          <w:lang w:val="sr-Cyrl-CS"/>
        </w:rPr>
        <w:t>i</w:t>
      </w:r>
      <w:r w:rsidR="00784AA9" w:rsidRPr="00E95BC4">
        <w:rPr>
          <w:rFonts w:eastAsia="Times New Roman"/>
          <w:color w:val="auto"/>
          <w:kern w:val="0"/>
          <w:lang w:val="sr-Cyrl-CS"/>
        </w:rPr>
        <w:t xml:space="preserve"> </w:t>
      </w:r>
      <w:r>
        <w:rPr>
          <w:rFonts w:eastAsia="Times New Roman"/>
          <w:color w:val="auto"/>
          <w:kern w:val="0"/>
          <w:lang w:val="sr-Cyrl-CS"/>
        </w:rPr>
        <w:t>priređivači</w:t>
      </w:r>
      <w:r w:rsidR="00784AA9" w:rsidRPr="00E95BC4">
        <w:rPr>
          <w:rFonts w:eastAsia="Times New Roman"/>
          <w:color w:val="auto"/>
          <w:kern w:val="0"/>
          <w:lang w:val="sr-Cyrl-CS"/>
        </w:rPr>
        <w:t xml:space="preserve"> </w:t>
      </w:r>
      <w:r>
        <w:rPr>
          <w:rFonts w:eastAsia="Times New Roman"/>
          <w:color w:val="auto"/>
          <w:kern w:val="0"/>
          <w:lang w:val="sr-Cyrl-CS"/>
        </w:rPr>
        <w:t>igara</w:t>
      </w:r>
      <w:r w:rsidR="00784AA9" w:rsidRPr="00E95BC4">
        <w:rPr>
          <w:rFonts w:eastAsia="Times New Roman"/>
          <w:color w:val="auto"/>
          <w:kern w:val="0"/>
          <w:lang w:val="sr-Cyrl-CS"/>
        </w:rPr>
        <w:t xml:space="preserve"> </w:t>
      </w:r>
      <w:r>
        <w:rPr>
          <w:rFonts w:eastAsia="Times New Roman"/>
          <w:color w:val="auto"/>
          <w:kern w:val="0"/>
          <w:lang w:val="sr-Cyrl-CS"/>
        </w:rPr>
        <w:t>na</w:t>
      </w:r>
      <w:r w:rsidR="00784AA9" w:rsidRPr="00E95BC4">
        <w:rPr>
          <w:rFonts w:eastAsia="Times New Roman"/>
          <w:color w:val="auto"/>
          <w:kern w:val="0"/>
          <w:lang w:val="sr-Cyrl-CS"/>
        </w:rPr>
        <w:t xml:space="preserve"> </w:t>
      </w:r>
      <w:r>
        <w:rPr>
          <w:rFonts w:eastAsia="Times New Roman"/>
          <w:color w:val="auto"/>
          <w:kern w:val="0"/>
          <w:lang w:val="sr-Cyrl-CS"/>
        </w:rPr>
        <w:t>sreću</w:t>
      </w:r>
      <w:r w:rsidR="00784AA9" w:rsidRPr="00E95BC4">
        <w:rPr>
          <w:rFonts w:eastAsia="Times New Roman"/>
          <w:color w:val="auto"/>
          <w:kern w:val="0"/>
          <w:lang w:val="sr-Cyrl-CS"/>
        </w:rPr>
        <w:t xml:space="preserve"> </w:t>
      </w:r>
      <w:r>
        <w:rPr>
          <w:rFonts w:eastAsia="Times New Roman"/>
          <w:color w:val="auto"/>
          <w:kern w:val="0"/>
          <w:lang w:val="sr-Cyrl-CS"/>
        </w:rPr>
        <w:t>preko</w:t>
      </w:r>
      <w:r w:rsidR="00784AA9" w:rsidRPr="00E95BC4">
        <w:rPr>
          <w:rFonts w:eastAsia="Times New Roman"/>
          <w:color w:val="auto"/>
          <w:kern w:val="0"/>
          <w:lang w:val="sr-Cyrl-CS"/>
        </w:rPr>
        <w:t xml:space="preserve"> </w:t>
      </w:r>
      <w:r>
        <w:rPr>
          <w:rFonts w:eastAsia="Times New Roman"/>
          <w:color w:val="auto"/>
          <w:kern w:val="0"/>
          <w:lang w:val="sr-Cyrl-CS"/>
        </w:rPr>
        <w:t>sredstava</w:t>
      </w:r>
      <w:r w:rsidR="00784AA9" w:rsidRPr="00E95BC4">
        <w:rPr>
          <w:rFonts w:eastAsia="Times New Roman"/>
          <w:color w:val="auto"/>
          <w:kern w:val="0"/>
          <w:lang w:val="sr-Cyrl-CS"/>
        </w:rPr>
        <w:t xml:space="preserve"> </w:t>
      </w:r>
      <w:r>
        <w:rPr>
          <w:rFonts w:eastAsia="Times New Roman"/>
          <w:color w:val="auto"/>
          <w:kern w:val="0"/>
          <w:lang w:val="sr-Cyrl-CS"/>
        </w:rPr>
        <w:t>elektronske</w:t>
      </w:r>
      <w:r w:rsidR="00784AA9" w:rsidRPr="00E95BC4">
        <w:rPr>
          <w:rFonts w:eastAsia="Times New Roman"/>
          <w:color w:val="auto"/>
          <w:kern w:val="0"/>
          <w:lang w:val="sr-Cyrl-CS"/>
        </w:rPr>
        <w:t xml:space="preserve"> </w:t>
      </w:r>
      <w:r>
        <w:rPr>
          <w:rFonts w:eastAsia="Times New Roman"/>
          <w:color w:val="auto"/>
          <w:kern w:val="0"/>
          <w:lang w:val="sr-Cyrl-CS"/>
        </w:rPr>
        <w:t>komunikacije</w:t>
      </w:r>
      <w:r w:rsidR="00784AA9" w:rsidRPr="00E95BC4">
        <w:rPr>
          <w:rFonts w:eastAsia="Times New Roman"/>
          <w:color w:val="auto"/>
          <w:kern w:val="0"/>
          <w:lang w:val="sr-Cyrl-CS"/>
        </w:rPr>
        <w:t>;</w:t>
      </w:r>
    </w:p>
    <w:p w:rsidR="00784AA9" w:rsidRPr="00E95BC4" w:rsidRDefault="005818C0" w:rsidP="00784AA9">
      <w:pPr>
        <w:numPr>
          <w:ilvl w:val="0"/>
          <w:numId w:val="8"/>
        </w:numPr>
        <w:tabs>
          <w:tab w:val="clear" w:pos="720"/>
        </w:tabs>
        <w:ind w:left="459"/>
        <w:jc w:val="both"/>
        <w:rPr>
          <w:rFonts w:eastAsia="Times New Roman"/>
          <w:color w:val="auto"/>
          <w:kern w:val="0"/>
          <w:lang w:val="sr-Cyrl-CS"/>
        </w:rPr>
      </w:pPr>
      <w:r>
        <w:rPr>
          <w:rFonts w:eastAsia="Times New Roman"/>
          <w:color w:val="auto"/>
          <w:kern w:val="0"/>
          <w:lang w:val="sr-Cyrl-CS"/>
        </w:rPr>
        <w:t>društvo</w:t>
      </w:r>
      <w:r w:rsidR="00784AA9" w:rsidRPr="00E95BC4">
        <w:rPr>
          <w:rFonts w:eastAsia="Times New Roman"/>
          <w:color w:val="auto"/>
          <w:kern w:val="0"/>
          <w:lang w:val="sr-Cyrl-CS"/>
        </w:rPr>
        <w:t xml:space="preserve"> </w:t>
      </w:r>
      <w:r>
        <w:rPr>
          <w:rFonts w:eastAsia="Times New Roman"/>
          <w:color w:val="auto"/>
          <w:kern w:val="0"/>
          <w:lang w:val="sr-Cyrl-CS"/>
        </w:rPr>
        <w:t>za</w:t>
      </w:r>
      <w:r w:rsidR="00784AA9" w:rsidRPr="00E95BC4">
        <w:rPr>
          <w:rFonts w:eastAsia="Times New Roman"/>
          <w:color w:val="auto"/>
          <w:kern w:val="0"/>
          <w:lang w:val="sr-Cyrl-CS"/>
        </w:rPr>
        <w:t xml:space="preserve"> </w:t>
      </w:r>
      <w:r>
        <w:rPr>
          <w:rFonts w:eastAsia="Times New Roman"/>
          <w:color w:val="auto"/>
          <w:kern w:val="0"/>
          <w:lang w:val="sr-Cyrl-CS"/>
        </w:rPr>
        <w:t>reviziju</w:t>
      </w:r>
      <w:r w:rsidR="00784AA9" w:rsidRPr="00E95BC4">
        <w:rPr>
          <w:rFonts w:eastAsia="Times New Roman"/>
          <w:color w:val="auto"/>
          <w:kern w:val="0"/>
          <w:lang w:val="sr-Cyrl-CS"/>
        </w:rPr>
        <w:t xml:space="preserve"> </w:t>
      </w:r>
      <w:r>
        <w:rPr>
          <w:rFonts w:eastAsia="Times New Roman"/>
          <w:color w:val="auto"/>
          <w:kern w:val="0"/>
          <w:lang w:val="sr-Cyrl-CS"/>
        </w:rPr>
        <w:t>i</w:t>
      </w:r>
      <w:r w:rsidR="00784AA9" w:rsidRPr="00E95BC4">
        <w:rPr>
          <w:rFonts w:eastAsia="Times New Roman"/>
          <w:color w:val="auto"/>
          <w:kern w:val="0"/>
          <w:lang w:val="sr-Cyrl-CS"/>
        </w:rPr>
        <w:t xml:space="preserve"> </w:t>
      </w:r>
      <w:r>
        <w:rPr>
          <w:rFonts w:eastAsia="Times New Roman"/>
          <w:color w:val="auto"/>
          <w:kern w:val="0"/>
          <w:lang w:val="sr-Cyrl-CS"/>
        </w:rPr>
        <w:t>samostalni</w:t>
      </w:r>
      <w:r w:rsidR="00784AA9" w:rsidRPr="00E95BC4">
        <w:rPr>
          <w:rFonts w:eastAsia="Times New Roman"/>
          <w:color w:val="auto"/>
          <w:kern w:val="0"/>
          <w:lang w:val="sr-Cyrl-CS"/>
        </w:rPr>
        <w:t xml:space="preserve"> </w:t>
      </w:r>
      <w:r>
        <w:rPr>
          <w:rFonts w:eastAsia="Times New Roman"/>
          <w:color w:val="auto"/>
          <w:kern w:val="0"/>
          <w:lang w:val="sr-Cyrl-CS"/>
        </w:rPr>
        <w:t>revizor</w:t>
      </w:r>
      <w:r w:rsidR="00784AA9" w:rsidRPr="00E95BC4">
        <w:rPr>
          <w:rFonts w:eastAsia="Times New Roman"/>
          <w:color w:val="auto"/>
          <w:kern w:val="0"/>
          <w:lang w:val="sr-Cyrl-CS"/>
        </w:rPr>
        <w:t>;</w:t>
      </w:r>
    </w:p>
    <w:p w:rsidR="00784AA9" w:rsidRPr="00E95BC4" w:rsidRDefault="005818C0" w:rsidP="00784AA9">
      <w:pPr>
        <w:numPr>
          <w:ilvl w:val="0"/>
          <w:numId w:val="8"/>
        </w:numPr>
        <w:tabs>
          <w:tab w:val="clear" w:pos="720"/>
        </w:tabs>
        <w:ind w:left="459"/>
        <w:jc w:val="both"/>
        <w:rPr>
          <w:rFonts w:eastAsia="Times New Roman"/>
          <w:color w:val="auto"/>
          <w:kern w:val="0"/>
          <w:lang w:val="sr-Cyrl-CS"/>
        </w:rPr>
      </w:pPr>
      <w:r>
        <w:rPr>
          <w:rFonts w:eastAsia="Times New Roman"/>
          <w:color w:val="auto"/>
          <w:kern w:val="0"/>
          <w:lang w:val="sr-Cyrl-CS"/>
        </w:rPr>
        <w:lastRenderedPageBreak/>
        <w:t>institucije</w:t>
      </w:r>
      <w:r w:rsidR="00784AA9" w:rsidRPr="00E95BC4">
        <w:rPr>
          <w:rFonts w:eastAsia="Times New Roman"/>
          <w:color w:val="auto"/>
          <w:kern w:val="0"/>
          <w:lang w:val="sr-Cyrl-CS"/>
        </w:rPr>
        <w:t xml:space="preserve"> </w:t>
      </w:r>
      <w:r>
        <w:rPr>
          <w:rFonts w:eastAsia="Times New Roman"/>
          <w:color w:val="auto"/>
          <w:kern w:val="0"/>
          <w:lang w:val="sr-Cyrl-CS"/>
        </w:rPr>
        <w:t>elektronskog</w:t>
      </w:r>
      <w:r w:rsidR="00784AA9" w:rsidRPr="00E95BC4">
        <w:rPr>
          <w:rFonts w:eastAsia="Times New Roman"/>
          <w:color w:val="auto"/>
          <w:kern w:val="0"/>
          <w:lang w:val="sr-Cyrl-CS"/>
        </w:rPr>
        <w:t xml:space="preserve"> </w:t>
      </w:r>
      <w:r>
        <w:rPr>
          <w:rFonts w:eastAsia="Times New Roman"/>
          <w:color w:val="auto"/>
          <w:kern w:val="0"/>
          <w:lang w:val="sr-Cyrl-CS"/>
        </w:rPr>
        <w:t>novca</w:t>
      </w:r>
      <w:r w:rsidR="00784AA9" w:rsidRPr="00E95BC4">
        <w:rPr>
          <w:rFonts w:eastAsia="Times New Roman"/>
          <w:color w:val="auto"/>
          <w:kern w:val="0"/>
          <w:lang w:val="sr-Cyrl-CS"/>
        </w:rPr>
        <w:t>;</w:t>
      </w:r>
    </w:p>
    <w:p w:rsidR="00784AA9" w:rsidRPr="00E95BC4" w:rsidRDefault="005818C0" w:rsidP="00784AA9">
      <w:pPr>
        <w:numPr>
          <w:ilvl w:val="0"/>
          <w:numId w:val="8"/>
        </w:numPr>
        <w:tabs>
          <w:tab w:val="clear" w:pos="720"/>
        </w:tabs>
        <w:ind w:left="459"/>
        <w:jc w:val="both"/>
        <w:rPr>
          <w:rFonts w:eastAsia="Times New Roman"/>
          <w:color w:val="auto"/>
          <w:kern w:val="0"/>
          <w:lang w:val="sr-Cyrl-CS"/>
        </w:rPr>
      </w:pPr>
      <w:r>
        <w:rPr>
          <w:rFonts w:eastAsia="Times New Roman"/>
          <w:color w:val="auto"/>
          <w:kern w:val="0"/>
          <w:lang w:val="sr-Cyrl-CS"/>
        </w:rPr>
        <w:t>platne</w:t>
      </w:r>
      <w:r w:rsidR="00784AA9" w:rsidRPr="00E95BC4">
        <w:rPr>
          <w:rFonts w:eastAsia="Times New Roman"/>
          <w:color w:val="auto"/>
          <w:kern w:val="0"/>
          <w:lang w:val="sr-Cyrl-CS"/>
        </w:rPr>
        <w:t xml:space="preserve"> </w:t>
      </w:r>
      <w:r>
        <w:rPr>
          <w:rFonts w:eastAsia="Times New Roman"/>
          <w:color w:val="auto"/>
          <w:kern w:val="0"/>
          <w:lang w:val="sr-Cyrl-CS"/>
        </w:rPr>
        <w:t>institucije</w:t>
      </w:r>
      <w:r w:rsidR="00784AA9" w:rsidRPr="00E95BC4">
        <w:rPr>
          <w:rFonts w:eastAsia="Times New Roman"/>
          <w:color w:val="auto"/>
          <w:kern w:val="0"/>
          <w:lang w:val="sr-Cyrl-CS"/>
        </w:rPr>
        <w:t>;</w:t>
      </w:r>
    </w:p>
    <w:p w:rsidR="00784AA9" w:rsidRPr="00E95BC4" w:rsidRDefault="005818C0" w:rsidP="00784AA9">
      <w:pPr>
        <w:numPr>
          <w:ilvl w:val="0"/>
          <w:numId w:val="8"/>
        </w:numPr>
        <w:tabs>
          <w:tab w:val="clear" w:pos="720"/>
        </w:tabs>
        <w:ind w:left="459"/>
        <w:jc w:val="both"/>
        <w:rPr>
          <w:rFonts w:eastAsia="Times New Roman"/>
          <w:color w:val="auto"/>
          <w:kern w:val="0"/>
          <w:lang w:val="sr-Cyrl-CS"/>
        </w:rPr>
      </w:pPr>
      <w:r>
        <w:rPr>
          <w:rFonts w:eastAsia="Times New Roman"/>
          <w:color w:val="auto"/>
          <w:kern w:val="0"/>
          <w:lang w:val="sr-Cyrl-CS"/>
        </w:rPr>
        <w:t>posrednici</w:t>
      </w:r>
      <w:r w:rsidR="00784AA9" w:rsidRPr="00E95BC4">
        <w:rPr>
          <w:rFonts w:eastAsia="Times New Roman"/>
          <w:color w:val="auto"/>
          <w:kern w:val="0"/>
          <w:lang w:val="sr-Cyrl-CS"/>
        </w:rPr>
        <w:t xml:space="preserve"> </w:t>
      </w:r>
      <w:r>
        <w:rPr>
          <w:rFonts w:eastAsia="Times New Roman"/>
          <w:color w:val="auto"/>
          <w:kern w:val="0"/>
          <w:lang w:val="sr-Cyrl-CS"/>
        </w:rPr>
        <w:t>u</w:t>
      </w:r>
      <w:r w:rsidR="00784AA9" w:rsidRPr="00E95BC4">
        <w:rPr>
          <w:rFonts w:eastAsia="Times New Roman"/>
          <w:color w:val="auto"/>
          <w:kern w:val="0"/>
          <w:lang w:val="sr-Cyrl-CS"/>
        </w:rPr>
        <w:t xml:space="preserve"> </w:t>
      </w:r>
      <w:r>
        <w:rPr>
          <w:rFonts w:eastAsia="Times New Roman"/>
          <w:color w:val="auto"/>
          <w:kern w:val="0"/>
          <w:lang w:val="sr-Cyrl-CS"/>
        </w:rPr>
        <w:t>prometu</w:t>
      </w:r>
      <w:r w:rsidR="00784AA9" w:rsidRPr="00E95BC4">
        <w:rPr>
          <w:rFonts w:eastAsia="Times New Roman"/>
          <w:color w:val="auto"/>
          <w:kern w:val="0"/>
          <w:lang w:val="sr-Cyrl-CS"/>
        </w:rPr>
        <w:t xml:space="preserve"> </w:t>
      </w:r>
      <w:r>
        <w:rPr>
          <w:rFonts w:eastAsia="Times New Roman"/>
          <w:color w:val="auto"/>
          <w:kern w:val="0"/>
          <w:lang w:val="sr-Cyrl-CS"/>
        </w:rPr>
        <w:t>i</w:t>
      </w:r>
      <w:r w:rsidR="00784AA9" w:rsidRPr="00E95BC4">
        <w:rPr>
          <w:rFonts w:eastAsia="Times New Roman"/>
          <w:color w:val="auto"/>
          <w:kern w:val="0"/>
          <w:lang w:val="sr-Cyrl-CS"/>
        </w:rPr>
        <w:t xml:space="preserve"> </w:t>
      </w:r>
      <w:r>
        <w:rPr>
          <w:rFonts w:eastAsia="Times New Roman"/>
          <w:color w:val="auto"/>
          <w:kern w:val="0"/>
          <w:lang w:val="sr-Cyrl-CS"/>
        </w:rPr>
        <w:t>zakupu</w:t>
      </w:r>
      <w:r w:rsidR="00784AA9" w:rsidRPr="00E95BC4">
        <w:rPr>
          <w:rFonts w:eastAsia="Times New Roman"/>
          <w:color w:val="auto"/>
          <w:kern w:val="0"/>
          <w:lang w:val="sr-Cyrl-CS"/>
        </w:rPr>
        <w:t xml:space="preserve"> </w:t>
      </w:r>
      <w:r>
        <w:rPr>
          <w:rFonts w:eastAsia="Times New Roman"/>
          <w:color w:val="auto"/>
          <w:kern w:val="0"/>
          <w:lang w:val="sr-Cyrl-CS"/>
        </w:rPr>
        <w:t>nepokretnosti</w:t>
      </w:r>
      <w:r w:rsidR="00784AA9" w:rsidRPr="00E95BC4">
        <w:rPr>
          <w:rFonts w:eastAsia="Times New Roman"/>
          <w:color w:val="auto"/>
          <w:kern w:val="0"/>
          <w:lang w:val="sr-Cyrl-CS"/>
        </w:rPr>
        <w:t>;</w:t>
      </w:r>
    </w:p>
    <w:p w:rsidR="00784AA9" w:rsidRPr="00E95BC4" w:rsidRDefault="005818C0" w:rsidP="00784AA9">
      <w:pPr>
        <w:numPr>
          <w:ilvl w:val="0"/>
          <w:numId w:val="8"/>
        </w:numPr>
        <w:tabs>
          <w:tab w:val="clear" w:pos="720"/>
        </w:tabs>
        <w:ind w:left="459"/>
        <w:jc w:val="both"/>
        <w:rPr>
          <w:rFonts w:eastAsia="Times New Roman"/>
          <w:color w:val="auto"/>
          <w:kern w:val="0"/>
          <w:lang w:val="sr-Cyrl-CS"/>
        </w:rPr>
      </w:pPr>
      <w:r>
        <w:rPr>
          <w:rFonts w:eastAsia="Times New Roman"/>
          <w:color w:val="auto"/>
          <w:kern w:val="0"/>
          <w:lang w:val="sr-Cyrl-CS"/>
        </w:rPr>
        <w:t>faktoring</w:t>
      </w:r>
      <w:r w:rsidR="00784AA9" w:rsidRPr="00E95BC4">
        <w:rPr>
          <w:rFonts w:eastAsia="Times New Roman"/>
          <w:color w:val="auto"/>
          <w:kern w:val="0"/>
          <w:lang w:val="sr-Cyrl-CS"/>
        </w:rPr>
        <w:t xml:space="preserve"> </w:t>
      </w:r>
      <w:r>
        <w:rPr>
          <w:rFonts w:eastAsia="Times New Roman"/>
          <w:color w:val="auto"/>
          <w:kern w:val="0"/>
          <w:lang w:val="sr-Cyrl-CS"/>
        </w:rPr>
        <w:t>društva</w:t>
      </w:r>
      <w:r w:rsidR="00784AA9" w:rsidRPr="00E95BC4">
        <w:rPr>
          <w:rFonts w:eastAsia="Times New Roman"/>
          <w:color w:val="auto"/>
          <w:kern w:val="0"/>
          <w:lang w:val="sr-Cyrl-CS"/>
        </w:rPr>
        <w:t>;</w:t>
      </w:r>
    </w:p>
    <w:p w:rsidR="00784AA9" w:rsidRPr="00E95BC4" w:rsidRDefault="005818C0" w:rsidP="00784AA9">
      <w:pPr>
        <w:numPr>
          <w:ilvl w:val="0"/>
          <w:numId w:val="8"/>
        </w:numPr>
        <w:tabs>
          <w:tab w:val="clear" w:pos="720"/>
        </w:tabs>
        <w:ind w:left="459"/>
        <w:jc w:val="both"/>
        <w:rPr>
          <w:rFonts w:eastAsia="Times New Roman"/>
          <w:color w:val="auto"/>
          <w:kern w:val="0"/>
          <w:lang w:val="sr-Cyrl-CS"/>
        </w:rPr>
      </w:pPr>
      <w:r>
        <w:rPr>
          <w:rFonts w:eastAsia="Times New Roman"/>
          <w:color w:val="auto"/>
          <w:kern w:val="0"/>
          <w:lang w:val="sr-Cyrl-CS"/>
        </w:rPr>
        <w:t>preduzetnici</w:t>
      </w:r>
      <w:r w:rsidR="00784AA9" w:rsidRPr="00E95BC4">
        <w:rPr>
          <w:rFonts w:eastAsia="Times New Roman"/>
          <w:color w:val="auto"/>
          <w:kern w:val="0"/>
          <w:lang w:val="sr-Cyrl-CS"/>
        </w:rPr>
        <w:t xml:space="preserve"> </w:t>
      </w:r>
      <w:r>
        <w:rPr>
          <w:rFonts w:eastAsia="Times New Roman"/>
          <w:color w:val="auto"/>
          <w:kern w:val="0"/>
          <w:lang w:val="sr-Cyrl-CS"/>
        </w:rPr>
        <w:t>i</w:t>
      </w:r>
      <w:r w:rsidR="00784AA9" w:rsidRPr="00E95BC4">
        <w:rPr>
          <w:rFonts w:eastAsia="Times New Roman"/>
          <w:color w:val="auto"/>
          <w:kern w:val="0"/>
          <w:lang w:val="sr-Cyrl-CS"/>
        </w:rPr>
        <w:t xml:space="preserve"> </w:t>
      </w:r>
      <w:r>
        <w:rPr>
          <w:rFonts w:eastAsia="Times New Roman"/>
          <w:color w:val="auto"/>
          <w:kern w:val="0"/>
          <w:lang w:val="sr-Cyrl-CS"/>
        </w:rPr>
        <w:t>pravna</w:t>
      </w:r>
      <w:r w:rsidR="00784AA9" w:rsidRPr="00E95BC4">
        <w:rPr>
          <w:rFonts w:eastAsia="Times New Roman"/>
          <w:color w:val="auto"/>
          <w:kern w:val="0"/>
          <w:lang w:val="sr-Cyrl-CS"/>
        </w:rPr>
        <w:t xml:space="preserve"> </w:t>
      </w:r>
      <w:r>
        <w:rPr>
          <w:rFonts w:eastAsia="Times New Roman"/>
          <w:color w:val="auto"/>
          <w:kern w:val="0"/>
          <w:lang w:val="sr-Cyrl-CS"/>
        </w:rPr>
        <w:t>lica</w:t>
      </w:r>
      <w:r w:rsidR="00784AA9" w:rsidRPr="00E95BC4">
        <w:rPr>
          <w:rFonts w:eastAsia="Times New Roman"/>
          <w:color w:val="auto"/>
          <w:kern w:val="0"/>
          <w:lang w:val="sr-Cyrl-CS"/>
        </w:rPr>
        <w:t xml:space="preserve"> </w:t>
      </w:r>
      <w:r>
        <w:rPr>
          <w:rFonts w:eastAsia="Times New Roman"/>
          <w:color w:val="auto"/>
          <w:kern w:val="0"/>
          <w:lang w:val="sr-Cyrl-CS"/>
        </w:rPr>
        <w:t>koja</w:t>
      </w:r>
      <w:r w:rsidR="00784AA9" w:rsidRPr="00E95BC4">
        <w:rPr>
          <w:rFonts w:eastAsia="Times New Roman"/>
          <w:color w:val="auto"/>
          <w:kern w:val="0"/>
          <w:lang w:val="sr-Cyrl-CS"/>
        </w:rPr>
        <w:t xml:space="preserve"> </w:t>
      </w:r>
      <w:r>
        <w:rPr>
          <w:rFonts w:eastAsia="Times New Roman"/>
          <w:color w:val="auto"/>
          <w:kern w:val="0"/>
          <w:lang w:val="sr-Cyrl-CS"/>
        </w:rPr>
        <w:t>se</w:t>
      </w:r>
      <w:r w:rsidR="00784AA9" w:rsidRPr="00E95BC4">
        <w:rPr>
          <w:rFonts w:eastAsia="Times New Roman"/>
          <w:color w:val="auto"/>
          <w:kern w:val="0"/>
          <w:lang w:val="sr-Cyrl-CS"/>
        </w:rPr>
        <w:t xml:space="preserve"> </w:t>
      </w:r>
      <w:r>
        <w:rPr>
          <w:rFonts w:eastAsia="Times New Roman"/>
          <w:color w:val="auto"/>
          <w:kern w:val="0"/>
          <w:lang w:val="sr-Cyrl-CS"/>
        </w:rPr>
        <w:t>bave</w:t>
      </w:r>
      <w:r w:rsidR="00784AA9" w:rsidRPr="00E95BC4">
        <w:rPr>
          <w:rFonts w:eastAsia="Times New Roman"/>
          <w:color w:val="auto"/>
          <w:kern w:val="0"/>
          <w:lang w:val="sr-Cyrl-CS"/>
        </w:rPr>
        <w:t xml:space="preserve"> </w:t>
      </w:r>
      <w:r>
        <w:rPr>
          <w:rFonts w:eastAsia="Times New Roman"/>
          <w:color w:val="auto"/>
          <w:kern w:val="0"/>
          <w:lang w:val="sr-Cyrl-CS"/>
        </w:rPr>
        <w:t>pružanjem</w:t>
      </w:r>
      <w:r w:rsidR="00784AA9" w:rsidRPr="00E95BC4">
        <w:rPr>
          <w:rFonts w:eastAsia="Times New Roman"/>
          <w:color w:val="auto"/>
          <w:kern w:val="0"/>
          <w:lang w:val="sr-Cyrl-CS"/>
        </w:rPr>
        <w:t xml:space="preserve"> </w:t>
      </w:r>
      <w:r>
        <w:rPr>
          <w:rFonts w:eastAsia="Times New Roman"/>
          <w:color w:val="auto"/>
          <w:kern w:val="0"/>
          <w:lang w:val="sr-Cyrl-CS"/>
        </w:rPr>
        <w:t>računovodstvenih</w:t>
      </w:r>
      <w:r w:rsidR="00784AA9" w:rsidRPr="00E95BC4">
        <w:rPr>
          <w:rFonts w:eastAsia="Times New Roman"/>
          <w:color w:val="auto"/>
          <w:kern w:val="0"/>
          <w:lang w:val="sr-Cyrl-CS"/>
        </w:rPr>
        <w:t xml:space="preserve"> </w:t>
      </w:r>
      <w:r>
        <w:rPr>
          <w:rFonts w:eastAsia="Times New Roman"/>
          <w:color w:val="auto"/>
          <w:kern w:val="0"/>
          <w:lang w:val="sr-Cyrl-CS"/>
        </w:rPr>
        <w:t>usluga</w:t>
      </w:r>
      <w:r w:rsidR="00784AA9" w:rsidRPr="00E95BC4">
        <w:rPr>
          <w:rFonts w:eastAsia="Times New Roman"/>
          <w:color w:val="auto"/>
          <w:kern w:val="0"/>
          <w:lang w:val="sr-Cyrl-CS"/>
        </w:rPr>
        <w:t>;</w:t>
      </w:r>
    </w:p>
    <w:p w:rsidR="00784AA9" w:rsidRPr="00E95BC4" w:rsidRDefault="005818C0" w:rsidP="00784AA9">
      <w:pPr>
        <w:numPr>
          <w:ilvl w:val="0"/>
          <w:numId w:val="8"/>
        </w:numPr>
        <w:tabs>
          <w:tab w:val="clear" w:pos="720"/>
        </w:tabs>
        <w:ind w:left="459"/>
        <w:jc w:val="both"/>
        <w:rPr>
          <w:rFonts w:eastAsia="Times New Roman"/>
          <w:color w:val="auto"/>
          <w:kern w:val="0"/>
          <w:lang w:val="sr-Cyrl-CS"/>
        </w:rPr>
      </w:pPr>
      <w:r>
        <w:rPr>
          <w:rFonts w:eastAsia="Times New Roman"/>
          <w:color w:val="auto"/>
          <w:kern w:val="0"/>
          <w:lang w:val="sr-Cyrl-CS"/>
        </w:rPr>
        <w:t>poreski</w:t>
      </w:r>
      <w:r w:rsidR="00784AA9" w:rsidRPr="00E95BC4">
        <w:rPr>
          <w:rFonts w:eastAsia="Times New Roman"/>
          <w:color w:val="auto"/>
          <w:kern w:val="0"/>
          <w:lang w:val="sr-Cyrl-CS"/>
        </w:rPr>
        <w:t xml:space="preserve"> </w:t>
      </w:r>
      <w:r>
        <w:rPr>
          <w:rFonts w:eastAsia="Times New Roman"/>
          <w:color w:val="auto"/>
          <w:kern w:val="0"/>
          <w:lang w:val="sr-Cyrl-CS"/>
        </w:rPr>
        <w:t>savetnici</w:t>
      </w:r>
      <w:r w:rsidR="00784AA9" w:rsidRPr="00E95BC4">
        <w:rPr>
          <w:rFonts w:eastAsia="Times New Roman"/>
          <w:color w:val="auto"/>
          <w:kern w:val="0"/>
          <w:lang w:val="sr-Cyrl-CS"/>
        </w:rPr>
        <w:t>;</w:t>
      </w:r>
    </w:p>
    <w:p w:rsidR="00E91A83" w:rsidRPr="00E95BC4" w:rsidRDefault="005818C0" w:rsidP="00E91A83">
      <w:pPr>
        <w:numPr>
          <w:ilvl w:val="0"/>
          <w:numId w:val="8"/>
        </w:numPr>
        <w:tabs>
          <w:tab w:val="clear" w:pos="720"/>
        </w:tabs>
        <w:ind w:left="459"/>
        <w:jc w:val="both"/>
        <w:rPr>
          <w:rFonts w:eastAsia="Times New Roman"/>
          <w:color w:val="auto"/>
          <w:kern w:val="0"/>
          <w:lang w:val="sr-Cyrl-CS"/>
        </w:rPr>
      </w:pPr>
      <w:r>
        <w:rPr>
          <w:rFonts w:eastAsia="Times New Roman"/>
          <w:color w:val="auto"/>
          <w:kern w:val="0"/>
          <w:lang w:val="sr-Cyrl-CS"/>
        </w:rPr>
        <w:t>javni</w:t>
      </w:r>
      <w:r w:rsidR="00784AA9" w:rsidRPr="00E95BC4">
        <w:rPr>
          <w:rFonts w:eastAsia="Times New Roman"/>
          <w:color w:val="auto"/>
          <w:kern w:val="0"/>
          <w:lang w:val="sr-Cyrl-CS"/>
        </w:rPr>
        <w:t xml:space="preserve"> </w:t>
      </w:r>
      <w:r>
        <w:rPr>
          <w:rFonts w:eastAsia="Times New Roman"/>
          <w:color w:val="auto"/>
          <w:kern w:val="0"/>
          <w:lang w:val="sr-Cyrl-CS"/>
        </w:rPr>
        <w:t>poštanski</w:t>
      </w:r>
      <w:r w:rsidR="00784AA9" w:rsidRPr="00E95BC4">
        <w:rPr>
          <w:rFonts w:eastAsia="Times New Roman"/>
          <w:color w:val="auto"/>
          <w:kern w:val="0"/>
          <w:lang w:val="sr-Cyrl-CS"/>
        </w:rPr>
        <w:t xml:space="preserve"> </w:t>
      </w:r>
      <w:r>
        <w:rPr>
          <w:rFonts w:eastAsia="Times New Roman"/>
          <w:color w:val="auto"/>
          <w:kern w:val="0"/>
          <w:lang w:val="sr-Cyrl-CS"/>
        </w:rPr>
        <w:t>operator</w:t>
      </w:r>
      <w:r w:rsidR="00784AA9" w:rsidRPr="00E95BC4">
        <w:rPr>
          <w:rFonts w:eastAsia="Times New Roman"/>
          <w:color w:val="auto"/>
          <w:kern w:val="0"/>
          <w:lang w:val="sr-Cyrl-CS"/>
        </w:rPr>
        <w:t xml:space="preserve"> </w:t>
      </w:r>
      <w:r>
        <w:rPr>
          <w:rFonts w:eastAsia="Times New Roman"/>
          <w:color w:val="auto"/>
          <w:kern w:val="0"/>
          <w:lang w:val="sr-Cyrl-CS"/>
        </w:rPr>
        <w:t>sa</w:t>
      </w:r>
      <w:r w:rsidR="00784AA9" w:rsidRPr="00E95BC4">
        <w:rPr>
          <w:rFonts w:eastAsia="Times New Roman"/>
          <w:color w:val="auto"/>
          <w:kern w:val="0"/>
          <w:lang w:val="sr-Cyrl-CS"/>
        </w:rPr>
        <w:t xml:space="preserve"> </w:t>
      </w:r>
      <w:r>
        <w:rPr>
          <w:rFonts w:eastAsia="Times New Roman"/>
          <w:color w:val="auto"/>
          <w:kern w:val="0"/>
          <w:lang w:val="sr-Cyrl-CS"/>
        </w:rPr>
        <w:t>sedištem</w:t>
      </w:r>
      <w:r w:rsidR="00784AA9" w:rsidRPr="00E95BC4">
        <w:rPr>
          <w:rFonts w:eastAsia="Times New Roman"/>
          <w:color w:val="auto"/>
          <w:kern w:val="0"/>
          <w:lang w:val="sr-Cyrl-CS"/>
        </w:rPr>
        <w:t xml:space="preserve"> </w:t>
      </w:r>
      <w:r>
        <w:rPr>
          <w:rFonts w:eastAsia="Times New Roman"/>
          <w:color w:val="auto"/>
          <w:kern w:val="0"/>
          <w:lang w:val="sr-Cyrl-CS"/>
        </w:rPr>
        <w:t>u</w:t>
      </w:r>
      <w:r w:rsidR="00784AA9" w:rsidRPr="00E95BC4">
        <w:rPr>
          <w:rFonts w:eastAsia="Times New Roman"/>
          <w:color w:val="auto"/>
          <w:kern w:val="0"/>
          <w:lang w:val="sr-Cyrl-CS"/>
        </w:rPr>
        <w:t xml:space="preserve"> </w:t>
      </w:r>
      <w:r>
        <w:rPr>
          <w:rFonts w:eastAsia="Times New Roman"/>
          <w:color w:val="auto"/>
          <w:kern w:val="0"/>
          <w:lang w:val="sr-Cyrl-CS"/>
        </w:rPr>
        <w:t>Republici</w:t>
      </w:r>
      <w:r w:rsidR="00784AA9" w:rsidRPr="00E95BC4">
        <w:rPr>
          <w:rFonts w:eastAsia="Times New Roman"/>
          <w:color w:val="auto"/>
          <w:kern w:val="0"/>
          <w:lang w:val="sr-Cyrl-CS"/>
        </w:rPr>
        <w:t xml:space="preserve"> </w:t>
      </w:r>
      <w:r>
        <w:rPr>
          <w:rFonts w:eastAsia="Times New Roman"/>
          <w:color w:val="auto"/>
          <w:kern w:val="0"/>
          <w:lang w:val="sr-Cyrl-CS"/>
        </w:rPr>
        <w:t>Srbiji</w:t>
      </w:r>
      <w:r w:rsidR="00784AA9" w:rsidRPr="00E95BC4">
        <w:rPr>
          <w:rFonts w:eastAsia="Times New Roman"/>
          <w:color w:val="auto"/>
          <w:kern w:val="0"/>
          <w:lang w:val="sr-Cyrl-CS"/>
        </w:rPr>
        <w:t xml:space="preserve">, </w:t>
      </w:r>
      <w:r>
        <w:rPr>
          <w:rFonts w:eastAsia="Times New Roman"/>
          <w:color w:val="auto"/>
          <w:kern w:val="0"/>
          <w:lang w:val="sr-Cyrl-CS"/>
        </w:rPr>
        <w:t>osnovan</w:t>
      </w:r>
      <w:r w:rsidR="00784AA9" w:rsidRPr="00E95BC4">
        <w:rPr>
          <w:rFonts w:eastAsia="Times New Roman"/>
          <w:color w:val="auto"/>
          <w:kern w:val="0"/>
          <w:lang w:val="sr-Cyrl-CS"/>
        </w:rPr>
        <w:t xml:space="preserve"> </w:t>
      </w:r>
      <w:r>
        <w:rPr>
          <w:rFonts w:eastAsia="Times New Roman"/>
          <w:color w:val="auto"/>
          <w:kern w:val="0"/>
          <w:lang w:val="sr-Cyrl-CS"/>
        </w:rPr>
        <w:t>u</w:t>
      </w:r>
      <w:r w:rsidR="00784AA9" w:rsidRPr="00E95BC4">
        <w:rPr>
          <w:rFonts w:eastAsia="Times New Roman"/>
          <w:color w:val="auto"/>
          <w:kern w:val="0"/>
          <w:lang w:val="sr-Cyrl-CS"/>
        </w:rPr>
        <w:t xml:space="preserve"> </w:t>
      </w:r>
      <w:r>
        <w:rPr>
          <w:rFonts w:eastAsia="Times New Roman"/>
          <w:color w:val="auto"/>
          <w:kern w:val="0"/>
          <w:lang w:val="sr-Cyrl-CS"/>
        </w:rPr>
        <w:t>skladu</w:t>
      </w:r>
      <w:r w:rsidR="00784AA9" w:rsidRPr="00E95BC4">
        <w:rPr>
          <w:rFonts w:eastAsia="Times New Roman"/>
          <w:color w:val="auto"/>
          <w:kern w:val="0"/>
          <w:lang w:val="sr-Cyrl-CS"/>
        </w:rPr>
        <w:t xml:space="preserve"> </w:t>
      </w:r>
      <w:r>
        <w:rPr>
          <w:rFonts w:eastAsia="Times New Roman"/>
          <w:color w:val="auto"/>
          <w:kern w:val="0"/>
          <w:lang w:val="sr-Cyrl-CS"/>
        </w:rPr>
        <w:t>sa</w:t>
      </w:r>
      <w:r w:rsidR="00784AA9" w:rsidRPr="00E95BC4">
        <w:rPr>
          <w:rFonts w:eastAsia="Times New Roman"/>
          <w:color w:val="auto"/>
          <w:kern w:val="0"/>
          <w:lang w:val="sr-Cyrl-CS"/>
        </w:rPr>
        <w:t xml:space="preserve"> </w:t>
      </w:r>
      <w:r>
        <w:rPr>
          <w:rFonts w:eastAsia="Times New Roman"/>
          <w:color w:val="auto"/>
          <w:kern w:val="0"/>
          <w:lang w:val="sr-Cyrl-CS"/>
        </w:rPr>
        <w:t>zakonom</w:t>
      </w:r>
      <w:r w:rsidR="00784AA9" w:rsidRPr="00E95BC4">
        <w:rPr>
          <w:rFonts w:eastAsia="Times New Roman"/>
          <w:color w:val="auto"/>
          <w:kern w:val="0"/>
          <w:lang w:val="sr-Cyrl-CS"/>
        </w:rPr>
        <w:t xml:space="preserve"> </w:t>
      </w:r>
      <w:r>
        <w:rPr>
          <w:rFonts w:eastAsia="Times New Roman"/>
          <w:color w:val="auto"/>
          <w:kern w:val="0"/>
          <w:lang w:val="sr-Cyrl-CS"/>
        </w:rPr>
        <w:t>kojim</w:t>
      </w:r>
      <w:r w:rsidR="00784AA9" w:rsidRPr="00E95BC4">
        <w:rPr>
          <w:rFonts w:eastAsia="Times New Roman"/>
          <w:color w:val="auto"/>
          <w:kern w:val="0"/>
          <w:lang w:val="sr-Cyrl-CS"/>
        </w:rPr>
        <w:t xml:space="preserve"> </w:t>
      </w:r>
      <w:r>
        <w:rPr>
          <w:rFonts w:eastAsia="Times New Roman"/>
          <w:color w:val="auto"/>
          <w:kern w:val="0"/>
          <w:lang w:val="sr-Cyrl-CS"/>
        </w:rPr>
        <w:t>se</w:t>
      </w:r>
      <w:r w:rsidR="00784AA9" w:rsidRPr="00E95BC4">
        <w:rPr>
          <w:rFonts w:eastAsia="Times New Roman"/>
          <w:color w:val="auto"/>
          <w:kern w:val="0"/>
          <w:lang w:val="sr-Cyrl-CS"/>
        </w:rPr>
        <w:t xml:space="preserve"> </w:t>
      </w:r>
      <w:r>
        <w:rPr>
          <w:rFonts w:eastAsia="Times New Roman"/>
          <w:color w:val="auto"/>
          <w:kern w:val="0"/>
          <w:lang w:val="sr-Cyrl-CS"/>
        </w:rPr>
        <w:t>uređuju</w:t>
      </w:r>
      <w:r w:rsidR="00784AA9" w:rsidRPr="00E95BC4">
        <w:rPr>
          <w:rFonts w:eastAsia="Times New Roman"/>
          <w:color w:val="auto"/>
          <w:kern w:val="0"/>
          <w:lang w:val="sr-Cyrl-CS"/>
        </w:rPr>
        <w:t xml:space="preserve"> </w:t>
      </w:r>
      <w:r>
        <w:rPr>
          <w:rFonts w:eastAsia="Times New Roman"/>
          <w:color w:val="auto"/>
          <w:kern w:val="0"/>
          <w:lang w:val="sr-Cyrl-CS"/>
        </w:rPr>
        <w:t>poštanske</w:t>
      </w:r>
      <w:r w:rsidR="00784AA9" w:rsidRPr="00E95BC4">
        <w:rPr>
          <w:rFonts w:eastAsia="Times New Roman"/>
          <w:color w:val="auto"/>
          <w:kern w:val="0"/>
          <w:lang w:val="sr-Cyrl-CS"/>
        </w:rPr>
        <w:t xml:space="preserve"> </w:t>
      </w:r>
      <w:r>
        <w:rPr>
          <w:rFonts w:eastAsia="Times New Roman"/>
          <w:color w:val="auto"/>
          <w:kern w:val="0"/>
          <w:lang w:val="sr-Cyrl-CS"/>
        </w:rPr>
        <w:t>usluge</w:t>
      </w:r>
      <w:r w:rsidR="00784AA9" w:rsidRPr="00E95BC4">
        <w:rPr>
          <w:rFonts w:eastAsia="Times New Roman"/>
          <w:color w:val="auto"/>
          <w:kern w:val="0"/>
          <w:lang w:val="sr-Cyrl-CS"/>
        </w:rPr>
        <w:t xml:space="preserve">, </w:t>
      </w:r>
      <w:r>
        <w:rPr>
          <w:rFonts w:eastAsia="Times New Roman"/>
          <w:color w:val="auto"/>
          <w:kern w:val="0"/>
          <w:lang w:val="sr-Cyrl-CS"/>
        </w:rPr>
        <w:t>koji</w:t>
      </w:r>
      <w:r w:rsidR="00784AA9" w:rsidRPr="00E95BC4">
        <w:rPr>
          <w:rFonts w:eastAsia="Times New Roman"/>
          <w:color w:val="auto"/>
          <w:kern w:val="0"/>
          <w:lang w:val="sr-Cyrl-CS"/>
        </w:rPr>
        <w:t xml:space="preserve"> </w:t>
      </w:r>
      <w:r>
        <w:rPr>
          <w:rFonts w:eastAsia="Times New Roman"/>
          <w:color w:val="auto"/>
          <w:kern w:val="0"/>
          <w:lang w:val="sr-Cyrl-CS"/>
        </w:rPr>
        <w:t>pruža</w:t>
      </w:r>
      <w:r w:rsidR="00784AA9" w:rsidRPr="00E95BC4">
        <w:rPr>
          <w:rFonts w:eastAsia="Times New Roman"/>
          <w:color w:val="auto"/>
          <w:kern w:val="0"/>
          <w:lang w:val="sr-Cyrl-CS"/>
        </w:rPr>
        <w:t xml:space="preserve"> </w:t>
      </w:r>
      <w:r>
        <w:rPr>
          <w:rFonts w:eastAsia="Times New Roman"/>
          <w:color w:val="auto"/>
          <w:kern w:val="0"/>
          <w:lang w:val="sr-Cyrl-CS"/>
        </w:rPr>
        <w:t>platne</w:t>
      </w:r>
      <w:r w:rsidR="00784AA9" w:rsidRPr="00E95BC4">
        <w:rPr>
          <w:rFonts w:eastAsia="Times New Roman"/>
          <w:color w:val="auto"/>
          <w:kern w:val="0"/>
          <w:lang w:val="sr-Cyrl-CS"/>
        </w:rPr>
        <w:t xml:space="preserve"> </w:t>
      </w:r>
      <w:r>
        <w:rPr>
          <w:rFonts w:eastAsia="Times New Roman"/>
          <w:color w:val="auto"/>
          <w:kern w:val="0"/>
          <w:lang w:val="sr-Cyrl-CS"/>
        </w:rPr>
        <w:t>usluge</w:t>
      </w:r>
      <w:r w:rsidR="00784AA9" w:rsidRPr="00E95BC4">
        <w:rPr>
          <w:rFonts w:eastAsia="Times New Roman"/>
          <w:color w:val="auto"/>
          <w:kern w:val="0"/>
          <w:lang w:val="sr-Cyrl-CS"/>
        </w:rPr>
        <w:t xml:space="preserve"> </w:t>
      </w:r>
      <w:r>
        <w:rPr>
          <w:rFonts w:eastAsia="Times New Roman"/>
          <w:color w:val="auto"/>
          <w:kern w:val="0"/>
          <w:lang w:val="sr-Cyrl-CS"/>
        </w:rPr>
        <w:t>u</w:t>
      </w:r>
      <w:r w:rsidR="00784AA9" w:rsidRPr="00E95BC4">
        <w:rPr>
          <w:rFonts w:eastAsia="Times New Roman"/>
          <w:color w:val="auto"/>
          <w:kern w:val="0"/>
          <w:lang w:val="sr-Cyrl-CS"/>
        </w:rPr>
        <w:t xml:space="preserve"> </w:t>
      </w:r>
      <w:r>
        <w:rPr>
          <w:rFonts w:eastAsia="Times New Roman"/>
          <w:color w:val="auto"/>
          <w:kern w:val="0"/>
          <w:lang w:val="sr-Cyrl-CS"/>
        </w:rPr>
        <w:t>skladu</w:t>
      </w:r>
      <w:r w:rsidR="00784AA9" w:rsidRPr="00E95BC4">
        <w:rPr>
          <w:rFonts w:eastAsia="Times New Roman"/>
          <w:color w:val="auto"/>
          <w:kern w:val="0"/>
          <w:lang w:val="sr-Cyrl-CS"/>
        </w:rPr>
        <w:t xml:space="preserve"> </w:t>
      </w:r>
      <w:r>
        <w:rPr>
          <w:rFonts w:eastAsia="Times New Roman"/>
          <w:color w:val="auto"/>
          <w:kern w:val="0"/>
          <w:lang w:val="sr-Cyrl-CS"/>
        </w:rPr>
        <w:t>sa</w:t>
      </w:r>
      <w:r w:rsidR="00784AA9" w:rsidRPr="00E95BC4">
        <w:rPr>
          <w:rFonts w:eastAsia="Times New Roman"/>
          <w:color w:val="auto"/>
          <w:kern w:val="0"/>
          <w:lang w:val="sr-Cyrl-CS"/>
        </w:rPr>
        <w:t xml:space="preserve"> </w:t>
      </w:r>
      <w:r>
        <w:rPr>
          <w:rFonts w:eastAsia="Times New Roman"/>
          <w:color w:val="auto"/>
          <w:kern w:val="0"/>
          <w:lang w:val="sr-Cyrl-CS"/>
        </w:rPr>
        <w:t>zakonom</w:t>
      </w:r>
      <w:r w:rsidR="00784AA9" w:rsidRPr="00E95BC4">
        <w:rPr>
          <w:rFonts w:eastAsia="Times New Roman"/>
          <w:color w:val="auto"/>
          <w:kern w:val="0"/>
          <w:lang w:val="sr-Cyrl-CS"/>
        </w:rPr>
        <w:t xml:space="preserve"> </w:t>
      </w:r>
      <w:r>
        <w:rPr>
          <w:rFonts w:eastAsia="Times New Roman"/>
          <w:color w:val="auto"/>
          <w:kern w:val="0"/>
          <w:lang w:val="sr-Cyrl-CS"/>
        </w:rPr>
        <w:t>kojim</w:t>
      </w:r>
      <w:r w:rsidR="00784AA9" w:rsidRPr="00E95BC4">
        <w:rPr>
          <w:rFonts w:eastAsia="Times New Roman"/>
          <w:color w:val="auto"/>
          <w:kern w:val="0"/>
          <w:lang w:val="sr-Cyrl-CS"/>
        </w:rPr>
        <w:t xml:space="preserve"> </w:t>
      </w:r>
      <w:r>
        <w:rPr>
          <w:rFonts w:eastAsia="Times New Roman"/>
          <w:color w:val="auto"/>
          <w:kern w:val="0"/>
          <w:lang w:val="sr-Cyrl-CS"/>
        </w:rPr>
        <w:t>se</w:t>
      </w:r>
      <w:r w:rsidR="00784AA9" w:rsidRPr="00E95BC4">
        <w:rPr>
          <w:rFonts w:eastAsia="Times New Roman"/>
          <w:color w:val="auto"/>
          <w:kern w:val="0"/>
          <w:lang w:val="sr-Cyrl-CS"/>
        </w:rPr>
        <w:t xml:space="preserve"> </w:t>
      </w:r>
      <w:r>
        <w:rPr>
          <w:rFonts w:eastAsia="Times New Roman"/>
          <w:color w:val="auto"/>
          <w:kern w:val="0"/>
          <w:lang w:val="sr-Cyrl-CS"/>
        </w:rPr>
        <w:t>uređuje</w:t>
      </w:r>
      <w:r w:rsidR="00784AA9" w:rsidRPr="00E95BC4">
        <w:rPr>
          <w:rFonts w:eastAsia="Times New Roman"/>
          <w:color w:val="auto"/>
          <w:kern w:val="0"/>
          <w:lang w:val="sr-Cyrl-CS"/>
        </w:rPr>
        <w:t xml:space="preserve"> </w:t>
      </w:r>
      <w:r>
        <w:rPr>
          <w:rFonts w:eastAsia="Times New Roman"/>
          <w:color w:val="auto"/>
          <w:kern w:val="0"/>
          <w:lang w:val="sr-Cyrl-CS"/>
        </w:rPr>
        <w:t>pružanje</w:t>
      </w:r>
      <w:r w:rsidR="00784AA9" w:rsidRPr="00E95BC4">
        <w:rPr>
          <w:rFonts w:eastAsia="Times New Roman"/>
          <w:color w:val="auto"/>
          <w:kern w:val="0"/>
          <w:lang w:val="sr-Cyrl-CS"/>
        </w:rPr>
        <w:t xml:space="preserve"> </w:t>
      </w:r>
      <w:r>
        <w:rPr>
          <w:rFonts w:eastAsia="Times New Roman"/>
          <w:color w:val="auto"/>
          <w:kern w:val="0"/>
          <w:lang w:val="sr-Cyrl-CS"/>
        </w:rPr>
        <w:t>platnih</w:t>
      </w:r>
      <w:r w:rsidR="00784AA9" w:rsidRPr="00E95BC4">
        <w:rPr>
          <w:rFonts w:eastAsia="Times New Roman"/>
          <w:color w:val="auto"/>
          <w:kern w:val="0"/>
          <w:lang w:val="sr-Cyrl-CS"/>
        </w:rPr>
        <w:t xml:space="preserve"> </w:t>
      </w:r>
      <w:r>
        <w:rPr>
          <w:rFonts w:eastAsia="Times New Roman"/>
          <w:color w:val="auto"/>
          <w:kern w:val="0"/>
          <w:lang w:val="sr-Cyrl-CS"/>
        </w:rPr>
        <w:t>usluga</w:t>
      </w:r>
      <w:r w:rsidR="00784AA9" w:rsidRPr="00E95BC4">
        <w:rPr>
          <w:rFonts w:eastAsia="Times New Roman"/>
          <w:color w:val="auto"/>
          <w:kern w:val="0"/>
          <w:lang w:val="sr-Cyrl-CS"/>
        </w:rPr>
        <w:t>;</w:t>
      </w:r>
    </w:p>
    <w:p w:rsidR="00784AA9" w:rsidRPr="00E95BC4" w:rsidRDefault="005818C0" w:rsidP="00E91A83">
      <w:pPr>
        <w:numPr>
          <w:ilvl w:val="0"/>
          <w:numId w:val="8"/>
        </w:numPr>
        <w:tabs>
          <w:tab w:val="clear" w:pos="720"/>
        </w:tabs>
        <w:ind w:left="459"/>
        <w:jc w:val="both"/>
        <w:rPr>
          <w:rFonts w:eastAsia="Times New Roman"/>
          <w:color w:val="auto"/>
          <w:kern w:val="0"/>
          <w:lang w:val="sr-Cyrl-CS"/>
        </w:rPr>
      </w:pPr>
      <w:r>
        <w:rPr>
          <w:rFonts w:eastAsia="Times New Roman"/>
          <w:color w:val="auto"/>
          <w:kern w:val="0"/>
          <w:lang w:val="sr-Cyrl-CS"/>
        </w:rPr>
        <w:t>lica</w:t>
      </w:r>
      <w:r w:rsidR="00784AA9" w:rsidRPr="00E95BC4">
        <w:rPr>
          <w:rFonts w:eastAsia="Times New Roman"/>
          <w:color w:val="auto"/>
          <w:kern w:val="0"/>
          <w:lang w:val="sr-Cyrl-CS"/>
        </w:rPr>
        <w:t xml:space="preserve"> </w:t>
      </w:r>
      <w:r>
        <w:rPr>
          <w:rFonts w:eastAsia="Times New Roman"/>
          <w:color w:val="auto"/>
          <w:kern w:val="0"/>
          <w:lang w:val="sr-Cyrl-CS"/>
        </w:rPr>
        <w:t>koja</w:t>
      </w:r>
      <w:r w:rsidR="00784AA9" w:rsidRPr="00E95BC4">
        <w:rPr>
          <w:rFonts w:eastAsia="Times New Roman"/>
          <w:color w:val="auto"/>
          <w:kern w:val="0"/>
          <w:lang w:val="sr-Cyrl-CS"/>
        </w:rPr>
        <w:t xml:space="preserve"> </w:t>
      </w:r>
      <w:r>
        <w:rPr>
          <w:rFonts w:eastAsia="Times New Roman"/>
          <w:color w:val="auto"/>
          <w:kern w:val="0"/>
          <w:lang w:val="sr-Cyrl-CS"/>
        </w:rPr>
        <w:t>se</w:t>
      </w:r>
      <w:r w:rsidR="00784AA9" w:rsidRPr="00E95BC4">
        <w:rPr>
          <w:rFonts w:eastAsia="Times New Roman"/>
          <w:color w:val="auto"/>
          <w:kern w:val="0"/>
          <w:lang w:val="sr-Cyrl-CS"/>
        </w:rPr>
        <w:t xml:space="preserve"> </w:t>
      </w:r>
      <w:r>
        <w:rPr>
          <w:rFonts w:eastAsia="Times New Roman"/>
          <w:color w:val="auto"/>
          <w:kern w:val="0"/>
          <w:lang w:val="sr-Cyrl-CS"/>
        </w:rPr>
        <w:t>bave</w:t>
      </w:r>
      <w:r w:rsidR="00784AA9" w:rsidRPr="00E95BC4">
        <w:rPr>
          <w:rFonts w:eastAsia="Times New Roman"/>
          <w:color w:val="auto"/>
          <w:kern w:val="0"/>
          <w:lang w:val="sr-Cyrl-CS"/>
        </w:rPr>
        <w:t xml:space="preserve"> </w:t>
      </w:r>
      <w:r>
        <w:rPr>
          <w:rFonts w:eastAsia="Times New Roman"/>
          <w:color w:val="auto"/>
          <w:kern w:val="0"/>
          <w:lang w:val="sr-Cyrl-CS"/>
        </w:rPr>
        <w:t>poštanskim</w:t>
      </w:r>
      <w:r w:rsidR="00784AA9" w:rsidRPr="00E95BC4">
        <w:rPr>
          <w:rFonts w:eastAsia="Times New Roman"/>
          <w:color w:val="auto"/>
          <w:kern w:val="0"/>
          <w:lang w:val="sr-Cyrl-CS"/>
        </w:rPr>
        <w:t xml:space="preserve"> </w:t>
      </w:r>
      <w:r>
        <w:rPr>
          <w:rFonts w:eastAsia="Times New Roman"/>
          <w:color w:val="auto"/>
          <w:kern w:val="0"/>
          <w:lang w:val="sr-Cyrl-CS"/>
        </w:rPr>
        <w:t>saobraćajem</w:t>
      </w:r>
      <w:r w:rsidR="00784AA9" w:rsidRPr="00E95BC4">
        <w:rPr>
          <w:rFonts w:eastAsia="Times New Roman"/>
          <w:color w:val="auto"/>
          <w:kern w:val="0"/>
          <w:lang w:val="sr-Cyrl-CS"/>
        </w:rPr>
        <w:t>;</w:t>
      </w:r>
    </w:p>
    <w:p w:rsidR="00784AA9" w:rsidRPr="00E95BC4" w:rsidRDefault="005818C0" w:rsidP="00784AA9">
      <w:pPr>
        <w:numPr>
          <w:ilvl w:val="0"/>
          <w:numId w:val="8"/>
        </w:numPr>
        <w:tabs>
          <w:tab w:val="clear" w:pos="720"/>
        </w:tabs>
        <w:ind w:left="459"/>
        <w:jc w:val="both"/>
        <w:rPr>
          <w:rFonts w:eastAsia="Times New Roman"/>
          <w:color w:val="auto"/>
          <w:kern w:val="0"/>
          <w:lang w:val="sr-Cyrl-CS"/>
        </w:rPr>
      </w:pPr>
      <w:r>
        <w:rPr>
          <w:rFonts w:eastAsia="Times New Roman"/>
          <w:color w:val="auto"/>
          <w:kern w:val="0"/>
          <w:lang w:val="sr-Cyrl-CS"/>
        </w:rPr>
        <w:t>lica</w:t>
      </w:r>
      <w:r w:rsidR="00784AA9" w:rsidRPr="00E95BC4">
        <w:rPr>
          <w:rFonts w:eastAsia="Times New Roman"/>
          <w:color w:val="auto"/>
          <w:kern w:val="0"/>
          <w:lang w:val="sr-Cyrl-CS"/>
        </w:rPr>
        <w:t xml:space="preserve"> </w:t>
      </w:r>
      <w:r>
        <w:rPr>
          <w:rFonts w:eastAsia="Times New Roman"/>
          <w:color w:val="auto"/>
          <w:kern w:val="0"/>
          <w:lang w:val="sr-Cyrl-CS"/>
        </w:rPr>
        <w:t>koja</w:t>
      </w:r>
      <w:r w:rsidR="00784AA9" w:rsidRPr="00E95BC4">
        <w:rPr>
          <w:rFonts w:eastAsia="Times New Roman"/>
          <w:color w:val="auto"/>
          <w:kern w:val="0"/>
          <w:lang w:val="sr-Cyrl-CS"/>
        </w:rPr>
        <w:t xml:space="preserve"> </w:t>
      </w:r>
      <w:r>
        <w:rPr>
          <w:rFonts w:eastAsia="Times New Roman"/>
          <w:color w:val="auto"/>
          <w:kern w:val="0"/>
          <w:lang w:val="sr-Cyrl-CS"/>
        </w:rPr>
        <w:t>se</w:t>
      </w:r>
      <w:r w:rsidR="00784AA9" w:rsidRPr="00E95BC4">
        <w:rPr>
          <w:rFonts w:eastAsia="Times New Roman"/>
          <w:color w:val="auto"/>
          <w:kern w:val="0"/>
          <w:lang w:val="sr-Cyrl-CS"/>
        </w:rPr>
        <w:t xml:space="preserve"> </w:t>
      </w:r>
      <w:r>
        <w:rPr>
          <w:rFonts w:eastAsia="Times New Roman"/>
          <w:color w:val="auto"/>
          <w:kern w:val="0"/>
          <w:lang w:val="sr-Cyrl-CS"/>
        </w:rPr>
        <w:t>bave</w:t>
      </w:r>
      <w:r w:rsidR="00784AA9" w:rsidRPr="00E95BC4">
        <w:rPr>
          <w:rFonts w:eastAsia="Times New Roman"/>
          <w:color w:val="auto"/>
          <w:kern w:val="0"/>
          <w:lang w:val="sr-Cyrl-CS"/>
        </w:rPr>
        <w:t xml:space="preserve"> </w:t>
      </w:r>
      <w:r>
        <w:rPr>
          <w:rFonts w:eastAsia="Times New Roman"/>
          <w:color w:val="auto"/>
          <w:kern w:val="0"/>
          <w:lang w:val="sr-Cyrl-CS"/>
        </w:rPr>
        <w:t>pružanjem</w:t>
      </w:r>
      <w:r w:rsidR="00784AA9" w:rsidRPr="00E95BC4">
        <w:rPr>
          <w:rFonts w:eastAsia="Times New Roman"/>
          <w:color w:val="auto"/>
          <w:kern w:val="0"/>
          <w:lang w:val="sr-Cyrl-CS"/>
        </w:rPr>
        <w:t xml:space="preserve"> </w:t>
      </w:r>
      <w:r>
        <w:rPr>
          <w:rFonts w:eastAsia="Times New Roman"/>
          <w:color w:val="auto"/>
          <w:kern w:val="0"/>
          <w:lang w:val="sr-Cyrl-CS"/>
        </w:rPr>
        <w:t>usluga</w:t>
      </w:r>
      <w:r w:rsidR="00784AA9" w:rsidRPr="00E95BC4">
        <w:rPr>
          <w:rFonts w:eastAsia="Times New Roman"/>
          <w:color w:val="auto"/>
          <w:kern w:val="0"/>
          <w:lang w:val="sr-Cyrl-CS"/>
        </w:rPr>
        <w:t xml:space="preserve"> </w:t>
      </w:r>
      <w:r>
        <w:rPr>
          <w:rFonts w:eastAsia="Times New Roman"/>
          <w:color w:val="auto"/>
          <w:kern w:val="0"/>
          <w:lang w:val="sr-Cyrl-CS"/>
        </w:rPr>
        <w:t>kupovine</w:t>
      </w:r>
      <w:r w:rsidR="00784AA9" w:rsidRPr="00E95BC4">
        <w:rPr>
          <w:rFonts w:eastAsia="Times New Roman"/>
          <w:color w:val="auto"/>
          <w:kern w:val="0"/>
          <w:lang w:val="sr-Cyrl-CS"/>
        </w:rPr>
        <w:t xml:space="preserve">, </w:t>
      </w:r>
      <w:r>
        <w:rPr>
          <w:rFonts w:eastAsia="Times New Roman"/>
          <w:color w:val="auto"/>
          <w:kern w:val="0"/>
          <w:lang w:val="sr-Cyrl-CS"/>
        </w:rPr>
        <w:t>prodaje</w:t>
      </w:r>
      <w:r w:rsidR="00784AA9" w:rsidRPr="00E95BC4">
        <w:rPr>
          <w:rFonts w:eastAsia="Times New Roman"/>
          <w:color w:val="auto"/>
          <w:kern w:val="0"/>
          <w:lang w:val="sr-Cyrl-CS"/>
        </w:rPr>
        <w:t xml:space="preserve"> </w:t>
      </w:r>
      <w:r>
        <w:rPr>
          <w:rFonts w:eastAsia="Times New Roman"/>
          <w:color w:val="auto"/>
          <w:kern w:val="0"/>
          <w:lang w:val="sr-Cyrl-CS"/>
        </w:rPr>
        <w:t>ili</w:t>
      </w:r>
      <w:r w:rsidR="00784AA9" w:rsidRPr="00E95BC4">
        <w:rPr>
          <w:rFonts w:eastAsia="Times New Roman"/>
          <w:color w:val="auto"/>
          <w:kern w:val="0"/>
          <w:lang w:val="sr-Cyrl-CS"/>
        </w:rPr>
        <w:t xml:space="preserve"> </w:t>
      </w:r>
      <w:r>
        <w:rPr>
          <w:rFonts w:eastAsia="Times New Roman"/>
          <w:color w:val="auto"/>
          <w:kern w:val="0"/>
          <w:lang w:val="sr-Cyrl-CS"/>
        </w:rPr>
        <w:t>prenosa</w:t>
      </w:r>
      <w:r w:rsidR="00784AA9" w:rsidRPr="00E95BC4">
        <w:rPr>
          <w:rFonts w:eastAsia="Times New Roman"/>
          <w:color w:val="auto"/>
          <w:kern w:val="0"/>
          <w:lang w:val="sr-Cyrl-CS"/>
        </w:rPr>
        <w:t xml:space="preserve"> </w:t>
      </w:r>
      <w:r>
        <w:rPr>
          <w:rFonts w:eastAsia="Times New Roman"/>
          <w:color w:val="auto"/>
          <w:kern w:val="0"/>
          <w:lang w:val="sr-Cyrl-CS"/>
        </w:rPr>
        <w:t>virtuelnih</w:t>
      </w:r>
      <w:r w:rsidR="00784AA9" w:rsidRPr="00E95BC4">
        <w:rPr>
          <w:rFonts w:eastAsia="Times New Roman"/>
          <w:color w:val="auto"/>
          <w:kern w:val="0"/>
          <w:lang w:val="sr-Cyrl-CS"/>
        </w:rPr>
        <w:t xml:space="preserve"> </w:t>
      </w:r>
      <w:r>
        <w:rPr>
          <w:rFonts w:eastAsia="Times New Roman"/>
          <w:color w:val="auto"/>
          <w:kern w:val="0"/>
          <w:lang w:val="sr-Cyrl-CS"/>
        </w:rPr>
        <w:t>valuta</w:t>
      </w:r>
      <w:r w:rsidR="00784AA9" w:rsidRPr="00E95BC4">
        <w:rPr>
          <w:rFonts w:eastAsia="Times New Roman"/>
          <w:color w:val="auto"/>
          <w:kern w:val="0"/>
          <w:lang w:val="sr-Cyrl-CS"/>
        </w:rPr>
        <w:t xml:space="preserve"> </w:t>
      </w:r>
      <w:r>
        <w:rPr>
          <w:rFonts w:eastAsia="Times New Roman"/>
          <w:color w:val="auto"/>
          <w:kern w:val="0"/>
          <w:lang w:val="sr-Cyrl-CS"/>
        </w:rPr>
        <w:t>ili</w:t>
      </w:r>
      <w:r w:rsidR="00784AA9" w:rsidRPr="00E95BC4">
        <w:rPr>
          <w:rFonts w:eastAsia="Times New Roman"/>
          <w:color w:val="auto"/>
          <w:kern w:val="0"/>
          <w:lang w:val="sr-Cyrl-CS"/>
        </w:rPr>
        <w:t xml:space="preserve"> </w:t>
      </w:r>
      <w:r>
        <w:rPr>
          <w:rFonts w:eastAsia="Times New Roman"/>
          <w:color w:val="auto"/>
          <w:kern w:val="0"/>
          <w:lang w:val="sr-Cyrl-CS"/>
        </w:rPr>
        <w:t>zamene</w:t>
      </w:r>
      <w:r w:rsidR="00784AA9" w:rsidRPr="00E95BC4">
        <w:rPr>
          <w:rFonts w:eastAsia="Times New Roman"/>
          <w:color w:val="auto"/>
          <w:kern w:val="0"/>
          <w:lang w:val="sr-Cyrl-CS"/>
        </w:rPr>
        <w:t xml:space="preserve"> </w:t>
      </w:r>
      <w:r>
        <w:rPr>
          <w:rFonts w:eastAsia="Times New Roman"/>
          <w:color w:val="auto"/>
          <w:kern w:val="0"/>
          <w:lang w:val="sr-Cyrl-CS"/>
        </w:rPr>
        <w:t>tih</w:t>
      </w:r>
      <w:r w:rsidR="00784AA9" w:rsidRPr="00E95BC4">
        <w:rPr>
          <w:rFonts w:eastAsia="Times New Roman"/>
          <w:color w:val="auto"/>
          <w:kern w:val="0"/>
          <w:lang w:val="sr-Cyrl-CS"/>
        </w:rPr>
        <w:t xml:space="preserve"> </w:t>
      </w:r>
      <w:r>
        <w:rPr>
          <w:rFonts w:eastAsia="Times New Roman"/>
          <w:color w:val="auto"/>
          <w:kern w:val="0"/>
          <w:lang w:val="sr-Cyrl-CS"/>
        </w:rPr>
        <w:t>valuta</w:t>
      </w:r>
      <w:r w:rsidR="00784AA9" w:rsidRPr="00E95BC4">
        <w:rPr>
          <w:rFonts w:eastAsia="Times New Roman"/>
          <w:color w:val="auto"/>
          <w:kern w:val="0"/>
          <w:lang w:val="sr-Cyrl-CS"/>
        </w:rPr>
        <w:t xml:space="preserve"> </w:t>
      </w:r>
      <w:r>
        <w:rPr>
          <w:rFonts w:eastAsia="Times New Roman"/>
          <w:color w:val="auto"/>
          <w:kern w:val="0"/>
          <w:lang w:val="sr-Cyrl-CS"/>
        </w:rPr>
        <w:t>za</w:t>
      </w:r>
      <w:r w:rsidR="00784AA9" w:rsidRPr="00E95BC4">
        <w:rPr>
          <w:rFonts w:eastAsia="Times New Roman"/>
          <w:color w:val="auto"/>
          <w:kern w:val="0"/>
          <w:lang w:val="sr-Cyrl-CS"/>
        </w:rPr>
        <w:t xml:space="preserve"> </w:t>
      </w:r>
      <w:r>
        <w:rPr>
          <w:rFonts w:eastAsia="Times New Roman"/>
          <w:color w:val="auto"/>
          <w:kern w:val="0"/>
          <w:lang w:val="sr-Cyrl-CS"/>
        </w:rPr>
        <w:t>novac</w:t>
      </w:r>
      <w:r w:rsidR="00784AA9" w:rsidRPr="00E95BC4">
        <w:rPr>
          <w:rFonts w:eastAsia="Times New Roman"/>
          <w:color w:val="auto"/>
          <w:kern w:val="0"/>
          <w:lang w:val="sr-Cyrl-CS"/>
        </w:rPr>
        <w:t xml:space="preserve"> </w:t>
      </w:r>
      <w:r>
        <w:rPr>
          <w:rFonts w:eastAsia="Times New Roman"/>
          <w:color w:val="auto"/>
          <w:kern w:val="0"/>
          <w:lang w:val="sr-Cyrl-CS"/>
        </w:rPr>
        <w:t>ili</w:t>
      </w:r>
      <w:r w:rsidR="00784AA9" w:rsidRPr="00E95BC4">
        <w:rPr>
          <w:rFonts w:eastAsia="Times New Roman"/>
          <w:color w:val="auto"/>
          <w:kern w:val="0"/>
          <w:lang w:val="sr-Cyrl-CS"/>
        </w:rPr>
        <w:t xml:space="preserve"> </w:t>
      </w:r>
      <w:r>
        <w:rPr>
          <w:rFonts w:eastAsia="Times New Roman"/>
          <w:color w:val="auto"/>
          <w:kern w:val="0"/>
          <w:lang w:val="sr-Cyrl-CS"/>
        </w:rPr>
        <w:t>drugu</w:t>
      </w:r>
      <w:r w:rsidR="00784AA9" w:rsidRPr="00E95BC4">
        <w:rPr>
          <w:rFonts w:eastAsia="Times New Roman"/>
          <w:color w:val="auto"/>
          <w:kern w:val="0"/>
          <w:lang w:val="sr-Cyrl-CS"/>
        </w:rPr>
        <w:t xml:space="preserve"> </w:t>
      </w:r>
      <w:r>
        <w:rPr>
          <w:rFonts w:eastAsia="Times New Roman"/>
          <w:color w:val="auto"/>
          <w:kern w:val="0"/>
          <w:lang w:val="sr-Cyrl-CS"/>
        </w:rPr>
        <w:t>imovinu</w:t>
      </w:r>
      <w:r w:rsidR="00784AA9" w:rsidRPr="00E95BC4">
        <w:rPr>
          <w:rFonts w:eastAsia="Times New Roman"/>
          <w:color w:val="auto"/>
          <w:kern w:val="0"/>
          <w:lang w:val="sr-Cyrl-CS"/>
        </w:rPr>
        <w:t xml:space="preserve"> </w:t>
      </w:r>
      <w:r>
        <w:rPr>
          <w:rFonts w:eastAsia="Times New Roman"/>
          <w:color w:val="auto"/>
          <w:kern w:val="0"/>
          <w:lang w:val="sr-Cyrl-CS"/>
        </w:rPr>
        <w:t>preko</w:t>
      </w:r>
      <w:r w:rsidR="00784AA9" w:rsidRPr="00E95BC4">
        <w:rPr>
          <w:rFonts w:eastAsia="Times New Roman"/>
          <w:color w:val="auto"/>
          <w:kern w:val="0"/>
          <w:lang w:val="sr-Cyrl-CS"/>
        </w:rPr>
        <w:t xml:space="preserve"> </w:t>
      </w:r>
      <w:r>
        <w:rPr>
          <w:rFonts w:eastAsia="Times New Roman"/>
          <w:color w:val="auto"/>
          <w:kern w:val="0"/>
          <w:lang w:val="sr-Cyrl-CS"/>
        </w:rPr>
        <w:t>internet</w:t>
      </w:r>
      <w:r w:rsidR="00784AA9" w:rsidRPr="00E95BC4">
        <w:rPr>
          <w:rFonts w:eastAsia="Times New Roman"/>
          <w:color w:val="auto"/>
          <w:kern w:val="0"/>
          <w:lang w:val="sr-Cyrl-CS"/>
        </w:rPr>
        <w:t xml:space="preserve"> </w:t>
      </w:r>
      <w:r>
        <w:rPr>
          <w:rFonts w:eastAsia="Times New Roman"/>
          <w:color w:val="auto"/>
          <w:kern w:val="0"/>
          <w:lang w:val="sr-Cyrl-CS"/>
        </w:rPr>
        <w:t>platformi</w:t>
      </w:r>
      <w:r w:rsidR="00784AA9" w:rsidRPr="00E95BC4">
        <w:rPr>
          <w:rFonts w:eastAsia="Times New Roman"/>
          <w:color w:val="auto"/>
          <w:kern w:val="0"/>
          <w:lang w:val="sr-Cyrl-CS"/>
        </w:rPr>
        <w:t xml:space="preserve">, </w:t>
      </w:r>
      <w:r>
        <w:rPr>
          <w:rFonts w:eastAsia="Times New Roman"/>
          <w:color w:val="auto"/>
          <w:kern w:val="0"/>
          <w:lang w:val="sr-Cyrl-CS"/>
        </w:rPr>
        <w:t>uređaja</w:t>
      </w:r>
      <w:r w:rsidR="00784AA9" w:rsidRPr="00E95BC4">
        <w:rPr>
          <w:rFonts w:eastAsia="Times New Roman"/>
          <w:color w:val="auto"/>
          <w:kern w:val="0"/>
          <w:lang w:val="sr-Cyrl-CS"/>
        </w:rPr>
        <w:t xml:space="preserve"> </w:t>
      </w:r>
      <w:r>
        <w:rPr>
          <w:rFonts w:eastAsia="Times New Roman"/>
          <w:color w:val="auto"/>
          <w:kern w:val="0"/>
          <w:lang w:val="sr-Cyrl-CS"/>
        </w:rPr>
        <w:t>u</w:t>
      </w:r>
      <w:r w:rsidR="00784AA9" w:rsidRPr="00E95BC4">
        <w:rPr>
          <w:rFonts w:eastAsia="Times New Roman"/>
          <w:color w:val="auto"/>
          <w:kern w:val="0"/>
          <w:lang w:val="sr-Cyrl-CS"/>
        </w:rPr>
        <w:t xml:space="preserve"> </w:t>
      </w:r>
      <w:r>
        <w:rPr>
          <w:rFonts w:eastAsia="Times New Roman"/>
          <w:color w:val="auto"/>
          <w:kern w:val="0"/>
          <w:lang w:val="sr-Cyrl-CS"/>
        </w:rPr>
        <w:t>fizičkom</w:t>
      </w:r>
      <w:r w:rsidR="00784AA9" w:rsidRPr="00E95BC4">
        <w:rPr>
          <w:rFonts w:eastAsia="Times New Roman"/>
          <w:color w:val="auto"/>
          <w:kern w:val="0"/>
          <w:lang w:val="sr-Cyrl-CS"/>
        </w:rPr>
        <w:t xml:space="preserve"> </w:t>
      </w:r>
      <w:r>
        <w:rPr>
          <w:rFonts w:eastAsia="Times New Roman"/>
          <w:color w:val="auto"/>
          <w:kern w:val="0"/>
          <w:lang w:val="sr-Cyrl-CS"/>
        </w:rPr>
        <w:t>obliku</w:t>
      </w:r>
      <w:r w:rsidR="00784AA9" w:rsidRPr="00E95BC4">
        <w:rPr>
          <w:rFonts w:eastAsia="Times New Roman"/>
          <w:color w:val="auto"/>
          <w:kern w:val="0"/>
          <w:lang w:val="sr-Cyrl-CS"/>
        </w:rPr>
        <w:t xml:space="preserve"> </w:t>
      </w:r>
      <w:r>
        <w:rPr>
          <w:rFonts w:eastAsia="Times New Roman"/>
          <w:color w:val="auto"/>
          <w:kern w:val="0"/>
          <w:lang w:val="sr-Cyrl-CS"/>
        </w:rPr>
        <w:t>ili</w:t>
      </w:r>
      <w:r w:rsidR="00784AA9" w:rsidRPr="00E95BC4">
        <w:rPr>
          <w:rFonts w:eastAsia="Times New Roman"/>
          <w:color w:val="auto"/>
          <w:kern w:val="0"/>
          <w:lang w:val="sr-Cyrl-CS"/>
        </w:rPr>
        <w:t xml:space="preserve"> </w:t>
      </w:r>
      <w:r>
        <w:rPr>
          <w:rFonts w:eastAsia="Times New Roman"/>
          <w:color w:val="auto"/>
          <w:kern w:val="0"/>
          <w:lang w:val="sr-Cyrl-CS"/>
        </w:rPr>
        <w:t>na</w:t>
      </w:r>
      <w:r w:rsidR="00784AA9" w:rsidRPr="00E95BC4">
        <w:rPr>
          <w:rFonts w:eastAsia="Times New Roman"/>
          <w:color w:val="auto"/>
          <w:kern w:val="0"/>
          <w:lang w:val="sr-Cyrl-CS"/>
        </w:rPr>
        <w:t xml:space="preserve"> </w:t>
      </w:r>
      <w:r>
        <w:rPr>
          <w:rFonts w:eastAsia="Times New Roman"/>
          <w:color w:val="auto"/>
          <w:kern w:val="0"/>
          <w:lang w:val="sr-Cyrl-CS"/>
        </w:rPr>
        <w:t>drugi</w:t>
      </w:r>
      <w:r w:rsidR="00784AA9" w:rsidRPr="00E95BC4">
        <w:rPr>
          <w:rFonts w:eastAsia="Times New Roman"/>
          <w:color w:val="auto"/>
          <w:kern w:val="0"/>
          <w:lang w:val="sr-Cyrl-CS"/>
        </w:rPr>
        <w:t xml:space="preserve"> </w:t>
      </w:r>
      <w:r>
        <w:rPr>
          <w:rFonts w:eastAsia="Times New Roman"/>
          <w:color w:val="auto"/>
          <w:kern w:val="0"/>
          <w:lang w:val="sr-Cyrl-CS"/>
        </w:rPr>
        <w:t>način</w:t>
      </w:r>
      <w:r w:rsidR="00784AA9" w:rsidRPr="00E95BC4">
        <w:rPr>
          <w:rFonts w:eastAsia="Times New Roman"/>
          <w:color w:val="auto"/>
          <w:kern w:val="0"/>
          <w:lang w:val="sr-Cyrl-CS"/>
        </w:rPr>
        <w:t xml:space="preserve">, </w:t>
      </w:r>
      <w:r>
        <w:rPr>
          <w:rFonts w:eastAsia="Times New Roman"/>
          <w:color w:val="auto"/>
          <w:kern w:val="0"/>
          <w:lang w:val="sr-Cyrl-CS"/>
        </w:rPr>
        <w:t>odnosno</w:t>
      </w:r>
      <w:r w:rsidR="00784AA9" w:rsidRPr="00E95BC4">
        <w:rPr>
          <w:rFonts w:eastAsia="Times New Roman"/>
          <w:color w:val="auto"/>
          <w:kern w:val="0"/>
          <w:lang w:val="sr-Cyrl-CS"/>
        </w:rPr>
        <w:t xml:space="preserve"> </w:t>
      </w:r>
      <w:r>
        <w:rPr>
          <w:rFonts w:eastAsia="Times New Roman"/>
          <w:color w:val="auto"/>
          <w:kern w:val="0"/>
          <w:lang w:val="sr-Cyrl-CS"/>
        </w:rPr>
        <w:t>koja</w:t>
      </w:r>
      <w:r w:rsidR="00784AA9" w:rsidRPr="00E95BC4">
        <w:rPr>
          <w:rFonts w:eastAsia="Times New Roman"/>
          <w:color w:val="auto"/>
          <w:kern w:val="0"/>
          <w:lang w:val="sr-Cyrl-CS"/>
        </w:rPr>
        <w:t xml:space="preserve"> </w:t>
      </w:r>
      <w:r>
        <w:rPr>
          <w:rFonts w:eastAsia="Times New Roman"/>
          <w:color w:val="auto"/>
          <w:kern w:val="0"/>
          <w:lang w:val="sr-Cyrl-CS"/>
        </w:rPr>
        <w:t>posreduju</w:t>
      </w:r>
      <w:r w:rsidR="00784AA9" w:rsidRPr="00E95BC4">
        <w:rPr>
          <w:rFonts w:eastAsia="Times New Roman"/>
          <w:color w:val="auto"/>
          <w:kern w:val="0"/>
          <w:lang w:val="sr-Cyrl-CS"/>
        </w:rPr>
        <w:t xml:space="preserve"> </w:t>
      </w:r>
      <w:r>
        <w:rPr>
          <w:rFonts w:eastAsia="Times New Roman"/>
          <w:color w:val="auto"/>
          <w:kern w:val="0"/>
          <w:lang w:val="sr-Cyrl-CS"/>
        </w:rPr>
        <w:t>pri</w:t>
      </w:r>
      <w:r w:rsidR="00784AA9" w:rsidRPr="00E95BC4">
        <w:rPr>
          <w:rFonts w:eastAsia="Times New Roman"/>
          <w:color w:val="auto"/>
          <w:kern w:val="0"/>
          <w:lang w:val="sr-Cyrl-CS"/>
        </w:rPr>
        <w:t xml:space="preserve"> </w:t>
      </w:r>
      <w:r>
        <w:rPr>
          <w:rFonts w:eastAsia="Times New Roman"/>
          <w:color w:val="auto"/>
          <w:kern w:val="0"/>
          <w:lang w:val="sr-Cyrl-CS"/>
        </w:rPr>
        <w:t>pružanju</w:t>
      </w:r>
      <w:r w:rsidR="00784AA9" w:rsidRPr="00E95BC4">
        <w:rPr>
          <w:rFonts w:eastAsia="Times New Roman"/>
          <w:color w:val="auto"/>
          <w:kern w:val="0"/>
          <w:lang w:val="sr-Cyrl-CS"/>
        </w:rPr>
        <w:t xml:space="preserve"> </w:t>
      </w:r>
      <w:r>
        <w:rPr>
          <w:rFonts w:eastAsia="Times New Roman"/>
          <w:color w:val="auto"/>
          <w:kern w:val="0"/>
          <w:lang w:val="sr-Cyrl-CS"/>
        </w:rPr>
        <w:t>ovih</w:t>
      </w:r>
      <w:r w:rsidR="00784AA9" w:rsidRPr="00E95BC4">
        <w:rPr>
          <w:rFonts w:eastAsia="Times New Roman"/>
          <w:color w:val="auto"/>
          <w:kern w:val="0"/>
          <w:lang w:val="sr-Cyrl-CS"/>
        </w:rPr>
        <w:t xml:space="preserve"> </w:t>
      </w:r>
      <w:r>
        <w:rPr>
          <w:rFonts w:eastAsia="Times New Roman"/>
          <w:color w:val="auto"/>
          <w:kern w:val="0"/>
          <w:lang w:val="sr-Cyrl-CS"/>
        </w:rPr>
        <w:t>usluga</w:t>
      </w:r>
      <w:r w:rsidR="00B83C4A">
        <w:rPr>
          <w:rFonts w:eastAsia="Times New Roman"/>
          <w:color w:val="auto"/>
          <w:kern w:val="0"/>
          <w:lang w:val="sr-Cyrl-CS"/>
        </w:rPr>
        <w:t>,</w:t>
      </w:r>
      <w:r w:rsidR="00784AA9" w:rsidRPr="00E95BC4">
        <w:rPr>
          <w:rFonts w:eastAsia="Times New Roman"/>
          <w:color w:val="auto"/>
          <w:kern w:val="0"/>
          <w:lang w:val="sr-Cyrl-CS"/>
        </w:rPr>
        <w:t xml:space="preserve"> </w:t>
      </w:r>
      <w:r>
        <w:rPr>
          <w:rFonts w:eastAsia="Times New Roman"/>
          <w:color w:val="auto"/>
          <w:kern w:val="0"/>
          <w:lang w:val="sr-Cyrl-CS"/>
        </w:rPr>
        <w:t>kao</w:t>
      </w:r>
      <w:r w:rsidR="00784AA9" w:rsidRPr="00E95BC4">
        <w:rPr>
          <w:rFonts w:eastAsia="Times New Roman"/>
          <w:color w:val="auto"/>
          <w:kern w:val="0"/>
          <w:lang w:val="sr-Cyrl-CS"/>
        </w:rPr>
        <w:t xml:space="preserve"> </w:t>
      </w:r>
      <w:r>
        <w:rPr>
          <w:rFonts w:eastAsia="Times New Roman"/>
          <w:color w:val="auto"/>
          <w:kern w:val="0"/>
          <w:lang w:val="sr-Cyrl-CS"/>
        </w:rPr>
        <w:t>i</w:t>
      </w:r>
      <w:r w:rsidR="00784AA9" w:rsidRPr="00E95BC4">
        <w:rPr>
          <w:rFonts w:eastAsia="Times New Roman"/>
          <w:color w:val="auto"/>
          <w:kern w:val="0"/>
          <w:lang w:val="sr-Cyrl-CS"/>
        </w:rPr>
        <w:t xml:space="preserve"> </w:t>
      </w:r>
      <w:r>
        <w:rPr>
          <w:rFonts w:eastAsia="Times New Roman"/>
          <w:color w:val="auto"/>
          <w:kern w:val="0"/>
          <w:lang w:val="sr-Cyrl-CS"/>
        </w:rPr>
        <w:t>pružaoci</w:t>
      </w:r>
      <w:r w:rsidR="00E91A83" w:rsidRPr="00E95BC4">
        <w:rPr>
          <w:rFonts w:eastAsia="Times New Roman"/>
          <w:color w:val="auto"/>
          <w:kern w:val="0"/>
          <w:lang w:val="sr-Cyrl-CS"/>
        </w:rPr>
        <w:t xml:space="preserve"> </w:t>
      </w:r>
      <w:r>
        <w:rPr>
          <w:rFonts w:eastAsia="Times New Roman"/>
          <w:color w:val="auto"/>
          <w:kern w:val="0"/>
          <w:lang w:val="sr-Cyrl-CS"/>
        </w:rPr>
        <w:t>kastodi</w:t>
      </w:r>
      <w:r w:rsidR="00E91A83" w:rsidRPr="00E95BC4">
        <w:rPr>
          <w:rFonts w:eastAsia="Times New Roman"/>
          <w:color w:val="auto"/>
          <w:kern w:val="0"/>
          <w:lang w:val="sr-Cyrl-CS"/>
        </w:rPr>
        <w:t xml:space="preserve"> </w:t>
      </w:r>
      <w:r>
        <w:rPr>
          <w:rFonts w:eastAsia="Times New Roman"/>
          <w:color w:val="auto"/>
          <w:kern w:val="0"/>
          <w:lang w:val="sr-Cyrl-CS"/>
        </w:rPr>
        <w:t>usluge</w:t>
      </w:r>
      <w:r w:rsidR="00E91A83" w:rsidRPr="00E95BC4">
        <w:rPr>
          <w:rFonts w:eastAsia="Times New Roman"/>
          <w:color w:val="auto"/>
          <w:kern w:val="0"/>
          <w:lang w:val="sr-Cyrl-CS"/>
        </w:rPr>
        <w:t xml:space="preserve"> </w:t>
      </w:r>
      <w:r>
        <w:rPr>
          <w:rFonts w:eastAsia="Times New Roman"/>
          <w:color w:val="auto"/>
          <w:kern w:val="0"/>
          <w:lang w:val="sr-Cyrl-CS"/>
        </w:rPr>
        <w:t>novčanika</w:t>
      </w:r>
      <w:r w:rsidR="00E91A83" w:rsidRPr="00E95BC4">
        <w:rPr>
          <w:rFonts w:eastAsia="Times New Roman"/>
          <w:color w:val="auto"/>
          <w:kern w:val="0"/>
          <w:lang w:val="sr-Cyrl-CS"/>
        </w:rPr>
        <w:t>;</w:t>
      </w:r>
    </w:p>
    <w:p w:rsidR="00784AA9" w:rsidRPr="00E95BC4" w:rsidRDefault="005818C0" w:rsidP="00784AA9">
      <w:pPr>
        <w:numPr>
          <w:ilvl w:val="0"/>
          <w:numId w:val="8"/>
        </w:numPr>
        <w:tabs>
          <w:tab w:val="clear" w:pos="720"/>
        </w:tabs>
        <w:ind w:left="459"/>
        <w:jc w:val="both"/>
        <w:rPr>
          <w:rFonts w:eastAsia="Times New Roman"/>
          <w:color w:val="auto"/>
          <w:kern w:val="0"/>
          <w:lang w:val="sr-Cyrl-CS"/>
        </w:rPr>
      </w:pPr>
      <w:r>
        <w:rPr>
          <w:rFonts w:eastAsia="Times New Roman"/>
          <w:color w:val="auto"/>
          <w:kern w:val="0"/>
          <w:lang w:val="sr-Cyrl-CS"/>
        </w:rPr>
        <w:t>advokati</w:t>
      </w:r>
      <w:r w:rsidR="00E91A83" w:rsidRPr="00E95BC4">
        <w:rPr>
          <w:rFonts w:eastAsia="Times New Roman"/>
          <w:color w:val="auto"/>
          <w:kern w:val="0"/>
          <w:lang w:val="sr-Cyrl-CS"/>
        </w:rPr>
        <w:t>;</w:t>
      </w:r>
      <w:r w:rsidR="00784AA9" w:rsidRPr="00E95BC4">
        <w:rPr>
          <w:rFonts w:eastAsia="Times New Roman"/>
          <w:color w:val="auto"/>
          <w:kern w:val="0"/>
          <w:lang w:val="sr-Cyrl-CS"/>
        </w:rPr>
        <w:t xml:space="preserve"> </w:t>
      </w:r>
    </w:p>
    <w:p w:rsidR="00784AA9" w:rsidRPr="00E95BC4" w:rsidRDefault="005818C0" w:rsidP="00784AA9">
      <w:pPr>
        <w:numPr>
          <w:ilvl w:val="0"/>
          <w:numId w:val="8"/>
        </w:numPr>
        <w:tabs>
          <w:tab w:val="clear" w:pos="720"/>
        </w:tabs>
        <w:ind w:left="459"/>
        <w:jc w:val="both"/>
        <w:rPr>
          <w:rFonts w:eastAsia="Times New Roman"/>
          <w:color w:val="auto"/>
          <w:kern w:val="0"/>
          <w:lang w:val="sr-Cyrl-CS"/>
        </w:rPr>
      </w:pPr>
      <w:r>
        <w:rPr>
          <w:rFonts w:eastAsia="Times New Roman"/>
          <w:color w:val="auto"/>
          <w:kern w:val="0"/>
          <w:lang w:val="sr-Cyrl-CS"/>
        </w:rPr>
        <w:t>javni</w:t>
      </w:r>
      <w:r w:rsidR="00784AA9" w:rsidRPr="00E95BC4">
        <w:rPr>
          <w:rFonts w:eastAsia="Times New Roman"/>
          <w:color w:val="auto"/>
          <w:kern w:val="0"/>
          <w:lang w:val="sr-Cyrl-CS"/>
        </w:rPr>
        <w:t xml:space="preserve"> </w:t>
      </w:r>
      <w:r>
        <w:rPr>
          <w:rFonts w:eastAsia="Times New Roman"/>
          <w:color w:val="auto"/>
          <w:kern w:val="0"/>
          <w:lang w:val="sr-Cyrl-CS"/>
        </w:rPr>
        <w:t>beležnici</w:t>
      </w:r>
      <w:r w:rsidR="00784AA9" w:rsidRPr="00E95BC4">
        <w:rPr>
          <w:rFonts w:eastAsia="Times New Roman"/>
          <w:color w:val="auto"/>
          <w:kern w:val="0"/>
          <w:lang w:val="sr-Cyrl-CS"/>
        </w:rPr>
        <w:t>.</w:t>
      </w:r>
    </w:p>
    <w:p w:rsidR="00317E78" w:rsidRPr="00E95BC4" w:rsidRDefault="00317E78" w:rsidP="00285FD7">
      <w:pPr>
        <w:rPr>
          <w:rFonts w:eastAsia="Times New Roman"/>
          <w:color w:val="auto"/>
          <w:kern w:val="0"/>
          <w:highlight w:val="yellow"/>
          <w:lang w:val="sr-Cyrl-CS"/>
        </w:rPr>
      </w:pPr>
    </w:p>
    <w:p w:rsidR="00FF62B7" w:rsidRPr="00E95BC4" w:rsidRDefault="00FF62B7" w:rsidP="00285FD7">
      <w:pPr>
        <w:rPr>
          <w:rFonts w:eastAsia="Times New Roman"/>
          <w:color w:val="auto"/>
          <w:kern w:val="0"/>
          <w:highlight w:val="yellow"/>
          <w:lang w:val="sr-Cyrl-CS"/>
        </w:rPr>
      </w:pPr>
    </w:p>
    <w:p w:rsidR="00891EE4" w:rsidRPr="00E95BC4" w:rsidRDefault="005818C0" w:rsidP="00AC7277">
      <w:pPr>
        <w:pStyle w:val="ListParagraph"/>
        <w:numPr>
          <w:ilvl w:val="0"/>
          <w:numId w:val="11"/>
        </w:numPr>
        <w:rPr>
          <w:rFonts w:eastAsia="Times New Roman"/>
          <w:color w:val="auto"/>
          <w:kern w:val="0"/>
          <w:lang w:val="sr-Cyrl-CS"/>
        </w:rPr>
      </w:pPr>
      <w:r>
        <w:rPr>
          <w:rFonts w:eastAsia="Times New Roman"/>
          <w:b/>
          <w:bCs/>
          <w:color w:val="auto"/>
          <w:kern w:val="0"/>
          <w:lang w:val="sr-Cyrl-CS"/>
        </w:rPr>
        <w:t>Nadzorni</w:t>
      </w:r>
      <w:r w:rsidR="00891EE4" w:rsidRPr="00E95BC4">
        <w:rPr>
          <w:rFonts w:eastAsia="Times New Roman"/>
          <w:b/>
          <w:bCs/>
          <w:color w:val="auto"/>
          <w:kern w:val="0"/>
          <w:lang w:val="sr-Cyrl-CS"/>
        </w:rPr>
        <w:t xml:space="preserve"> </w:t>
      </w:r>
      <w:r>
        <w:rPr>
          <w:rFonts w:eastAsia="Times New Roman"/>
          <w:b/>
          <w:bCs/>
          <w:color w:val="auto"/>
          <w:kern w:val="0"/>
          <w:lang w:val="sr-Cyrl-CS"/>
        </w:rPr>
        <w:t>organi</w:t>
      </w:r>
      <w:r w:rsidR="00891EE4" w:rsidRPr="00E95BC4">
        <w:rPr>
          <w:rFonts w:eastAsia="Times New Roman"/>
          <w:b/>
          <w:bCs/>
          <w:color w:val="auto"/>
          <w:kern w:val="0"/>
          <w:lang w:val="sr-Cyrl-CS"/>
        </w:rPr>
        <w:t xml:space="preserve"> </w:t>
      </w:r>
      <w:r>
        <w:rPr>
          <w:rFonts w:eastAsia="Times New Roman"/>
          <w:b/>
          <w:bCs/>
          <w:color w:val="auto"/>
          <w:kern w:val="0"/>
          <w:lang w:val="sr-Cyrl-CS"/>
        </w:rPr>
        <w:t>iz</w:t>
      </w:r>
      <w:r w:rsidR="00891EE4" w:rsidRPr="00E95BC4">
        <w:rPr>
          <w:rFonts w:eastAsia="Times New Roman"/>
          <w:b/>
          <w:bCs/>
          <w:color w:val="auto"/>
          <w:kern w:val="0"/>
          <w:lang w:val="sr-Cyrl-CS"/>
        </w:rPr>
        <w:t xml:space="preserve"> </w:t>
      </w:r>
      <w:r>
        <w:rPr>
          <w:rFonts w:eastAsia="Times New Roman"/>
          <w:b/>
          <w:bCs/>
          <w:color w:val="auto"/>
          <w:kern w:val="0"/>
          <w:lang w:val="sr-Cyrl-CS"/>
        </w:rPr>
        <w:t>člana</w:t>
      </w:r>
      <w:r w:rsidR="00891EE4" w:rsidRPr="00E95BC4">
        <w:rPr>
          <w:rFonts w:eastAsia="Times New Roman"/>
          <w:b/>
          <w:bCs/>
          <w:color w:val="auto"/>
          <w:kern w:val="0"/>
          <w:lang w:val="sr-Cyrl-CS"/>
        </w:rPr>
        <w:t xml:space="preserve"> 104. </w:t>
      </w:r>
      <w:r>
        <w:rPr>
          <w:rFonts w:eastAsia="Times New Roman"/>
          <w:b/>
          <w:bCs/>
          <w:color w:val="auto"/>
          <w:kern w:val="0"/>
          <w:lang w:val="sr-Cyrl-CS"/>
        </w:rPr>
        <w:t>Zakona</w:t>
      </w:r>
      <w:r w:rsidR="00891EE4" w:rsidRPr="00E95BC4">
        <w:rPr>
          <w:rFonts w:eastAsia="Times New Roman"/>
          <w:b/>
          <w:bCs/>
          <w:color w:val="auto"/>
          <w:kern w:val="0"/>
          <w:lang w:val="sr-Cyrl-CS"/>
        </w:rPr>
        <w:t xml:space="preserve"> </w:t>
      </w:r>
      <w:r>
        <w:rPr>
          <w:rFonts w:eastAsia="Times New Roman"/>
          <w:b/>
          <w:bCs/>
          <w:color w:val="auto"/>
          <w:kern w:val="0"/>
          <w:lang w:val="sr-Cyrl-CS"/>
        </w:rPr>
        <w:t>o</w:t>
      </w:r>
      <w:r w:rsidR="00891EE4" w:rsidRPr="00E95BC4">
        <w:rPr>
          <w:rFonts w:eastAsia="Times New Roman"/>
          <w:b/>
          <w:bCs/>
          <w:color w:val="auto"/>
          <w:kern w:val="0"/>
          <w:lang w:val="sr-Cyrl-CS"/>
        </w:rPr>
        <w:t xml:space="preserve"> </w:t>
      </w:r>
      <w:r>
        <w:rPr>
          <w:rFonts w:eastAsia="Times New Roman"/>
          <w:b/>
          <w:bCs/>
          <w:color w:val="auto"/>
          <w:kern w:val="0"/>
          <w:lang w:val="sr-Cyrl-CS"/>
        </w:rPr>
        <w:t>sprečavanju</w:t>
      </w:r>
      <w:r w:rsidR="00891EE4" w:rsidRPr="00E95BC4">
        <w:rPr>
          <w:rFonts w:eastAsia="Times New Roman"/>
          <w:b/>
          <w:bCs/>
          <w:color w:val="auto"/>
          <w:kern w:val="0"/>
          <w:lang w:val="sr-Cyrl-CS"/>
        </w:rPr>
        <w:t xml:space="preserve"> </w:t>
      </w:r>
      <w:r>
        <w:rPr>
          <w:rFonts w:eastAsia="Times New Roman"/>
          <w:b/>
          <w:bCs/>
          <w:color w:val="auto"/>
          <w:kern w:val="0"/>
          <w:lang w:val="sr-Cyrl-CS"/>
        </w:rPr>
        <w:t>pranja</w:t>
      </w:r>
      <w:r w:rsidR="00891EE4" w:rsidRPr="00E95BC4">
        <w:rPr>
          <w:rFonts w:eastAsia="Times New Roman"/>
          <w:b/>
          <w:bCs/>
          <w:color w:val="auto"/>
          <w:kern w:val="0"/>
          <w:lang w:val="sr-Cyrl-CS"/>
        </w:rPr>
        <w:t xml:space="preserve"> </w:t>
      </w:r>
      <w:r>
        <w:rPr>
          <w:rFonts w:eastAsia="Times New Roman"/>
          <w:b/>
          <w:bCs/>
          <w:color w:val="auto"/>
          <w:kern w:val="0"/>
          <w:lang w:val="sr-Cyrl-CS"/>
        </w:rPr>
        <w:t>novca</w:t>
      </w:r>
      <w:r w:rsidR="00891EE4" w:rsidRPr="00E95BC4">
        <w:rPr>
          <w:rFonts w:eastAsia="Times New Roman"/>
          <w:b/>
          <w:bCs/>
          <w:color w:val="auto"/>
          <w:kern w:val="0"/>
          <w:lang w:val="sr-Cyrl-CS"/>
        </w:rPr>
        <w:t xml:space="preserve"> </w:t>
      </w:r>
      <w:r>
        <w:rPr>
          <w:rFonts w:eastAsia="Times New Roman"/>
          <w:b/>
          <w:bCs/>
          <w:color w:val="auto"/>
          <w:kern w:val="0"/>
          <w:lang w:val="sr-Cyrl-CS"/>
        </w:rPr>
        <w:t>i</w:t>
      </w:r>
      <w:r w:rsidR="00891EE4" w:rsidRPr="00E95BC4">
        <w:rPr>
          <w:rFonts w:eastAsia="Times New Roman"/>
          <w:b/>
          <w:bCs/>
          <w:color w:val="auto"/>
          <w:kern w:val="0"/>
          <w:lang w:val="sr-Cyrl-CS"/>
        </w:rPr>
        <w:t xml:space="preserve"> </w:t>
      </w:r>
      <w:r>
        <w:rPr>
          <w:rFonts w:eastAsia="Times New Roman"/>
          <w:b/>
          <w:bCs/>
          <w:color w:val="auto"/>
          <w:kern w:val="0"/>
          <w:lang w:val="sr-Cyrl-CS"/>
        </w:rPr>
        <w:t>finansiranja</w:t>
      </w:r>
      <w:r w:rsidR="00891EE4" w:rsidRPr="00E95BC4">
        <w:rPr>
          <w:rFonts w:eastAsia="Times New Roman"/>
          <w:b/>
          <w:bCs/>
          <w:color w:val="auto"/>
          <w:kern w:val="0"/>
          <w:lang w:val="sr-Cyrl-CS"/>
        </w:rPr>
        <w:t xml:space="preserve"> </w:t>
      </w:r>
      <w:r>
        <w:rPr>
          <w:rFonts w:eastAsia="Times New Roman"/>
          <w:b/>
          <w:bCs/>
          <w:color w:val="auto"/>
          <w:kern w:val="0"/>
          <w:lang w:val="sr-Cyrl-CS"/>
        </w:rPr>
        <w:t>terorizma</w:t>
      </w:r>
      <w:r w:rsidR="006C3A16">
        <w:rPr>
          <w:rFonts w:eastAsia="Times New Roman"/>
          <w:b/>
          <w:bCs/>
          <w:color w:val="auto"/>
          <w:kern w:val="0"/>
          <w:lang w:val="sr-Cyrl-CS"/>
        </w:rPr>
        <w:t>:</w:t>
      </w:r>
    </w:p>
    <w:p w:rsidR="00891EE4" w:rsidRPr="00E95BC4" w:rsidRDefault="00891EE4" w:rsidP="00285FD7">
      <w:pPr>
        <w:pStyle w:val="ListParagraph"/>
        <w:rPr>
          <w:rFonts w:eastAsia="Times New Roman"/>
          <w:color w:val="auto"/>
          <w:kern w:val="0"/>
          <w:lang w:val="sr-Cyrl-CS"/>
        </w:rPr>
      </w:pPr>
    </w:p>
    <w:p w:rsidR="00891EE4" w:rsidRPr="00E95BC4" w:rsidRDefault="005818C0" w:rsidP="00AC7277">
      <w:pPr>
        <w:numPr>
          <w:ilvl w:val="0"/>
          <w:numId w:val="21"/>
        </w:numPr>
        <w:tabs>
          <w:tab w:val="clear" w:pos="720"/>
        </w:tabs>
        <w:ind w:left="459"/>
        <w:rPr>
          <w:rFonts w:eastAsia="Times New Roman"/>
          <w:color w:val="auto"/>
          <w:kern w:val="0"/>
          <w:lang w:val="sr-Cyrl-CS"/>
        </w:rPr>
      </w:pPr>
      <w:r>
        <w:rPr>
          <w:rFonts w:eastAsia="Times New Roman"/>
          <w:color w:val="auto"/>
          <w:kern w:val="0"/>
          <w:lang w:val="sr-Cyrl-CS"/>
        </w:rPr>
        <w:t>Uprava</w:t>
      </w:r>
      <w:r w:rsidR="00891EE4" w:rsidRPr="00E95BC4">
        <w:rPr>
          <w:rFonts w:eastAsia="Times New Roman"/>
          <w:color w:val="auto"/>
          <w:kern w:val="0"/>
          <w:lang w:val="sr-Cyrl-CS"/>
        </w:rPr>
        <w:t xml:space="preserve"> </w:t>
      </w:r>
      <w:r>
        <w:rPr>
          <w:rFonts w:eastAsia="Times New Roman"/>
          <w:color w:val="auto"/>
          <w:kern w:val="0"/>
          <w:lang w:val="sr-Cyrl-CS"/>
        </w:rPr>
        <w:t>za</w:t>
      </w:r>
      <w:r w:rsidR="00891EE4" w:rsidRPr="00E95BC4">
        <w:rPr>
          <w:rFonts w:eastAsia="Times New Roman"/>
          <w:color w:val="auto"/>
          <w:kern w:val="0"/>
          <w:lang w:val="sr-Cyrl-CS"/>
        </w:rPr>
        <w:t xml:space="preserve"> </w:t>
      </w:r>
      <w:r>
        <w:rPr>
          <w:rFonts w:eastAsia="Times New Roman"/>
          <w:color w:val="auto"/>
          <w:kern w:val="0"/>
          <w:lang w:val="sr-Cyrl-CS"/>
        </w:rPr>
        <w:t>sprečavanje</w:t>
      </w:r>
      <w:r w:rsidR="00891EE4" w:rsidRPr="00E95BC4">
        <w:rPr>
          <w:rFonts w:eastAsia="Times New Roman"/>
          <w:color w:val="auto"/>
          <w:kern w:val="0"/>
          <w:lang w:val="sr-Cyrl-CS"/>
        </w:rPr>
        <w:t xml:space="preserve"> </w:t>
      </w:r>
      <w:r>
        <w:rPr>
          <w:rFonts w:eastAsia="Times New Roman"/>
          <w:color w:val="auto"/>
          <w:kern w:val="0"/>
          <w:lang w:val="sr-Cyrl-CS"/>
        </w:rPr>
        <w:t>pranja</w:t>
      </w:r>
      <w:r w:rsidR="00891EE4" w:rsidRPr="00E95BC4">
        <w:rPr>
          <w:rFonts w:eastAsia="Times New Roman"/>
          <w:color w:val="auto"/>
          <w:kern w:val="0"/>
          <w:lang w:val="sr-Cyrl-CS"/>
        </w:rPr>
        <w:t xml:space="preserve"> </w:t>
      </w:r>
      <w:r>
        <w:rPr>
          <w:rFonts w:eastAsia="Times New Roman"/>
          <w:color w:val="auto"/>
          <w:kern w:val="0"/>
          <w:lang w:val="sr-Cyrl-CS"/>
        </w:rPr>
        <w:t>novca</w:t>
      </w:r>
      <w:r w:rsidR="00891EE4" w:rsidRPr="00E95BC4">
        <w:rPr>
          <w:rFonts w:eastAsia="Times New Roman"/>
          <w:color w:val="auto"/>
          <w:kern w:val="0"/>
          <w:lang w:val="sr-Cyrl-CS"/>
        </w:rPr>
        <w:t>,</w:t>
      </w:r>
    </w:p>
    <w:p w:rsidR="00891EE4" w:rsidRPr="00E95BC4" w:rsidRDefault="005818C0" w:rsidP="00AC7277">
      <w:pPr>
        <w:numPr>
          <w:ilvl w:val="0"/>
          <w:numId w:val="21"/>
        </w:numPr>
        <w:tabs>
          <w:tab w:val="clear" w:pos="720"/>
        </w:tabs>
        <w:ind w:left="459"/>
        <w:rPr>
          <w:rFonts w:eastAsia="Times New Roman"/>
          <w:color w:val="auto"/>
          <w:kern w:val="0"/>
          <w:lang w:val="sr-Cyrl-CS"/>
        </w:rPr>
      </w:pPr>
      <w:r>
        <w:rPr>
          <w:rFonts w:eastAsia="Times New Roman"/>
          <w:color w:val="auto"/>
          <w:kern w:val="0"/>
          <w:lang w:val="sr-Cyrl-CS"/>
        </w:rPr>
        <w:t>Narodna</w:t>
      </w:r>
      <w:r w:rsidR="00891EE4" w:rsidRPr="00E95BC4">
        <w:rPr>
          <w:rFonts w:eastAsia="Times New Roman"/>
          <w:color w:val="auto"/>
          <w:kern w:val="0"/>
          <w:lang w:val="sr-Cyrl-CS"/>
        </w:rPr>
        <w:t xml:space="preserve"> </w:t>
      </w:r>
      <w:r>
        <w:rPr>
          <w:rFonts w:eastAsia="Times New Roman"/>
          <w:color w:val="auto"/>
          <w:kern w:val="0"/>
          <w:lang w:val="sr-Cyrl-CS"/>
        </w:rPr>
        <w:t>banka</w:t>
      </w:r>
      <w:r w:rsidR="00891EE4" w:rsidRPr="00E95BC4">
        <w:rPr>
          <w:rFonts w:eastAsia="Times New Roman"/>
          <w:color w:val="auto"/>
          <w:kern w:val="0"/>
          <w:lang w:val="sr-Cyrl-CS"/>
        </w:rPr>
        <w:t xml:space="preserve"> </w:t>
      </w:r>
      <w:r>
        <w:rPr>
          <w:rFonts w:eastAsia="Times New Roman"/>
          <w:color w:val="auto"/>
          <w:kern w:val="0"/>
          <w:lang w:val="sr-Cyrl-CS"/>
        </w:rPr>
        <w:t>Srbije</w:t>
      </w:r>
      <w:r w:rsidR="00891EE4" w:rsidRPr="00E95BC4">
        <w:rPr>
          <w:rFonts w:eastAsia="Times New Roman"/>
          <w:color w:val="auto"/>
          <w:kern w:val="0"/>
          <w:lang w:val="sr-Cyrl-CS"/>
        </w:rPr>
        <w:t>,</w:t>
      </w:r>
    </w:p>
    <w:p w:rsidR="00891EE4" w:rsidRPr="00E95BC4" w:rsidRDefault="005818C0" w:rsidP="00AC7277">
      <w:pPr>
        <w:numPr>
          <w:ilvl w:val="0"/>
          <w:numId w:val="21"/>
        </w:numPr>
        <w:tabs>
          <w:tab w:val="clear" w:pos="720"/>
        </w:tabs>
        <w:ind w:left="459"/>
        <w:rPr>
          <w:rFonts w:eastAsia="Times New Roman"/>
          <w:color w:val="auto"/>
          <w:kern w:val="0"/>
          <w:lang w:val="sr-Cyrl-CS"/>
        </w:rPr>
      </w:pPr>
      <w:r>
        <w:rPr>
          <w:rFonts w:eastAsia="Times New Roman"/>
          <w:color w:val="auto"/>
          <w:kern w:val="0"/>
          <w:lang w:val="sr-Cyrl-CS"/>
        </w:rPr>
        <w:t>Komisija</w:t>
      </w:r>
      <w:r w:rsidR="00891EE4" w:rsidRPr="00E95BC4">
        <w:rPr>
          <w:rFonts w:eastAsia="Times New Roman"/>
          <w:color w:val="auto"/>
          <w:kern w:val="0"/>
          <w:lang w:val="sr-Cyrl-CS"/>
        </w:rPr>
        <w:t xml:space="preserve"> </w:t>
      </w:r>
      <w:r>
        <w:rPr>
          <w:rFonts w:eastAsia="Times New Roman"/>
          <w:color w:val="auto"/>
          <w:kern w:val="0"/>
          <w:lang w:val="sr-Cyrl-CS"/>
        </w:rPr>
        <w:t>za</w:t>
      </w:r>
      <w:r w:rsidR="00891EE4" w:rsidRPr="00E95BC4">
        <w:rPr>
          <w:rFonts w:eastAsia="Times New Roman"/>
          <w:color w:val="auto"/>
          <w:kern w:val="0"/>
          <w:lang w:val="sr-Cyrl-CS"/>
        </w:rPr>
        <w:t xml:space="preserve"> </w:t>
      </w:r>
      <w:r>
        <w:rPr>
          <w:rFonts w:eastAsia="Times New Roman"/>
          <w:color w:val="auto"/>
          <w:kern w:val="0"/>
          <w:lang w:val="sr-Cyrl-CS"/>
        </w:rPr>
        <w:t>hartije</w:t>
      </w:r>
      <w:r w:rsidR="00891EE4" w:rsidRPr="00E95BC4">
        <w:rPr>
          <w:rFonts w:eastAsia="Times New Roman"/>
          <w:color w:val="auto"/>
          <w:kern w:val="0"/>
          <w:lang w:val="sr-Cyrl-CS"/>
        </w:rPr>
        <w:t xml:space="preserve"> </w:t>
      </w:r>
      <w:r>
        <w:rPr>
          <w:rFonts w:eastAsia="Times New Roman"/>
          <w:color w:val="auto"/>
          <w:kern w:val="0"/>
          <w:lang w:val="sr-Cyrl-CS"/>
        </w:rPr>
        <w:t>od</w:t>
      </w:r>
      <w:r w:rsidR="00891EE4" w:rsidRPr="00E95BC4">
        <w:rPr>
          <w:rFonts w:eastAsia="Times New Roman"/>
          <w:color w:val="auto"/>
          <w:kern w:val="0"/>
          <w:lang w:val="sr-Cyrl-CS"/>
        </w:rPr>
        <w:t xml:space="preserve"> </w:t>
      </w:r>
      <w:r>
        <w:rPr>
          <w:rFonts w:eastAsia="Times New Roman"/>
          <w:color w:val="auto"/>
          <w:kern w:val="0"/>
          <w:lang w:val="sr-Cyrl-CS"/>
        </w:rPr>
        <w:t>vrednosti</w:t>
      </w:r>
      <w:r w:rsidR="00891EE4" w:rsidRPr="00E95BC4">
        <w:rPr>
          <w:rFonts w:eastAsia="Times New Roman"/>
          <w:color w:val="auto"/>
          <w:kern w:val="0"/>
          <w:lang w:val="sr-Cyrl-CS"/>
        </w:rPr>
        <w:t>,</w:t>
      </w:r>
    </w:p>
    <w:p w:rsidR="00E91A83" w:rsidRPr="00E95BC4" w:rsidRDefault="005818C0" w:rsidP="00E91A83">
      <w:pPr>
        <w:numPr>
          <w:ilvl w:val="0"/>
          <w:numId w:val="21"/>
        </w:numPr>
        <w:tabs>
          <w:tab w:val="clear" w:pos="720"/>
        </w:tabs>
        <w:ind w:left="459"/>
        <w:rPr>
          <w:rFonts w:eastAsia="Times New Roman"/>
          <w:color w:val="auto"/>
          <w:kern w:val="0"/>
          <w:lang w:val="sr-Cyrl-CS"/>
        </w:rPr>
      </w:pPr>
      <w:r>
        <w:rPr>
          <w:rFonts w:eastAsia="Times New Roman"/>
          <w:color w:val="auto"/>
          <w:kern w:val="0"/>
          <w:lang w:val="sr-Cyrl-CS"/>
        </w:rPr>
        <w:t>organ</w:t>
      </w:r>
      <w:r w:rsidR="005D036E" w:rsidRPr="00E95BC4">
        <w:rPr>
          <w:rFonts w:eastAsia="Times New Roman"/>
          <w:color w:val="auto"/>
          <w:kern w:val="0"/>
          <w:lang w:val="sr-Cyrl-CS"/>
        </w:rPr>
        <w:t xml:space="preserve"> </w:t>
      </w:r>
      <w:r>
        <w:rPr>
          <w:rFonts w:eastAsia="Times New Roman"/>
          <w:color w:val="auto"/>
          <w:kern w:val="0"/>
          <w:lang w:val="sr-Cyrl-CS"/>
        </w:rPr>
        <w:t>nadležan</w:t>
      </w:r>
      <w:r w:rsidR="005D036E" w:rsidRPr="00E95BC4">
        <w:rPr>
          <w:rFonts w:eastAsia="Times New Roman"/>
          <w:color w:val="auto"/>
          <w:kern w:val="0"/>
          <w:lang w:val="sr-Cyrl-CS"/>
        </w:rPr>
        <w:t xml:space="preserve"> </w:t>
      </w:r>
      <w:r>
        <w:rPr>
          <w:rFonts w:eastAsia="Times New Roman"/>
          <w:color w:val="auto"/>
          <w:kern w:val="0"/>
          <w:lang w:val="sr-Cyrl-CS"/>
        </w:rPr>
        <w:t>za</w:t>
      </w:r>
      <w:r w:rsidR="005D036E" w:rsidRPr="00E95BC4">
        <w:rPr>
          <w:rFonts w:eastAsia="Times New Roman"/>
          <w:color w:val="auto"/>
          <w:kern w:val="0"/>
          <w:lang w:val="sr-Cyrl-CS"/>
        </w:rPr>
        <w:t xml:space="preserve"> </w:t>
      </w:r>
      <w:r>
        <w:rPr>
          <w:rFonts w:eastAsia="Times New Roman"/>
          <w:color w:val="auto"/>
          <w:kern w:val="0"/>
          <w:lang w:val="sr-Cyrl-CS"/>
        </w:rPr>
        <w:t>nadzor</w:t>
      </w:r>
      <w:r w:rsidR="005D036E" w:rsidRPr="00E95BC4">
        <w:rPr>
          <w:rFonts w:eastAsia="Times New Roman"/>
          <w:color w:val="auto"/>
          <w:kern w:val="0"/>
          <w:lang w:val="sr-Cyrl-CS"/>
        </w:rPr>
        <w:t xml:space="preserve"> </w:t>
      </w:r>
      <w:r>
        <w:rPr>
          <w:rFonts w:eastAsia="Times New Roman"/>
          <w:color w:val="auto"/>
          <w:kern w:val="0"/>
          <w:lang w:val="sr-Cyrl-CS"/>
        </w:rPr>
        <w:t>u</w:t>
      </w:r>
      <w:r w:rsidR="005D036E" w:rsidRPr="00E95BC4">
        <w:rPr>
          <w:rFonts w:eastAsia="Times New Roman"/>
          <w:color w:val="auto"/>
          <w:kern w:val="0"/>
          <w:lang w:val="sr-Cyrl-CS"/>
        </w:rPr>
        <w:t xml:space="preserve"> </w:t>
      </w:r>
      <w:r>
        <w:rPr>
          <w:rFonts w:eastAsia="Times New Roman"/>
          <w:color w:val="auto"/>
          <w:kern w:val="0"/>
          <w:lang w:val="sr-Cyrl-CS"/>
        </w:rPr>
        <w:t>oblasti</w:t>
      </w:r>
      <w:r w:rsidR="005D036E" w:rsidRPr="00E95BC4">
        <w:rPr>
          <w:rFonts w:eastAsia="Times New Roman"/>
          <w:color w:val="auto"/>
          <w:kern w:val="0"/>
          <w:lang w:val="sr-Cyrl-CS"/>
        </w:rPr>
        <w:t xml:space="preserve"> </w:t>
      </w:r>
      <w:r>
        <w:rPr>
          <w:rFonts w:eastAsia="Times New Roman"/>
          <w:color w:val="auto"/>
          <w:kern w:val="0"/>
          <w:lang w:val="sr-Cyrl-CS"/>
        </w:rPr>
        <w:t>poreskog</w:t>
      </w:r>
      <w:r w:rsidR="005D036E" w:rsidRPr="00E95BC4">
        <w:rPr>
          <w:rFonts w:eastAsia="Times New Roman"/>
          <w:color w:val="auto"/>
          <w:kern w:val="0"/>
          <w:lang w:val="sr-Cyrl-CS"/>
        </w:rPr>
        <w:t xml:space="preserve"> </w:t>
      </w:r>
      <w:r>
        <w:rPr>
          <w:rFonts w:eastAsia="Times New Roman"/>
          <w:color w:val="auto"/>
          <w:kern w:val="0"/>
          <w:lang w:val="sr-Cyrl-CS"/>
        </w:rPr>
        <w:t>savetovanja</w:t>
      </w:r>
      <w:r w:rsidR="005D036E" w:rsidRPr="00E95BC4">
        <w:rPr>
          <w:rFonts w:eastAsia="Times New Roman"/>
          <w:color w:val="auto"/>
          <w:kern w:val="0"/>
          <w:lang w:val="sr-Cyrl-CS"/>
        </w:rPr>
        <w:t>,</w:t>
      </w:r>
    </w:p>
    <w:p w:rsidR="005D036E" w:rsidRPr="00E95BC4" w:rsidRDefault="005818C0" w:rsidP="00E91A83">
      <w:pPr>
        <w:numPr>
          <w:ilvl w:val="0"/>
          <w:numId w:val="21"/>
        </w:numPr>
        <w:tabs>
          <w:tab w:val="clear" w:pos="720"/>
        </w:tabs>
        <w:ind w:left="459"/>
        <w:rPr>
          <w:rFonts w:eastAsia="Times New Roman"/>
          <w:color w:val="auto"/>
          <w:kern w:val="0"/>
          <w:lang w:val="sr-Cyrl-CS"/>
        </w:rPr>
      </w:pPr>
      <w:r>
        <w:rPr>
          <w:rFonts w:eastAsia="Times New Roman"/>
          <w:color w:val="auto"/>
          <w:kern w:val="0"/>
          <w:lang w:val="sr-Cyrl-CS"/>
        </w:rPr>
        <w:t>organ</w:t>
      </w:r>
      <w:r w:rsidR="005D036E" w:rsidRPr="00E95BC4">
        <w:rPr>
          <w:rFonts w:eastAsia="Times New Roman"/>
          <w:color w:val="auto"/>
          <w:kern w:val="0"/>
          <w:lang w:val="sr-Cyrl-CS"/>
        </w:rPr>
        <w:t xml:space="preserve"> </w:t>
      </w:r>
      <w:r>
        <w:rPr>
          <w:rFonts w:eastAsia="Times New Roman"/>
          <w:color w:val="auto"/>
          <w:kern w:val="0"/>
          <w:lang w:val="sr-Cyrl-CS"/>
        </w:rPr>
        <w:t>nadležan</w:t>
      </w:r>
      <w:r w:rsidR="005D036E" w:rsidRPr="00E95BC4">
        <w:rPr>
          <w:rFonts w:eastAsia="Times New Roman"/>
          <w:color w:val="auto"/>
          <w:kern w:val="0"/>
          <w:lang w:val="sr-Cyrl-CS"/>
        </w:rPr>
        <w:t xml:space="preserve"> </w:t>
      </w:r>
      <w:r>
        <w:rPr>
          <w:rFonts w:eastAsia="Times New Roman"/>
          <w:color w:val="auto"/>
          <w:kern w:val="0"/>
          <w:lang w:val="sr-Cyrl-CS"/>
        </w:rPr>
        <w:t>za</w:t>
      </w:r>
      <w:r w:rsidR="005D036E" w:rsidRPr="00E95BC4">
        <w:rPr>
          <w:rFonts w:eastAsia="Times New Roman"/>
          <w:color w:val="auto"/>
          <w:kern w:val="0"/>
          <w:lang w:val="sr-Cyrl-CS"/>
        </w:rPr>
        <w:t xml:space="preserve"> </w:t>
      </w:r>
      <w:r>
        <w:rPr>
          <w:rFonts w:eastAsia="Times New Roman"/>
          <w:color w:val="auto"/>
          <w:kern w:val="0"/>
          <w:lang w:val="sr-Cyrl-CS"/>
        </w:rPr>
        <w:t>nadzor</w:t>
      </w:r>
      <w:r w:rsidR="005D036E" w:rsidRPr="00E95BC4">
        <w:rPr>
          <w:rFonts w:eastAsia="Times New Roman"/>
          <w:color w:val="auto"/>
          <w:kern w:val="0"/>
          <w:lang w:val="sr-Cyrl-CS"/>
        </w:rPr>
        <w:t xml:space="preserve"> </w:t>
      </w:r>
      <w:r>
        <w:rPr>
          <w:rFonts w:eastAsia="Times New Roman"/>
          <w:color w:val="auto"/>
          <w:kern w:val="0"/>
          <w:lang w:val="sr-Cyrl-CS"/>
        </w:rPr>
        <w:t>u</w:t>
      </w:r>
      <w:r w:rsidR="005D036E" w:rsidRPr="00E95BC4">
        <w:rPr>
          <w:rFonts w:eastAsia="Times New Roman"/>
          <w:color w:val="auto"/>
          <w:kern w:val="0"/>
          <w:lang w:val="sr-Cyrl-CS"/>
        </w:rPr>
        <w:t xml:space="preserve"> </w:t>
      </w:r>
      <w:r>
        <w:rPr>
          <w:rFonts w:eastAsia="Times New Roman"/>
          <w:color w:val="auto"/>
          <w:kern w:val="0"/>
          <w:lang w:val="sr-Cyrl-CS"/>
        </w:rPr>
        <w:t>oblasti</w:t>
      </w:r>
      <w:r w:rsidR="005D036E" w:rsidRPr="00E95BC4">
        <w:rPr>
          <w:rFonts w:eastAsia="Times New Roman"/>
          <w:color w:val="auto"/>
          <w:kern w:val="0"/>
          <w:lang w:val="sr-Cyrl-CS"/>
        </w:rPr>
        <w:t xml:space="preserve"> </w:t>
      </w:r>
      <w:r>
        <w:rPr>
          <w:rFonts w:eastAsia="Times New Roman"/>
          <w:color w:val="auto"/>
          <w:kern w:val="0"/>
          <w:lang w:val="sr-Cyrl-CS"/>
        </w:rPr>
        <w:t>igara</w:t>
      </w:r>
      <w:r w:rsidR="005D036E" w:rsidRPr="00E95BC4">
        <w:rPr>
          <w:rFonts w:eastAsia="Times New Roman"/>
          <w:color w:val="auto"/>
          <w:kern w:val="0"/>
          <w:lang w:val="sr-Cyrl-CS"/>
        </w:rPr>
        <w:t xml:space="preserve"> </w:t>
      </w:r>
      <w:r>
        <w:rPr>
          <w:rFonts w:eastAsia="Times New Roman"/>
          <w:color w:val="auto"/>
          <w:kern w:val="0"/>
          <w:lang w:val="sr-Cyrl-CS"/>
        </w:rPr>
        <w:t>na</w:t>
      </w:r>
      <w:r w:rsidR="005D036E" w:rsidRPr="00E95BC4">
        <w:rPr>
          <w:rFonts w:eastAsia="Times New Roman"/>
          <w:color w:val="auto"/>
          <w:kern w:val="0"/>
          <w:lang w:val="sr-Cyrl-CS"/>
        </w:rPr>
        <w:t xml:space="preserve"> </w:t>
      </w:r>
      <w:r>
        <w:rPr>
          <w:rFonts w:eastAsia="Times New Roman"/>
          <w:color w:val="auto"/>
          <w:kern w:val="0"/>
          <w:lang w:val="sr-Cyrl-CS"/>
        </w:rPr>
        <w:t>sreću</w:t>
      </w:r>
      <w:r w:rsidR="005D036E" w:rsidRPr="00E95BC4">
        <w:rPr>
          <w:rFonts w:eastAsia="Times New Roman"/>
          <w:color w:val="auto"/>
          <w:kern w:val="0"/>
          <w:lang w:val="sr-Cyrl-CS"/>
        </w:rPr>
        <w:t>,</w:t>
      </w:r>
    </w:p>
    <w:p w:rsidR="00891EE4" w:rsidRPr="00E95BC4" w:rsidRDefault="005818C0" w:rsidP="00AC7277">
      <w:pPr>
        <w:numPr>
          <w:ilvl w:val="0"/>
          <w:numId w:val="21"/>
        </w:numPr>
        <w:tabs>
          <w:tab w:val="clear" w:pos="720"/>
        </w:tabs>
        <w:ind w:left="459"/>
        <w:rPr>
          <w:rFonts w:eastAsia="Times New Roman"/>
          <w:color w:val="auto"/>
          <w:kern w:val="0"/>
          <w:lang w:val="sr-Cyrl-CS"/>
        </w:rPr>
      </w:pPr>
      <w:r>
        <w:rPr>
          <w:rFonts w:eastAsia="Times New Roman"/>
          <w:color w:val="auto"/>
          <w:kern w:val="0"/>
          <w:lang w:val="sr-Cyrl-CS"/>
        </w:rPr>
        <w:t>ministarstvo</w:t>
      </w:r>
      <w:r w:rsidR="00891EE4" w:rsidRPr="00E95BC4">
        <w:rPr>
          <w:rFonts w:eastAsia="Times New Roman"/>
          <w:color w:val="auto"/>
          <w:kern w:val="0"/>
          <w:lang w:val="sr-Cyrl-CS"/>
        </w:rPr>
        <w:t xml:space="preserve"> </w:t>
      </w:r>
      <w:r>
        <w:rPr>
          <w:rFonts w:eastAsia="Times New Roman"/>
          <w:color w:val="auto"/>
          <w:kern w:val="0"/>
          <w:lang w:val="sr-Cyrl-CS"/>
        </w:rPr>
        <w:t>nadležno</w:t>
      </w:r>
      <w:r w:rsidR="00891EE4" w:rsidRPr="00E95BC4">
        <w:rPr>
          <w:rFonts w:eastAsia="Times New Roman"/>
          <w:color w:val="auto"/>
          <w:kern w:val="0"/>
          <w:lang w:val="sr-Cyrl-CS"/>
        </w:rPr>
        <w:t xml:space="preserve"> </w:t>
      </w:r>
      <w:r>
        <w:rPr>
          <w:rFonts w:eastAsia="Times New Roman"/>
          <w:color w:val="auto"/>
          <w:kern w:val="0"/>
          <w:lang w:val="sr-Cyrl-CS"/>
        </w:rPr>
        <w:t>za</w:t>
      </w:r>
      <w:r w:rsidR="00891EE4" w:rsidRPr="00E95BC4">
        <w:rPr>
          <w:rFonts w:eastAsia="Times New Roman"/>
          <w:color w:val="auto"/>
          <w:kern w:val="0"/>
          <w:lang w:val="sr-Cyrl-CS"/>
        </w:rPr>
        <w:t xml:space="preserve"> </w:t>
      </w:r>
      <w:r>
        <w:rPr>
          <w:rFonts w:eastAsia="Times New Roman"/>
          <w:color w:val="auto"/>
          <w:kern w:val="0"/>
          <w:lang w:val="sr-Cyrl-CS"/>
        </w:rPr>
        <w:t>inspekcijski</w:t>
      </w:r>
      <w:r w:rsidR="00891EE4" w:rsidRPr="00E95BC4">
        <w:rPr>
          <w:rFonts w:eastAsia="Times New Roman"/>
          <w:color w:val="auto"/>
          <w:kern w:val="0"/>
          <w:lang w:val="sr-Cyrl-CS"/>
        </w:rPr>
        <w:t xml:space="preserve"> </w:t>
      </w:r>
      <w:r>
        <w:rPr>
          <w:rFonts w:eastAsia="Times New Roman"/>
          <w:color w:val="auto"/>
          <w:kern w:val="0"/>
          <w:lang w:val="sr-Cyrl-CS"/>
        </w:rPr>
        <w:t>nadzor</w:t>
      </w:r>
      <w:r w:rsidR="00891EE4" w:rsidRPr="00E95BC4">
        <w:rPr>
          <w:rFonts w:eastAsia="Times New Roman"/>
          <w:color w:val="auto"/>
          <w:kern w:val="0"/>
          <w:lang w:val="sr-Cyrl-CS"/>
        </w:rPr>
        <w:t xml:space="preserve"> </w:t>
      </w:r>
      <w:r>
        <w:rPr>
          <w:rFonts w:eastAsia="Times New Roman"/>
          <w:color w:val="auto"/>
          <w:kern w:val="0"/>
          <w:lang w:val="sr-Cyrl-CS"/>
        </w:rPr>
        <w:t>u</w:t>
      </w:r>
      <w:r w:rsidR="00891EE4" w:rsidRPr="00E95BC4">
        <w:rPr>
          <w:rFonts w:eastAsia="Times New Roman"/>
          <w:color w:val="auto"/>
          <w:kern w:val="0"/>
          <w:lang w:val="sr-Cyrl-CS"/>
        </w:rPr>
        <w:t xml:space="preserve"> </w:t>
      </w:r>
      <w:r>
        <w:rPr>
          <w:rFonts w:eastAsia="Times New Roman"/>
          <w:color w:val="auto"/>
          <w:kern w:val="0"/>
          <w:lang w:val="sr-Cyrl-CS"/>
        </w:rPr>
        <w:t>oblasti</w:t>
      </w:r>
      <w:r w:rsidR="00891EE4" w:rsidRPr="00E95BC4">
        <w:rPr>
          <w:rFonts w:eastAsia="Times New Roman"/>
          <w:color w:val="auto"/>
          <w:kern w:val="0"/>
          <w:lang w:val="sr-Cyrl-CS"/>
        </w:rPr>
        <w:t xml:space="preserve"> </w:t>
      </w:r>
      <w:r>
        <w:rPr>
          <w:rFonts w:eastAsia="Times New Roman"/>
          <w:color w:val="auto"/>
          <w:kern w:val="0"/>
          <w:lang w:val="sr-Cyrl-CS"/>
        </w:rPr>
        <w:t>trgovine</w:t>
      </w:r>
      <w:r w:rsidR="00891EE4" w:rsidRPr="00E95BC4">
        <w:rPr>
          <w:rFonts w:eastAsia="Times New Roman"/>
          <w:color w:val="auto"/>
          <w:kern w:val="0"/>
          <w:lang w:val="sr-Cyrl-CS"/>
        </w:rPr>
        <w:t>,</w:t>
      </w:r>
    </w:p>
    <w:p w:rsidR="005D036E" w:rsidRPr="00E95BC4" w:rsidRDefault="005818C0" w:rsidP="00AC7277">
      <w:pPr>
        <w:numPr>
          <w:ilvl w:val="0"/>
          <w:numId w:val="21"/>
        </w:numPr>
        <w:tabs>
          <w:tab w:val="clear" w:pos="720"/>
        </w:tabs>
        <w:ind w:left="459"/>
        <w:rPr>
          <w:rFonts w:eastAsia="Times New Roman"/>
          <w:color w:val="auto"/>
          <w:kern w:val="0"/>
          <w:lang w:val="sr-Cyrl-CS"/>
        </w:rPr>
      </w:pPr>
      <w:r>
        <w:rPr>
          <w:rFonts w:eastAsia="Times New Roman"/>
          <w:color w:val="auto"/>
          <w:kern w:val="0"/>
          <w:lang w:val="sr-Cyrl-CS"/>
        </w:rPr>
        <w:t>Advokatska</w:t>
      </w:r>
      <w:r w:rsidR="005D036E" w:rsidRPr="00E95BC4">
        <w:rPr>
          <w:rFonts w:eastAsia="Times New Roman"/>
          <w:color w:val="auto"/>
          <w:kern w:val="0"/>
          <w:lang w:val="sr-Cyrl-CS"/>
        </w:rPr>
        <w:t xml:space="preserve"> </w:t>
      </w:r>
      <w:r>
        <w:rPr>
          <w:rFonts w:eastAsia="Times New Roman"/>
          <w:color w:val="auto"/>
          <w:kern w:val="0"/>
          <w:lang w:val="sr-Cyrl-CS"/>
        </w:rPr>
        <w:t>komora</w:t>
      </w:r>
      <w:r w:rsidR="00FF62B7" w:rsidRPr="00E95BC4">
        <w:rPr>
          <w:rFonts w:eastAsia="Times New Roman"/>
          <w:color w:val="auto"/>
          <w:kern w:val="0"/>
          <w:lang w:val="sr-Cyrl-CS"/>
        </w:rPr>
        <w:t xml:space="preserve"> </w:t>
      </w:r>
      <w:r>
        <w:rPr>
          <w:rFonts w:eastAsia="Times New Roman"/>
          <w:color w:val="auto"/>
          <w:kern w:val="0"/>
          <w:lang w:val="sr-Cyrl-CS"/>
        </w:rPr>
        <w:t>Srbije</w:t>
      </w:r>
      <w:r w:rsidR="005D036E" w:rsidRPr="00E95BC4">
        <w:rPr>
          <w:rFonts w:eastAsia="Times New Roman"/>
          <w:color w:val="auto"/>
          <w:kern w:val="0"/>
          <w:lang w:val="sr-Cyrl-CS"/>
        </w:rPr>
        <w:t>,</w:t>
      </w:r>
    </w:p>
    <w:p w:rsidR="00891EE4" w:rsidRPr="00E95BC4" w:rsidRDefault="005818C0" w:rsidP="00AC7277">
      <w:pPr>
        <w:numPr>
          <w:ilvl w:val="0"/>
          <w:numId w:val="21"/>
        </w:numPr>
        <w:tabs>
          <w:tab w:val="clear" w:pos="720"/>
        </w:tabs>
        <w:ind w:left="459"/>
        <w:rPr>
          <w:rFonts w:eastAsia="Times New Roman"/>
          <w:color w:val="auto"/>
          <w:kern w:val="0"/>
          <w:lang w:val="sr-Cyrl-CS"/>
        </w:rPr>
      </w:pPr>
      <w:r>
        <w:rPr>
          <w:rFonts w:eastAsia="Times New Roman"/>
          <w:color w:val="auto"/>
          <w:kern w:val="0"/>
          <w:lang w:val="sr-Cyrl-CS"/>
        </w:rPr>
        <w:t>ministarstvo</w:t>
      </w:r>
      <w:r w:rsidR="00891EE4" w:rsidRPr="00E95BC4">
        <w:rPr>
          <w:rFonts w:eastAsia="Times New Roman"/>
          <w:color w:val="auto"/>
          <w:kern w:val="0"/>
          <w:lang w:val="sr-Cyrl-CS"/>
        </w:rPr>
        <w:t xml:space="preserve"> </w:t>
      </w:r>
      <w:r>
        <w:rPr>
          <w:rFonts w:eastAsia="Times New Roman"/>
          <w:color w:val="auto"/>
          <w:kern w:val="0"/>
          <w:lang w:val="sr-Cyrl-CS"/>
        </w:rPr>
        <w:t>nadležno</w:t>
      </w:r>
      <w:r w:rsidR="00891EE4" w:rsidRPr="00E95BC4">
        <w:rPr>
          <w:rFonts w:eastAsia="Times New Roman"/>
          <w:color w:val="auto"/>
          <w:kern w:val="0"/>
          <w:lang w:val="sr-Cyrl-CS"/>
        </w:rPr>
        <w:t xml:space="preserve"> </w:t>
      </w:r>
      <w:r>
        <w:rPr>
          <w:rFonts w:eastAsia="Times New Roman"/>
          <w:color w:val="auto"/>
          <w:kern w:val="0"/>
          <w:lang w:val="sr-Cyrl-CS"/>
        </w:rPr>
        <w:t>za</w:t>
      </w:r>
      <w:r w:rsidR="00891EE4" w:rsidRPr="00E95BC4">
        <w:rPr>
          <w:rFonts w:eastAsia="Times New Roman"/>
          <w:color w:val="auto"/>
          <w:kern w:val="0"/>
          <w:lang w:val="sr-Cyrl-CS"/>
        </w:rPr>
        <w:t xml:space="preserve"> </w:t>
      </w:r>
      <w:r>
        <w:rPr>
          <w:rFonts w:eastAsia="Times New Roman"/>
          <w:color w:val="auto"/>
          <w:kern w:val="0"/>
          <w:lang w:val="sr-Cyrl-CS"/>
        </w:rPr>
        <w:t>poslove</w:t>
      </w:r>
      <w:r w:rsidR="00891EE4" w:rsidRPr="00E95BC4">
        <w:rPr>
          <w:rFonts w:eastAsia="Times New Roman"/>
          <w:color w:val="auto"/>
          <w:kern w:val="0"/>
          <w:lang w:val="sr-Cyrl-CS"/>
        </w:rPr>
        <w:t xml:space="preserve"> </w:t>
      </w:r>
      <w:r>
        <w:rPr>
          <w:rFonts w:eastAsia="Times New Roman"/>
          <w:color w:val="auto"/>
          <w:kern w:val="0"/>
          <w:lang w:val="sr-Cyrl-CS"/>
        </w:rPr>
        <w:t>poštanskog</w:t>
      </w:r>
      <w:r w:rsidR="00891EE4" w:rsidRPr="00E95BC4">
        <w:rPr>
          <w:rFonts w:eastAsia="Times New Roman"/>
          <w:color w:val="auto"/>
          <w:kern w:val="0"/>
          <w:lang w:val="sr-Cyrl-CS"/>
        </w:rPr>
        <w:t xml:space="preserve"> </w:t>
      </w:r>
      <w:r>
        <w:rPr>
          <w:rFonts w:eastAsia="Times New Roman"/>
          <w:color w:val="auto"/>
          <w:kern w:val="0"/>
          <w:lang w:val="sr-Cyrl-CS"/>
        </w:rPr>
        <w:t>saobraćaja</w:t>
      </w:r>
      <w:r w:rsidR="00891EE4" w:rsidRPr="00E95BC4">
        <w:rPr>
          <w:rFonts w:eastAsia="Times New Roman"/>
          <w:color w:val="auto"/>
          <w:kern w:val="0"/>
          <w:lang w:val="sr-Cyrl-CS"/>
        </w:rPr>
        <w:t>,</w:t>
      </w:r>
    </w:p>
    <w:p w:rsidR="00891EE4" w:rsidRPr="00E95BC4" w:rsidRDefault="005818C0" w:rsidP="00AC7277">
      <w:pPr>
        <w:numPr>
          <w:ilvl w:val="0"/>
          <w:numId w:val="21"/>
        </w:numPr>
        <w:tabs>
          <w:tab w:val="clear" w:pos="720"/>
        </w:tabs>
        <w:ind w:left="459"/>
        <w:rPr>
          <w:rFonts w:eastAsia="Times New Roman"/>
          <w:color w:val="auto"/>
          <w:kern w:val="0"/>
          <w:lang w:val="sr-Cyrl-CS"/>
        </w:rPr>
      </w:pPr>
      <w:r>
        <w:rPr>
          <w:rFonts w:eastAsia="Times New Roman"/>
          <w:color w:val="auto"/>
          <w:kern w:val="0"/>
          <w:lang w:val="sr-Cyrl-CS"/>
        </w:rPr>
        <w:t>Javnobeležnička</w:t>
      </w:r>
      <w:r w:rsidR="00891EE4" w:rsidRPr="00E95BC4">
        <w:rPr>
          <w:rFonts w:eastAsia="Times New Roman"/>
          <w:color w:val="auto"/>
          <w:kern w:val="0"/>
          <w:lang w:val="sr-Cyrl-CS"/>
        </w:rPr>
        <w:t xml:space="preserve"> </w:t>
      </w:r>
      <w:r>
        <w:rPr>
          <w:rFonts w:eastAsia="Times New Roman"/>
          <w:color w:val="auto"/>
          <w:kern w:val="0"/>
          <w:lang w:val="sr-Cyrl-CS"/>
        </w:rPr>
        <w:t>komora</w:t>
      </w:r>
      <w:r w:rsidR="00FF62B7" w:rsidRPr="00E95BC4">
        <w:rPr>
          <w:rFonts w:eastAsia="Times New Roman"/>
          <w:color w:val="auto"/>
          <w:kern w:val="0"/>
          <w:lang w:val="sr-Cyrl-CS"/>
        </w:rPr>
        <w:t xml:space="preserve"> </w:t>
      </w:r>
      <w:r>
        <w:rPr>
          <w:rFonts w:eastAsia="Times New Roman"/>
          <w:color w:val="auto"/>
          <w:kern w:val="0"/>
          <w:lang w:val="sr-Cyrl-CS"/>
        </w:rPr>
        <w:t>Srbije</w:t>
      </w:r>
      <w:r w:rsidR="00891EE4" w:rsidRPr="00E95BC4">
        <w:rPr>
          <w:rFonts w:eastAsia="Times New Roman"/>
          <w:color w:val="auto"/>
          <w:kern w:val="0"/>
          <w:lang w:val="sr-Cyrl-CS"/>
        </w:rPr>
        <w:t>.</w:t>
      </w:r>
    </w:p>
    <w:p w:rsidR="00891EE4" w:rsidRPr="00E95BC4" w:rsidRDefault="00891EE4" w:rsidP="00285FD7">
      <w:pPr>
        <w:rPr>
          <w:rFonts w:eastAsia="Times New Roman"/>
          <w:b/>
          <w:bCs/>
          <w:color w:val="auto"/>
          <w:kern w:val="0"/>
          <w:lang w:val="sr-Cyrl-CS"/>
        </w:rPr>
      </w:pPr>
    </w:p>
    <w:p w:rsidR="00891EE4" w:rsidRPr="00E95BC4" w:rsidRDefault="005818C0" w:rsidP="00AC7277">
      <w:pPr>
        <w:pStyle w:val="ListParagraph"/>
        <w:numPr>
          <w:ilvl w:val="0"/>
          <w:numId w:val="11"/>
        </w:numPr>
        <w:rPr>
          <w:rFonts w:eastAsia="Times New Roman"/>
          <w:b/>
          <w:color w:val="auto"/>
          <w:kern w:val="0"/>
          <w:lang w:val="sr-Cyrl-CS"/>
        </w:rPr>
      </w:pPr>
      <w:r>
        <w:rPr>
          <w:rFonts w:eastAsia="Times New Roman"/>
          <w:b/>
          <w:bCs/>
          <w:color w:val="auto"/>
          <w:kern w:val="0"/>
          <w:lang w:val="sr-Cyrl-CS"/>
        </w:rPr>
        <w:t>Pravosudni</w:t>
      </w:r>
      <w:r w:rsidR="00891EE4" w:rsidRPr="00E95BC4">
        <w:rPr>
          <w:rFonts w:eastAsia="Times New Roman"/>
          <w:b/>
          <w:bCs/>
          <w:color w:val="auto"/>
          <w:kern w:val="0"/>
          <w:lang w:val="sr-Cyrl-CS"/>
        </w:rPr>
        <w:t xml:space="preserve">, </w:t>
      </w:r>
      <w:r>
        <w:rPr>
          <w:rFonts w:eastAsia="Times New Roman"/>
          <w:b/>
          <w:bCs/>
          <w:color w:val="auto"/>
          <w:kern w:val="0"/>
          <w:lang w:val="sr-Cyrl-CS"/>
        </w:rPr>
        <w:t>policijski</w:t>
      </w:r>
      <w:r w:rsidR="00891EE4" w:rsidRPr="00E95BC4">
        <w:rPr>
          <w:rFonts w:eastAsia="Times New Roman"/>
          <w:b/>
          <w:bCs/>
          <w:color w:val="auto"/>
          <w:kern w:val="0"/>
          <w:lang w:val="sr-Cyrl-CS"/>
        </w:rPr>
        <w:t xml:space="preserve"> </w:t>
      </w:r>
      <w:r>
        <w:rPr>
          <w:rFonts w:eastAsia="Times New Roman"/>
          <w:b/>
          <w:bCs/>
          <w:color w:val="auto"/>
          <w:kern w:val="0"/>
          <w:lang w:val="sr-Cyrl-CS"/>
        </w:rPr>
        <w:t>i</w:t>
      </w:r>
      <w:r w:rsidR="00891EE4" w:rsidRPr="00E95BC4">
        <w:rPr>
          <w:rFonts w:eastAsia="Times New Roman"/>
          <w:b/>
          <w:bCs/>
          <w:color w:val="auto"/>
          <w:kern w:val="0"/>
          <w:lang w:val="sr-Cyrl-CS"/>
        </w:rPr>
        <w:t xml:space="preserve"> </w:t>
      </w:r>
      <w:r>
        <w:rPr>
          <w:rFonts w:eastAsia="Times New Roman"/>
          <w:b/>
          <w:bCs/>
          <w:color w:val="auto"/>
          <w:kern w:val="0"/>
          <w:lang w:val="sr-Cyrl-CS"/>
        </w:rPr>
        <w:t>drugi</w:t>
      </w:r>
      <w:r w:rsidR="00891EE4" w:rsidRPr="00E95BC4">
        <w:rPr>
          <w:rFonts w:eastAsia="Times New Roman"/>
          <w:b/>
          <w:bCs/>
          <w:color w:val="auto"/>
          <w:kern w:val="0"/>
          <w:lang w:val="sr-Cyrl-CS"/>
        </w:rPr>
        <w:t xml:space="preserve"> </w:t>
      </w:r>
      <w:r>
        <w:rPr>
          <w:rFonts w:eastAsia="Times New Roman"/>
          <w:b/>
          <w:bCs/>
          <w:color w:val="auto"/>
          <w:kern w:val="0"/>
          <w:lang w:val="sr-Cyrl-CS"/>
        </w:rPr>
        <w:t>relevantni</w:t>
      </w:r>
      <w:r w:rsidR="007574CB" w:rsidRPr="00E95BC4">
        <w:rPr>
          <w:rFonts w:eastAsia="Times New Roman"/>
          <w:b/>
          <w:bCs/>
          <w:color w:val="auto"/>
          <w:kern w:val="0"/>
          <w:lang w:val="sr-Cyrl-CS"/>
        </w:rPr>
        <w:t xml:space="preserve"> </w:t>
      </w:r>
      <w:r>
        <w:rPr>
          <w:rFonts w:eastAsia="Times New Roman"/>
          <w:b/>
          <w:bCs/>
          <w:color w:val="auto"/>
          <w:kern w:val="0"/>
          <w:lang w:val="sr-Cyrl-CS"/>
        </w:rPr>
        <w:t>organi</w:t>
      </w:r>
      <w:r w:rsidR="00891EE4" w:rsidRPr="00E95BC4">
        <w:rPr>
          <w:rFonts w:eastAsia="Times New Roman"/>
          <w:b/>
          <w:bCs/>
          <w:color w:val="auto"/>
          <w:kern w:val="0"/>
          <w:lang w:val="sr-Cyrl-CS"/>
        </w:rPr>
        <w:t>:</w:t>
      </w:r>
    </w:p>
    <w:p w:rsidR="00891EE4" w:rsidRPr="00E95BC4" w:rsidRDefault="00891EE4" w:rsidP="00285FD7">
      <w:pPr>
        <w:pStyle w:val="ListParagraph"/>
        <w:rPr>
          <w:rFonts w:eastAsia="Times New Roman"/>
          <w:b/>
          <w:color w:val="auto"/>
          <w:kern w:val="0"/>
          <w:lang w:val="sr-Cyrl-CS"/>
        </w:rPr>
      </w:pPr>
    </w:p>
    <w:p w:rsidR="00891EE4" w:rsidRPr="00E95BC4" w:rsidRDefault="005818C0" w:rsidP="00AC7277">
      <w:pPr>
        <w:numPr>
          <w:ilvl w:val="0"/>
          <w:numId w:val="22"/>
        </w:numPr>
        <w:tabs>
          <w:tab w:val="clear" w:pos="720"/>
        </w:tabs>
        <w:ind w:left="459"/>
        <w:rPr>
          <w:rFonts w:eastAsia="Times New Roman"/>
          <w:color w:val="auto"/>
          <w:kern w:val="0"/>
          <w:lang w:val="sr-Cyrl-CS"/>
        </w:rPr>
      </w:pPr>
      <w:r>
        <w:rPr>
          <w:rFonts w:eastAsia="Times New Roman"/>
          <w:color w:val="auto"/>
          <w:kern w:val="0"/>
          <w:lang w:val="sr-Cyrl-CS"/>
        </w:rPr>
        <w:t>sudovi</w:t>
      </w:r>
      <w:r w:rsidR="00E91A83" w:rsidRPr="00E95BC4">
        <w:rPr>
          <w:rFonts w:eastAsia="Times New Roman"/>
          <w:color w:val="auto"/>
          <w:kern w:val="0"/>
          <w:lang w:val="sr-Cyrl-CS"/>
        </w:rPr>
        <w:t>,</w:t>
      </w:r>
    </w:p>
    <w:p w:rsidR="00891EE4" w:rsidRPr="00E95BC4" w:rsidRDefault="005818C0" w:rsidP="00AC7277">
      <w:pPr>
        <w:numPr>
          <w:ilvl w:val="0"/>
          <w:numId w:val="22"/>
        </w:numPr>
        <w:tabs>
          <w:tab w:val="clear" w:pos="720"/>
        </w:tabs>
        <w:ind w:left="459"/>
        <w:rPr>
          <w:rFonts w:eastAsia="Times New Roman"/>
          <w:color w:val="auto"/>
          <w:kern w:val="0"/>
          <w:lang w:val="sr-Cyrl-CS"/>
        </w:rPr>
      </w:pPr>
      <w:r>
        <w:rPr>
          <w:rFonts w:eastAsia="Times New Roman"/>
          <w:color w:val="auto"/>
          <w:kern w:val="0"/>
          <w:lang w:val="sr-Cyrl-CS"/>
        </w:rPr>
        <w:t>Republičko</w:t>
      </w:r>
      <w:r w:rsidR="00891EE4" w:rsidRPr="00E95BC4">
        <w:rPr>
          <w:rFonts w:eastAsia="Times New Roman"/>
          <w:color w:val="auto"/>
          <w:kern w:val="0"/>
          <w:lang w:val="sr-Cyrl-CS"/>
        </w:rPr>
        <w:t xml:space="preserve"> </w:t>
      </w:r>
      <w:r>
        <w:rPr>
          <w:rFonts w:eastAsia="Times New Roman"/>
          <w:color w:val="auto"/>
          <w:kern w:val="0"/>
          <w:lang w:val="sr-Cyrl-CS"/>
        </w:rPr>
        <w:t>javno</w:t>
      </w:r>
      <w:r w:rsidR="00891EE4" w:rsidRPr="00E95BC4">
        <w:rPr>
          <w:rFonts w:eastAsia="Times New Roman"/>
          <w:color w:val="auto"/>
          <w:kern w:val="0"/>
          <w:lang w:val="sr-Cyrl-CS"/>
        </w:rPr>
        <w:t xml:space="preserve"> </w:t>
      </w:r>
      <w:r>
        <w:rPr>
          <w:rFonts w:eastAsia="Times New Roman"/>
          <w:color w:val="auto"/>
          <w:kern w:val="0"/>
          <w:lang w:val="sr-Cyrl-CS"/>
        </w:rPr>
        <w:t>tužilaštvo</w:t>
      </w:r>
      <w:r w:rsidR="00891EE4" w:rsidRPr="00E95BC4">
        <w:rPr>
          <w:rFonts w:eastAsia="Times New Roman"/>
          <w:color w:val="auto"/>
          <w:kern w:val="0"/>
          <w:lang w:val="sr-Cyrl-CS"/>
        </w:rPr>
        <w:t>,</w:t>
      </w:r>
    </w:p>
    <w:p w:rsidR="00891EE4" w:rsidRPr="00E95BC4" w:rsidRDefault="005818C0" w:rsidP="00AC7277">
      <w:pPr>
        <w:numPr>
          <w:ilvl w:val="0"/>
          <w:numId w:val="22"/>
        </w:numPr>
        <w:tabs>
          <w:tab w:val="clear" w:pos="720"/>
        </w:tabs>
        <w:ind w:left="459"/>
        <w:rPr>
          <w:rFonts w:eastAsia="Times New Roman"/>
          <w:color w:val="auto"/>
          <w:kern w:val="0"/>
          <w:lang w:val="sr-Cyrl-CS"/>
        </w:rPr>
      </w:pPr>
      <w:r>
        <w:rPr>
          <w:rFonts w:eastAsia="Times New Roman"/>
          <w:color w:val="auto"/>
          <w:kern w:val="0"/>
          <w:lang w:val="sr-Cyrl-CS"/>
        </w:rPr>
        <w:t>Ministarstvo</w:t>
      </w:r>
      <w:r w:rsidR="00891EE4" w:rsidRPr="00E95BC4">
        <w:rPr>
          <w:rFonts w:eastAsia="Times New Roman"/>
          <w:color w:val="auto"/>
          <w:kern w:val="0"/>
          <w:lang w:val="sr-Cyrl-CS"/>
        </w:rPr>
        <w:t xml:space="preserve"> </w:t>
      </w:r>
      <w:r>
        <w:rPr>
          <w:rFonts w:eastAsia="Times New Roman"/>
          <w:color w:val="auto"/>
          <w:kern w:val="0"/>
          <w:lang w:val="sr-Cyrl-CS"/>
        </w:rPr>
        <w:t>unutrašnjih</w:t>
      </w:r>
      <w:r w:rsidR="00891EE4" w:rsidRPr="00E95BC4">
        <w:rPr>
          <w:rFonts w:eastAsia="Times New Roman"/>
          <w:color w:val="auto"/>
          <w:kern w:val="0"/>
          <w:lang w:val="sr-Cyrl-CS"/>
        </w:rPr>
        <w:t xml:space="preserve"> </w:t>
      </w:r>
      <w:r>
        <w:rPr>
          <w:rFonts w:eastAsia="Times New Roman"/>
          <w:color w:val="auto"/>
          <w:kern w:val="0"/>
          <w:lang w:val="sr-Cyrl-CS"/>
        </w:rPr>
        <w:t>poslova</w:t>
      </w:r>
      <w:r w:rsidR="00891EE4" w:rsidRPr="00E95BC4">
        <w:rPr>
          <w:rFonts w:eastAsia="Times New Roman"/>
          <w:color w:val="auto"/>
          <w:kern w:val="0"/>
          <w:lang w:val="sr-Cyrl-CS"/>
        </w:rPr>
        <w:t>,</w:t>
      </w:r>
    </w:p>
    <w:p w:rsidR="00891EE4" w:rsidRPr="00E95BC4" w:rsidRDefault="005818C0" w:rsidP="00AC7277">
      <w:pPr>
        <w:numPr>
          <w:ilvl w:val="0"/>
          <w:numId w:val="22"/>
        </w:numPr>
        <w:tabs>
          <w:tab w:val="clear" w:pos="720"/>
        </w:tabs>
        <w:ind w:left="459"/>
        <w:rPr>
          <w:rFonts w:eastAsia="Times New Roman"/>
          <w:color w:val="auto"/>
          <w:kern w:val="0"/>
          <w:lang w:val="sr-Cyrl-CS"/>
        </w:rPr>
      </w:pPr>
      <w:r>
        <w:rPr>
          <w:rFonts w:eastAsia="Times New Roman"/>
          <w:color w:val="auto"/>
          <w:kern w:val="0"/>
          <w:lang w:val="sr-Cyrl-CS"/>
        </w:rPr>
        <w:t>Bezbednosno</w:t>
      </w:r>
      <w:r w:rsidR="00891EE4" w:rsidRPr="00E95BC4">
        <w:rPr>
          <w:rFonts w:eastAsia="Times New Roman"/>
          <w:color w:val="auto"/>
          <w:kern w:val="0"/>
          <w:lang w:val="sr-Cyrl-CS"/>
        </w:rPr>
        <w:t>-</w:t>
      </w:r>
      <w:r>
        <w:rPr>
          <w:rFonts w:eastAsia="Times New Roman"/>
          <w:color w:val="auto"/>
          <w:kern w:val="0"/>
          <w:lang w:val="sr-Cyrl-CS"/>
        </w:rPr>
        <w:t>informativna</w:t>
      </w:r>
      <w:r w:rsidR="00891EE4" w:rsidRPr="00E95BC4">
        <w:rPr>
          <w:rFonts w:eastAsia="Times New Roman"/>
          <w:color w:val="auto"/>
          <w:kern w:val="0"/>
          <w:lang w:val="sr-Cyrl-CS"/>
        </w:rPr>
        <w:t xml:space="preserve"> </w:t>
      </w:r>
      <w:r>
        <w:rPr>
          <w:rFonts w:eastAsia="Times New Roman"/>
          <w:color w:val="auto"/>
          <w:kern w:val="0"/>
          <w:lang w:val="sr-Cyrl-CS"/>
        </w:rPr>
        <w:t>agencija</w:t>
      </w:r>
      <w:r w:rsidR="00E91A83" w:rsidRPr="00E95BC4">
        <w:rPr>
          <w:rFonts w:eastAsia="Times New Roman"/>
          <w:color w:val="auto"/>
          <w:kern w:val="0"/>
          <w:lang w:val="sr-Cyrl-CS"/>
        </w:rPr>
        <w:t>,</w:t>
      </w:r>
    </w:p>
    <w:p w:rsidR="00891EE4" w:rsidRPr="00E95BC4" w:rsidRDefault="005818C0" w:rsidP="00AC7277">
      <w:pPr>
        <w:numPr>
          <w:ilvl w:val="0"/>
          <w:numId w:val="22"/>
        </w:numPr>
        <w:tabs>
          <w:tab w:val="clear" w:pos="720"/>
        </w:tabs>
        <w:ind w:left="459"/>
        <w:rPr>
          <w:rFonts w:eastAsia="Times New Roman"/>
          <w:color w:val="auto"/>
          <w:kern w:val="0"/>
          <w:lang w:val="sr-Cyrl-CS"/>
        </w:rPr>
      </w:pPr>
      <w:r>
        <w:rPr>
          <w:rFonts w:eastAsia="Times New Roman"/>
          <w:color w:val="auto"/>
          <w:kern w:val="0"/>
          <w:lang w:val="sr-Cyrl-CS"/>
        </w:rPr>
        <w:t>Ministarstvo</w:t>
      </w:r>
      <w:r w:rsidR="00891EE4" w:rsidRPr="00E95BC4">
        <w:rPr>
          <w:rFonts w:eastAsia="Times New Roman"/>
          <w:color w:val="auto"/>
          <w:kern w:val="0"/>
          <w:lang w:val="sr-Cyrl-CS"/>
        </w:rPr>
        <w:t xml:space="preserve"> </w:t>
      </w:r>
      <w:r>
        <w:rPr>
          <w:rFonts w:eastAsia="Times New Roman"/>
          <w:color w:val="auto"/>
          <w:kern w:val="0"/>
          <w:lang w:val="sr-Cyrl-CS"/>
        </w:rPr>
        <w:t>spoljnih</w:t>
      </w:r>
      <w:r w:rsidR="00891EE4" w:rsidRPr="00E95BC4">
        <w:rPr>
          <w:rFonts w:eastAsia="Times New Roman"/>
          <w:color w:val="auto"/>
          <w:kern w:val="0"/>
          <w:lang w:val="sr-Cyrl-CS"/>
        </w:rPr>
        <w:t xml:space="preserve"> </w:t>
      </w:r>
      <w:r>
        <w:rPr>
          <w:rFonts w:eastAsia="Times New Roman"/>
          <w:color w:val="auto"/>
          <w:kern w:val="0"/>
          <w:lang w:val="sr-Cyrl-CS"/>
        </w:rPr>
        <w:t>poslova</w:t>
      </w:r>
      <w:r w:rsidR="00E91A83" w:rsidRPr="00E95BC4">
        <w:rPr>
          <w:rFonts w:eastAsia="Times New Roman"/>
          <w:color w:val="auto"/>
          <w:kern w:val="0"/>
          <w:lang w:val="sr-Cyrl-CS"/>
        </w:rPr>
        <w:t>,</w:t>
      </w:r>
    </w:p>
    <w:p w:rsidR="00891EE4" w:rsidRPr="00E95BC4" w:rsidRDefault="005818C0" w:rsidP="00AC7277">
      <w:pPr>
        <w:numPr>
          <w:ilvl w:val="0"/>
          <w:numId w:val="22"/>
        </w:numPr>
        <w:tabs>
          <w:tab w:val="clear" w:pos="720"/>
        </w:tabs>
        <w:ind w:left="459"/>
        <w:rPr>
          <w:rFonts w:eastAsia="Times New Roman"/>
          <w:color w:val="auto"/>
          <w:kern w:val="0"/>
          <w:lang w:val="sr-Cyrl-CS"/>
        </w:rPr>
      </w:pPr>
      <w:r>
        <w:rPr>
          <w:rFonts w:eastAsia="Times New Roman"/>
          <w:color w:val="auto"/>
          <w:kern w:val="0"/>
          <w:lang w:val="sr-Cyrl-CS"/>
        </w:rPr>
        <w:t>Uprava</w:t>
      </w:r>
      <w:r w:rsidR="00891EE4" w:rsidRPr="00E95BC4">
        <w:rPr>
          <w:rFonts w:eastAsia="Times New Roman"/>
          <w:color w:val="auto"/>
          <w:kern w:val="0"/>
          <w:lang w:val="sr-Cyrl-CS"/>
        </w:rPr>
        <w:t xml:space="preserve"> </w:t>
      </w:r>
      <w:r>
        <w:rPr>
          <w:rFonts w:eastAsia="Times New Roman"/>
          <w:color w:val="auto"/>
          <w:kern w:val="0"/>
          <w:lang w:val="sr-Cyrl-CS"/>
        </w:rPr>
        <w:t>carina</w:t>
      </w:r>
      <w:r w:rsidR="00E91A83" w:rsidRPr="00E95BC4">
        <w:rPr>
          <w:rFonts w:eastAsia="Times New Roman"/>
          <w:color w:val="auto"/>
          <w:kern w:val="0"/>
          <w:lang w:val="sr-Cyrl-CS"/>
        </w:rPr>
        <w:t>,</w:t>
      </w:r>
    </w:p>
    <w:p w:rsidR="00891EE4" w:rsidRPr="00E95BC4" w:rsidRDefault="005818C0" w:rsidP="00AC7277">
      <w:pPr>
        <w:numPr>
          <w:ilvl w:val="0"/>
          <w:numId w:val="22"/>
        </w:numPr>
        <w:tabs>
          <w:tab w:val="clear" w:pos="720"/>
        </w:tabs>
        <w:ind w:left="459"/>
        <w:rPr>
          <w:rFonts w:eastAsia="Times New Roman"/>
          <w:color w:val="auto"/>
          <w:kern w:val="0"/>
          <w:lang w:val="sr-Cyrl-CS"/>
        </w:rPr>
      </w:pPr>
      <w:r>
        <w:rPr>
          <w:rFonts w:eastAsia="Times New Roman"/>
          <w:color w:val="auto"/>
          <w:kern w:val="0"/>
          <w:lang w:val="sr-Cyrl-CS"/>
        </w:rPr>
        <w:t>Poreska</w:t>
      </w:r>
      <w:r w:rsidR="00891EE4" w:rsidRPr="00E95BC4">
        <w:rPr>
          <w:rFonts w:eastAsia="Times New Roman"/>
          <w:color w:val="auto"/>
          <w:kern w:val="0"/>
          <w:lang w:val="sr-Cyrl-CS"/>
        </w:rPr>
        <w:t xml:space="preserve"> </w:t>
      </w:r>
      <w:r>
        <w:rPr>
          <w:rFonts w:eastAsia="Times New Roman"/>
          <w:color w:val="auto"/>
          <w:kern w:val="0"/>
          <w:lang w:val="sr-Cyrl-CS"/>
        </w:rPr>
        <w:t>uprava</w:t>
      </w:r>
      <w:r w:rsidR="00E91A83" w:rsidRPr="00E95BC4">
        <w:rPr>
          <w:rFonts w:eastAsia="Times New Roman"/>
          <w:color w:val="auto"/>
          <w:kern w:val="0"/>
          <w:lang w:val="sr-Cyrl-CS"/>
        </w:rPr>
        <w:t>,</w:t>
      </w:r>
    </w:p>
    <w:p w:rsidR="00891EE4" w:rsidRPr="00E95BC4" w:rsidRDefault="005818C0" w:rsidP="00AC7277">
      <w:pPr>
        <w:numPr>
          <w:ilvl w:val="0"/>
          <w:numId w:val="22"/>
        </w:numPr>
        <w:tabs>
          <w:tab w:val="clear" w:pos="720"/>
        </w:tabs>
        <w:ind w:left="459"/>
        <w:rPr>
          <w:rFonts w:eastAsia="Times New Roman"/>
          <w:color w:val="auto"/>
          <w:kern w:val="0"/>
          <w:lang w:val="sr-Cyrl-CS"/>
        </w:rPr>
      </w:pPr>
      <w:r>
        <w:rPr>
          <w:rFonts w:eastAsia="Times New Roman"/>
          <w:color w:val="auto"/>
          <w:kern w:val="0"/>
          <w:lang w:val="sr-Cyrl-CS"/>
        </w:rPr>
        <w:t>Agencija</w:t>
      </w:r>
      <w:r w:rsidR="00891EE4" w:rsidRPr="00E95BC4">
        <w:rPr>
          <w:rFonts w:eastAsia="Times New Roman"/>
          <w:color w:val="auto"/>
          <w:kern w:val="0"/>
          <w:lang w:val="sr-Cyrl-CS"/>
        </w:rPr>
        <w:t xml:space="preserve"> </w:t>
      </w:r>
      <w:r>
        <w:rPr>
          <w:rFonts w:eastAsia="Times New Roman"/>
          <w:color w:val="auto"/>
          <w:kern w:val="0"/>
          <w:lang w:val="sr-Cyrl-CS"/>
        </w:rPr>
        <w:t>za</w:t>
      </w:r>
      <w:r w:rsidR="00891EE4" w:rsidRPr="00E95BC4">
        <w:rPr>
          <w:rFonts w:eastAsia="Times New Roman"/>
          <w:color w:val="auto"/>
          <w:kern w:val="0"/>
          <w:lang w:val="sr-Cyrl-CS"/>
        </w:rPr>
        <w:t xml:space="preserve"> </w:t>
      </w:r>
      <w:r>
        <w:rPr>
          <w:rFonts w:eastAsia="Times New Roman"/>
          <w:color w:val="auto"/>
          <w:kern w:val="0"/>
          <w:lang w:val="sr-Cyrl-CS"/>
        </w:rPr>
        <w:t>borbu</w:t>
      </w:r>
      <w:r w:rsidR="00891EE4" w:rsidRPr="00E95BC4">
        <w:rPr>
          <w:rFonts w:eastAsia="Times New Roman"/>
          <w:color w:val="auto"/>
          <w:kern w:val="0"/>
          <w:lang w:val="sr-Cyrl-CS"/>
        </w:rPr>
        <w:t xml:space="preserve"> </w:t>
      </w:r>
      <w:r>
        <w:rPr>
          <w:rFonts w:eastAsia="Times New Roman"/>
          <w:color w:val="auto"/>
          <w:kern w:val="0"/>
          <w:lang w:val="sr-Cyrl-CS"/>
        </w:rPr>
        <w:t>protiv</w:t>
      </w:r>
      <w:r w:rsidR="00891EE4" w:rsidRPr="00E95BC4">
        <w:rPr>
          <w:rFonts w:eastAsia="Times New Roman"/>
          <w:color w:val="auto"/>
          <w:kern w:val="0"/>
          <w:lang w:val="sr-Cyrl-CS"/>
        </w:rPr>
        <w:t xml:space="preserve"> </w:t>
      </w:r>
      <w:r>
        <w:rPr>
          <w:rFonts w:eastAsia="Times New Roman"/>
          <w:color w:val="auto"/>
          <w:kern w:val="0"/>
          <w:lang w:val="sr-Cyrl-CS"/>
        </w:rPr>
        <w:t>korupcije</w:t>
      </w:r>
      <w:r w:rsidR="00E91A83" w:rsidRPr="00E95BC4">
        <w:rPr>
          <w:rFonts w:eastAsia="Times New Roman"/>
          <w:color w:val="auto"/>
          <w:kern w:val="0"/>
          <w:lang w:val="sr-Cyrl-CS"/>
        </w:rPr>
        <w:t>,</w:t>
      </w:r>
    </w:p>
    <w:p w:rsidR="00891EE4" w:rsidRPr="00E95BC4" w:rsidRDefault="005818C0" w:rsidP="00AC7277">
      <w:pPr>
        <w:numPr>
          <w:ilvl w:val="0"/>
          <w:numId w:val="22"/>
        </w:numPr>
        <w:tabs>
          <w:tab w:val="clear" w:pos="720"/>
        </w:tabs>
        <w:ind w:left="459"/>
        <w:rPr>
          <w:rFonts w:eastAsia="Times New Roman"/>
          <w:color w:val="auto"/>
          <w:kern w:val="0"/>
          <w:lang w:val="sr-Cyrl-CS"/>
        </w:rPr>
      </w:pPr>
      <w:r>
        <w:rPr>
          <w:rFonts w:eastAsia="Times New Roman"/>
          <w:color w:val="auto"/>
          <w:kern w:val="0"/>
          <w:lang w:val="sr-Cyrl-CS"/>
        </w:rPr>
        <w:t>Vojnoobaveštajna</w:t>
      </w:r>
      <w:r w:rsidR="00891EE4" w:rsidRPr="00E95BC4">
        <w:rPr>
          <w:rFonts w:eastAsia="Times New Roman"/>
          <w:color w:val="auto"/>
          <w:kern w:val="0"/>
          <w:lang w:val="sr-Cyrl-CS"/>
        </w:rPr>
        <w:t xml:space="preserve"> </w:t>
      </w:r>
      <w:r>
        <w:rPr>
          <w:rFonts w:eastAsia="Times New Roman"/>
          <w:color w:val="auto"/>
          <w:kern w:val="0"/>
          <w:lang w:val="sr-Cyrl-CS"/>
        </w:rPr>
        <w:t>agencija</w:t>
      </w:r>
      <w:r w:rsidR="00E91A83" w:rsidRPr="00E95BC4">
        <w:rPr>
          <w:rFonts w:eastAsia="Times New Roman"/>
          <w:color w:val="auto"/>
          <w:kern w:val="0"/>
          <w:lang w:val="sr-Cyrl-CS"/>
        </w:rPr>
        <w:t>,</w:t>
      </w:r>
    </w:p>
    <w:p w:rsidR="00891EE4" w:rsidRPr="00E95BC4" w:rsidRDefault="005818C0" w:rsidP="00AC7277">
      <w:pPr>
        <w:numPr>
          <w:ilvl w:val="0"/>
          <w:numId w:val="22"/>
        </w:numPr>
        <w:tabs>
          <w:tab w:val="clear" w:pos="720"/>
        </w:tabs>
        <w:ind w:left="459"/>
        <w:rPr>
          <w:rFonts w:eastAsia="Times New Roman"/>
          <w:color w:val="auto"/>
          <w:kern w:val="0"/>
          <w:lang w:val="sr-Cyrl-CS"/>
        </w:rPr>
      </w:pPr>
      <w:r>
        <w:rPr>
          <w:rFonts w:eastAsia="Times New Roman"/>
          <w:color w:val="auto"/>
          <w:kern w:val="0"/>
          <w:lang w:val="sr-Cyrl-CS"/>
        </w:rPr>
        <w:t>Vojnobezbednosna</w:t>
      </w:r>
      <w:r w:rsidR="00891EE4" w:rsidRPr="00E95BC4">
        <w:rPr>
          <w:rFonts w:eastAsia="Times New Roman"/>
          <w:color w:val="auto"/>
          <w:kern w:val="0"/>
          <w:lang w:val="sr-Cyrl-CS"/>
        </w:rPr>
        <w:t xml:space="preserve"> </w:t>
      </w:r>
      <w:r>
        <w:rPr>
          <w:rFonts w:eastAsia="Times New Roman"/>
          <w:color w:val="auto"/>
          <w:kern w:val="0"/>
          <w:lang w:val="sr-Cyrl-CS"/>
        </w:rPr>
        <w:t>agencija</w:t>
      </w:r>
      <w:r w:rsidR="00E91A83" w:rsidRPr="00E95BC4">
        <w:rPr>
          <w:rFonts w:eastAsia="Times New Roman"/>
          <w:color w:val="auto"/>
          <w:kern w:val="0"/>
          <w:lang w:val="sr-Cyrl-CS"/>
        </w:rPr>
        <w:t>,</w:t>
      </w:r>
    </w:p>
    <w:p w:rsidR="00891EE4" w:rsidRPr="00E95BC4" w:rsidRDefault="005818C0" w:rsidP="00AC7277">
      <w:pPr>
        <w:numPr>
          <w:ilvl w:val="0"/>
          <w:numId w:val="22"/>
        </w:numPr>
        <w:tabs>
          <w:tab w:val="clear" w:pos="720"/>
        </w:tabs>
        <w:ind w:left="459"/>
        <w:rPr>
          <w:rFonts w:eastAsia="Times New Roman"/>
          <w:color w:val="auto"/>
          <w:kern w:val="0"/>
          <w:lang w:val="sr-Cyrl-CS"/>
        </w:rPr>
      </w:pPr>
      <w:r>
        <w:rPr>
          <w:rFonts w:eastAsia="Times New Roman"/>
          <w:color w:val="auto"/>
          <w:kern w:val="0"/>
          <w:lang w:val="sr-Cyrl-CS"/>
        </w:rPr>
        <w:t>Ministarstvo</w:t>
      </w:r>
      <w:r w:rsidR="00891EE4" w:rsidRPr="00E95BC4">
        <w:rPr>
          <w:rFonts w:eastAsia="Times New Roman"/>
          <w:color w:val="auto"/>
          <w:kern w:val="0"/>
          <w:lang w:val="sr-Cyrl-CS"/>
        </w:rPr>
        <w:t xml:space="preserve"> </w:t>
      </w:r>
      <w:r>
        <w:rPr>
          <w:rFonts w:eastAsia="Times New Roman"/>
          <w:color w:val="auto"/>
          <w:kern w:val="0"/>
          <w:lang w:val="sr-Cyrl-CS"/>
        </w:rPr>
        <w:t>pravde</w:t>
      </w:r>
      <w:r w:rsidR="00E91A83" w:rsidRPr="00E95BC4">
        <w:rPr>
          <w:rFonts w:eastAsia="Times New Roman"/>
          <w:color w:val="auto"/>
          <w:kern w:val="0"/>
          <w:lang w:val="sr-Cyrl-CS"/>
        </w:rPr>
        <w:t>,</w:t>
      </w:r>
    </w:p>
    <w:p w:rsidR="00891EE4" w:rsidRPr="00E95BC4" w:rsidRDefault="005818C0" w:rsidP="00AC7277">
      <w:pPr>
        <w:numPr>
          <w:ilvl w:val="0"/>
          <w:numId w:val="22"/>
        </w:numPr>
        <w:tabs>
          <w:tab w:val="clear" w:pos="720"/>
        </w:tabs>
        <w:ind w:left="459"/>
        <w:rPr>
          <w:rFonts w:eastAsia="Times New Roman"/>
          <w:color w:val="auto"/>
          <w:kern w:val="0"/>
          <w:lang w:val="sr-Cyrl-CS"/>
        </w:rPr>
      </w:pPr>
      <w:r>
        <w:rPr>
          <w:rFonts w:eastAsia="Times New Roman"/>
          <w:color w:val="auto"/>
          <w:kern w:val="0"/>
          <w:lang w:val="sr-Cyrl-CS"/>
        </w:rPr>
        <w:t>Ministarstvo</w:t>
      </w:r>
      <w:r w:rsidR="00891EE4" w:rsidRPr="00E95BC4">
        <w:rPr>
          <w:rFonts w:eastAsia="Times New Roman"/>
          <w:color w:val="auto"/>
          <w:kern w:val="0"/>
          <w:lang w:val="sr-Cyrl-CS"/>
        </w:rPr>
        <w:t xml:space="preserve"> </w:t>
      </w:r>
      <w:r>
        <w:rPr>
          <w:rFonts w:eastAsia="Times New Roman"/>
          <w:color w:val="auto"/>
          <w:kern w:val="0"/>
          <w:lang w:val="sr-Cyrl-CS"/>
        </w:rPr>
        <w:t>privrede</w:t>
      </w:r>
      <w:r w:rsidR="00E91A83" w:rsidRPr="00E95BC4">
        <w:rPr>
          <w:rFonts w:eastAsia="Times New Roman"/>
          <w:color w:val="auto"/>
          <w:kern w:val="0"/>
          <w:lang w:val="sr-Cyrl-CS"/>
        </w:rPr>
        <w:t>,</w:t>
      </w:r>
    </w:p>
    <w:p w:rsidR="00891EE4" w:rsidRPr="00E95BC4" w:rsidRDefault="005818C0" w:rsidP="00AC7277">
      <w:pPr>
        <w:numPr>
          <w:ilvl w:val="0"/>
          <w:numId w:val="22"/>
        </w:numPr>
        <w:tabs>
          <w:tab w:val="clear" w:pos="720"/>
        </w:tabs>
        <w:ind w:left="459"/>
        <w:rPr>
          <w:rFonts w:eastAsia="Times New Roman"/>
          <w:color w:val="auto"/>
          <w:kern w:val="0"/>
          <w:lang w:val="sr-Cyrl-CS"/>
        </w:rPr>
      </w:pPr>
      <w:r>
        <w:rPr>
          <w:rFonts w:eastAsia="Times New Roman"/>
          <w:color w:val="auto"/>
          <w:kern w:val="0"/>
          <w:lang w:val="sr-Cyrl-CS"/>
        </w:rPr>
        <w:t>Agencija</w:t>
      </w:r>
      <w:r w:rsidR="00891EE4" w:rsidRPr="00E95BC4">
        <w:rPr>
          <w:rFonts w:eastAsia="Times New Roman"/>
          <w:color w:val="auto"/>
          <w:kern w:val="0"/>
          <w:lang w:val="sr-Cyrl-CS"/>
        </w:rPr>
        <w:t xml:space="preserve"> </w:t>
      </w:r>
      <w:r>
        <w:rPr>
          <w:rFonts w:eastAsia="Times New Roman"/>
          <w:color w:val="auto"/>
          <w:kern w:val="0"/>
          <w:lang w:val="sr-Cyrl-CS"/>
        </w:rPr>
        <w:t>za</w:t>
      </w:r>
      <w:r w:rsidR="00891EE4" w:rsidRPr="00E95BC4">
        <w:rPr>
          <w:rFonts w:eastAsia="Times New Roman"/>
          <w:color w:val="auto"/>
          <w:kern w:val="0"/>
          <w:lang w:val="sr-Cyrl-CS"/>
        </w:rPr>
        <w:t xml:space="preserve"> </w:t>
      </w:r>
      <w:r>
        <w:rPr>
          <w:rFonts w:eastAsia="Times New Roman"/>
          <w:color w:val="auto"/>
          <w:kern w:val="0"/>
          <w:lang w:val="sr-Cyrl-CS"/>
        </w:rPr>
        <w:t>privredne</w:t>
      </w:r>
      <w:r w:rsidR="00891EE4" w:rsidRPr="00E95BC4">
        <w:rPr>
          <w:rFonts w:eastAsia="Times New Roman"/>
          <w:color w:val="auto"/>
          <w:kern w:val="0"/>
          <w:lang w:val="sr-Cyrl-CS"/>
        </w:rPr>
        <w:t xml:space="preserve"> </w:t>
      </w:r>
      <w:r>
        <w:rPr>
          <w:rFonts w:eastAsia="Times New Roman"/>
          <w:color w:val="auto"/>
          <w:kern w:val="0"/>
          <w:lang w:val="sr-Cyrl-CS"/>
        </w:rPr>
        <w:t>registre</w:t>
      </w:r>
      <w:r w:rsidR="00E91A83" w:rsidRPr="00E95BC4">
        <w:rPr>
          <w:rFonts w:eastAsia="Times New Roman"/>
          <w:color w:val="auto"/>
          <w:kern w:val="0"/>
          <w:lang w:val="sr-Cyrl-CS"/>
        </w:rPr>
        <w:t>,</w:t>
      </w:r>
    </w:p>
    <w:p w:rsidR="001043A5" w:rsidRPr="00E95BC4" w:rsidRDefault="005818C0" w:rsidP="00AC7277">
      <w:pPr>
        <w:numPr>
          <w:ilvl w:val="0"/>
          <w:numId w:val="22"/>
        </w:numPr>
        <w:tabs>
          <w:tab w:val="clear" w:pos="720"/>
        </w:tabs>
        <w:ind w:left="459"/>
        <w:rPr>
          <w:rFonts w:eastAsia="Times New Roman"/>
          <w:color w:val="auto"/>
          <w:kern w:val="0"/>
          <w:lang w:val="sr-Cyrl-CS"/>
        </w:rPr>
      </w:pPr>
      <w:r>
        <w:rPr>
          <w:rFonts w:eastAsia="Times New Roman"/>
          <w:color w:val="auto"/>
          <w:kern w:val="0"/>
          <w:lang w:val="sr-Cyrl-CS"/>
        </w:rPr>
        <w:lastRenderedPageBreak/>
        <w:t>Kancelarija</w:t>
      </w:r>
      <w:r w:rsidR="001043A5" w:rsidRPr="00E95BC4">
        <w:rPr>
          <w:rFonts w:eastAsia="Times New Roman"/>
          <w:color w:val="auto"/>
          <w:kern w:val="0"/>
          <w:lang w:val="sr-Cyrl-CS"/>
        </w:rPr>
        <w:t xml:space="preserve"> </w:t>
      </w:r>
      <w:r>
        <w:rPr>
          <w:rFonts w:eastAsia="Times New Roman"/>
          <w:color w:val="auto"/>
          <w:kern w:val="0"/>
          <w:lang w:val="sr-Cyrl-CS"/>
        </w:rPr>
        <w:t>Vlade</w:t>
      </w:r>
      <w:r w:rsidR="001043A5" w:rsidRPr="00E95BC4">
        <w:rPr>
          <w:rFonts w:eastAsia="Times New Roman"/>
          <w:color w:val="auto"/>
          <w:kern w:val="0"/>
          <w:lang w:val="sr-Cyrl-CS"/>
        </w:rPr>
        <w:t xml:space="preserve"> </w:t>
      </w:r>
      <w:r>
        <w:rPr>
          <w:rFonts w:eastAsia="Times New Roman"/>
          <w:color w:val="auto"/>
          <w:kern w:val="0"/>
          <w:lang w:val="sr-Cyrl-CS"/>
        </w:rPr>
        <w:t>za</w:t>
      </w:r>
      <w:r w:rsidR="001043A5" w:rsidRPr="00E95BC4">
        <w:rPr>
          <w:rFonts w:eastAsia="Times New Roman"/>
          <w:color w:val="auto"/>
          <w:kern w:val="0"/>
          <w:lang w:val="sr-Cyrl-CS"/>
        </w:rPr>
        <w:t xml:space="preserve"> </w:t>
      </w:r>
      <w:r>
        <w:rPr>
          <w:rFonts w:eastAsia="Times New Roman"/>
          <w:color w:val="auto"/>
          <w:kern w:val="0"/>
          <w:lang w:val="sr-Cyrl-CS"/>
        </w:rPr>
        <w:t>saradnju</w:t>
      </w:r>
      <w:r w:rsidR="001043A5" w:rsidRPr="00E95BC4">
        <w:rPr>
          <w:rFonts w:eastAsia="Times New Roman"/>
          <w:color w:val="auto"/>
          <w:kern w:val="0"/>
          <w:lang w:val="sr-Cyrl-CS"/>
        </w:rPr>
        <w:t xml:space="preserve"> </w:t>
      </w:r>
      <w:r>
        <w:rPr>
          <w:rFonts w:eastAsia="Times New Roman"/>
          <w:color w:val="auto"/>
          <w:kern w:val="0"/>
          <w:lang w:val="sr-Cyrl-CS"/>
        </w:rPr>
        <w:t>sa</w:t>
      </w:r>
      <w:r w:rsidR="001043A5" w:rsidRPr="00E95BC4">
        <w:rPr>
          <w:rFonts w:eastAsia="Times New Roman"/>
          <w:color w:val="auto"/>
          <w:kern w:val="0"/>
          <w:lang w:val="sr-Cyrl-CS"/>
        </w:rPr>
        <w:t xml:space="preserve"> </w:t>
      </w:r>
      <w:r>
        <w:rPr>
          <w:rFonts w:eastAsia="Times New Roman"/>
          <w:color w:val="auto"/>
          <w:kern w:val="0"/>
          <w:lang w:val="sr-Cyrl-CS"/>
        </w:rPr>
        <w:t>civilnim</w:t>
      </w:r>
      <w:r w:rsidR="001043A5" w:rsidRPr="00E95BC4">
        <w:rPr>
          <w:rFonts w:eastAsia="Times New Roman"/>
          <w:color w:val="auto"/>
          <w:kern w:val="0"/>
          <w:lang w:val="sr-Cyrl-CS"/>
        </w:rPr>
        <w:t xml:space="preserve"> </w:t>
      </w:r>
      <w:r>
        <w:rPr>
          <w:rFonts w:eastAsia="Times New Roman"/>
          <w:color w:val="auto"/>
          <w:kern w:val="0"/>
          <w:lang w:val="sr-Cyrl-CS"/>
        </w:rPr>
        <w:t>društvom</w:t>
      </w:r>
      <w:r w:rsidR="00E91A83" w:rsidRPr="00E95BC4">
        <w:rPr>
          <w:rFonts w:eastAsia="Times New Roman"/>
          <w:color w:val="auto"/>
          <w:kern w:val="0"/>
          <w:lang w:val="sr-Cyrl-CS"/>
        </w:rPr>
        <w:t>,</w:t>
      </w:r>
    </w:p>
    <w:p w:rsidR="001043A5" w:rsidRPr="00E95BC4" w:rsidRDefault="005818C0" w:rsidP="00AC7277">
      <w:pPr>
        <w:numPr>
          <w:ilvl w:val="0"/>
          <w:numId w:val="22"/>
        </w:numPr>
        <w:tabs>
          <w:tab w:val="clear" w:pos="720"/>
        </w:tabs>
        <w:ind w:left="459"/>
        <w:rPr>
          <w:rFonts w:eastAsia="Times New Roman"/>
          <w:color w:val="auto"/>
          <w:kern w:val="0"/>
          <w:lang w:val="sr-Cyrl-CS"/>
        </w:rPr>
      </w:pPr>
      <w:r>
        <w:rPr>
          <w:rFonts w:eastAsia="Times New Roman"/>
          <w:color w:val="auto"/>
          <w:kern w:val="0"/>
          <w:lang w:val="sr-Cyrl-CS"/>
        </w:rPr>
        <w:t>Ministarstvo</w:t>
      </w:r>
      <w:r w:rsidR="001043A5" w:rsidRPr="00E95BC4">
        <w:rPr>
          <w:rFonts w:eastAsia="Times New Roman"/>
          <w:color w:val="auto"/>
          <w:kern w:val="0"/>
          <w:lang w:val="sr-Cyrl-CS"/>
        </w:rPr>
        <w:t xml:space="preserve"> </w:t>
      </w:r>
      <w:r>
        <w:rPr>
          <w:rFonts w:eastAsia="Times New Roman"/>
          <w:color w:val="auto"/>
          <w:kern w:val="0"/>
          <w:lang w:val="sr-Cyrl-CS"/>
        </w:rPr>
        <w:t>državne</w:t>
      </w:r>
      <w:r w:rsidR="001043A5" w:rsidRPr="00E95BC4">
        <w:rPr>
          <w:rFonts w:eastAsia="Times New Roman"/>
          <w:color w:val="auto"/>
          <w:kern w:val="0"/>
          <w:lang w:val="sr-Cyrl-CS"/>
        </w:rPr>
        <w:t xml:space="preserve"> </w:t>
      </w:r>
      <w:r>
        <w:rPr>
          <w:rFonts w:eastAsia="Times New Roman"/>
          <w:color w:val="auto"/>
          <w:kern w:val="0"/>
          <w:lang w:val="sr-Cyrl-CS"/>
        </w:rPr>
        <w:t>uprave</w:t>
      </w:r>
      <w:r w:rsidR="001043A5" w:rsidRPr="00E95BC4">
        <w:rPr>
          <w:rFonts w:eastAsia="Times New Roman"/>
          <w:color w:val="auto"/>
          <w:kern w:val="0"/>
          <w:lang w:val="sr-Cyrl-CS"/>
        </w:rPr>
        <w:t xml:space="preserve"> </w:t>
      </w:r>
      <w:r>
        <w:rPr>
          <w:rFonts w:eastAsia="Times New Roman"/>
          <w:color w:val="auto"/>
          <w:kern w:val="0"/>
          <w:lang w:val="sr-Cyrl-CS"/>
        </w:rPr>
        <w:t>i</w:t>
      </w:r>
      <w:r w:rsidR="001043A5" w:rsidRPr="00E95BC4">
        <w:rPr>
          <w:rFonts w:eastAsia="Times New Roman"/>
          <w:color w:val="auto"/>
          <w:kern w:val="0"/>
          <w:lang w:val="sr-Cyrl-CS"/>
        </w:rPr>
        <w:t xml:space="preserve"> </w:t>
      </w:r>
      <w:r>
        <w:rPr>
          <w:rFonts w:eastAsia="Times New Roman"/>
          <w:color w:val="auto"/>
          <w:kern w:val="0"/>
          <w:lang w:val="sr-Cyrl-CS"/>
        </w:rPr>
        <w:t>lokalne</w:t>
      </w:r>
      <w:r w:rsidR="001043A5" w:rsidRPr="00E95BC4">
        <w:rPr>
          <w:rFonts w:eastAsia="Times New Roman"/>
          <w:color w:val="auto"/>
          <w:kern w:val="0"/>
          <w:lang w:val="sr-Cyrl-CS"/>
        </w:rPr>
        <w:t xml:space="preserve"> </w:t>
      </w:r>
      <w:r>
        <w:rPr>
          <w:rFonts w:eastAsia="Times New Roman"/>
          <w:color w:val="auto"/>
          <w:kern w:val="0"/>
          <w:lang w:val="sr-Cyrl-CS"/>
        </w:rPr>
        <w:t>samouprave</w:t>
      </w:r>
      <w:r w:rsidR="00E91A83" w:rsidRPr="00E95BC4">
        <w:rPr>
          <w:rFonts w:eastAsia="Times New Roman"/>
          <w:color w:val="auto"/>
          <w:kern w:val="0"/>
          <w:lang w:val="sr-Cyrl-CS"/>
        </w:rPr>
        <w:t>,</w:t>
      </w:r>
    </w:p>
    <w:p w:rsidR="001043A5" w:rsidRPr="00E95BC4" w:rsidRDefault="005818C0" w:rsidP="00AC7277">
      <w:pPr>
        <w:numPr>
          <w:ilvl w:val="0"/>
          <w:numId w:val="22"/>
        </w:numPr>
        <w:tabs>
          <w:tab w:val="clear" w:pos="720"/>
        </w:tabs>
        <w:ind w:left="459"/>
        <w:rPr>
          <w:rFonts w:eastAsia="Times New Roman"/>
          <w:color w:val="auto"/>
          <w:kern w:val="0"/>
          <w:lang w:val="sr-Cyrl-CS"/>
        </w:rPr>
      </w:pPr>
      <w:r>
        <w:rPr>
          <w:rFonts w:eastAsia="Times New Roman"/>
          <w:color w:val="auto"/>
          <w:kern w:val="0"/>
          <w:lang w:val="sr-Cyrl-CS"/>
        </w:rPr>
        <w:t>Ministarstvo</w:t>
      </w:r>
      <w:r w:rsidR="001043A5" w:rsidRPr="00E95BC4">
        <w:rPr>
          <w:rFonts w:eastAsia="Times New Roman"/>
          <w:color w:val="auto"/>
          <w:kern w:val="0"/>
          <w:lang w:val="sr-Cyrl-CS"/>
        </w:rPr>
        <w:t xml:space="preserve"> </w:t>
      </w:r>
      <w:r>
        <w:rPr>
          <w:rFonts w:eastAsia="Times New Roman"/>
          <w:color w:val="auto"/>
          <w:kern w:val="0"/>
          <w:lang w:val="sr-Cyrl-CS"/>
        </w:rPr>
        <w:t>kulture</w:t>
      </w:r>
      <w:r w:rsidR="001043A5" w:rsidRPr="00E95BC4">
        <w:rPr>
          <w:rFonts w:eastAsia="Times New Roman"/>
          <w:color w:val="auto"/>
          <w:kern w:val="0"/>
          <w:lang w:val="sr-Cyrl-CS"/>
        </w:rPr>
        <w:t xml:space="preserve"> </w:t>
      </w:r>
      <w:r>
        <w:rPr>
          <w:rFonts w:eastAsia="Times New Roman"/>
          <w:color w:val="auto"/>
          <w:kern w:val="0"/>
          <w:lang w:val="sr-Cyrl-CS"/>
        </w:rPr>
        <w:t>i</w:t>
      </w:r>
      <w:r w:rsidR="001043A5" w:rsidRPr="00E95BC4">
        <w:rPr>
          <w:rFonts w:eastAsia="Times New Roman"/>
          <w:color w:val="auto"/>
          <w:kern w:val="0"/>
          <w:lang w:val="sr-Cyrl-CS"/>
        </w:rPr>
        <w:t xml:space="preserve"> </w:t>
      </w:r>
      <w:r>
        <w:rPr>
          <w:rFonts w:eastAsia="Times New Roman"/>
          <w:color w:val="auto"/>
          <w:kern w:val="0"/>
          <w:lang w:val="sr-Cyrl-CS"/>
        </w:rPr>
        <w:t>informisanja</w:t>
      </w:r>
      <w:r w:rsidR="00E91A83" w:rsidRPr="00E95BC4">
        <w:rPr>
          <w:rFonts w:eastAsia="Times New Roman"/>
          <w:color w:val="auto"/>
          <w:kern w:val="0"/>
          <w:lang w:val="sr-Cyrl-CS"/>
        </w:rPr>
        <w:t>.</w:t>
      </w:r>
    </w:p>
    <w:p w:rsidR="00891EE4" w:rsidRPr="00E95BC4" w:rsidRDefault="00891EE4" w:rsidP="00285FD7">
      <w:pPr>
        <w:rPr>
          <w:rFonts w:eastAsia="Times New Roman"/>
          <w:b/>
          <w:bCs/>
          <w:color w:val="auto"/>
          <w:kern w:val="0"/>
          <w:lang w:val="sr-Cyrl-CS"/>
        </w:rPr>
      </w:pPr>
    </w:p>
    <w:p w:rsidR="007169B7" w:rsidRPr="00E95BC4" w:rsidRDefault="005818C0" w:rsidP="007169B7">
      <w:pPr>
        <w:pStyle w:val="ListParagraph"/>
        <w:numPr>
          <w:ilvl w:val="0"/>
          <w:numId w:val="11"/>
        </w:numPr>
        <w:rPr>
          <w:rFonts w:eastAsia="Times New Roman"/>
          <w:b/>
          <w:bCs/>
          <w:color w:val="auto"/>
          <w:kern w:val="0"/>
          <w:lang w:val="sr-Cyrl-CS"/>
        </w:rPr>
      </w:pPr>
      <w:r>
        <w:rPr>
          <w:rFonts w:eastAsia="Times New Roman"/>
          <w:b/>
          <w:bCs/>
          <w:color w:val="auto"/>
          <w:kern w:val="0"/>
          <w:lang w:val="sr-Cyrl-CS"/>
        </w:rPr>
        <w:t>Udruženja</w:t>
      </w:r>
      <w:r w:rsidR="007169B7" w:rsidRPr="00E95BC4">
        <w:rPr>
          <w:rFonts w:eastAsia="Times New Roman"/>
          <w:b/>
          <w:bCs/>
          <w:color w:val="auto"/>
          <w:kern w:val="0"/>
          <w:lang w:val="sr-Cyrl-CS"/>
        </w:rPr>
        <w:t xml:space="preserve"> </w:t>
      </w:r>
      <w:r>
        <w:rPr>
          <w:rFonts w:eastAsia="Times New Roman"/>
          <w:b/>
          <w:bCs/>
          <w:color w:val="auto"/>
          <w:kern w:val="0"/>
          <w:lang w:val="sr-Cyrl-CS"/>
        </w:rPr>
        <w:t>obveznika</w:t>
      </w:r>
      <w:r w:rsidR="007169B7" w:rsidRPr="00E95BC4">
        <w:rPr>
          <w:rFonts w:eastAsia="Times New Roman"/>
          <w:b/>
          <w:bCs/>
          <w:color w:val="auto"/>
          <w:kern w:val="0"/>
          <w:lang w:val="sr-Cyrl-CS"/>
        </w:rPr>
        <w:t xml:space="preserve"> </w:t>
      </w:r>
      <w:r w:rsidR="007169B7" w:rsidRPr="00E95BC4">
        <w:rPr>
          <w:rFonts w:eastAsia="Times New Roman"/>
          <w:bCs/>
          <w:color w:val="auto"/>
          <w:kern w:val="0"/>
          <w:lang w:val="sr-Cyrl-CS"/>
        </w:rPr>
        <w:t>(</w:t>
      </w:r>
      <w:r>
        <w:rPr>
          <w:rFonts w:eastAsia="Times New Roman"/>
          <w:bCs/>
          <w:color w:val="auto"/>
          <w:kern w:val="0"/>
          <w:lang w:val="sr-Cyrl-CS"/>
        </w:rPr>
        <w:t>npr</w:t>
      </w:r>
      <w:r w:rsidR="007169B7" w:rsidRPr="00E95BC4">
        <w:rPr>
          <w:rFonts w:eastAsia="Times New Roman"/>
          <w:bCs/>
          <w:color w:val="auto"/>
          <w:kern w:val="0"/>
          <w:lang w:val="sr-Cyrl-CS"/>
        </w:rPr>
        <w:t xml:space="preserve">. </w:t>
      </w:r>
      <w:r>
        <w:rPr>
          <w:rFonts w:eastAsia="Times New Roman"/>
          <w:bCs/>
          <w:color w:val="auto"/>
          <w:kern w:val="0"/>
          <w:lang w:val="sr-Cyrl-CS"/>
        </w:rPr>
        <w:t>Udruženje</w:t>
      </w:r>
      <w:r w:rsidR="007169B7" w:rsidRPr="00E95BC4">
        <w:rPr>
          <w:rFonts w:eastAsia="Times New Roman"/>
          <w:bCs/>
          <w:color w:val="auto"/>
          <w:kern w:val="0"/>
          <w:lang w:val="sr-Cyrl-CS"/>
        </w:rPr>
        <w:t xml:space="preserve"> </w:t>
      </w:r>
      <w:r>
        <w:rPr>
          <w:rFonts w:eastAsia="Times New Roman"/>
          <w:bCs/>
          <w:color w:val="auto"/>
          <w:kern w:val="0"/>
          <w:lang w:val="sr-Cyrl-CS"/>
        </w:rPr>
        <w:t>banaka</w:t>
      </w:r>
      <w:r w:rsidR="002374BA" w:rsidRPr="00E95BC4">
        <w:rPr>
          <w:rFonts w:eastAsia="Times New Roman"/>
          <w:bCs/>
          <w:color w:val="auto"/>
          <w:kern w:val="0"/>
          <w:lang w:val="sr-Cyrl-CS"/>
        </w:rPr>
        <w:t xml:space="preserve"> </w:t>
      </w:r>
      <w:r>
        <w:rPr>
          <w:rFonts w:eastAsia="Times New Roman"/>
          <w:bCs/>
          <w:color w:val="auto"/>
          <w:kern w:val="0"/>
          <w:lang w:val="sr-Cyrl-CS"/>
        </w:rPr>
        <w:t>Srbije</w:t>
      </w:r>
      <w:r w:rsidR="007169B7" w:rsidRPr="00E95BC4">
        <w:rPr>
          <w:rFonts w:eastAsia="Times New Roman"/>
          <w:bCs/>
          <w:color w:val="auto"/>
          <w:kern w:val="0"/>
          <w:lang w:val="sr-Cyrl-CS"/>
        </w:rPr>
        <w:t>)</w:t>
      </w:r>
      <w:r w:rsidR="0083281B" w:rsidRPr="00E95BC4">
        <w:rPr>
          <w:rFonts w:eastAsia="Times New Roman"/>
          <w:bCs/>
          <w:color w:val="auto"/>
          <w:kern w:val="0"/>
          <w:lang w:val="sr-Cyrl-CS"/>
        </w:rPr>
        <w:t>;</w:t>
      </w:r>
    </w:p>
    <w:p w:rsidR="007169B7" w:rsidRPr="00E95BC4" w:rsidRDefault="005818C0" w:rsidP="007169B7">
      <w:pPr>
        <w:pStyle w:val="ListParagraph"/>
        <w:numPr>
          <w:ilvl w:val="0"/>
          <w:numId w:val="11"/>
        </w:numPr>
        <w:rPr>
          <w:rFonts w:eastAsia="Times New Roman"/>
          <w:b/>
          <w:bCs/>
          <w:color w:val="auto"/>
          <w:kern w:val="0"/>
          <w:lang w:val="sr-Cyrl-CS"/>
        </w:rPr>
      </w:pPr>
      <w:r>
        <w:rPr>
          <w:rFonts w:eastAsia="Times New Roman"/>
          <w:b/>
          <w:bCs/>
          <w:color w:val="auto"/>
          <w:kern w:val="0"/>
          <w:lang w:val="sr-Cyrl-CS"/>
        </w:rPr>
        <w:t>Samoregulatorna</w:t>
      </w:r>
      <w:r w:rsidR="007169B7" w:rsidRPr="00E95BC4">
        <w:rPr>
          <w:rFonts w:eastAsia="Times New Roman"/>
          <w:b/>
          <w:bCs/>
          <w:color w:val="auto"/>
          <w:kern w:val="0"/>
          <w:lang w:val="sr-Cyrl-CS"/>
        </w:rPr>
        <w:t xml:space="preserve"> </w:t>
      </w:r>
      <w:r>
        <w:rPr>
          <w:rFonts w:eastAsia="Times New Roman"/>
          <w:b/>
          <w:bCs/>
          <w:color w:val="auto"/>
          <w:kern w:val="0"/>
          <w:lang w:val="sr-Cyrl-CS"/>
        </w:rPr>
        <w:t>tela</w:t>
      </w:r>
      <w:r w:rsidR="007169B7" w:rsidRPr="00E95BC4">
        <w:rPr>
          <w:rFonts w:eastAsia="Times New Roman"/>
          <w:b/>
          <w:bCs/>
          <w:color w:val="auto"/>
          <w:kern w:val="0"/>
          <w:lang w:val="sr-Cyrl-CS"/>
        </w:rPr>
        <w:t xml:space="preserve"> </w:t>
      </w:r>
      <w:r w:rsidR="007169B7" w:rsidRPr="00E95BC4">
        <w:rPr>
          <w:rFonts w:eastAsia="Times New Roman"/>
          <w:bCs/>
          <w:color w:val="auto"/>
          <w:kern w:val="0"/>
          <w:lang w:val="sr-Cyrl-CS"/>
        </w:rPr>
        <w:t>(</w:t>
      </w:r>
      <w:r>
        <w:rPr>
          <w:rFonts w:eastAsia="Times New Roman"/>
          <w:bCs/>
          <w:color w:val="auto"/>
          <w:kern w:val="0"/>
          <w:lang w:val="sr-Cyrl-CS"/>
        </w:rPr>
        <w:t>npr</w:t>
      </w:r>
      <w:r w:rsidR="007169B7" w:rsidRPr="00E95BC4">
        <w:rPr>
          <w:rFonts w:eastAsia="Times New Roman"/>
          <w:bCs/>
          <w:color w:val="auto"/>
          <w:kern w:val="0"/>
          <w:lang w:val="sr-Cyrl-CS"/>
        </w:rPr>
        <w:t xml:space="preserve">. </w:t>
      </w:r>
      <w:r>
        <w:rPr>
          <w:rFonts w:eastAsia="Times New Roman"/>
          <w:bCs/>
          <w:color w:val="auto"/>
          <w:kern w:val="0"/>
          <w:lang w:val="sr-Cyrl-CS"/>
        </w:rPr>
        <w:t>komore</w:t>
      </w:r>
      <w:r w:rsidR="007169B7" w:rsidRPr="00E95BC4">
        <w:rPr>
          <w:rFonts w:eastAsia="Times New Roman"/>
          <w:bCs/>
          <w:color w:val="auto"/>
          <w:kern w:val="0"/>
          <w:lang w:val="sr-Cyrl-CS"/>
        </w:rPr>
        <w:t>)</w:t>
      </w:r>
      <w:r w:rsidR="0083281B" w:rsidRPr="00E95BC4">
        <w:rPr>
          <w:rFonts w:eastAsia="Times New Roman"/>
          <w:bCs/>
          <w:color w:val="auto"/>
          <w:kern w:val="0"/>
          <w:lang w:val="sr-Cyrl-CS"/>
        </w:rPr>
        <w:t>;</w:t>
      </w:r>
    </w:p>
    <w:p w:rsidR="007169B7" w:rsidRPr="00E95BC4" w:rsidRDefault="005818C0" w:rsidP="007169B7">
      <w:pPr>
        <w:pStyle w:val="ListParagraph"/>
        <w:numPr>
          <w:ilvl w:val="0"/>
          <w:numId w:val="11"/>
        </w:numPr>
        <w:rPr>
          <w:rFonts w:eastAsia="Times New Roman"/>
          <w:b/>
          <w:bCs/>
          <w:color w:val="auto"/>
          <w:kern w:val="0"/>
          <w:lang w:val="sr-Cyrl-CS"/>
        </w:rPr>
      </w:pPr>
      <w:r>
        <w:rPr>
          <w:rFonts w:eastAsia="Times New Roman"/>
          <w:b/>
          <w:bCs/>
          <w:color w:val="auto"/>
          <w:kern w:val="0"/>
          <w:lang w:val="sr-Cyrl-CS"/>
        </w:rPr>
        <w:t>Neprofitni</w:t>
      </w:r>
      <w:r w:rsidR="007169B7" w:rsidRPr="00E95BC4">
        <w:rPr>
          <w:rFonts w:eastAsia="Times New Roman"/>
          <w:b/>
          <w:bCs/>
          <w:color w:val="auto"/>
          <w:kern w:val="0"/>
          <w:lang w:val="sr-Cyrl-CS"/>
        </w:rPr>
        <w:t xml:space="preserve"> </w:t>
      </w:r>
      <w:r>
        <w:rPr>
          <w:rFonts w:eastAsia="Times New Roman"/>
          <w:b/>
          <w:bCs/>
          <w:color w:val="auto"/>
          <w:kern w:val="0"/>
          <w:lang w:val="sr-Cyrl-CS"/>
        </w:rPr>
        <w:t>sektor</w:t>
      </w:r>
      <w:r w:rsidR="007169B7" w:rsidRPr="00E95BC4">
        <w:rPr>
          <w:rFonts w:eastAsia="Times New Roman"/>
          <w:b/>
          <w:bCs/>
          <w:color w:val="auto"/>
          <w:kern w:val="0"/>
          <w:lang w:val="sr-Cyrl-CS"/>
        </w:rPr>
        <w:t xml:space="preserve"> </w:t>
      </w:r>
      <w:r w:rsidR="007169B7" w:rsidRPr="00E95BC4">
        <w:rPr>
          <w:rFonts w:eastAsia="Times New Roman"/>
          <w:bCs/>
          <w:color w:val="auto"/>
          <w:kern w:val="0"/>
          <w:lang w:val="sr-Cyrl-CS"/>
        </w:rPr>
        <w:t>(</w:t>
      </w:r>
      <w:r>
        <w:rPr>
          <w:rFonts w:eastAsia="Times New Roman"/>
          <w:bCs/>
          <w:color w:val="auto"/>
          <w:kern w:val="0"/>
          <w:lang w:val="sr-Cyrl-CS"/>
        </w:rPr>
        <w:t>npr</w:t>
      </w:r>
      <w:r w:rsidR="007169B7" w:rsidRPr="00E95BC4">
        <w:rPr>
          <w:rFonts w:eastAsia="Times New Roman"/>
          <w:bCs/>
          <w:color w:val="auto"/>
          <w:kern w:val="0"/>
          <w:lang w:val="sr-Cyrl-CS"/>
        </w:rPr>
        <w:t xml:space="preserve">. </w:t>
      </w:r>
      <w:r>
        <w:rPr>
          <w:rFonts w:eastAsia="Times New Roman"/>
          <w:bCs/>
          <w:color w:val="auto"/>
          <w:kern w:val="0"/>
          <w:lang w:val="sr-Cyrl-CS"/>
        </w:rPr>
        <w:t>udruženja</w:t>
      </w:r>
      <w:r w:rsidR="007169B7" w:rsidRPr="00E95BC4">
        <w:rPr>
          <w:rFonts w:eastAsia="Times New Roman"/>
          <w:bCs/>
          <w:color w:val="auto"/>
          <w:kern w:val="0"/>
          <w:lang w:val="sr-Cyrl-CS"/>
        </w:rPr>
        <w:t xml:space="preserve">, </w:t>
      </w:r>
      <w:r>
        <w:rPr>
          <w:rFonts w:eastAsia="Times New Roman"/>
          <w:bCs/>
          <w:color w:val="auto"/>
          <w:kern w:val="0"/>
          <w:lang w:val="sr-Cyrl-CS"/>
        </w:rPr>
        <w:t>fondovi</w:t>
      </w:r>
      <w:r w:rsidR="007169B7" w:rsidRPr="00E95BC4">
        <w:rPr>
          <w:rFonts w:eastAsia="Times New Roman"/>
          <w:bCs/>
          <w:color w:val="auto"/>
          <w:kern w:val="0"/>
          <w:lang w:val="sr-Cyrl-CS"/>
        </w:rPr>
        <w:t xml:space="preserve">, </w:t>
      </w:r>
      <w:r>
        <w:rPr>
          <w:rFonts w:eastAsia="Times New Roman"/>
          <w:bCs/>
          <w:color w:val="auto"/>
          <w:kern w:val="0"/>
          <w:lang w:val="sr-Cyrl-CS"/>
        </w:rPr>
        <w:t>fondacije</w:t>
      </w:r>
      <w:r w:rsidR="007169B7" w:rsidRPr="00E95BC4">
        <w:rPr>
          <w:rFonts w:eastAsia="Times New Roman"/>
          <w:bCs/>
          <w:color w:val="auto"/>
          <w:kern w:val="0"/>
          <w:lang w:val="sr-Cyrl-CS"/>
        </w:rPr>
        <w:t xml:space="preserve"> </w:t>
      </w:r>
      <w:r>
        <w:rPr>
          <w:rFonts w:eastAsia="Times New Roman"/>
          <w:bCs/>
          <w:color w:val="auto"/>
          <w:kern w:val="0"/>
          <w:lang w:val="sr-Cyrl-CS"/>
        </w:rPr>
        <w:t>i</w:t>
      </w:r>
      <w:r w:rsidR="007169B7" w:rsidRPr="00E95BC4">
        <w:rPr>
          <w:rFonts w:eastAsia="Times New Roman"/>
          <w:bCs/>
          <w:color w:val="auto"/>
          <w:kern w:val="0"/>
          <w:lang w:val="sr-Cyrl-CS"/>
        </w:rPr>
        <w:t xml:space="preserve"> </w:t>
      </w:r>
      <w:r>
        <w:rPr>
          <w:rFonts w:eastAsia="Times New Roman"/>
          <w:bCs/>
          <w:color w:val="auto"/>
          <w:kern w:val="0"/>
          <w:lang w:val="sr-Cyrl-CS"/>
        </w:rPr>
        <w:t>zadužbine</w:t>
      </w:r>
      <w:r w:rsidR="007169B7" w:rsidRPr="00E95BC4">
        <w:rPr>
          <w:rFonts w:eastAsia="Times New Roman"/>
          <w:bCs/>
          <w:color w:val="auto"/>
          <w:kern w:val="0"/>
          <w:lang w:val="sr-Cyrl-CS"/>
        </w:rPr>
        <w:t xml:space="preserve">, </w:t>
      </w:r>
      <w:r>
        <w:rPr>
          <w:rFonts w:eastAsia="Times New Roman"/>
          <w:bCs/>
          <w:color w:val="auto"/>
          <w:kern w:val="0"/>
          <w:lang w:val="sr-Cyrl-CS"/>
        </w:rPr>
        <w:t>donatorske</w:t>
      </w:r>
      <w:r w:rsidR="007169B7" w:rsidRPr="00E95BC4">
        <w:rPr>
          <w:rFonts w:eastAsia="Times New Roman"/>
          <w:bCs/>
          <w:color w:val="auto"/>
          <w:kern w:val="0"/>
          <w:lang w:val="sr-Cyrl-CS"/>
        </w:rPr>
        <w:t xml:space="preserve"> </w:t>
      </w:r>
      <w:r>
        <w:rPr>
          <w:rFonts w:eastAsia="Times New Roman"/>
          <w:bCs/>
          <w:color w:val="auto"/>
          <w:kern w:val="0"/>
          <w:lang w:val="sr-Cyrl-CS"/>
        </w:rPr>
        <w:t>organizacije</w:t>
      </w:r>
      <w:r w:rsidR="007169B7" w:rsidRPr="00E95BC4">
        <w:rPr>
          <w:rFonts w:eastAsia="Times New Roman"/>
          <w:bCs/>
          <w:color w:val="auto"/>
          <w:kern w:val="0"/>
          <w:lang w:val="sr-Cyrl-CS"/>
        </w:rPr>
        <w:t>)</w:t>
      </w:r>
      <w:r w:rsidR="0083281B" w:rsidRPr="00E95BC4">
        <w:rPr>
          <w:rFonts w:eastAsia="Times New Roman"/>
          <w:bCs/>
          <w:color w:val="auto"/>
          <w:kern w:val="0"/>
          <w:lang w:val="sr-Cyrl-CS"/>
        </w:rPr>
        <w:t>;</w:t>
      </w:r>
    </w:p>
    <w:p w:rsidR="00891EE4" w:rsidRPr="00E95BC4" w:rsidRDefault="005818C0" w:rsidP="007169B7">
      <w:pPr>
        <w:pStyle w:val="ListParagraph"/>
        <w:numPr>
          <w:ilvl w:val="0"/>
          <w:numId w:val="11"/>
        </w:numPr>
        <w:rPr>
          <w:rFonts w:eastAsia="Times New Roman"/>
          <w:b/>
          <w:bCs/>
          <w:color w:val="auto"/>
          <w:kern w:val="0"/>
          <w:lang w:val="sr-Cyrl-CS"/>
        </w:rPr>
      </w:pPr>
      <w:r>
        <w:rPr>
          <w:rFonts w:eastAsia="Times New Roman"/>
          <w:b/>
          <w:bCs/>
          <w:color w:val="auto"/>
          <w:kern w:val="0"/>
          <w:lang w:val="sr-Cyrl-CS"/>
        </w:rPr>
        <w:t>Naučno</w:t>
      </w:r>
      <w:r w:rsidR="00891EE4" w:rsidRPr="00E95BC4">
        <w:rPr>
          <w:rFonts w:eastAsia="Times New Roman"/>
          <w:b/>
          <w:bCs/>
          <w:color w:val="auto"/>
          <w:kern w:val="0"/>
          <w:lang w:val="sr-Cyrl-CS"/>
        </w:rPr>
        <w:t>-</w:t>
      </w:r>
      <w:r>
        <w:rPr>
          <w:rFonts w:eastAsia="Times New Roman"/>
          <w:b/>
          <w:bCs/>
          <w:color w:val="auto"/>
          <w:kern w:val="0"/>
          <w:lang w:val="sr-Cyrl-CS"/>
        </w:rPr>
        <w:t>obrazovne</w:t>
      </w:r>
      <w:r w:rsidR="00891EE4" w:rsidRPr="00E95BC4">
        <w:rPr>
          <w:rFonts w:eastAsia="Times New Roman"/>
          <w:b/>
          <w:bCs/>
          <w:color w:val="auto"/>
          <w:kern w:val="0"/>
          <w:lang w:val="sr-Cyrl-CS"/>
        </w:rPr>
        <w:t xml:space="preserve"> </w:t>
      </w:r>
      <w:r>
        <w:rPr>
          <w:rFonts w:eastAsia="Times New Roman"/>
          <w:b/>
          <w:bCs/>
          <w:color w:val="auto"/>
          <w:kern w:val="0"/>
          <w:lang w:val="sr-Cyrl-CS"/>
        </w:rPr>
        <w:t>institucije</w:t>
      </w:r>
      <w:r w:rsidR="007169B7" w:rsidRPr="00E95BC4">
        <w:rPr>
          <w:rFonts w:eastAsia="Times New Roman"/>
          <w:b/>
          <w:bCs/>
          <w:color w:val="auto"/>
          <w:kern w:val="0"/>
          <w:lang w:val="sr-Cyrl-CS"/>
        </w:rPr>
        <w:t xml:space="preserve"> </w:t>
      </w:r>
      <w:r w:rsidR="007169B7" w:rsidRPr="00E95BC4">
        <w:rPr>
          <w:rFonts w:eastAsia="Times New Roman"/>
          <w:bCs/>
          <w:color w:val="auto"/>
          <w:kern w:val="0"/>
          <w:lang w:val="sr-Cyrl-CS"/>
        </w:rPr>
        <w:t>(</w:t>
      </w:r>
      <w:r>
        <w:rPr>
          <w:rFonts w:eastAsia="Times New Roman"/>
          <w:bCs/>
          <w:color w:val="auto"/>
          <w:kern w:val="0"/>
          <w:lang w:val="sr-Cyrl-CS"/>
        </w:rPr>
        <w:t>npr</w:t>
      </w:r>
      <w:r w:rsidR="007169B7" w:rsidRPr="00E95BC4">
        <w:rPr>
          <w:rFonts w:eastAsia="Times New Roman"/>
          <w:bCs/>
          <w:color w:val="auto"/>
          <w:kern w:val="0"/>
          <w:lang w:val="sr-Cyrl-CS"/>
        </w:rPr>
        <w:t xml:space="preserve">. </w:t>
      </w:r>
      <w:r>
        <w:rPr>
          <w:rFonts w:eastAsia="Times New Roman"/>
          <w:bCs/>
          <w:color w:val="auto"/>
          <w:kern w:val="0"/>
          <w:lang w:val="sr-Cyrl-CS"/>
        </w:rPr>
        <w:t>Policijska</w:t>
      </w:r>
      <w:r w:rsidR="007169B7" w:rsidRPr="00E95BC4">
        <w:rPr>
          <w:rFonts w:eastAsia="Times New Roman"/>
          <w:bCs/>
          <w:color w:val="auto"/>
          <w:kern w:val="0"/>
          <w:lang w:val="sr-Cyrl-CS"/>
        </w:rPr>
        <w:t xml:space="preserve"> </w:t>
      </w:r>
      <w:r>
        <w:rPr>
          <w:rFonts w:eastAsia="Times New Roman"/>
          <w:bCs/>
          <w:color w:val="auto"/>
          <w:kern w:val="0"/>
          <w:lang w:val="sr-Cyrl-CS"/>
        </w:rPr>
        <w:t>akademija</w:t>
      </w:r>
      <w:r w:rsidR="007169B7" w:rsidRPr="00E95BC4">
        <w:rPr>
          <w:rFonts w:eastAsia="Times New Roman"/>
          <w:bCs/>
          <w:color w:val="auto"/>
          <w:kern w:val="0"/>
          <w:lang w:val="sr-Cyrl-CS"/>
        </w:rPr>
        <w:t>)</w:t>
      </w:r>
      <w:r w:rsidR="0083281B" w:rsidRPr="00E95BC4">
        <w:rPr>
          <w:rFonts w:eastAsia="Times New Roman"/>
          <w:bCs/>
          <w:color w:val="auto"/>
          <w:kern w:val="0"/>
          <w:lang w:val="sr-Cyrl-CS"/>
        </w:rPr>
        <w:t>;</w:t>
      </w:r>
    </w:p>
    <w:p w:rsidR="00891EE4" w:rsidRPr="00E95BC4" w:rsidRDefault="005818C0" w:rsidP="00AC7277">
      <w:pPr>
        <w:pStyle w:val="ListParagraph"/>
        <w:numPr>
          <w:ilvl w:val="0"/>
          <w:numId w:val="11"/>
        </w:numPr>
        <w:rPr>
          <w:b/>
          <w:lang w:val="sr-Cyrl-CS"/>
        </w:rPr>
      </w:pPr>
      <w:r>
        <w:rPr>
          <w:rFonts w:eastAsia="Times New Roman"/>
          <w:b/>
          <w:bCs/>
          <w:color w:val="auto"/>
          <w:kern w:val="0"/>
          <w:lang w:val="sr-Cyrl-CS"/>
        </w:rPr>
        <w:t>Mediji</w:t>
      </w:r>
      <w:r w:rsidR="00891EE4" w:rsidRPr="00E95BC4">
        <w:rPr>
          <w:rFonts w:eastAsia="Times New Roman"/>
          <w:b/>
          <w:bCs/>
          <w:color w:val="auto"/>
          <w:kern w:val="0"/>
          <w:lang w:val="sr-Cyrl-CS"/>
        </w:rPr>
        <w:t xml:space="preserve">, </w:t>
      </w:r>
      <w:r>
        <w:rPr>
          <w:rFonts w:eastAsia="Times New Roman"/>
          <w:b/>
          <w:bCs/>
          <w:color w:val="auto"/>
          <w:kern w:val="0"/>
          <w:lang w:val="sr-Cyrl-CS"/>
        </w:rPr>
        <w:t>šira</w:t>
      </w:r>
      <w:r w:rsidR="00891EE4" w:rsidRPr="00E95BC4">
        <w:rPr>
          <w:rFonts w:eastAsia="Times New Roman"/>
          <w:b/>
          <w:bCs/>
          <w:color w:val="auto"/>
          <w:kern w:val="0"/>
          <w:lang w:val="sr-Cyrl-CS"/>
        </w:rPr>
        <w:t xml:space="preserve"> </w:t>
      </w:r>
      <w:r>
        <w:rPr>
          <w:rFonts w:eastAsia="Times New Roman"/>
          <w:b/>
          <w:bCs/>
          <w:color w:val="auto"/>
          <w:kern w:val="0"/>
          <w:lang w:val="sr-Cyrl-CS"/>
        </w:rPr>
        <w:t>javnost</w:t>
      </w:r>
      <w:r w:rsidR="0083281B" w:rsidRPr="00E95BC4">
        <w:rPr>
          <w:rFonts w:eastAsia="Times New Roman"/>
          <w:b/>
          <w:bCs/>
          <w:color w:val="auto"/>
          <w:kern w:val="0"/>
          <w:lang w:val="sr-Cyrl-CS"/>
        </w:rPr>
        <w:t>.</w:t>
      </w:r>
    </w:p>
    <w:p w:rsidR="00891EE4" w:rsidRPr="00E95BC4" w:rsidRDefault="00891EE4" w:rsidP="00285FD7">
      <w:pPr>
        <w:rPr>
          <w:lang w:val="sr-Cyrl-CS"/>
        </w:rPr>
      </w:pPr>
    </w:p>
    <w:p w:rsidR="00AB16CA" w:rsidRPr="00E95BC4" w:rsidRDefault="005818C0" w:rsidP="007574CB">
      <w:pPr>
        <w:ind w:firstLine="720"/>
        <w:jc w:val="both"/>
        <w:rPr>
          <w:highlight w:val="yellow"/>
          <w:lang w:val="sr-Cyrl-CS"/>
        </w:rPr>
      </w:pPr>
      <w:r>
        <w:rPr>
          <w:lang w:val="sr-Cyrl-CS"/>
        </w:rPr>
        <w:t>Sa</w:t>
      </w:r>
      <w:r w:rsidR="00AB16CA" w:rsidRPr="00E95BC4">
        <w:rPr>
          <w:lang w:val="sr-Cyrl-CS"/>
        </w:rPr>
        <w:t xml:space="preserve"> </w:t>
      </w:r>
      <w:r>
        <w:rPr>
          <w:lang w:val="sr-Cyrl-CS"/>
        </w:rPr>
        <w:t>ključnim</w:t>
      </w:r>
      <w:r w:rsidR="00AB16CA" w:rsidRPr="00E95BC4">
        <w:rPr>
          <w:lang w:val="sr-Cyrl-CS"/>
        </w:rPr>
        <w:t xml:space="preserve"> </w:t>
      </w:r>
      <w:r>
        <w:rPr>
          <w:lang w:val="sr-Cyrl-CS"/>
        </w:rPr>
        <w:t>napred</w:t>
      </w:r>
      <w:r w:rsidR="00AB16CA" w:rsidRPr="00E95BC4">
        <w:rPr>
          <w:lang w:val="sr-Cyrl-CS"/>
        </w:rPr>
        <w:t xml:space="preserve"> </w:t>
      </w:r>
      <w:r>
        <w:rPr>
          <w:lang w:val="sr-Cyrl-CS"/>
        </w:rPr>
        <w:t>navedenim</w:t>
      </w:r>
      <w:r w:rsidR="00AB16CA" w:rsidRPr="00E95BC4">
        <w:rPr>
          <w:lang w:val="sr-Cyrl-CS"/>
        </w:rPr>
        <w:t xml:space="preserve"> </w:t>
      </w:r>
      <w:r>
        <w:rPr>
          <w:lang w:val="sr-Cyrl-CS"/>
        </w:rPr>
        <w:t>zainteresovanim</w:t>
      </w:r>
      <w:r w:rsidR="00AB16CA" w:rsidRPr="00E95BC4">
        <w:rPr>
          <w:lang w:val="sr-Cyrl-CS"/>
        </w:rPr>
        <w:t xml:space="preserve"> </w:t>
      </w:r>
      <w:r>
        <w:rPr>
          <w:lang w:val="sr-Cyrl-CS"/>
        </w:rPr>
        <w:t>stranama</w:t>
      </w:r>
      <w:r w:rsidR="00AB16CA" w:rsidRPr="00E95BC4">
        <w:rPr>
          <w:lang w:val="sr-Cyrl-CS"/>
        </w:rPr>
        <w:t xml:space="preserve"> </w:t>
      </w:r>
      <w:r>
        <w:rPr>
          <w:lang w:val="sr-Cyrl-CS"/>
        </w:rPr>
        <w:t>vršene</w:t>
      </w:r>
      <w:r w:rsidR="00AB16CA" w:rsidRPr="00E95BC4">
        <w:rPr>
          <w:lang w:val="sr-Cyrl-CS"/>
        </w:rPr>
        <w:t xml:space="preserve"> </w:t>
      </w:r>
      <w:r>
        <w:rPr>
          <w:lang w:val="sr-Cyrl-CS"/>
        </w:rPr>
        <w:t>su</w:t>
      </w:r>
      <w:r w:rsidR="00AB16CA" w:rsidRPr="00E95BC4">
        <w:rPr>
          <w:lang w:val="sr-Cyrl-CS"/>
        </w:rPr>
        <w:t xml:space="preserve"> </w:t>
      </w:r>
      <w:r>
        <w:rPr>
          <w:lang w:val="sr-Cyrl-CS"/>
        </w:rPr>
        <w:t>konsultacije</w:t>
      </w:r>
      <w:r w:rsidR="00AB16CA" w:rsidRPr="00E95BC4">
        <w:rPr>
          <w:lang w:val="sr-Cyrl-CS"/>
        </w:rPr>
        <w:t xml:space="preserve"> </w:t>
      </w:r>
      <w:r>
        <w:rPr>
          <w:lang w:val="sr-Cyrl-CS"/>
        </w:rPr>
        <w:t>u</w:t>
      </w:r>
      <w:r w:rsidR="00AB16CA" w:rsidRPr="00E95BC4">
        <w:rPr>
          <w:lang w:val="sr-Cyrl-CS"/>
        </w:rPr>
        <w:t xml:space="preserve"> </w:t>
      </w:r>
      <w:r>
        <w:rPr>
          <w:lang w:val="sr-Cyrl-CS"/>
        </w:rPr>
        <w:t>toku</w:t>
      </w:r>
      <w:r w:rsidR="00AB16CA" w:rsidRPr="00E95BC4">
        <w:rPr>
          <w:lang w:val="sr-Cyrl-CS"/>
        </w:rPr>
        <w:t xml:space="preserve"> </w:t>
      </w:r>
      <w:r>
        <w:rPr>
          <w:lang w:val="sr-Cyrl-CS"/>
        </w:rPr>
        <w:t>učestalih</w:t>
      </w:r>
      <w:r w:rsidR="00AB16CA" w:rsidRPr="00E95BC4">
        <w:rPr>
          <w:lang w:val="sr-Cyrl-CS"/>
        </w:rPr>
        <w:t xml:space="preserve"> </w:t>
      </w:r>
      <w:r>
        <w:rPr>
          <w:lang w:val="sr-Cyrl-CS"/>
        </w:rPr>
        <w:t>sastanaka</w:t>
      </w:r>
      <w:r w:rsidR="00AB16CA" w:rsidRPr="00E95BC4">
        <w:rPr>
          <w:lang w:val="sr-Cyrl-CS"/>
        </w:rPr>
        <w:t xml:space="preserve">, </w:t>
      </w:r>
      <w:r>
        <w:rPr>
          <w:lang w:val="sr-Cyrl-CS"/>
        </w:rPr>
        <w:t>seminara</w:t>
      </w:r>
      <w:r w:rsidR="00AB16CA" w:rsidRPr="00E95BC4">
        <w:rPr>
          <w:lang w:val="sr-Cyrl-CS"/>
        </w:rPr>
        <w:t xml:space="preserve">, </w:t>
      </w:r>
      <w:r>
        <w:rPr>
          <w:lang w:val="sr-Cyrl-CS"/>
        </w:rPr>
        <w:t>radionica</w:t>
      </w:r>
      <w:r w:rsidR="00AB16CA" w:rsidRPr="00E95BC4">
        <w:rPr>
          <w:lang w:val="sr-Cyrl-CS"/>
        </w:rPr>
        <w:t xml:space="preserve">, </w:t>
      </w:r>
      <w:r>
        <w:rPr>
          <w:lang w:val="sr-Cyrl-CS"/>
        </w:rPr>
        <w:t>i</w:t>
      </w:r>
      <w:r w:rsidR="00AB16CA" w:rsidRPr="00E95BC4">
        <w:rPr>
          <w:lang w:val="sr-Cyrl-CS"/>
        </w:rPr>
        <w:t xml:space="preserve"> </w:t>
      </w:r>
      <w:r>
        <w:rPr>
          <w:lang w:val="sr-Cyrl-CS"/>
        </w:rPr>
        <w:t>drugih</w:t>
      </w:r>
      <w:r w:rsidR="00AB16CA" w:rsidRPr="00E95BC4">
        <w:rPr>
          <w:lang w:val="sr-Cyrl-CS"/>
        </w:rPr>
        <w:t xml:space="preserve"> </w:t>
      </w:r>
      <w:r>
        <w:rPr>
          <w:lang w:val="sr-Cyrl-CS"/>
        </w:rPr>
        <w:t>događaja</w:t>
      </w:r>
      <w:r w:rsidR="00AB16CA" w:rsidRPr="00E95BC4">
        <w:rPr>
          <w:lang w:val="sr-Cyrl-CS"/>
        </w:rPr>
        <w:t xml:space="preserve"> </w:t>
      </w:r>
      <w:r>
        <w:rPr>
          <w:lang w:val="sr-Cyrl-CS"/>
        </w:rPr>
        <w:t>kako</w:t>
      </w:r>
      <w:r w:rsidR="00AB16CA" w:rsidRPr="00E95BC4">
        <w:rPr>
          <w:lang w:val="sr-Cyrl-CS"/>
        </w:rPr>
        <w:t xml:space="preserve"> </w:t>
      </w:r>
      <w:r>
        <w:rPr>
          <w:lang w:val="sr-Cyrl-CS"/>
        </w:rPr>
        <w:t>u</w:t>
      </w:r>
      <w:r w:rsidR="00AB16CA" w:rsidRPr="00E95BC4">
        <w:rPr>
          <w:lang w:val="sr-Cyrl-CS"/>
        </w:rPr>
        <w:t xml:space="preserve"> </w:t>
      </w:r>
      <w:r>
        <w:rPr>
          <w:lang w:val="sr-Cyrl-CS"/>
        </w:rPr>
        <w:t>vezi</w:t>
      </w:r>
      <w:r w:rsidR="00AB16CA" w:rsidRPr="00E95BC4">
        <w:rPr>
          <w:lang w:val="sr-Cyrl-CS"/>
        </w:rPr>
        <w:t xml:space="preserve"> </w:t>
      </w:r>
      <w:r>
        <w:rPr>
          <w:lang w:val="sr-Cyrl-CS"/>
        </w:rPr>
        <w:t>sa</w:t>
      </w:r>
      <w:r w:rsidR="00AB16CA" w:rsidRPr="00E95BC4">
        <w:rPr>
          <w:lang w:val="sr-Cyrl-CS"/>
        </w:rPr>
        <w:t xml:space="preserve"> </w:t>
      </w:r>
      <w:r>
        <w:rPr>
          <w:lang w:val="sr-Cyrl-CS"/>
        </w:rPr>
        <w:t>sprovođenjem</w:t>
      </w:r>
      <w:r w:rsidR="00AB16CA" w:rsidRPr="00E95BC4">
        <w:rPr>
          <w:lang w:val="sr-Cyrl-CS"/>
        </w:rPr>
        <w:t xml:space="preserve"> </w:t>
      </w:r>
      <w:r>
        <w:rPr>
          <w:lang w:val="sr-Cyrl-CS"/>
        </w:rPr>
        <w:t>preporuka</w:t>
      </w:r>
      <w:r w:rsidR="00AB16CA" w:rsidRPr="00E95BC4">
        <w:rPr>
          <w:lang w:val="sr-Cyrl-CS"/>
        </w:rPr>
        <w:t xml:space="preserve"> </w:t>
      </w:r>
      <w:r>
        <w:rPr>
          <w:lang w:val="sr-Cyrl-CS"/>
        </w:rPr>
        <w:t>Manivala</w:t>
      </w:r>
      <w:r w:rsidR="00AB16CA" w:rsidRPr="00E95BC4">
        <w:rPr>
          <w:lang w:val="sr-Cyrl-CS"/>
        </w:rPr>
        <w:t xml:space="preserve"> </w:t>
      </w:r>
      <w:r>
        <w:rPr>
          <w:lang w:val="sr-Cyrl-CS"/>
        </w:rPr>
        <w:t>i</w:t>
      </w:r>
      <w:r w:rsidR="00AB16CA" w:rsidRPr="00E95BC4">
        <w:rPr>
          <w:lang w:val="sr-Cyrl-CS"/>
        </w:rPr>
        <w:t xml:space="preserve"> </w:t>
      </w:r>
      <w:r>
        <w:rPr>
          <w:lang w:val="sr-Cyrl-CS"/>
        </w:rPr>
        <w:t>Akcionog</w:t>
      </w:r>
      <w:r w:rsidR="00AB16CA" w:rsidRPr="00E95BC4">
        <w:rPr>
          <w:lang w:val="sr-Cyrl-CS"/>
        </w:rPr>
        <w:t xml:space="preserve"> </w:t>
      </w:r>
      <w:r>
        <w:rPr>
          <w:lang w:val="sr-Cyrl-CS"/>
        </w:rPr>
        <w:t>plana</w:t>
      </w:r>
      <w:r w:rsidR="00AB16CA" w:rsidRPr="00E95BC4">
        <w:rPr>
          <w:lang w:val="sr-Cyrl-CS"/>
        </w:rPr>
        <w:t xml:space="preserve"> </w:t>
      </w:r>
      <w:r>
        <w:rPr>
          <w:lang w:val="sr-Cyrl-CS"/>
        </w:rPr>
        <w:t>FATF</w:t>
      </w:r>
      <w:r w:rsidR="00AB16CA" w:rsidRPr="00E95BC4">
        <w:rPr>
          <w:lang w:val="sr-Cyrl-CS"/>
        </w:rPr>
        <w:t xml:space="preserve">, </w:t>
      </w:r>
      <w:r>
        <w:rPr>
          <w:lang w:val="sr-Cyrl-CS"/>
        </w:rPr>
        <w:t>tako</w:t>
      </w:r>
      <w:r w:rsidR="00AB16CA" w:rsidRPr="00E95BC4">
        <w:rPr>
          <w:lang w:val="sr-Cyrl-CS"/>
        </w:rPr>
        <w:t xml:space="preserve"> </w:t>
      </w:r>
      <w:r>
        <w:rPr>
          <w:lang w:val="sr-Cyrl-CS"/>
        </w:rPr>
        <w:t>i</w:t>
      </w:r>
      <w:r w:rsidR="00AB16CA" w:rsidRPr="00E95BC4">
        <w:rPr>
          <w:lang w:val="sr-Cyrl-CS"/>
        </w:rPr>
        <w:t xml:space="preserve"> </w:t>
      </w:r>
      <w:r>
        <w:rPr>
          <w:lang w:val="sr-Cyrl-CS"/>
        </w:rPr>
        <w:t>u</w:t>
      </w:r>
      <w:r w:rsidR="00AB16CA" w:rsidRPr="00E95BC4">
        <w:rPr>
          <w:lang w:val="sr-Cyrl-CS"/>
        </w:rPr>
        <w:t xml:space="preserve"> </w:t>
      </w:r>
      <w:r>
        <w:rPr>
          <w:lang w:val="sr-Cyrl-CS"/>
        </w:rPr>
        <w:t>toku</w:t>
      </w:r>
      <w:r w:rsidR="00AB16CA" w:rsidRPr="00E95BC4">
        <w:rPr>
          <w:lang w:val="sr-Cyrl-CS"/>
        </w:rPr>
        <w:t xml:space="preserve"> </w:t>
      </w:r>
      <w:r>
        <w:rPr>
          <w:lang w:val="sr-Cyrl-CS"/>
        </w:rPr>
        <w:t>procesa</w:t>
      </w:r>
      <w:r w:rsidR="00AB16CA" w:rsidRPr="00E95BC4">
        <w:rPr>
          <w:lang w:val="sr-Cyrl-CS"/>
        </w:rPr>
        <w:t xml:space="preserve"> </w:t>
      </w:r>
      <w:r>
        <w:rPr>
          <w:lang w:val="sr-Cyrl-CS"/>
        </w:rPr>
        <w:t>nacionalne</w:t>
      </w:r>
      <w:r w:rsidR="00AB16CA" w:rsidRPr="00E95BC4">
        <w:rPr>
          <w:lang w:val="sr-Cyrl-CS"/>
        </w:rPr>
        <w:t xml:space="preserve"> </w:t>
      </w:r>
      <w:r>
        <w:rPr>
          <w:lang w:val="sr-Cyrl-CS"/>
        </w:rPr>
        <w:t>procene</w:t>
      </w:r>
      <w:r w:rsidR="00AB16CA" w:rsidRPr="00E95BC4">
        <w:rPr>
          <w:lang w:val="sr-Cyrl-CS"/>
        </w:rPr>
        <w:t xml:space="preserve"> </w:t>
      </w:r>
      <w:r>
        <w:rPr>
          <w:lang w:val="sr-Cyrl-CS"/>
        </w:rPr>
        <w:t>rizika</w:t>
      </w:r>
      <w:r w:rsidR="00AB16CA" w:rsidRPr="00E95BC4">
        <w:rPr>
          <w:lang w:val="sr-Cyrl-CS"/>
        </w:rPr>
        <w:t xml:space="preserve">. </w:t>
      </w:r>
      <w:r>
        <w:rPr>
          <w:lang w:val="sr-Cyrl-CS"/>
        </w:rPr>
        <w:t>Konsultacije</w:t>
      </w:r>
      <w:r w:rsidR="00787792" w:rsidRPr="00E95BC4">
        <w:rPr>
          <w:lang w:val="sr-Cyrl-CS"/>
        </w:rPr>
        <w:t xml:space="preserve"> </w:t>
      </w:r>
      <w:r>
        <w:rPr>
          <w:lang w:val="sr-Cyrl-CS"/>
        </w:rPr>
        <w:t>su</w:t>
      </w:r>
      <w:r w:rsidR="00787792" w:rsidRPr="00E95BC4">
        <w:rPr>
          <w:lang w:val="sr-Cyrl-CS"/>
        </w:rPr>
        <w:t xml:space="preserve"> </w:t>
      </w:r>
      <w:r>
        <w:rPr>
          <w:lang w:val="sr-Cyrl-CS"/>
        </w:rPr>
        <w:t>vršene</w:t>
      </w:r>
      <w:r w:rsidR="00787792" w:rsidRPr="00E95BC4">
        <w:rPr>
          <w:lang w:val="sr-Cyrl-CS"/>
        </w:rPr>
        <w:t xml:space="preserve"> </w:t>
      </w:r>
      <w:r>
        <w:rPr>
          <w:lang w:val="sr-Cyrl-CS"/>
        </w:rPr>
        <w:t>i</w:t>
      </w:r>
      <w:r w:rsidR="00787792" w:rsidRPr="00E95BC4">
        <w:rPr>
          <w:lang w:val="sr-Cyrl-CS"/>
        </w:rPr>
        <w:t xml:space="preserve"> </w:t>
      </w:r>
      <w:r>
        <w:rPr>
          <w:lang w:val="sr-Cyrl-CS"/>
        </w:rPr>
        <w:t>sa</w:t>
      </w:r>
      <w:r w:rsidR="00787792" w:rsidRPr="00E95BC4">
        <w:rPr>
          <w:lang w:val="sr-Cyrl-CS"/>
        </w:rPr>
        <w:t xml:space="preserve"> </w:t>
      </w:r>
      <w:r>
        <w:rPr>
          <w:lang w:val="sr-Cyrl-CS"/>
        </w:rPr>
        <w:t>privatnim</w:t>
      </w:r>
      <w:r w:rsidR="007574CB" w:rsidRPr="00E95BC4">
        <w:rPr>
          <w:lang w:val="sr-Cyrl-CS"/>
        </w:rPr>
        <w:t xml:space="preserve"> </w:t>
      </w:r>
      <w:r>
        <w:rPr>
          <w:lang w:val="sr-Cyrl-CS"/>
        </w:rPr>
        <w:t>i</w:t>
      </w:r>
      <w:r w:rsidR="007574CB" w:rsidRPr="00E95BC4">
        <w:rPr>
          <w:lang w:val="sr-Cyrl-CS"/>
        </w:rPr>
        <w:t xml:space="preserve"> </w:t>
      </w:r>
      <w:r>
        <w:rPr>
          <w:lang w:val="sr-Cyrl-CS"/>
        </w:rPr>
        <w:t>neprofitnim</w:t>
      </w:r>
      <w:r w:rsidR="007574CB" w:rsidRPr="00E95BC4">
        <w:rPr>
          <w:lang w:val="sr-Cyrl-CS"/>
        </w:rPr>
        <w:t xml:space="preserve"> </w:t>
      </w:r>
      <w:r>
        <w:rPr>
          <w:lang w:val="sr-Cyrl-CS"/>
        </w:rPr>
        <w:t>sektorom</w:t>
      </w:r>
      <w:r w:rsidR="007574CB" w:rsidRPr="00E95BC4">
        <w:rPr>
          <w:lang w:val="sr-Cyrl-CS"/>
        </w:rPr>
        <w:t>.</w:t>
      </w:r>
    </w:p>
    <w:p w:rsidR="00AB16CA" w:rsidRPr="00E95BC4" w:rsidRDefault="005818C0" w:rsidP="007574CB">
      <w:pPr>
        <w:ind w:firstLine="720"/>
        <w:jc w:val="both"/>
        <w:rPr>
          <w:highlight w:val="yellow"/>
          <w:lang w:val="sr-Cyrl-CS"/>
        </w:rPr>
      </w:pPr>
      <w:r>
        <w:rPr>
          <w:lang w:val="sr-Cyrl-CS"/>
        </w:rPr>
        <w:t>Konsultacije</w:t>
      </w:r>
      <w:r w:rsidR="00AB16CA" w:rsidRPr="00E95BC4">
        <w:rPr>
          <w:lang w:val="sr-Cyrl-CS"/>
        </w:rPr>
        <w:t xml:space="preserve"> </w:t>
      </w:r>
      <w:r>
        <w:rPr>
          <w:lang w:val="sr-Cyrl-CS"/>
        </w:rPr>
        <w:t>su</w:t>
      </w:r>
      <w:r w:rsidR="00AB16CA" w:rsidRPr="00E95BC4">
        <w:rPr>
          <w:lang w:val="sr-Cyrl-CS"/>
        </w:rPr>
        <w:t xml:space="preserve"> </w:t>
      </w:r>
      <w:r>
        <w:rPr>
          <w:lang w:val="sr-Cyrl-CS"/>
        </w:rPr>
        <w:t>vršene</w:t>
      </w:r>
      <w:r w:rsidR="00AB16CA" w:rsidRPr="00E95BC4">
        <w:rPr>
          <w:lang w:val="sr-Cyrl-CS"/>
        </w:rPr>
        <w:t xml:space="preserve"> </w:t>
      </w:r>
      <w:r>
        <w:rPr>
          <w:lang w:val="sr-Cyrl-CS"/>
        </w:rPr>
        <w:t>i</w:t>
      </w:r>
      <w:r w:rsidR="00AB16CA" w:rsidRPr="00E95BC4">
        <w:rPr>
          <w:lang w:val="sr-Cyrl-CS"/>
        </w:rPr>
        <w:t xml:space="preserve"> </w:t>
      </w:r>
      <w:r>
        <w:rPr>
          <w:lang w:val="sr-Cyrl-CS"/>
        </w:rPr>
        <w:t>sa</w:t>
      </w:r>
      <w:r w:rsidR="00AB16CA" w:rsidRPr="00E95BC4">
        <w:rPr>
          <w:lang w:val="sr-Cyrl-CS"/>
        </w:rPr>
        <w:t xml:space="preserve"> </w:t>
      </w:r>
      <w:r>
        <w:rPr>
          <w:lang w:val="sr-Cyrl-CS"/>
        </w:rPr>
        <w:t>međunarodnim</w:t>
      </w:r>
      <w:r w:rsidR="00AB16CA" w:rsidRPr="00E95BC4">
        <w:rPr>
          <w:lang w:val="sr-Cyrl-CS"/>
        </w:rPr>
        <w:t xml:space="preserve"> </w:t>
      </w:r>
      <w:r>
        <w:rPr>
          <w:lang w:val="sr-Cyrl-CS"/>
        </w:rPr>
        <w:t>ekspertima</w:t>
      </w:r>
      <w:r w:rsidR="00AB16CA" w:rsidRPr="00E95BC4">
        <w:rPr>
          <w:lang w:val="sr-Cyrl-CS"/>
        </w:rPr>
        <w:t xml:space="preserve"> </w:t>
      </w:r>
      <w:r>
        <w:rPr>
          <w:lang w:val="sr-Cyrl-CS"/>
        </w:rPr>
        <w:t>angažovanim</w:t>
      </w:r>
      <w:r w:rsidR="00AB16CA" w:rsidRPr="00E95BC4">
        <w:rPr>
          <w:lang w:val="sr-Cyrl-CS"/>
        </w:rPr>
        <w:t xml:space="preserve"> </w:t>
      </w:r>
      <w:r>
        <w:rPr>
          <w:lang w:val="sr-Cyrl-CS"/>
        </w:rPr>
        <w:t>u</w:t>
      </w:r>
      <w:r w:rsidR="00AB16CA" w:rsidRPr="00E95BC4">
        <w:rPr>
          <w:lang w:val="sr-Cyrl-CS"/>
        </w:rPr>
        <w:t xml:space="preserve"> </w:t>
      </w:r>
      <w:r>
        <w:rPr>
          <w:lang w:val="sr-Cyrl-CS"/>
        </w:rPr>
        <w:t>okviru</w:t>
      </w:r>
      <w:r w:rsidR="00AB16CA" w:rsidRPr="00E95BC4">
        <w:rPr>
          <w:lang w:val="sr-Cyrl-CS"/>
        </w:rPr>
        <w:t xml:space="preserve"> </w:t>
      </w:r>
      <w:r>
        <w:rPr>
          <w:lang w:val="sr-Cyrl-CS"/>
        </w:rPr>
        <w:t>Projekta</w:t>
      </w:r>
      <w:r w:rsidR="00AB16CA" w:rsidRPr="00E95BC4">
        <w:rPr>
          <w:lang w:val="sr-Cyrl-CS"/>
        </w:rPr>
        <w:t xml:space="preserve"> </w:t>
      </w:r>
      <w:r>
        <w:rPr>
          <w:lang w:val="sr-Cyrl-CS"/>
        </w:rPr>
        <w:t>za</w:t>
      </w:r>
      <w:r w:rsidR="00AB16CA" w:rsidRPr="00E95BC4">
        <w:rPr>
          <w:lang w:val="sr-Cyrl-CS"/>
        </w:rPr>
        <w:t xml:space="preserve"> </w:t>
      </w:r>
      <w:r>
        <w:rPr>
          <w:lang w:val="sr-Cyrl-CS"/>
        </w:rPr>
        <w:t>sprečavanje</w:t>
      </w:r>
      <w:r w:rsidR="00AB16CA" w:rsidRPr="00E95BC4">
        <w:rPr>
          <w:lang w:val="sr-Cyrl-CS"/>
        </w:rPr>
        <w:t xml:space="preserve"> </w:t>
      </w:r>
      <w:r>
        <w:rPr>
          <w:lang w:val="sr-Cyrl-CS"/>
        </w:rPr>
        <w:t>pranja</w:t>
      </w:r>
      <w:r w:rsidR="00AB16CA" w:rsidRPr="00E95BC4">
        <w:rPr>
          <w:lang w:val="sr-Cyrl-CS"/>
        </w:rPr>
        <w:t xml:space="preserve"> </w:t>
      </w:r>
      <w:r>
        <w:rPr>
          <w:lang w:val="sr-Cyrl-CS"/>
        </w:rPr>
        <w:t>novca</w:t>
      </w:r>
      <w:r w:rsidR="00AB16CA" w:rsidRPr="00E95BC4">
        <w:rPr>
          <w:lang w:val="sr-Cyrl-CS"/>
        </w:rPr>
        <w:t xml:space="preserve"> </w:t>
      </w:r>
      <w:r>
        <w:rPr>
          <w:lang w:val="sr-Cyrl-CS"/>
        </w:rPr>
        <w:t>i</w:t>
      </w:r>
      <w:r w:rsidR="00AB16CA" w:rsidRPr="00E95BC4">
        <w:rPr>
          <w:lang w:val="sr-Cyrl-CS"/>
        </w:rPr>
        <w:t xml:space="preserve"> </w:t>
      </w:r>
      <w:r>
        <w:rPr>
          <w:lang w:val="sr-Cyrl-CS"/>
        </w:rPr>
        <w:t>finansiranja</w:t>
      </w:r>
      <w:r w:rsidR="00AB16CA" w:rsidRPr="00E95BC4">
        <w:rPr>
          <w:lang w:val="sr-Cyrl-CS"/>
        </w:rPr>
        <w:t xml:space="preserve"> </w:t>
      </w:r>
      <w:r>
        <w:rPr>
          <w:lang w:val="sr-Cyrl-CS"/>
        </w:rPr>
        <w:t>terorizma</w:t>
      </w:r>
      <w:r w:rsidR="00AB16CA" w:rsidRPr="00E95BC4">
        <w:rPr>
          <w:lang w:val="sr-Cyrl-CS"/>
        </w:rPr>
        <w:t xml:space="preserve"> </w:t>
      </w:r>
      <w:r>
        <w:rPr>
          <w:lang w:val="sr-Cyrl-CS"/>
        </w:rPr>
        <w:t>u</w:t>
      </w:r>
      <w:r w:rsidR="00AB16CA" w:rsidRPr="00E95BC4">
        <w:rPr>
          <w:lang w:val="sr-Cyrl-CS"/>
        </w:rPr>
        <w:t xml:space="preserve"> </w:t>
      </w:r>
      <w:r>
        <w:rPr>
          <w:lang w:val="sr-Cyrl-CS"/>
        </w:rPr>
        <w:t>Srbiji</w:t>
      </w:r>
      <w:r w:rsidR="007574CB" w:rsidRPr="00E95BC4">
        <w:rPr>
          <w:lang w:val="sr-Cyrl-CS"/>
        </w:rPr>
        <w:t xml:space="preserve">, </w:t>
      </w:r>
      <w:r>
        <w:rPr>
          <w:lang w:val="sr-Cyrl-CS"/>
        </w:rPr>
        <w:t>od</w:t>
      </w:r>
      <w:r w:rsidR="007574CB" w:rsidRPr="00E95BC4">
        <w:rPr>
          <w:lang w:val="sr-Cyrl-CS"/>
        </w:rPr>
        <w:t xml:space="preserve"> </w:t>
      </w:r>
      <w:r>
        <w:rPr>
          <w:lang w:val="sr-Cyrl-CS"/>
        </w:rPr>
        <w:t>početka</w:t>
      </w:r>
      <w:r w:rsidR="007574CB" w:rsidRPr="00E95BC4">
        <w:rPr>
          <w:lang w:val="sr-Cyrl-CS"/>
        </w:rPr>
        <w:t xml:space="preserve"> 2018. </w:t>
      </w:r>
      <w:r>
        <w:rPr>
          <w:lang w:val="sr-Cyrl-CS"/>
        </w:rPr>
        <w:t>do</w:t>
      </w:r>
      <w:r w:rsidR="007574CB" w:rsidRPr="00E95BC4">
        <w:rPr>
          <w:lang w:val="sr-Cyrl-CS"/>
        </w:rPr>
        <w:t xml:space="preserve"> </w:t>
      </w:r>
      <w:r>
        <w:rPr>
          <w:lang w:val="sr-Cyrl-CS"/>
        </w:rPr>
        <w:t>kraja</w:t>
      </w:r>
      <w:r w:rsidR="007574CB" w:rsidRPr="00E95BC4">
        <w:rPr>
          <w:lang w:val="sr-Cyrl-CS"/>
        </w:rPr>
        <w:t xml:space="preserve"> 2019. </w:t>
      </w:r>
      <w:r>
        <w:rPr>
          <w:lang w:val="sr-Cyrl-CS"/>
        </w:rPr>
        <w:t>godine</w:t>
      </w:r>
      <w:r w:rsidR="007574CB" w:rsidRPr="00E95BC4">
        <w:rPr>
          <w:lang w:val="sr-Cyrl-CS"/>
        </w:rPr>
        <w:t>.</w:t>
      </w:r>
    </w:p>
    <w:p w:rsidR="00AB16CA" w:rsidRPr="00E95BC4" w:rsidRDefault="00AB16CA" w:rsidP="00285FD7">
      <w:pPr>
        <w:rPr>
          <w:lang w:val="sr-Cyrl-CS"/>
        </w:rPr>
      </w:pPr>
    </w:p>
    <w:p w:rsidR="00A278FF" w:rsidRPr="00E95BC4" w:rsidRDefault="005818C0" w:rsidP="00787792">
      <w:pPr>
        <w:pStyle w:val="Heading1"/>
        <w:spacing w:before="0"/>
        <w:ind w:firstLine="720"/>
        <w:jc w:val="both"/>
        <w:rPr>
          <w:rFonts w:ascii="Times New Roman" w:hAnsi="Times New Roman" w:cs="Times New Roman"/>
          <w:color w:val="auto"/>
          <w:sz w:val="24"/>
          <w:szCs w:val="24"/>
          <w:lang w:val="sr-Cyrl-CS"/>
        </w:rPr>
      </w:pPr>
      <w:bookmarkStart w:id="12" w:name="_Toc32409901"/>
      <w:r>
        <w:rPr>
          <w:rFonts w:ascii="Times New Roman" w:hAnsi="Times New Roman" w:cs="Times New Roman"/>
          <w:color w:val="auto"/>
          <w:sz w:val="24"/>
          <w:szCs w:val="24"/>
          <w:lang w:val="sr-Cyrl-CS"/>
        </w:rPr>
        <w:t>Procena</w:t>
      </w:r>
      <w:r w:rsidR="00A278FF" w:rsidRPr="00E95BC4">
        <w:rPr>
          <w:rFonts w:ascii="Times New Roman" w:hAnsi="Times New Roman" w:cs="Times New Roman"/>
          <w:color w:val="auto"/>
          <w:sz w:val="24"/>
          <w:szCs w:val="24"/>
          <w:lang w:val="sr-Cyrl-CS"/>
        </w:rPr>
        <w:t xml:space="preserve"> </w:t>
      </w:r>
      <w:r>
        <w:rPr>
          <w:rFonts w:ascii="Times New Roman" w:hAnsi="Times New Roman" w:cs="Times New Roman"/>
          <w:color w:val="auto"/>
          <w:sz w:val="24"/>
          <w:szCs w:val="24"/>
          <w:lang w:val="sr-Cyrl-CS"/>
        </w:rPr>
        <w:t>finansijskih</w:t>
      </w:r>
      <w:r w:rsidR="00A278FF" w:rsidRPr="00E95BC4">
        <w:rPr>
          <w:rFonts w:ascii="Times New Roman" w:hAnsi="Times New Roman" w:cs="Times New Roman"/>
          <w:color w:val="auto"/>
          <w:sz w:val="24"/>
          <w:szCs w:val="24"/>
          <w:lang w:val="sr-Cyrl-CS"/>
        </w:rPr>
        <w:t xml:space="preserve"> </w:t>
      </w:r>
      <w:r>
        <w:rPr>
          <w:rFonts w:ascii="Times New Roman" w:hAnsi="Times New Roman" w:cs="Times New Roman"/>
          <w:color w:val="auto"/>
          <w:sz w:val="24"/>
          <w:szCs w:val="24"/>
          <w:lang w:val="sr-Cyrl-CS"/>
        </w:rPr>
        <w:t>sredstava</w:t>
      </w:r>
      <w:r w:rsidR="00A278FF" w:rsidRPr="00E95BC4">
        <w:rPr>
          <w:rFonts w:ascii="Times New Roman" w:hAnsi="Times New Roman" w:cs="Times New Roman"/>
          <w:color w:val="auto"/>
          <w:sz w:val="24"/>
          <w:szCs w:val="24"/>
          <w:lang w:val="sr-Cyrl-CS"/>
        </w:rPr>
        <w:t xml:space="preserve"> </w:t>
      </w:r>
      <w:r>
        <w:rPr>
          <w:rFonts w:ascii="Times New Roman" w:hAnsi="Times New Roman" w:cs="Times New Roman"/>
          <w:color w:val="auto"/>
          <w:sz w:val="24"/>
          <w:szCs w:val="24"/>
          <w:lang w:val="sr-Cyrl-CS"/>
        </w:rPr>
        <w:t>potrebnih</w:t>
      </w:r>
      <w:r w:rsidR="00A278FF" w:rsidRPr="00E95BC4">
        <w:rPr>
          <w:rFonts w:ascii="Times New Roman" w:hAnsi="Times New Roman" w:cs="Times New Roman"/>
          <w:color w:val="auto"/>
          <w:sz w:val="24"/>
          <w:szCs w:val="24"/>
          <w:lang w:val="sr-Cyrl-CS"/>
        </w:rPr>
        <w:t xml:space="preserve"> </w:t>
      </w:r>
      <w:r>
        <w:rPr>
          <w:rFonts w:ascii="Times New Roman" w:hAnsi="Times New Roman" w:cs="Times New Roman"/>
          <w:color w:val="auto"/>
          <w:sz w:val="24"/>
          <w:szCs w:val="24"/>
          <w:lang w:val="sr-Cyrl-CS"/>
        </w:rPr>
        <w:t>za</w:t>
      </w:r>
      <w:r w:rsidR="00A278FF" w:rsidRPr="00E95BC4">
        <w:rPr>
          <w:rFonts w:ascii="Times New Roman" w:hAnsi="Times New Roman" w:cs="Times New Roman"/>
          <w:color w:val="auto"/>
          <w:sz w:val="24"/>
          <w:szCs w:val="24"/>
          <w:lang w:val="sr-Cyrl-CS"/>
        </w:rPr>
        <w:t xml:space="preserve"> </w:t>
      </w:r>
      <w:r>
        <w:rPr>
          <w:rFonts w:ascii="Times New Roman" w:hAnsi="Times New Roman" w:cs="Times New Roman"/>
          <w:color w:val="auto"/>
          <w:sz w:val="24"/>
          <w:szCs w:val="24"/>
          <w:lang w:val="sr-Cyrl-CS"/>
        </w:rPr>
        <w:t>sprovođenje</w:t>
      </w:r>
      <w:r w:rsidR="00A278FF" w:rsidRPr="00E95BC4">
        <w:rPr>
          <w:rFonts w:ascii="Times New Roman" w:hAnsi="Times New Roman" w:cs="Times New Roman"/>
          <w:color w:val="auto"/>
          <w:sz w:val="24"/>
          <w:szCs w:val="24"/>
          <w:lang w:val="sr-Cyrl-CS"/>
        </w:rPr>
        <w:t xml:space="preserve"> </w:t>
      </w:r>
      <w:r>
        <w:rPr>
          <w:rFonts w:ascii="Times New Roman" w:hAnsi="Times New Roman" w:cs="Times New Roman"/>
          <w:color w:val="auto"/>
          <w:sz w:val="24"/>
          <w:szCs w:val="24"/>
          <w:lang w:val="sr-Cyrl-CS"/>
        </w:rPr>
        <w:t>strategije</w:t>
      </w:r>
      <w:r w:rsidR="00A278FF" w:rsidRPr="00E95BC4">
        <w:rPr>
          <w:rFonts w:ascii="Times New Roman" w:hAnsi="Times New Roman" w:cs="Times New Roman"/>
          <w:color w:val="auto"/>
          <w:sz w:val="24"/>
          <w:szCs w:val="24"/>
          <w:lang w:val="sr-Cyrl-CS"/>
        </w:rPr>
        <w:t xml:space="preserve"> </w:t>
      </w:r>
      <w:r>
        <w:rPr>
          <w:rFonts w:ascii="Times New Roman" w:hAnsi="Times New Roman" w:cs="Times New Roman"/>
          <w:color w:val="auto"/>
          <w:sz w:val="24"/>
          <w:szCs w:val="24"/>
          <w:lang w:val="sr-Cyrl-CS"/>
        </w:rPr>
        <w:t>i</w:t>
      </w:r>
      <w:r w:rsidR="00A278FF" w:rsidRPr="00E95BC4">
        <w:rPr>
          <w:rFonts w:ascii="Times New Roman" w:hAnsi="Times New Roman" w:cs="Times New Roman"/>
          <w:color w:val="auto"/>
          <w:sz w:val="24"/>
          <w:szCs w:val="24"/>
          <w:lang w:val="sr-Cyrl-CS"/>
        </w:rPr>
        <w:t xml:space="preserve"> </w:t>
      </w:r>
      <w:r>
        <w:rPr>
          <w:rFonts w:ascii="Times New Roman" w:hAnsi="Times New Roman" w:cs="Times New Roman"/>
          <w:color w:val="auto"/>
          <w:sz w:val="24"/>
          <w:szCs w:val="24"/>
          <w:lang w:val="sr-Cyrl-CS"/>
        </w:rPr>
        <w:t>analiza</w:t>
      </w:r>
      <w:r w:rsidR="00A278FF" w:rsidRPr="00E95BC4">
        <w:rPr>
          <w:rFonts w:ascii="Times New Roman" w:hAnsi="Times New Roman" w:cs="Times New Roman"/>
          <w:color w:val="auto"/>
          <w:sz w:val="24"/>
          <w:szCs w:val="24"/>
          <w:lang w:val="sr-Cyrl-CS"/>
        </w:rPr>
        <w:t xml:space="preserve"> </w:t>
      </w:r>
      <w:r>
        <w:rPr>
          <w:rFonts w:ascii="Times New Roman" w:hAnsi="Times New Roman" w:cs="Times New Roman"/>
          <w:color w:val="auto"/>
          <w:sz w:val="24"/>
          <w:szCs w:val="24"/>
          <w:lang w:val="sr-Cyrl-CS"/>
        </w:rPr>
        <w:t>finansijskih</w:t>
      </w:r>
      <w:r w:rsidR="00A278FF" w:rsidRPr="00E95BC4">
        <w:rPr>
          <w:rFonts w:ascii="Times New Roman" w:hAnsi="Times New Roman" w:cs="Times New Roman"/>
          <w:color w:val="auto"/>
          <w:sz w:val="24"/>
          <w:szCs w:val="24"/>
          <w:lang w:val="sr-Cyrl-CS"/>
        </w:rPr>
        <w:t xml:space="preserve"> </w:t>
      </w:r>
      <w:r>
        <w:rPr>
          <w:rFonts w:ascii="Times New Roman" w:hAnsi="Times New Roman" w:cs="Times New Roman"/>
          <w:color w:val="auto"/>
          <w:sz w:val="24"/>
          <w:szCs w:val="24"/>
          <w:lang w:val="sr-Cyrl-CS"/>
        </w:rPr>
        <w:t>efekata</w:t>
      </w:r>
      <w:bookmarkEnd w:id="12"/>
    </w:p>
    <w:p w:rsidR="0004492D" w:rsidRPr="00E95BC4" w:rsidRDefault="0004492D" w:rsidP="00285FD7">
      <w:pPr>
        <w:pStyle w:val="ListParagraph"/>
        <w:tabs>
          <w:tab w:val="left" w:pos="900"/>
        </w:tabs>
        <w:ind w:left="1080"/>
        <w:jc w:val="both"/>
        <w:rPr>
          <w:lang w:val="sr-Cyrl-CS"/>
        </w:rPr>
      </w:pPr>
    </w:p>
    <w:p w:rsidR="00D91B82" w:rsidRPr="00E95BC4" w:rsidRDefault="005818C0" w:rsidP="00F15A08">
      <w:pPr>
        <w:ind w:firstLine="720"/>
        <w:jc w:val="both"/>
        <w:rPr>
          <w:lang w:val="sr-Cyrl-CS"/>
        </w:rPr>
      </w:pPr>
      <w:r>
        <w:rPr>
          <w:lang w:val="sr-Cyrl-CS"/>
        </w:rPr>
        <w:t>Predviđene</w:t>
      </w:r>
      <w:r w:rsidR="00D91B82" w:rsidRPr="00E95BC4">
        <w:rPr>
          <w:lang w:val="sr-Cyrl-CS"/>
        </w:rPr>
        <w:t xml:space="preserve"> </w:t>
      </w:r>
      <w:r>
        <w:rPr>
          <w:lang w:val="sr-Cyrl-CS"/>
        </w:rPr>
        <w:t>mere</w:t>
      </w:r>
      <w:r w:rsidR="00D91B82" w:rsidRPr="00E95BC4">
        <w:rPr>
          <w:lang w:val="sr-Cyrl-CS"/>
        </w:rPr>
        <w:t xml:space="preserve"> </w:t>
      </w:r>
      <w:r>
        <w:rPr>
          <w:lang w:val="sr-Cyrl-CS"/>
        </w:rPr>
        <w:t>uglavnom</w:t>
      </w:r>
      <w:r w:rsidR="00D91B82" w:rsidRPr="00E95BC4">
        <w:rPr>
          <w:lang w:val="sr-Cyrl-CS"/>
        </w:rPr>
        <w:t xml:space="preserve"> </w:t>
      </w:r>
      <w:r>
        <w:rPr>
          <w:lang w:val="sr-Cyrl-CS"/>
        </w:rPr>
        <w:t>ne</w:t>
      </w:r>
      <w:r w:rsidR="00D91B82" w:rsidRPr="00E95BC4">
        <w:rPr>
          <w:lang w:val="sr-Cyrl-CS"/>
        </w:rPr>
        <w:t xml:space="preserve"> </w:t>
      </w:r>
      <w:r>
        <w:rPr>
          <w:lang w:val="sr-Cyrl-CS"/>
        </w:rPr>
        <w:t>iziskuju</w:t>
      </w:r>
      <w:r w:rsidR="00D91B82" w:rsidRPr="00E95BC4">
        <w:rPr>
          <w:lang w:val="sr-Cyrl-CS"/>
        </w:rPr>
        <w:t xml:space="preserve"> </w:t>
      </w:r>
      <w:r>
        <w:rPr>
          <w:lang w:val="sr-Cyrl-CS"/>
        </w:rPr>
        <w:t>dodatna</w:t>
      </w:r>
      <w:r w:rsidR="00D91B82" w:rsidRPr="00E95BC4">
        <w:rPr>
          <w:lang w:val="sr-Cyrl-CS"/>
        </w:rPr>
        <w:t xml:space="preserve"> </w:t>
      </w:r>
      <w:r>
        <w:rPr>
          <w:lang w:val="sr-Cyrl-CS"/>
        </w:rPr>
        <w:t>sredstva</w:t>
      </w:r>
      <w:r w:rsidR="00D91B82" w:rsidRPr="00E95BC4">
        <w:rPr>
          <w:lang w:val="sr-Cyrl-CS"/>
        </w:rPr>
        <w:t xml:space="preserve">, </w:t>
      </w:r>
      <w:r>
        <w:rPr>
          <w:lang w:val="sr-Cyrl-CS"/>
        </w:rPr>
        <w:t>a</w:t>
      </w:r>
      <w:r w:rsidR="00D91B82" w:rsidRPr="00E95BC4">
        <w:rPr>
          <w:lang w:val="sr-Cyrl-CS"/>
        </w:rPr>
        <w:t xml:space="preserve"> </w:t>
      </w:r>
      <w:r>
        <w:rPr>
          <w:lang w:val="sr-Cyrl-CS"/>
        </w:rPr>
        <w:t>korist</w:t>
      </w:r>
      <w:r w:rsidR="00D91B82" w:rsidRPr="00E95BC4">
        <w:rPr>
          <w:lang w:val="sr-Cyrl-CS"/>
        </w:rPr>
        <w:t xml:space="preserve"> </w:t>
      </w:r>
      <w:r>
        <w:rPr>
          <w:lang w:val="sr-Cyrl-CS"/>
        </w:rPr>
        <w:t>od</w:t>
      </w:r>
      <w:r w:rsidR="00D91B82" w:rsidRPr="00E95BC4">
        <w:rPr>
          <w:lang w:val="sr-Cyrl-CS"/>
        </w:rPr>
        <w:t xml:space="preserve"> </w:t>
      </w:r>
      <w:r>
        <w:rPr>
          <w:lang w:val="sr-Cyrl-CS"/>
        </w:rPr>
        <w:t>njihove</w:t>
      </w:r>
      <w:r w:rsidR="00D91B82" w:rsidRPr="00E95BC4">
        <w:rPr>
          <w:lang w:val="sr-Cyrl-CS"/>
        </w:rPr>
        <w:t xml:space="preserve"> </w:t>
      </w:r>
      <w:r>
        <w:rPr>
          <w:lang w:val="sr-Cyrl-CS"/>
        </w:rPr>
        <w:t>primene</w:t>
      </w:r>
      <w:r w:rsidR="00D91B82" w:rsidRPr="00E95BC4">
        <w:rPr>
          <w:lang w:val="sr-Cyrl-CS"/>
        </w:rPr>
        <w:t xml:space="preserve"> </w:t>
      </w:r>
      <w:r>
        <w:rPr>
          <w:lang w:val="sr-Cyrl-CS"/>
        </w:rPr>
        <w:t>u</w:t>
      </w:r>
      <w:r w:rsidR="00D91B82" w:rsidRPr="00E95BC4">
        <w:rPr>
          <w:lang w:val="sr-Cyrl-CS"/>
        </w:rPr>
        <w:t xml:space="preserve"> </w:t>
      </w:r>
      <w:r>
        <w:rPr>
          <w:lang w:val="sr-Cyrl-CS"/>
        </w:rPr>
        <w:t>svakom</w:t>
      </w:r>
      <w:r w:rsidR="00D91B82" w:rsidRPr="00E95BC4">
        <w:rPr>
          <w:lang w:val="sr-Cyrl-CS"/>
        </w:rPr>
        <w:t xml:space="preserve"> </w:t>
      </w:r>
      <w:r>
        <w:rPr>
          <w:lang w:val="sr-Cyrl-CS"/>
        </w:rPr>
        <w:t>slučaju</w:t>
      </w:r>
      <w:r w:rsidR="00D91B82" w:rsidRPr="00E95BC4">
        <w:rPr>
          <w:lang w:val="sr-Cyrl-CS"/>
        </w:rPr>
        <w:t xml:space="preserve"> </w:t>
      </w:r>
      <w:r>
        <w:rPr>
          <w:lang w:val="sr-Cyrl-CS"/>
        </w:rPr>
        <w:t>će</w:t>
      </w:r>
      <w:r w:rsidR="00D91B82" w:rsidRPr="00E95BC4">
        <w:rPr>
          <w:lang w:val="sr-Cyrl-CS"/>
        </w:rPr>
        <w:t xml:space="preserve"> </w:t>
      </w:r>
      <w:r>
        <w:rPr>
          <w:lang w:val="sr-Cyrl-CS"/>
        </w:rPr>
        <w:t>premašiti</w:t>
      </w:r>
      <w:r w:rsidR="00D91B82" w:rsidRPr="00E95BC4">
        <w:rPr>
          <w:lang w:val="sr-Cyrl-CS"/>
        </w:rPr>
        <w:t xml:space="preserve"> </w:t>
      </w:r>
      <w:r>
        <w:rPr>
          <w:lang w:val="sr-Cyrl-CS"/>
        </w:rPr>
        <w:t>eventualno</w:t>
      </w:r>
      <w:r w:rsidR="00D91B82" w:rsidRPr="00E95BC4">
        <w:rPr>
          <w:lang w:val="sr-Cyrl-CS"/>
        </w:rPr>
        <w:t xml:space="preserve"> </w:t>
      </w:r>
      <w:r>
        <w:rPr>
          <w:lang w:val="sr-Cyrl-CS"/>
        </w:rPr>
        <w:t>dodatne</w:t>
      </w:r>
      <w:r w:rsidR="00D91B82" w:rsidRPr="00E95BC4">
        <w:rPr>
          <w:lang w:val="sr-Cyrl-CS"/>
        </w:rPr>
        <w:t xml:space="preserve"> </w:t>
      </w:r>
      <w:r>
        <w:rPr>
          <w:lang w:val="sr-Cyrl-CS"/>
        </w:rPr>
        <w:t>troškove</w:t>
      </w:r>
      <w:r w:rsidR="00D91B82" w:rsidRPr="00E95BC4">
        <w:rPr>
          <w:lang w:val="sr-Cyrl-CS"/>
        </w:rPr>
        <w:t>.</w:t>
      </w:r>
    </w:p>
    <w:p w:rsidR="00A6074C" w:rsidRPr="00E95BC4" w:rsidRDefault="005818C0" w:rsidP="00F15A08">
      <w:pPr>
        <w:ind w:firstLine="720"/>
        <w:jc w:val="both"/>
        <w:rPr>
          <w:lang w:val="sr-Cyrl-CS"/>
        </w:rPr>
      </w:pPr>
      <w:r>
        <w:rPr>
          <w:lang w:val="sr-Cyrl-CS"/>
        </w:rPr>
        <w:t>U</w:t>
      </w:r>
      <w:r w:rsidR="00A6074C" w:rsidRPr="00E95BC4">
        <w:rPr>
          <w:lang w:val="sr-Cyrl-CS"/>
        </w:rPr>
        <w:t xml:space="preserve"> </w:t>
      </w:r>
      <w:r>
        <w:rPr>
          <w:lang w:val="sr-Cyrl-CS"/>
        </w:rPr>
        <w:t>slučajevima</w:t>
      </w:r>
      <w:r w:rsidR="00A6074C" w:rsidRPr="00E95BC4">
        <w:rPr>
          <w:lang w:val="sr-Cyrl-CS"/>
        </w:rPr>
        <w:t xml:space="preserve"> </w:t>
      </w:r>
      <w:r>
        <w:rPr>
          <w:lang w:val="sr-Cyrl-CS"/>
        </w:rPr>
        <w:t>gde</w:t>
      </w:r>
      <w:r w:rsidR="00A6074C" w:rsidRPr="00E95BC4">
        <w:rPr>
          <w:lang w:val="sr-Cyrl-CS"/>
        </w:rPr>
        <w:t xml:space="preserve"> </w:t>
      </w:r>
      <w:r>
        <w:rPr>
          <w:lang w:val="sr-Cyrl-CS"/>
        </w:rPr>
        <w:t>su</w:t>
      </w:r>
      <w:r w:rsidR="00A6074C" w:rsidRPr="00E95BC4">
        <w:rPr>
          <w:lang w:val="sr-Cyrl-CS"/>
        </w:rPr>
        <w:t xml:space="preserve"> </w:t>
      </w:r>
      <w:r>
        <w:rPr>
          <w:lang w:val="sr-Cyrl-CS"/>
        </w:rPr>
        <w:t>dodatna</w:t>
      </w:r>
      <w:r w:rsidR="00A6074C" w:rsidRPr="00E95BC4">
        <w:rPr>
          <w:lang w:val="sr-Cyrl-CS"/>
        </w:rPr>
        <w:t xml:space="preserve"> </w:t>
      </w:r>
      <w:r>
        <w:rPr>
          <w:lang w:val="sr-Cyrl-CS"/>
        </w:rPr>
        <w:t>sredstva</w:t>
      </w:r>
      <w:r w:rsidR="00A6074C" w:rsidRPr="00E95BC4">
        <w:rPr>
          <w:lang w:val="sr-Cyrl-CS"/>
        </w:rPr>
        <w:t xml:space="preserve"> </w:t>
      </w:r>
      <w:r>
        <w:rPr>
          <w:lang w:val="sr-Cyrl-CS"/>
        </w:rPr>
        <w:t>neophodna</w:t>
      </w:r>
      <w:r w:rsidR="00A6074C" w:rsidRPr="00E95BC4">
        <w:rPr>
          <w:lang w:val="sr-Cyrl-CS"/>
        </w:rPr>
        <w:t xml:space="preserve">, </w:t>
      </w:r>
      <w:r>
        <w:rPr>
          <w:lang w:val="sr-Cyrl-CS"/>
        </w:rPr>
        <w:t>koristiće</w:t>
      </w:r>
      <w:r w:rsidR="00A6074C" w:rsidRPr="00E95BC4">
        <w:rPr>
          <w:lang w:val="sr-Cyrl-CS"/>
        </w:rPr>
        <w:t xml:space="preserve"> </w:t>
      </w:r>
      <w:r>
        <w:rPr>
          <w:lang w:val="sr-Cyrl-CS"/>
        </w:rPr>
        <w:t>se</w:t>
      </w:r>
      <w:r w:rsidR="00A6074C" w:rsidRPr="00E95BC4">
        <w:rPr>
          <w:lang w:val="sr-Cyrl-CS"/>
        </w:rPr>
        <w:t xml:space="preserve"> </w:t>
      </w:r>
      <w:r>
        <w:rPr>
          <w:lang w:val="sr-Cyrl-CS"/>
        </w:rPr>
        <w:t>mogućnosti</w:t>
      </w:r>
      <w:r w:rsidR="00A6074C" w:rsidRPr="00E95BC4">
        <w:rPr>
          <w:lang w:val="sr-Cyrl-CS"/>
        </w:rPr>
        <w:t xml:space="preserve"> </w:t>
      </w:r>
      <w:r>
        <w:rPr>
          <w:lang w:val="sr-Cyrl-CS"/>
        </w:rPr>
        <w:t>finansiranja</w:t>
      </w:r>
      <w:r w:rsidR="00A6074C" w:rsidRPr="00E95BC4">
        <w:rPr>
          <w:lang w:val="sr-Cyrl-CS"/>
        </w:rPr>
        <w:t xml:space="preserve"> </w:t>
      </w:r>
      <w:r>
        <w:rPr>
          <w:lang w:val="sr-Cyrl-CS"/>
        </w:rPr>
        <w:t>koje</w:t>
      </w:r>
      <w:r w:rsidR="00A6074C" w:rsidRPr="00E95BC4">
        <w:rPr>
          <w:lang w:val="sr-Cyrl-CS"/>
        </w:rPr>
        <w:t xml:space="preserve"> </w:t>
      </w:r>
      <w:r>
        <w:rPr>
          <w:lang w:val="sr-Cyrl-CS"/>
        </w:rPr>
        <w:t>pružaju</w:t>
      </w:r>
      <w:r w:rsidR="00A6074C" w:rsidRPr="00E95BC4">
        <w:rPr>
          <w:lang w:val="sr-Cyrl-CS"/>
        </w:rPr>
        <w:t xml:space="preserve"> </w:t>
      </w:r>
      <w:r>
        <w:rPr>
          <w:lang w:val="sr-Cyrl-CS"/>
        </w:rPr>
        <w:t>strani</w:t>
      </w:r>
      <w:r w:rsidR="00A6074C" w:rsidRPr="00E95BC4">
        <w:rPr>
          <w:lang w:val="sr-Cyrl-CS"/>
        </w:rPr>
        <w:t xml:space="preserve"> </w:t>
      </w:r>
      <w:r>
        <w:rPr>
          <w:lang w:val="sr-Cyrl-CS"/>
        </w:rPr>
        <w:t>donatori</w:t>
      </w:r>
      <w:r w:rsidR="00A6074C" w:rsidRPr="00E95BC4">
        <w:rPr>
          <w:lang w:val="sr-Cyrl-CS"/>
        </w:rPr>
        <w:t xml:space="preserve">, </w:t>
      </w:r>
      <w:r>
        <w:rPr>
          <w:lang w:val="sr-Cyrl-CS"/>
        </w:rPr>
        <w:t>poput</w:t>
      </w:r>
      <w:r w:rsidR="00A6074C" w:rsidRPr="00E95BC4">
        <w:rPr>
          <w:lang w:val="sr-Cyrl-CS"/>
        </w:rPr>
        <w:t xml:space="preserve"> </w:t>
      </w:r>
      <w:r>
        <w:rPr>
          <w:lang w:val="sr-Cyrl-CS"/>
        </w:rPr>
        <w:t>Evropske</w:t>
      </w:r>
      <w:r w:rsidR="00A6074C" w:rsidRPr="00E95BC4">
        <w:rPr>
          <w:lang w:val="sr-Cyrl-CS"/>
        </w:rPr>
        <w:t xml:space="preserve"> </w:t>
      </w:r>
      <w:r>
        <w:rPr>
          <w:lang w:val="sr-Cyrl-CS"/>
        </w:rPr>
        <w:t>unije</w:t>
      </w:r>
      <w:r w:rsidR="00A6074C" w:rsidRPr="00E95BC4">
        <w:rPr>
          <w:lang w:val="sr-Cyrl-CS"/>
        </w:rPr>
        <w:t xml:space="preserve">, </w:t>
      </w:r>
      <w:r>
        <w:rPr>
          <w:lang w:val="sr-Cyrl-CS"/>
        </w:rPr>
        <w:t>OEBS</w:t>
      </w:r>
      <w:r w:rsidR="00A6074C" w:rsidRPr="00E95BC4">
        <w:rPr>
          <w:lang w:val="sr-Cyrl-CS"/>
        </w:rPr>
        <w:t xml:space="preserve">, </w:t>
      </w:r>
      <w:r>
        <w:rPr>
          <w:lang w:val="sr-Cyrl-CS"/>
        </w:rPr>
        <w:t>odgovarajućih</w:t>
      </w:r>
      <w:r w:rsidR="00A6074C" w:rsidRPr="00E95BC4">
        <w:rPr>
          <w:lang w:val="sr-Cyrl-CS"/>
        </w:rPr>
        <w:t xml:space="preserve"> </w:t>
      </w:r>
      <w:r>
        <w:rPr>
          <w:lang w:val="sr-Cyrl-CS"/>
        </w:rPr>
        <w:t>službi</w:t>
      </w:r>
      <w:r w:rsidR="00A6074C" w:rsidRPr="00E95BC4">
        <w:rPr>
          <w:lang w:val="sr-Cyrl-CS"/>
        </w:rPr>
        <w:t xml:space="preserve"> </w:t>
      </w:r>
      <w:r>
        <w:rPr>
          <w:lang w:val="sr-Cyrl-CS"/>
        </w:rPr>
        <w:t>Sjedinjenih</w:t>
      </w:r>
      <w:r w:rsidR="00A6074C" w:rsidRPr="00E95BC4">
        <w:rPr>
          <w:lang w:val="sr-Cyrl-CS"/>
        </w:rPr>
        <w:t xml:space="preserve"> </w:t>
      </w:r>
      <w:r>
        <w:rPr>
          <w:lang w:val="sr-Cyrl-CS"/>
        </w:rPr>
        <w:t>Američkih</w:t>
      </w:r>
      <w:r w:rsidR="00A6074C" w:rsidRPr="00E95BC4">
        <w:rPr>
          <w:lang w:val="sr-Cyrl-CS"/>
        </w:rPr>
        <w:t xml:space="preserve"> </w:t>
      </w:r>
      <w:r>
        <w:rPr>
          <w:lang w:val="sr-Cyrl-CS"/>
        </w:rPr>
        <w:t>Država</w:t>
      </w:r>
      <w:r w:rsidR="00A6074C" w:rsidRPr="00E95BC4">
        <w:rPr>
          <w:lang w:val="sr-Cyrl-CS"/>
        </w:rPr>
        <w:t xml:space="preserve"> </w:t>
      </w:r>
      <w:r>
        <w:rPr>
          <w:lang w:val="sr-Cyrl-CS"/>
        </w:rPr>
        <w:t>i</w:t>
      </w:r>
      <w:r w:rsidR="00A6074C" w:rsidRPr="00E95BC4">
        <w:rPr>
          <w:lang w:val="sr-Cyrl-CS"/>
        </w:rPr>
        <w:t xml:space="preserve"> </w:t>
      </w:r>
      <w:r>
        <w:rPr>
          <w:lang w:val="sr-Cyrl-CS"/>
        </w:rPr>
        <w:t>drugih</w:t>
      </w:r>
      <w:r w:rsidR="00A6074C" w:rsidRPr="00E95BC4">
        <w:rPr>
          <w:lang w:val="sr-Cyrl-CS"/>
        </w:rPr>
        <w:t xml:space="preserve"> </w:t>
      </w:r>
      <w:r>
        <w:rPr>
          <w:lang w:val="sr-Cyrl-CS"/>
        </w:rPr>
        <w:t>partnera</w:t>
      </w:r>
      <w:r w:rsidR="00A6074C" w:rsidRPr="00E95BC4">
        <w:rPr>
          <w:lang w:val="sr-Cyrl-CS"/>
        </w:rPr>
        <w:t>.</w:t>
      </w:r>
    </w:p>
    <w:p w:rsidR="00674A9F" w:rsidRPr="00E95BC4" w:rsidRDefault="00674A9F" w:rsidP="00D91B82">
      <w:pPr>
        <w:jc w:val="both"/>
        <w:rPr>
          <w:lang w:val="sr-Cyrl-CS"/>
        </w:rPr>
      </w:pPr>
    </w:p>
    <w:p w:rsidR="00A278FF" w:rsidRPr="00E95BC4" w:rsidRDefault="005818C0" w:rsidP="00C36CE0">
      <w:pPr>
        <w:pStyle w:val="Heading1"/>
        <w:spacing w:before="0"/>
        <w:ind w:firstLine="720"/>
        <w:rPr>
          <w:rFonts w:ascii="Times New Roman" w:hAnsi="Times New Roman" w:cs="Times New Roman"/>
          <w:color w:val="auto"/>
          <w:sz w:val="24"/>
          <w:szCs w:val="24"/>
          <w:lang w:val="sr-Cyrl-CS"/>
        </w:rPr>
      </w:pPr>
      <w:bookmarkStart w:id="13" w:name="_Toc32409902"/>
      <w:r>
        <w:rPr>
          <w:rFonts w:ascii="Times New Roman" w:hAnsi="Times New Roman" w:cs="Times New Roman"/>
          <w:color w:val="auto"/>
          <w:sz w:val="24"/>
          <w:szCs w:val="24"/>
          <w:lang w:val="sr-Cyrl-CS"/>
        </w:rPr>
        <w:t>Analiza</w:t>
      </w:r>
      <w:r w:rsidR="00A278FF" w:rsidRPr="00E95BC4">
        <w:rPr>
          <w:rFonts w:ascii="Times New Roman" w:hAnsi="Times New Roman" w:cs="Times New Roman"/>
          <w:color w:val="auto"/>
          <w:sz w:val="24"/>
          <w:szCs w:val="24"/>
          <w:lang w:val="sr-Cyrl-CS"/>
        </w:rPr>
        <w:t xml:space="preserve"> </w:t>
      </w:r>
      <w:r>
        <w:rPr>
          <w:rFonts w:ascii="Times New Roman" w:hAnsi="Times New Roman" w:cs="Times New Roman"/>
          <w:color w:val="auto"/>
          <w:sz w:val="24"/>
          <w:szCs w:val="24"/>
          <w:lang w:val="sr-Cyrl-CS"/>
        </w:rPr>
        <w:t>rizika</w:t>
      </w:r>
      <w:bookmarkEnd w:id="13"/>
    </w:p>
    <w:p w:rsidR="00891EE4" w:rsidRPr="00E95BC4" w:rsidRDefault="00891EE4" w:rsidP="00285FD7">
      <w:pPr>
        <w:rPr>
          <w:b/>
          <w:lang w:val="sr-Cyrl-CS"/>
        </w:rPr>
      </w:pPr>
    </w:p>
    <w:p w:rsidR="00891EE4" w:rsidRPr="00E95BC4" w:rsidRDefault="005818C0" w:rsidP="00E312BC">
      <w:pPr>
        <w:ind w:firstLine="720"/>
        <w:jc w:val="both"/>
        <w:rPr>
          <w:lang w:val="sr-Cyrl-CS"/>
        </w:rPr>
      </w:pPr>
      <w:r>
        <w:rPr>
          <w:lang w:val="sr-Cyrl-CS"/>
        </w:rPr>
        <w:t>Stručno</w:t>
      </w:r>
      <w:r w:rsidR="0004492D" w:rsidRPr="00E95BC4">
        <w:rPr>
          <w:lang w:val="sr-Cyrl-CS"/>
        </w:rPr>
        <w:t xml:space="preserve"> </w:t>
      </w:r>
      <w:r>
        <w:rPr>
          <w:lang w:val="sr-Cyrl-CS"/>
        </w:rPr>
        <w:t>telo</w:t>
      </w:r>
      <w:r w:rsidR="0004492D" w:rsidRPr="00E95BC4">
        <w:rPr>
          <w:lang w:val="sr-Cyrl-CS"/>
        </w:rPr>
        <w:t xml:space="preserve"> </w:t>
      </w:r>
      <w:r>
        <w:rPr>
          <w:lang w:val="sr-Cyrl-CS"/>
        </w:rPr>
        <w:t>identifikovalo</w:t>
      </w:r>
      <w:r w:rsidR="0004492D" w:rsidRPr="00E95BC4">
        <w:rPr>
          <w:lang w:val="sr-Cyrl-CS"/>
        </w:rPr>
        <w:t xml:space="preserve"> </w:t>
      </w:r>
      <w:r>
        <w:rPr>
          <w:lang w:val="sr-Cyrl-CS"/>
        </w:rPr>
        <w:t>je</w:t>
      </w:r>
      <w:r w:rsidR="0004492D" w:rsidRPr="00E95BC4">
        <w:rPr>
          <w:lang w:val="sr-Cyrl-CS"/>
        </w:rPr>
        <w:t xml:space="preserve"> </w:t>
      </w:r>
      <w:r>
        <w:rPr>
          <w:lang w:val="sr-Cyrl-CS"/>
        </w:rPr>
        <w:t>određene</w:t>
      </w:r>
      <w:r w:rsidR="0004492D" w:rsidRPr="00E95BC4">
        <w:rPr>
          <w:lang w:val="sr-Cyrl-CS"/>
        </w:rPr>
        <w:t xml:space="preserve"> </w:t>
      </w:r>
      <w:r>
        <w:rPr>
          <w:b/>
          <w:lang w:val="sr-Cyrl-CS"/>
        </w:rPr>
        <w:t>uslove</w:t>
      </w:r>
      <w:r w:rsidR="0004492D" w:rsidRPr="00E95BC4">
        <w:rPr>
          <w:lang w:val="sr-Cyrl-CS"/>
        </w:rPr>
        <w:t xml:space="preserve"> </w:t>
      </w:r>
      <w:r>
        <w:rPr>
          <w:b/>
          <w:lang w:val="sr-Cyrl-CS"/>
        </w:rPr>
        <w:t>za</w:t>
      </w:r>
      <w:r w:rsidR="00891EE4" w:rsidRPr="00E95BC4">
        <w:rPr>
          <w:b/>
          <w:lang w:val="sr-Cyrl-CS"/>
        </w:rPr>
        <w:t xml:space="preserve"> </w:t>
      </w:r>
      <w:r>
        <w:rPr>
          <w:b/>
          <w:lang w:val="sr-Cyrl-CS"/>
        </w:rPr>
        <w:t>ostvarenje</w:t>
      </w:r>
      <w:r w:rsidR="00891EE4" w:rsidRPr="00E95BC4">
        <w:rPr>
          <w:b/>
          <w:lang w:val="sr-Cyrl-CS"/>
        </w:rPr>
        <w:t xml:space="preserve"> </w:t>
      </w:r>
      <w:r>
        <w:rPr>
          <w:b/>
          <w:lang w:val="sr-Cyrl-CS"/>
        </w:rPr>
        <w:t>željene</w:t>
      </w:r>
      <w:r w:rsidR="0004492D" w:rsidRPr="00E95BC4">
        <w:rPr>
          <w:b/>
          <w:lang w:val="sr-Cyrl-CS"/>
        </w:rPr>
        <w:t xml:space="preserve"> </w:t>
      </w:r>
      <w:r>
        <w:rPr>
          <w:b/>
          <w:lang w:val="sr-Cyrl-CS"/>
        </w:rPr>
        <w:t>promene</w:t>
      </w:r>
      <w:r w:rsidR="00891EE4" w:rsidRPr="00E95BC4">
        <w:rPr>
          <w:lang w:val="sr-Cyrl-CS"/>
        </w:rPr>
        <w:t xml:space="preserve">. </w:t>
      </w:r>
      <w:r>
        <w:rPr>
          <w:lang w:val="sr-Cyrl-CS"/>
        </w:rPr>
        <w:t>Za</w:t>
      </w:r>
      <w:r w:rsidR="00891EE4" w:rsidRPr="00E95BC4">
        <w:rPr>
          <w:lang w:val="sr-Cyrl-CS"/>
        </w:rPr>
        <w:t xml:space="preserve"> </w:t>
      </w:r>
      <w:r>
        <w:rPr>
          <w:lang w:val="sr-Cyrl-CS"/>
        </w:rPr>
        <w:t>ostvarenje</w:t>
      </w:r>
      <w:r w:rsidR="00891EE4" w:rsidRPr="00E95BC4">
        <w:rPr>
          <w:lang w:val="sr-Cyrl-CS"/>
        </w:rPr>
        <w:t xml:space="preserve"> </w:t>
      </w:r>
      <w:r>
        <w:rPr>
          <w:lang w:val="sr-Cyrl-CS"/>
        </w:rPr>
        <w:t>zadatih</w:t>
      </w:r>
      <w:r w:rsidR="00891EE4" w:rsidRPr="00E95BC4">
        <w:rPr>
          <w:lang w:val="sr-Cyrl-CS"/>
        </w:rPr>
        <w:t xml:space="preserve"> </w:t>
      </w:r>
      <w:r>
        <w:rPr>
          <w:lang w:val="sr-Cyrl-CS"/>
        </w:rPr>
        <w:t>ciljeva</w:t>
      </w:r>
      <w:r w:rsidR="00891EE4" w:rsidRPr="00E95BC4">
        <w:rPr>
          <w:lang w:val="sr-Cyrl-CS"/>
        </w:rPr>
        <w:t xml:space="preserve">, </w:t>
      </w:r>
      <w:r>
        <w:rPr>
          <w:lang w:val="sr-Cyrl-CS"/>
        </w:rPr>
        <w:t>neophodno</w:t>
      </w:r>
      <w:r w:rsidR="00891EE4" w:rsidRPr="00E95BC4">
        <w:rPr>
          <w:lang w:val="sr-Cyrl-CS"/>
        </w:rPr>
        <w:t xml:space="preserve"> </w:t>
      </w:r>
      <w:r>
        <w:rPr>
          <w:lang w:val="sr-Cyrl-CS"/>
        </w:rPr>
        <w:t>je</w:t>
      </w:r>
      <w:r w:rsidR="00B40979">
        <w:rPr>
          <w:lang w:val="sr-Cyrl-CS"/>
        </w:rPr>
        <w:t>:</w:t>
      </w:r>
      <w:r w:rsidR="00891EE4" w:rsidRPr="00E95BC4">
        <w:rPr>
          <w:lang w:val="sr-Cyrl-CS"/>
        </w:rPr>
        <w:t xml:space="preserve"> </w:t>
      </w:r>
    </w:p>
    <w:p w:rsidR="00E312BC" w:rsidRPr="00E95BC4" w:rsidRDefault="00E312BC" w:rsidP="00E312BC">
      <w:pPr>
        <w:jc w:val="both"/>
        <w:rPr>
          <w:lang w:val="sr-Cyrl-CS"/>
        </w:rPr>
      </w:pPr>
    </w:p>
    <w:p w:rsidR="00891EE4" w:rsidRPr="00E95BC4" w:rsidRDefault="005818C0" w:rsidP="00285FD7">
      <w:pPr>
        <w:pStyle w:val="ListParagraph"/>
        <w:numPr>
          <w:ilvl w:val="0"/>
          <w:numId w:val="7"/>
        </w:numPr>
        <w:jc w:val="both"/>
        <w:rPr>
          <w:lang w:val="sr-Cyrl-CS"/>
        </w:rPr>
      </w:pPr>
      <w:r>
        <w:rPr>
          <w:b/>
          <w:lang w:val="sr-Cyrl-CS"/>
        </w:rPr>
        <w:t>postojanje</w:t>
      </w:r>
      <w:r w:rsidR="00891EE4" w:rsidRPr="00E95BC4">
        <w:rPr>
          <w:b/>
          <w:lang w:val="sr-Cyrl-CS"/>
        </w:rPr>
        <w:t xml:space="preserve"> </w:t>
      </w:r>
      <w:r>
        <w:rPr>
          <w:b/>
          <w:lang w:val="sr-Cyrl-CS"/>
        </w:rPr>
        <w:t>političke</w:t>
      </w:r>
      <w:r w:rsidR="00891EE4" w:rsidRPr="00E95BC4">
        <w:rPr>
          <w:b/>
          <w:lang w:val="sr-Cyrl-CS"/>
        </w:rPr>
        <w:t xml:space="preserve"> </w:t>
      </w:r>
      <w:r>
        <w:rPr>
          <w:b/>
          <w:lang w:val="sr-Cyrl-CS"/>
        </w:rPr>
        <w:t>stabilnosti</w:t>
      </w:r>
      <w:r w:rsidR="00891EE4" w:rsidRPr="00E95BC4">
        <w:rPr>
          <w:b/>
          <w:lang w:val="sr-Cyrl-CS"/>
        </w:rPr>
        <w:t xml:space="preserve"> </w:t>
      </w:r>
      <w:r>
        <w:rPr>
          <w:b/>
          <w:lang w:val="sr-Cyrl-CS"/>
        </w:rPr>
        <w:t>i</w:t>
      </w:r>
      <w:r w:rsidR="00891EE4" w:rsidRPr="00E95BC4">
        <w:rPr>
          <w:b/>
          <w:lang w:val="sr-Cyrl-CS"/>
        </w:rPr>
        <w:t xml:space="preserve"> </w:t>
      </w:r>
      <w:r>
        <w:rPr>
          <w:b/>
          <w:lang w:val="sr-Cyrl-CS"/>
        </w:rPr>
        <w:t>kontinuirane</w:t>
      </w:r>
      <w:r w:rsidR="00891EE4" w:rsidRPr="00E95BC4">
        <w:rPr>
          <w:b/>
          <w:lang w:val="sr-Cyrl-CS"/>
        </w:rPr>
        <w:t xml:space="preserve"> </w:t>
      </w:r>
      <w:r>
        <w:rPr>
          <w:b/>
          <w:lang w:val="sr-Cyrl-CS"/>
        </w:rPr>
        <w:t>posvećenosti</w:t>
      </w:r>
      <w:r w:rsidR="00891EE4" w:rsidRPr="00E95BC4">
        <w:rPr>
          <w:lang w:val="sr-Cyrl-CS"/>
        </w:rPr>
        <w:t xml:space="preserve"> </w:t>
      </w:r>
      <w:r>
        <w:rPr>
          <w:b/>
          <w:lang w:val="sr-Cyrl-CS"/>
        </w:rPr>
        <w:t>i</w:t>
      </w:r>
      <w:r w:rsidR="00891EE4" w:rsidRPr="00E95BC4">
        <w:rPr>
          <w:b/>
          <w:lang w:val="sr-Cyrl-CS"/>
        </w:rPr>
        <w:t xml:space="preserve"> </w:t>
      </w:r>
      <w:r>
        <w:rPr>
          <w:b/>
          <w:lang w:val="sr-Cyrl-CS"/>
        </w:rPr>
        <w:t>opredeljenja</w:t>
      </w:r>
      <w:r w:rsidR="00891EE4" w:rsidRPr="00E95BC4">
        <w:rPr>
          <w:lang w:val="sr-Cyrl-CS"/>
        </w:rPr>
        <w:t xml:space="preserve"> </w:t>
      </w:r>
      <w:r>
        <w:rPr>
          <w:lang w:val="sr-Cyrl-CS"/>
        </w:rPr>
        <w:t>na</w:t>
      </w:r>
      <w:r w:rsidR="00891EE4" w:rsidRPr="00E95BC4">
        <w:rPr>
          <w:lang w:val="sr-Cyrl-CS"/>
        </w:rPr>
        <w:t xml:space="preserve"> </w:t>
      </w:r>
      <w:r>
        <w:rPr>
          <w:lang w:val="sr-Cyrl-CS"/>
        </w:rPr>
        <w:t>visokom</w:t>
      </w:r>
      <w:r w:rsidR="00891EE4" w:rsidRPr="00E95BC4">
        <w:rPr>
          <w:lang w:val="sr-Cyrl-CS"/>
        </w:rPr>
        <w:t xml:space="preserve"> </w:t>
      </w:r>
      <w:r>
        <w:rPr>
          <w:lang w:val="sr-Cyrl-CS"/>
        </w:rPr>
        <w:t>političkom</w:t>
      </w:r>
      <w:r w:rsidR="00891EE4" w:rsidRPr="00E95BC4">
        <w:rPr>
          <w:lang w:val="sr-Cyrl-CS"/>
        </w:rPr>
        <w:t xml:space="preserve"> </w:t>
      </w:r>
      <w:r>
        <w:rPr>
          <w:lang w:val="sr-Cyrl-CS"/>
        </w:rPr>
        <w:t>nivou</w:t>
      </w:r>
      <w:r w:rsidR="00891EE4" w:rsidRPr="00E95BC4">
        <w:rPr>
          <w:lang w:val="sr-Cyrl-CS"/>
        </w:rPr>
        <w:t xml:space="preserve"> </w:t>
      </w:r>
      <w:r>
        <w:rPr>
          <w:lang w:val="sr-Cyrl-CS"/>
        </w:rPr>
        <w:t>i</w:t>
      </w:r>
      <w:r w:rsidR="00891EE4" w:rsidRPr="00E95BC4">
        <w:rPr>
          <w:lang w:val="sr-Cyrl-CS"/>
        </w:rPr>
        <w:t xml:space="preserve"> </w:t>
      </w:r>
      <w:r>
        <w:rPr>
          <w:lang w:val="sr-Cyrl-CS"/>
        </w:rPr>
        <w:t>na</w:t>
      </w:r>
      <w:r w:rsidR="00891EE4" w:rsidRPr="00E95BC4">
        <w:rPr>
          <w:lang w:val="sr-Cyrl-CS"/>
        </w:rPr>
        <w:t xml:space="preserve"> </w:t>
      </w:r>
      <w:r>
        <w:rPr>
          <w:lang w:val="sr-Cyrl-CS"/>
        </w:rPr>
        <w:t>nivou</w:t>
      </w:r>
      <w:r w:rsidR="00891EE4" w:rsidRPr="00E95BC4">
        <w:rPr>
          <w:lang w:val="sr-Cyrl-CS"/>
        </w:rPr>
        <w:t xml:space="preserve"> </w:t>
      </w:r>
      <w:r>
        <w:rPr>
          <w:lang w:val="sr-Cyrl-CS"/>
        </w:rPr>
        <w:t>državnih</w:t>
      </w:r>
      <w:r w:rsidR="00891EE4" w:rsidRPr="00E95BC4">
        <w:rPr>
          <w:lang w:val="sr-Cyrl-CS"/>
        </w:rPr>
        <w:t xml:space="preserve"> </w:t>
      </w:r>
      <w:r>
        <w:rPr>
          <w:lang w:val="sr-Cyrl-CS"/>
        </w:rPr>
        <w:t>organa</w:t>
      </w:r>
      <w:r w:rsidR="00891EE4" w:rsidRPr="00E95BC4">
        <w:rPr>
          <w:lang w:val="sr-Cyrl-CS"/>
        </w:rPr>
        <w:t xml:space="preserve"> </w:t>
      </w:r>
      <w:r>
        <w:rPr>
          <w:lang w:val="sr-Cyrl-CS"/>
        </w:rPr>
        <w:t>i</w:t>
      </w:r>
      <w:r w:rsidR="00891EE4" w:rsidRPr="00E95BC4">
        <w:rPr>
          <w:lang w:val="sr-Cyrl-CS"/>
        </w:rPr>
        <w:t xml:space="preserve"> </w:t>
      </w:r>
      <w:r>
        <w:rPr>
          <w:lang w:val="sr-Cyrl-CS"/>
        </w:rPr>
        <w:t>institucija</w:t>
      </w:r>
      <w:r w:rsidR="00891EE4" w:rsidRPr="00E95BC4">
        <w:rPr>
          <w:lang w:val="sr-Cyrl-CS"/>
        </w:rPr>
        <w:t xml:space="preserve"> </w:t>
      </w:r>
      <w:r>
        <w:rPr>
          <w:lang w:val="sr-Cyrl-CS"/>
        </w:rPr>
        <w:t>pojedinačno</w:t>
      </w:r>
      <w:r w:rsidR="00891EE4" w:rsidRPr="00E95BC4">
        <w:rPr>
          <w:lang w:val="sr-Cyrl-CS"/>
        </w:rPr>
        <w:t xml:space="preserve">. </w:t>
      </w:r>
      <w:r>
        <w:rPr>
          <w:lang w:val="sr-Cyrl-CS"/>
        </w:rPr>
        <w:t>Reforme</w:t>
      </w:r>
      <w:r w:rsidR="00AC7277" w:rsidRPr="00E95BC4">
        <w:rPr>
          <w:lang w:val="sr-Cyrl-CS"/>
        </w:rPr>
        <w:t xml:space="preserve"> </w:t>
      </w:r>
      <w:r>
        <w:rPr>
          <w:lang w:val="sr-Cyrl-CS"/>
        </w:rPr>
        <w:t>koje</w:t>
      </w:r>
      <w:r w:rsidR="00891EE4" w:rsidRPr="00E95BC4">
        <w:rPr>
          <w:lang w:val="sr-Cyrl-CS"/>
        </w:rPr>
        <w:t xml:space="preserve"> </w:t>
      </w:r>
      <w:r>
        <w:rPr>
          <w:lang w:val="sr-Cyrl-CS"/>
        </w:rPr>
        <w:t>su</w:t>
      </w:r>
      <w:r w:rsidR="00891EE4" w:rsidRPr="00E95BC4">
        <w:rPr>
          <w:lang w:val="sr-Cyrl-CS"/>
        </w:rPr>
        <w:t xml:space="preserve"> </w:t>
      </w:r>
      <w:r>
        <w:rPr>
          <w:lang w:val="sr-Cyrl-CS"/>
        </w:rPr>
        <w:t>usledile</w:t>
      </w:r>
      <w:r w:rsidR="00AC7277" w:rsidRPr="00E95BC4">
        <w:rPr>
          <w:lang w:val="sr-Cyrl-CS"/>
        </w:rPr>
        <w:t xml:space="preserve"> </w:t>
      </w:r>
      <w:r>
        <w:rPr>
          <w:lang w:val="sr-Cyrl-CS"/>
        </w:rPr>
        <w:t>nakon</w:t>
      </w:r>
      <w:r w:rsidR="00AC7277" w:rsidRPr="00E95BC4">
        <w:rPr>
          <w:lang w:val="sr-Cyrl-CS"/>
        </w:rPr>
        <w:t xml:space="preserve"> </w:t>
      </w:r>
      <w:r>
        <w:rPr>
          <w:lang w:val="sr-Cyrl-CS"/>
        </w:rPr>
        <w:t>stavljanja</w:t>
      </w:r>
      <w:r w:rsidR="00891EE4" w:rsidRPr="00E95BC4">
        <w:rPr>
          <w:lang w:val="sr-Cyrl-CS"/>
        </w:rPr>
        <w:t xml:space="preserve"> </w:t>
      </w:r>
      <w:r>
        <w:rPr>
          <w:lang w:val="sr-Cyrl-CS"/>
        </w:rPr>
        <w:t>na</w:t>
      </w:r>
      <w:r w:rsidR="00891EE4" w:rsidRPr="00E95BC4">
        <w:rPr>
          <w:lang w:val="sr-Cyrl-CS"/>
        </w:rPr>
        <w:t xml:space="preserve"> </w:t>
      </w:r>
      <w:r>
        <w:rPr>
          <w:lang w:val="sr-Cyrl-CS"/>
        </w:rPr>
        <w:t>sivu</w:t>
      </w:r>
      <w:r w:rsidR="00891EE4" w:rsidRPr="00E95BC4">
        <w:rPr>
          <w:lang w:val="sr-Cyrl-CS"/>
        </w:rPr>
        <w:t xml:space="preserve"> </w:t>
      </w:r>
      <w:r>
        <w:rPr>
          <w:lang w:val="sr-Cyrl-CS"/>
        </w:rPr>
        <w:t>listu</w:t>
      </w:r>
      <w:r w:rsidR="00891EE4" w:rsidRPr="00E95BC4">
        <w:rPr>
          <w:lang w:val="sr-Cyrl-CS"/>
        </w:rPr>
        <w:t xml:space="preserve"> </w:t>
      </w:r>
      <w:r>
        <w:rPr>
          <w:lang w:val="sr-Cyrl-CS"/>
        </w:rPr>
        <w:t>FATF</w:t>
      </w:r>
      <w:r w:rsidR="00891EE4" w:rsidRPr="00E95BC4">
        <w:rPr>
          <w:lang w:val="sr-Cyrl-CS"/>
        </w:rPr>
        <w:t xml:space="preserve">, </w:t>
      </w:r>
      <w:r>
        <w:rPr>
          <w:lang w:val="sr-Cyrl-CS"/>
        </w:rPr>
        <w:t>odnosno</w:t>
      </w:r>
      <w:r w:rsidR="00891EE4" w:rsidRPr="00E95BC4">
        <w:rPr>
          <w:lang w:val="sr-Cyrl-CS"/>
        </w:rPr>
        <w:t xml:space="preserve"> </w:t>
      </w:r>
      <w:r>
        <w:rPr>
          <w:lang w:val="sr-Cyrl-CS"/>
        </w:rPr>
        <w:t>izuzetno</w:t>
      </w:r>
      <w:r w:rsidR="00891EE4" w:rsidRPr="00E95BC4">
        <w:rPr>
          <w:lang w:val="sr-Cyrl-CS"/>
        </w:rPr>
        <w:t xml:space="preserve"> </w:t>
      </w:r>
      <w:r>
        <w:rPr>
          <w:lang w:val="sr-Cyrl-CS"/>
        </w:rPr>
        <w:t>visok</w:t>
      </w:r>
      <w:r w:rsidR="00891EE4" w:rsidRPr="00E95BC4">
        <w:rPr>
          <w:lang w:val="sr-Cyrl-CS"/>
        </w:rPr>
        <w:t xml:space="preserve"> </w:t>
      </w:r>
      <w:r>
        <w:rPr>
          <w:lang w:val="sr-Cyrl-CS"/>
        </w:rPr>
        <w:t>stepen</w:t>
      </w:r>
      <w:r w:rsidR="00891EE4" w:rsidRPr="00E95BC4">
        <w:rPr>
          <w:lang w:val="sr-Cyrl-CS"/>
        </w:rPr>
        <w:t xml:space="preserve"> </w:t>
      </w:r>
      <w:r>
        <w:rPr>
          <w:lang w:val="sr-Cyrl-CS"/>
        </w:rPr>
        <w:t>posvećenosti</w:t>
      </w:r>
      <w:r w:rsidR="00891EE4" w:rsidRPr="00E95BC4">
        <w:rPr>
          <w:lang w:val="sr-Cyrl-CS"/>
        </w:rPr>
        <w:t xml:space="preserve"> </w:t>
      </w:r>
      <w:r>
        <w:rPr>
          <w:lang w:val="sr-Cyrl-CS"/>
        </w:rPr>
        <w:t>ovoj</w:t>
      </w:r>
      <w:r w:rsidR="00891EE4" w:rsidRPr="00E95BC4">
        <w:rPr>
          <w:lang w:val="sr-Cyrl-CS"/>
        </w:rPr>
        <w:t xml:space="preserve"> </w:t>
      </w:r>
      <w:r>
        <w:rPr>
          <w:lang w:val="sr-Cyrl-CS"/>
        </w:rPr>
        <w:t>problematici</w:t>
      </w:r>
      <w:r w:rsidR="00891EE4" w:rsidRPr="00E95BC4">
        <w:rPr>
          <w:lang w:val="sr-Cyrl-CS"/>
        </w:rPr>
        <w:t xml:space="preserve">, </w:t>
      </w:r>
      <w:r>
        <w:rPr>
          <w:lang w:val="sr-Cyrl-CS"/>
        </w:rPr>
        <w:t>imale</w:t>
      </w:r>
      <w:r w:rsidR="00891EE4" w:rsidRPr="00E95BC4">
        <w:rPr>
          <w:lang w:val="sr-Cyrl-CS"/>
        </w:rPr>
        <w:t xml:space="preserve"> </w:t>
      </w:r>
      <w:r>
        <w:rPr>
          <w:lang w:val="sr-Cyrl-CS"/>
        </w:rPr>
        <w:t>su</w:t>
      </w:r>
      <w:r w:rsidR="00891EE4" w:rsidRPr="00E95BC4">
        <w:rPr>
          <w:lang w:val="sr-Cyrl-CS"/>
        </w:rPr>
        <w:t xml:space="preserve"> </w:t>
      </w:r>
      <w:r>
        <w:rPr>
          <w:lang w:val="sr-Cyrl-CS"/>
        </w:rPr>
        <w:t>za</w:t>
      </w:r>
      <w:r w:rsidR="00891EE4" w:rsidRPr="00E95BC4">
        <w:rPr>
          <w:lang w:val="sr-Cyrl-CS"/>
        </w:rPr>
        <w:t xml:space="preserve"> </w:t>
      </w:r>
      <w:r>
        <w:rPr>
          <w:lang w:val="sr-Cyrl-CS"/>
        </w:rPr>
        <w:t>rezultat</w:t>
      </w:r>
      <w:r w:rsidR="00891EE4" w:rsidRPr="00E95BC4">
        <w:rPr>
          <w:lang w:val="sr-Cyrl-CS"/>
        </w:rPr>
        <w:t xml:space="preserve"> </w:t>
      </w:r>
      <w:r>
        <w:rPr>
          <w:lang w:val="sr-Cyrl-CS"/>
        </w:rPr>
        <w:t>efikasno</w:t>
      </w:r>
      <w:r w:rsidR="00891EE4" w:rsidRPr="00E95BC4">
        <w:rPr>
          <w:lang w:val="sr-Cyrl-CS"/>
        </w:rPr>
        <w:t xml:space="preserve"> </w:t>
      </w:r>
      <w:r>
        <w:rPr>
          <w:lang w:val="sr-Cyrl-CS"/>
        </w:rPr>
        <w:t>i</w:t>
      </w:r>
      <w:r w:rsidR="00891EE4" w:rsidRPr="00E95BC4">
        <w:rPr>
          <w:lang w:val="sr-Cyrl-CS"/>
        </w:rPr>
        <w:t xml:space="preserve"> </w:t>
      </w:r>
      <w:r>
        <w:rPr>
          <w:lang w:val="sr-Cyrl-CS"/>
        </w:rPr>
        <w:t>efektivno</w:t>
      </w:r>
      <w:r w:rsidR="00891EE4" w:rsidRPr="00E95BC4">
        <w:rPr>
          <w:lang w:val="sr-Cyrl-CS"/>
        </w:rPr>
        <w:t xml:space="preserve"> </w:t>
      </w:r>
      <w:r>
        <w:rPr>
          <w:lang w:val="sr-Cyrl-CS"/>
        </w:rPr>
        <w:t>usklađivanje</w:t>
      </w:r>
      <w:r w:rsidR="00891EE4" w:rsidRPr="00E95BC4">
        <w:rPr>
          <w:lang w:val="sr-Cyrl-CS"/>
        </w:rPr>
        <w:t xml:space="preserve"> </w:t>
      </w:r>
      <w:r>
        <w:rPr>
          <w:lang w:val="sr-Cyrl-CS"/>
        </w:rPr>
        <w:t>sa</w:t>
      </w:r>
      <w:r w:rsidR="00891EE4" w:rsidRPr="00E95BC4">
        <w:rPr>
          <w:lang w:val="sr-Cyrl-CS"/>
        </w:rPr>
        <w:t xml:space="preserve"> </w:t>
      </w:r>
      <w:r>
        <w:rPr>
          <w:lang w:val="sr-Cyrl-CS"/>
        </w:rPr>
        <w:t>međunarodnim</w:t>
      </w:r>
      <w:r w:rsidR="00891EE4" w:rsidRPr="00E95BC4">
        <w:rPr>
          <w:lang w:val="sr-Cyrl-CS"/>
        </w:rPr>
        <w:t xml:space="preserve"> </w:t>
      </w:r>
      <w:r>
        <w:rPr>
          <w:lang w:val="sr-Cyrl-CS"/>
        </w:rPr>
        <w:t>standardima</w:t>
      </w:r>
      <w:r w:rsidR="00891EE4" w:rsidRPr="00E95BC4">
        <w:rPr>
          <w:lang w:val="sr-Cyrl-CS"/>
        </w:rPr>
        <w:t xml:space="preserve"> </w:t>
      </w:r>
      <w:r>
        <w:rPr>
          <w:lang w:val="sr-Cyrl-CS"/>
        </w:rPr>
        <w:t>i</w:t>
      </w:r>
      <w:r w:rsidR="00891EE4" w:rsidRPr="00E95BC4">
        <w:rPr>
          <w:lang w:val="sr-Cyrl-CS"/>
        </w:rPr>
        <w:t xml:space="preserve"> </w:t>
      </w:r>
      <w:r>
        <w:rPr>
          <w:lang w:val="sr-Cyrl-CS"/>
        </w:rPr>
        <w:t>kontinuiranost</w:t>
      </w:r>
      <w:r w:rsidR="00891EE4" w:rsidRPr="00E95BC4">
        <w:rPr>
          <w:lang w:val="sr-Cyrl-CS"/>
        </w:rPr>
        <w:t xml:space="preserve"> </w:t>
      </w:r>
      <w:r>
        <w:rPr>
          <w:lang w:val="sr-Cyrl-CS"/>
        </w:rPr>
        <w:t>pažnje</w:t>
      </w:r>
      <w:r w:rsidR="009A5E51" w:rsidRPr="00E95BC4">
        <w:rPr>
          <w:lang w:val="sr-Cyrl-CS"/>
        </w:rPr>
        <w:t xml:space="preserve"> </w:t>
      </w:r>
      <w:r>
        <w:rPr>
          <w:lang w:val="sr-Cyrl-CS"/>
        </w:rPr>
        <w:t>koja</w:t>
      </w:r>
      <w:r w:rsidR="009A5E51" w:rsidRPr="00E95BC4">
        <w:rPr>
          <w:lang w:val="sr-Cyrl-CS"/>
        </w:rPr>
        <w:t xml:space="preserve"> </w:t>
      </w:r>
      <w:r>
        <w:rPr>
          <w:lang w:val="sr-Cyrl-CS"/>
        </w:rPr>
        <w:t>se</w:t>
      </w:r>
      <w:r w:rsidR="009A5E51" w:rsidRPr="00E95BC4">
        <w:rPr>
          <w:lang w:val="sr-Cyrl-CS"/>
        </w:rPr>
        <w:t xml:space="preserve"> </w:t>
      </w:r>
      <w:r>
        <w:rPr>
          <w:lang w:val="sr-Cyrl-CS"/>
        </w:rPr>
        <w:t>ovoj</w:t>
      </w:r>
      <w:r w:rsidR="009A5E51" w:rsidRPr="00E95BC4">
        <w:rPr>
          <w:lang w:val="sr-Cyrl-CS"/>
        </w:rPr>
        <w:t xml:space="preserve"> </w:t>
      </w:r>
      <w:r>
        <w:rPr>
          <w:lang w:val="sr-Cyrl-CS"/>
        </w:rPr>
        <w:t>materiji</w:t>
      </w:r>
      <w:r w:rsidR="009A5E51" w:rsidRPr="00E95BC4">
        <w:rPr>
          <w:lang w:val="sr-Cyrl-CS"/>
        </w:rPr>
        <w:t xml:space="preserve"> </w:t>
      </w:r>
      <w:r>
        <w:rPr>
          <w:lang w:val="sr-Cyrl-CS"/>
        </w:rPr>
        <w:t>pridaje</w:t>
      </w:r>
      <w:r w:rsidR="009A5E51" w:rsidRPr="00E95BC4">
        <w:rPr>
          <w:lang w:val="sr-Cyrl-CS"/>
        </w:rPr>
        <w:t xml:space="preserve">. </w:t>
      </w:r>
      <w:r>
        <w:rPr>
          <w:lang w:val="sr-Cyrl-CS"/>
        </w:rPr>
        <w:t>Gubitak</w:t>
      </w:r>
      <w:r w:rsidR="009A5E51" w:rsidRPr="00E95BC4">
        <w:rPr>
          <w:lang w:val="sr-Cyrl-CS"/>
        </w:rPr>
        <w:t xml:space="preserve"> </w:t>
      </w:r>
      <w:r>
        <w:rPr>
          <w:lang w:val="sr-Cyrl-CS"/>
        </w:rPr>
        <w:t>na</w:t>
      </w:r>
      <w:r w:rsidR="009A5E51" w:rsidRPr="00E95BC4">
        <w:rPr>
          <w:lang w:val="sr-Cyrl-CS"/>
        </w:rPr>
        <w:t xml:space="preserve"> </w:t>
      </w:r>
      <w:r>
        <w:rPr>
          <w:lang w:val="sr-Cyrl-CS"/>
        </w:rPr>
        <w:t>intenzitetu</w:t>
      </w:r>
      <w:r w:rsidR="009A5E51" w:rsidRPr="00E95BC4">
        <w:rPr>
          <w:lang w:val="sr-Cyrl-CS"/>
        </w:rPr>
        <w:t xml:space="preserve"> </w:t>
      </w:r>
      <w:r>
        <w:rPr>
          <w:lang w:val="sr-Cyrl-CS"/>
        </w:rPr>
        <w:t>reformi</w:t>
      </w:r>
      <w:r w:rsidR="009A5E51" w:rsidRPr="00E95BC4">
        <w:rPr>
          <w:lang w:val="sr-Cyrl-CS"/>
        </w:rPr>
        <w:t xml:space="preserve"> </w:t>
      </w:r>
      <w:r>
        <w:rPr>
          <w:lang w:val="sr-Cyrl-CS"/>
        </w:rPr>
        <w:t>i</w:t>
      </w:r>
      <w:r w:rsidR="009A5E51" w:rsidRPr="00E95BC4">
        <w:rPr>
          <w:lang w:val="sr-Cyrl-CS"/>
        </w:rPr>
        <w:t xml:space="preserve"> </w:t>
      </w:r>
      <w:r>
        <w:rPr>
          <w:lang w:val="sr-Cyrl-CS"/>
        </w:rPr>
        <w:t>slabljenje</w:t>
      </w:r>
      <w:r w:rsidR="009A5E51" w:rsidRPr="00E95BC4">
        <w:rPr>
          <w:lang w:val="sr-Cyrl-CS"/>
        </w:rPr>
        <w:t xml:space="preserve"> </w:t>
      </w:r>
      <w:r>
        <w:rPr>
          <w:lang w:val="sr-Cyrl-CS"/>
        </w:rPr>
        <w:t>pažnje</w:t>
      </w:r>
      <w:r w:rsidR="009A5E51" w:rsidRPr="00E95BC4">
        <w:rPr>
          <w:lang w:val="sr-Cyrl-CS"/>
        </w:rPr>
        <w:t xml:space="preserve"> </w:t>
      </w:r>
      <w:r>
        <w:rPr>
          <w:lang w:val="sr-Cyrl-CS"/>
        </w:rPr>
        <w:t>i</w:t>
      </w:r>
      <w:r w:rsidR="009A5E51" w:rsidRPr="00E95BC4">
        <w:rPr>
          <w:lang w:val="sr-Cyrl-CS"/>
        </w:rPr>
        <w:t xml:space="preserve"> </w:t>
      </w:r>
      <w:r>
        <w:rPr>
          <w:lang w:val="sr-Cyrl-CS"/>
        </w:rPr>
        <w:t>posvećenosti</w:t>
      </w:r>
      <w:r w:rsidR="009A5E51" w:rsidRPr="00E95BC4">
        <w:rPr>
          <w:lang w:val="sr-Cyrl-CS"/>
        </w:rPr>
        <w:t xml:space="preserve"> </w:t>
      </w:r>
      <w:r>
        <w:rPr>
          <w:lang w:val="sr-Cyrl-CS"/>
        </w:rPr>
        <w:t>u</w:t>
      </w:r>
      <w:r w:rsidR="009A5E51" w:rsidRPr="00E95BC4">
        <w:rPr>
          <w:lang w:val="sr-Cyrl-CS"/>
        </w:rPr>
        <w:t xml:space="preserve"> </w:t>
      </w:r>
      <w:r>
        <w:rPr>
          <w:lang w:val="sr-Cyrl-CS"/>
        </w:rPr>
        <w:t>ovoj</w:t>
      </w:r>
      <w:r w:rsidR="009A5E51" w:rsidRPr="00E95BC4">
        <w:rPr>
          <w:lang w:val="sr-Cyrl-CS"/>
        </w:rPr>
        <w:t xml:space="preserve"> </w:t>
      </w:r>
      <w:r>
        <w:rPr>
          <w:lang w:val="sr-Cyrl-CS"/>
        </w:rPr>
        <w:t>oblasti</w:t>
      </w:r>
      <w:r w:rsidR="009A5E51" w:rsidRPr="00E95BC4">
        <w:rPr>
          <w:lang w:val="sr-Cyrl-CS"/>
        </w:rPr>
        <w:t xml:space="preserve"> </w:t>
      </w:r>
      <w:r>
        <w:rPr>
          <w:lang w:val="sr-Cyrl-CS"/>
        </w:rPr>
        <w:t>predstavlja</w:t>
      </w:r>
      <w:r w:rsidR="009A5E51" w:rsidRPr="00E95BC4">
        <w:rPr>
          <w:lang w:val="sr-Cyrl-CS"/>
        </w:rPr>
        <w:t xml:space="preserve"> </w:t>
      </w:r>
      <w:r>
        <w:rPr>
          <w:lang w:val="sr-Cyrl-CS"/>
        </w:rPr>
        <w:t>rizik</w:t>
      </w:r>
      <w:r w:rsidR="00AC7277" w:rsidRPr="00E95BC4">
        <w:rPr>
          <w:lang w:val="sr-Cyrl-CS"/>
        </w:rPr>
        <w:t xml:space="preserve"> </w:t>
      </w:r>
      <w:r>
        <w:rPr>
          <w:lang w:val="sr-Cyrl-CS"/>
        </w:rPr>
        <w:t>od</w:t>
      </w:r>
      <w:r w:rsidR="00AC7277" w:rsidRPr="00E95BC4">
        <w:rPr>
          <w:lang w:val="sr-Cyrl-CS"/>
        </w:rPr>
        <w:t xml:space="preserve"> </w:t>
      </w:r>
      <w:r>
        <w:rPr>
          <w:lang w:val="sr-Cyrl-CS"/>
        </w:rPr>
        <w:t>ponovnog</w:t>
      </w:r>
      <w:r w:rsidR="00AC7277" w:rsidRPr="00E95BC4">
        <w:rPr>
          <w:lang w:val="sr-Cyrl-CS"/>
        </w:rPr>
        <w:t xml:space="preserve"> </w:t>
      </w:r>
      <w:r>
        <w:rPr>
          <w:lang w:val="sr-Cyrl-CS"/>
        </w:rPr>
        <w:t>dodatnog</w:t>
      </w:r>
      <w:r w:rsidR="00AC7277" w:rsidRPr="00E95BC4">
        <w:rPr>
          <w:lang w:val="sr-Cyrl-CS"/>
        </w:rPr>
        <w:t xml:space="preserve"> </w:t>
      </w:r>
      <w:r>
        <w:rPr>
          <w:lang w:val="sr-Cyrl-CS"/>
        </w:rPr>
        <w:t>nadzora</w:t>
      </w:r>
      <w:r w:rsidR="00AC7277" w:rsidRPr="00E95BC4">
        <w:rPr>
          <w:lang w:val="sr-Cyrl-CS"/>
        </w:rPr>
        <w:t xml:space="preserve"> </w:t>
      </w:r>
      <w:r>
        <w:rPr>
          <w:lang w:val="sr-Cyrl-CS"/>
        </w:rPr>
        <w:t>od</w:t>
      </w:r>
      <w:r w:rsidR="00AC7277" w:rsidRPr="00E95BC4">
        <w:rPr>
          <w:lang w:val="sr-Cyrl-CS"/>
        </w:rPr>
        <w:t xml:space="preserve"> </w:t>
      </w:r>
      <w:r>
        <w:rPr>
          <w:lang w:val="sr-Cyrl-CS"/>
        </w:rPr>
        <w:t>strane</w:t>
      </w:r>
      <w:r w:rsidR="00AC7277" w:rsidRPr="00E95BC4">
        <w:rPr>
          <w:lang w:val="sr-Cyrl-CS"/>
        </w:rPr>
        <w:t xml:space="preserve"> </w:t>
      </w:r>
      <w:r>
        <w:rPr>
          <w:lang w:val="sr-Cyrl-CS"/>
        </w:rPr>
        <w:t>međunarodnih</w:t>
      </w:r>
      <w:r w:rsidR="00AC7277" w:rsidRPr="00E95BC4">
        <w:rPr>
          <w:lang w:val="sr-Cyrl-CS"/>
        </w:rPr>
        <w:t xml:space="preserve"> </w:t>
      </w:r>
      <w:r>
        <w:rPr>
          <w:lang w:val="sr-Cyrl-CS"/>
        </w:rPr>
        <w:t>organizacija</w:t>
      </w:r>
      <w:r w:rsidR="00AC7277" w:rsidRPr="00E95BC4">
        <w:rPr>
          <w:lang w:val="sr-Cyrl-CS"/>
        </w:rPr>
        <w:t xml:space="preserve">, </w:t>
      </w:r>
      <w:r>
        <w:rPr>
          <w:lang w:val="sr-Cyrl-CS"/>
        </w:rPr>
        <w:t>što</w:t>
      </w:r>
      <w:r w:rsidR="00AC7277" w:rsidRPr="00E95BC4">
        <w:rPr>
          <w:lang w:val="sr-Cyrl-CS"/>
        </w:rPr>
        <w:t xml:space="preserve"> </w:t>
      </w:r>
      <w:r>
        <w:rPr>
          <w:lang w:val="sr-Cyrl-CS"/>
        </w:rPr>
        <w:t>može</w:t>
      </w:r>
      <w:r w:rsidR="00AC7277" w:rsidRPr="00E95BC4">
        <w:rPr>
          <w:lang w:val="sr-Cyrl-CS"/>
        </w:rPr>
        <w:t xml:space="preserve"> </w:t>
      </w:r>
      <w:r>
        <w:rPr>
          <w:lang w:val="sr-Cyrl-CS"/>
        </w:rPr>
        <w:t>da</w:t>
      </w:r>
      <w:r w:rsidR="00AC7277" w:rsidRPr="00E95BC4">
        <w:rPr>
          <w:lang w:val="sr-Cyrl-CS"/>
        </w:rPr>
        <w:t xml:space="preserve"> </w:t>
      </w:r>
      <w:r>
        <w:rPr>
          <w:lang w:val="sr-Cyrl-CS"/>
        </w:rPr>
        <w:t>ima</w:t>
      </w:r>
      <w:r w:rsidR="00AC7277" w:rsidRPr="00E95BC4">
        <w:rPr>
          <w:lang w:val="sr-Cyrl-CS"/>
        </w:rPr>
        <w:t xml:space="preserve"> </w:t>
      </w:r>
      <w:r>
        <w:rPr>
          <w:lang w:val="sr-Cyrl-CS"/>
        </w:rPr>
        <w:t>negativan</w:t>
      </w:r>
      <w:r w:rsidR="00AC7277" w:rsidRPr="00E95BC4">
        <w:rPr>
          <w:lang w:val="sr-Cyrl-CS"/>
        </w:rPr>
        <w:t xml:space="preserve"> </w:t>
      </w:r>
      <w:r>
        <w:rPr>
          <w:lang w:val="sr-Cyrl-CS"/>
        </w:rPr>
        <w:t>uticaj</w:t>
      </w:r>
      <w:r w:rsidR="00AC7277" w:rsidRPr="00E95BC4">
        <w:rPr>
          <w:lang w:val="sr-Cyrl-CS"/>
        </w:rPr>
        <w:t xml:space="preserve"> </w:t>
      </w:r>
      <w:r>
        <w:rPr>
          <w:lang w:val="sr-Cyrl-CS"/>
        </w:rPr>
        <w:t>na</w:t>
      </w:r>
      <w:r w:rsidR="00AC7277" w:rsidRPr="00E95BC4">
        <w:rPr>
          <w:lang w:val="sr-Cyrl-CS"/>
        </w:rPr>
        <w:t xml:space="preserve"> </w:t>
      </w:r>
      <w:r>
        <w:rPr>
          <w:lang w:val="sr-Cyrl-CS"/>
        </w:rPr>
        <w:t>poslovanje</w:t>
      </w:r>
      <w:r w:rsidR="00AC7277" w:rsidRPr="00E95BC4">
        <w:rPr>
          <w:lang w:val="sr-Cyrl-CS"/>
        </w:rPr>
        <w:t xml:space="preserve"> </w:t>
      </w:r>
      <w:r>
        <w:rPr>
          <w:lang w:val="sr-Cyrl-CS"/>
        </w:rPr>
        <w:t>entiteta</w:t>
      </w:r>
      <w:r w:rsidR="00AC7277" w:rsidRPr="00E95BC4">
        <w:rPr>
          <w:lang w:val="sr-Cyrl-CS"/>
        </w:rPr>
        <w:t xml:space="preserve"> </w:t>
      </w:r>
      <w:r>
        <w:rPr>
          <w:lang w:val="sr-Cyrl-CS"/>
        </w:rPr>
        <w:t>povezanih</w:t>
      </w:r>
      <w:r w:rsidR="00AC7277" w:rsidRPr="00E95BC4">
        <w:rPr>
          <w:lang w:val="sr-Cyrl-CS"/>
        </w:rPr>
        <w:t xml:space="preserve"> </w:t>
      </w:r>
      <w:r>
        <w:rPr>
          <w:lang w:val="sr-Cyrl-CS"/>
        </w:rPr>
        <w:t>sa</w:t>
      </w:r>
      <w:r w:rsidR="00AC7277" w:rsidRPr="00E95BC4">
        <w:rPr>
          <w:lang w:val="sr-Cyrl-CS"/>
        </w:rPr>
        <w:t xml:space="preserve"> </w:t>
      </w:r>
      <w:r>
        <w:rPr>
          <w:lang w:val="sr-Cyrl-CS"/>
        </w:rPr>
        <w:t>Republikom</w:t>
      </w:r>
      <w:r w:rsidR="00AC7277" w:rsidRPr="00E95BC4">
        <w:rPr>
          <w:lang w:val="sr-Cyrl-CS"/>
        </w:rPr>
        <w:t xml:space="preserve"> </w:t>
      </w:r>
      <w:r>
        <w:rPr>
          <w:lang w:val="sr-Cyrl-CS"/>
        </w:rPr>
        <w:t>Srbijom</w:t>
      </w:r>
      <w:r w:rsidR="00AC7277" w:rsidRPr="00E95BC4">
        <w:rPr>
          <w:lang w:val="sr-Cyrl-CS"/>
        </w:rPr>
        <w:t xml:space="preserve">, </w:t>
      </w:r>
      <w:r>
        <w:rPr>
          <w:lang w:val="sr-Cyrl-CS"/>
        </w:rPr>
        <w:t>kao</w:t>
      </w:r>
      <w:r w:rsidR="00AC7277" w:rsidRPr="00E95BC4">
        <w:rPr>
          <w:lang w:val="sr-Cyrl-CS"/>
        </w:rPr>
        <w:t xml:space="preserve"> </w:t>
      </w:r>
      <w:r>
        <w:rPr>
          <w:lang w:val="sr-Cyrl-CS"/>
        </w:rPr>
        <w:t>i</w:t>
      </w:r>
      <w:r w:rsidR="00AC7277" w:rsidRPr="00E95BC4">
        <w:rPr>
          <w:lang w:val="sr-Cyrl-CS"/>
        </w:rPr>
        <w:t xml:space="preserve"> </w:t>
      </w:r>
      <w:r>
        <w:rPr>
          <w:lang w:val="sr-Cyrl-CS"/>
        </w:rPr>
        <w:t>na</w:t>
      </w:r>
      <w:r w:rsidR="00AC7277" w:rsidRPr="00E95BC4">
        <w:rPr>
          <w:lang w:val="sr-Cyrl-CS"/>
        </w:rPr>
        <w:t xml:space="preserve"> </w:t>
      </w:r>
      <w:r>
        <w:rPr>
          <w:lang w:val="sr-Cyrl-CS"/>
        </w:rPr>
        <w:t>ugled</w:t>
      </w:r>
      <w:r w:rsidR="00AC7277" w:rsidRPr="00E95BC4">
        <w:rPr>
          <w:lang w:val="sr-Cyrl-CS"/>
        </w:rPr>
        <w:t xml:space="preserve"> </w:t>
      </w:r>
      <w:r>
        <w:rPr>
          <w:lang w:val="sr-Cyrl-CS"/>
        </w:rPr>
        <w:t>Republike</w:t>
      </w:r>
      <w:r w:rsidR="00AC7277" w:rsidRPr="00E95BC4">
        <w:rPr>
          <w:lang w:val="sr-Cyrl-CS"/>
        </w:rPr>
        <w:t xml:space="preserve"> </w:t>
      </w:r>
      <w:r>
        <w:rPr>
          <w:lang w:val="sr-Cyrl-CS"/>
        </w:rPr>
        <w:t>Srbije</w:t>
      </w:r>
      <w:r w:rsidR="00AC7277" w:rsidRPr="00E95BC4">
        <w:rPr>
          <w:lang w:val="sr-Cyrl-CS"/>
        </w:rPr>
        <w:t xml:space="preserve"> </w:t>
      </w:r>
      <w:r>
        <w:rPr>
          <w:lang w:val="sr-Cyrl-CS"/>
        </w:rPr>
        <w:t>na</w:t>
      </w:r>
      <w:r w:rsidR="00AC7277" w:rsidRPr="00E95BC4">
        <w:rPr>
          <w:lang w:val="sr-Cyrl-CS"/>
        </w:rPr>
        <w:t xml:space="preserve"> </w:t>
      </w:r>
      <w:r>
        <w:rPr>
          <w:lang w:val="sr-Cyrl-CS"/>
        </w:rPr>
        <w:t>međunarodnom</w:t>
      </w:r>
      <w:r w:rsidR="00AC7277" w:rsidRPr="00E95BC4">
        <w:rPr>
          <w:lang w:val="sr-Cyrl-CS"/>
        </w:rPr>
        <w:t xml:space="preserve"> </w:t>
      </w:r>
      <w:r>
        <w:rPr>
          <w:lang w:val="sr-Cyrl-CS"/>
        </w:rPr>
        <w:t>nivou</w:t>
      </w:r>
      <w:r w:rsidR="009A5E51" w:rsidRPr="00E95BC4">
        <w:rPr>
          <w:lang w:val="sr-Cyrl-CS"/>
        </w:rPr>
        <w:t>;</w:t>
      </w:r>
    </w:p>
    <w:p w:rsidR="00891EE4" w:rsidRPr="00E95BC4" w:rsidRDefault="005818C0" w:rsidP="00285FD7">
      <w:pPr>
        <w:pStyle w:val="ListParagraph"/>
        <w:numPr>
          <w:ilvl w:val="0"/>
          <w:numId w:val="7"/>
        </w:numPr>
        <w:jc w:val="both"/>
        <w:rPr>
          <w:lang w:val="sr-Cyrl-CS"/>
        </w:rPr>
      </w:pPr>
      <w:r>
        <w:rPr>
          <w:b/>
          <w:lang w:val="sr-Cyrl-CS"/>
        </w:rPr>
        <w:t>dodatno</w:t>
      </w:r>
      <w:r w:rsidR="009A5E51" w:rsidRPr="00E95BC4">
        <w:rPr>
          <w:b/>
          <w:lang w:val="sr-Cyrl-CS"/>
        </w:rPr>
        <w:t xml:space="preserve"> </w:t>
      </w:r>
      <w:r>
        <w:rPr>
          <w:b/>
          <w:lang w:val="sr-Cyrl-CS"/>
        </w:rPr>
        <w:t>razrađivanje</w:t>
      </w:r>
      <w:r w:rsidR="009A5E51" w:rsidRPr="00E95BC4">
        <w:rPr>
          <w:b/>
          <w:lang w:val="sr-Cyrl-CS"/>
        </w:rPr>
        <w:t xml:space="preserve"> </w:t>
      </w:r>
      <w:r>
        <w:rPr>
          <w:b/>
          <w:lang w:val="sr-Cyrl-CS"/>
        </w:rPr>
        <w:t>mehanizma</w:t>
      </w:r>
      <w:r w:rsidR="00891EE4" w:rsidRPr="00E95BC4">
        <w:rPr>
          <w:b/>
          <w:lang w:val="sr-Cyrl-CS"/>
        </w:rPr>
        <w:t xml:space="preserve"> </w:t>
      </w:r>
      <w:r>
        <w:rPr>
          <w:b/>
          <w:lang w:val="sr-Cyrl-CS"/>
        </w:rPr>
        <w:t>koordinacije</w:t>
      </w:r>
      <w:r w:rsidR="00891EE4" w:rsidRPr="00E95BC4">
        <w:rPr>
          <w:b/>
          <w:lang w:val="sr-Cyrl-CS"/>
        </w:rPr>
        <w:t xml:space="preserve"> </w:t>
      </w:r>
      <w:r>
        <w:rPr>
          <w:b/>
          <w:lang w:val="sr-Cyrl-CS"/>
        </w:rPr>
        <w:t>i</w:t>
      </w:r>
      <w:r w:rsidR="00891EE4" w:rsidRPr="00E95BC4">
        <w:rPr>
          <w:b/>
          <w:lang w:val="sr-Cyrl-CS"/>
        </w:rPr>
        <w:t xml:space="preserve"> </w:t>
      </w:r>
      <w:r>
        <w:rPr>
          <w:b/>
          <w:lang w:val="sr-Cyrl-CS"/>
        </w:rPr>
        <w:t>interresorne</w:t>
      </w:r>
      <w:r w:rsidR="00891EE4" w:rsidRPr="00E95BC4">
        <w:rPr>
          <w:b/>
          <w:lang w:val="sr-Cyrl-CS"/>
        </w:rPr>
        <w:t xml:space="preserve"> </w:t>
      </w:r>
      <w:r>
        <w:rPr>
          <w:b/>
          <w:lang w:val="sr-Cyrl-CS"/>
        </w:rPr>
        <w:t>saradnje</w:t>
      </w:r>
      <w:r w:rsidR="00891EE4" w:rsidRPr="00E95BC4">
        <w:rPr>
          <w:lang w:val="sr-Cyrl-CS"/>
        </w:rPr>
        <w:t xml:space="preserve">. </w:t>
      </w:r>
      <w:r>
        <w:rPr>
          <w:lang w:val="sr-Cyrl-CS"/>
        </w:rPr>
        <w:t>Koordinaciono</w:t>
      </w:r>
      <w:r w:rsidR="00891EE4" w:rsidRPr="00E95BC4">
        <w:rPr>
          <w:lang w:val="sr-Cyrl-CS"/>
        </w:rPr>
        <w:t xml:space="preserve"> </w:t>
      </w:r>
      <w:r>
        <w:rPr>
          <w:lang w:val="sr-Cyrl-CS"/>
        </w:rPr>
        <w:t>telo</w:t>
      </w:r>
      <w:r w:rsidR="00891EE4" w:rsidRPr="00E95BC4">
        <w:rPr>
          <w:lang w:val="sr-Cyrl-CS"/>
        </w:rPr>
        <w:t xml:space="preserve"> </w:t>
      </w:r>
      <w:r>
        <w:rPr>
          <w:lang w:val="sr-Cyrl-CS"/>
        </w:rPr>
        <w:t>za</w:t>
      </w:r>
      <w:r w:rsidR="00891EE4" w:rsidRPr="00E95BC4">
        <w:rPr>
          <w:lang w:val="sr-Cyrl-CS"/>
        </w:rPr>
        <w:t xml:space="preserve"> </w:t>
      </w:r>
      <w:r>
        <w:rPr>
          <w:lang w:val="sr-Cyrl-CS"/>
        </w:rPr>
        <w:t>sprečavanje</w:t>
      </w:r>
      <w:r w:rsidR="00891EE4" w:rsidRPr="00E95BC4">
        <w:rPr>
          <w:lang w:val="sr-Cyrl-CS"/>
        </w:rPr>
        <w:t xml:space="preserve"> </w:t>
      </w:r>
      <w:r>
        <w:rPr>
          <w:lang w:val="sr-Cyrl-CS"/>
        </w:rPr>
        <w:t>pranja</w:t>
      </w:r>
      <w:r w:rsidR="00891EE4" w:rsidRPr="00E95BC4">
        <w:rPr>
          <w:lang w:val="sr-Cyrl-CS"/>
        </w:rPr>
        <w:t xml:space="preserve"> </w:t>
      </w:r>
      <w:r>
        <w:rPr>
          <w:lang w:val="sr-Cyrl-CS"/>
        </w:rPr>
        <w:t>novca</w:t>
      </w:r>
      <w:r w:rsidR="00891EE4" w:rsidRPr="00E95BC4">
        <w:rPr>
          <w:lang w:val="sr-Cyrl-CS"/>
        </w:rPr>
        <w:t xml:space="preserve"> </w:t>
      </w:r>
      <w:r>
        <w:rPr>
          <w:lang w:val="sr-Cyrl-CS"/>
        </w:rPr>
        <w:t>i</w:t>
      </w:r>
      <w:r w:rsidR="00891EE4" w:rsidRPr="00E95BC4">
        <w:rPr>
          <w:lang w:val="sr-Cyrl-CS"/>
        </w:rPr>
        <w:t xml:space="preserve"> </w:t>
      </w:r>
      <w:r>
        <w:rPr>
          <w:lang w:val="sr-Cyrl-CS"/>
        </w:rPr>
        <w:t>finansiranja</w:t>
      </w:r>
      <w:r w:rsidR="00891EE4" w:rsidRPr="00E95BC4">
        <w:rPr>
          <w:lang w:val="sr-Cyrl-CS"/>
        </w:rPr>
        <w:t xml:space="preserve"> </w:t>
      </w:r>
      <w:r>
        <w:rPr>
          <w:lang w:val="sr-Cyrl-CS"/>
        </w:rPr>
        <w:t>terorizma</w:t>
      </w:r>
      <w:r w:rsidR="00891EE4" w:rsidRPr="00E95BC4">
        <w:rPr>
          <w:lang w:val="sr-Cyrl-CS"/>
        </w:rPr>
        <w:t xml:space="preserve">, </w:t>
      </w:r>
      <w:r>
        <w:rPr>
          <w:lang w:val="sr-Cyrl-CS"/>
        </w:rPr>
        <w:t>treba</w:t>
      </w:r>
      <w:r w:rsidR="00891EE4" w:rsidRPr="00E95BC4">
        <w:rPr>
          <w:lang w:val="sr-Cyrl-CS"/>
        </w:rPr>
        <w:t xml:space="preserve"> </w:t>
      </w:r>
      <w:r>
        <w:rPr>
          <w:lang w:val="sr-Cyrl-CS"/>
        </w:rPr>
        <w:t>aktivno</w:t>
      </w:r>
      <w:r w:rsidR="00891EE4" w:rsidRPr="00E95BC4">
        <w:rPr>
          <w:lang w:val="sr-Cyrl-CS"/>
        </w:rPr>
        <w:t xml:space="preserve"> </w:t>
      </w:r>
      <w:r>
        <w:rPr>
          <w:lang w:val="sr-Cyrl-CS"/>
        </w:rPr>
        <w:t>da</w:t>
      </w:r>
      <w:r w:rsidR="00891EE4" w:rsidRPr="00E95BC4">
        <w:rPr>
          <w:lang w:val="sr-Cyrl-CS"/>
        </w:rPr>
        <w:t xml:space="preserve"> </w:t>
      </w:r>
      <w:r>
        <w:rPr>
          <w:lang w:val="sr-Cyrl-CS"/>
        </w:rPr>
        <w:t>prati</w:t>
      </w:r>
      <w:r w:rsidR="00891EE4" w:rsidRPr="00E95BC4">
        <w:rPr>
          <w:lang w:val="sr-Cyrl-CS"/>
        </w:rPr>
        <w:t xml:space="preserve"> </w:t>
      </w:r>
      <w:r>
        <w:rPr>
          <w:lang w:val="sr-Cyrl-CS"/>
        </w:rPr>
        <w:t>stanje</w:t>
      </w:r>
      <w:r w:rsidR="00891EE4" w:rsidRPr="00E95BC4">
        <w:rPr>
          <w:lang w:val="sr-Cyrl-CS"/>
        </w:rPr>
        <w:t xml:space="preserve"> </w:t>
      </w:r>
      <w:r>
        <w:rPr>
          <w:lang w:val="sr-Cyrl-CS"/>
        </w:rPr>
        <w:t>u</w:t>
      </w:r>
      <w:r w:rsidR="00891EE4" w:rsidRPr="00E95BC4">
        <w:rPr>
          <w:lang w:val="sr-Cyrl-CS"/>
        </w:rPr>
        <w:t xml:space="preserve"> </w:t>
      </w:r>
      <w:r>
        <w:rPr>
          <w:lang w:val="sr-Cyrl-CS"/>
        </w:rPr>
        <w:t>sistemu</w:t>
      </w:r>
      <w:r w:rsidR="00891EE4" w:rsidRPr="00E95BC4">
        <w:rPr>
          <w:lang w:val="sr-Cyrl-CS"/>
        </w:rPr>
        <w:t xml:space="preserve"> </w:t>
      </w:r>
      <w:r>
        <w:rPr>
          <w:lang w:val="sr-Cyrl-CS"/>
        </w:rPr>
        <w:t>i</w:t>
      </w:r>
      <w:r w:rsidR="00891EE4" w:rsidRPr="00E95BC4">
        <w:rPr>
          <w:lang w:val="sr-Cyrl-CS"/>
        </w:rPr>
        <w:t xml:space="preserve"> </w:t>
      </w:r>
      <w:r>
        <w:rPr>
          <w:lang w:val="sr-Cyrl-CS"/>
        </w:rPr>
        <w:t>da</w:t>
      </w:r>
      <w:r w:rsidR="00891EE4" w:rsidRPr="00E95BC4">
        <w:rPr>
          <w:lang w:val="sr-Cyrl-CS"/>
        </w:rPr>
        <w:t xml:space="preserve"> </w:t>
      </w:r>
      <w:r>
        <w:rPr>
          <w:lang w:val="sr-Cyrl-CS"/>
        </w:rPr>
        <w:t>predlaže</w:t>
      </w:r>
      <w:r w:rsidR="00891EE4" w:rsidRPr="00E95BC4">
        <w:rPr>
          <w:lang w:val="sr-Cyrl-CS"/>
        </w:rPr>
        <w:t xml:space="preserve"> </w:t>
      </w:r>
      <w:r>
        <w:rPr>
          <w:lang w:val="sr-Cyrl-CS"/>
        </w:rPr>
        <w:t>mere</w:t>
      </w:r>
      <w:r w:rsidR="00891EE4" w:rsidRPr="00E95BC4">
        <w:rPr>
          <w:lang w:val="sr-Cyrl-CS"/>
        </w:rPr>
        <w:t xml:space="preserve"> </w:t>
      </w:r>
      <w:r>
        <w:rPr>
          <w:lang w:val="sr-Cyrl-CS"/>
        </w:rPr>
        <w:t>za</w:t>
      </w:r>
      <w:r w:rsidR="00891EE4" w:rsidRPr="00E95BC4">
        <w:rPr>
          <w:lang w:val="sr-Cyrl-CS"/>
        </w:rPr>
        <w:t xml:space="preserve"> </w:t>
      </w:r>
      <w:r>
        <w:rPr>
          <w:lang w:val="sr-Cyrl-CS"/>
        </w:rPr>
        <w:t>njegovo</w:t>
      </w:r>
      <w:r w:rsidR="00891EE4" w:rsidRPr="00E95BC4">
        <w:rPr>
          <w:lang w:val="sr-Cyrl-CS"/>
        </w:rPr>
        <w:t xml:space="preserve"> </w:t>
      </w:r>
      <w:r>
        <w:rPr>
          <w:lang w:val="sr-Cyrl-CS"/>
        </w:rPr>
        <w:t>unapređenje</w:t>
      </w:r>
      <w:r w:rsidR="00891EE4" w:rsidRPr="00E95BC4">
        <w:rPr>
          <w:lang w:val="sr-Cyrl-CS"/>
        </w:rPr>
        <w:t xml:space="preserve">, </w:t>
      </w:r>
      <w:r>
        <w:rPr>
          <w:lang w:val="sr-Cyrl-CS"/>
        </w:rPr>
        <w:t>u</w:t>
      </w:r>
      <w:r w:rsidR="00891EE4" w:rsidRPr="00E95BC4">
        <w:rPr>
          <w:lang w:val="sr-Cyrl-CS"/>
        </w:rPr>
        <w:t xml:space="preserve"> </w:t>
      </w:r>
      <w:r>
        <w:rPr>
          <w:lang w:val="sr-Cyrl-CS"/>
        </w:rPr>
        <w:t>skladu</w:t>
      </w:r>
      <w:r w:rsidR="00891EE4" w:rsidRPr="00E95BC4">
        <w:rPr>
          <w:lang w:val="sr-Cyrl-CS"/>
        </w:rPr>
        <w:t xml:space="preserve"> </w:t>
      </w:r>
      <w:r>
        <w:rPr>
          <w:lang w:val="sr-Cyrl-CS"/>
        </w:rPr>
        <w:t>sa</w:t>
      </w:r>
      <w:r w:rsidR="00891EE4" w:rsidRPr="00E95BC4">
        <w:rPr>
          <w:lang w:val="sr-Cyrl-CS"/>
        </w:rPr>
        <w:t xml:space="preserve"> </w:t>
      </w:r>
      <w:r>
        <w:rPr>
          <w:lang w:val="sr-Cyrl-CS"/>
        </w:rPr>
        <w:t>preporukama</w:t>
      </w:r>
      <w:r w:rsidR="00891EE4" w:rsidRPr="00E95BC4">
        <w:rPr>
          <w:lang w:val="sr-Cyrl-CS"/>
        </w:rPr>
        <w:t xml:space="preserve"> </w:t>
      </w:r>
      <w:r>
        <w:rPr>
          <w:lang w:val="sr-Cyrl-CS"/>
        </w:rPr>
        <w:t>FATF</w:t>
      </w:r>
      <w:r w:rsidR="00891EE4" w:rsidRPr="00E95BC4">
        <w:rPr>
          <w:lang w:val="sr-Cyrl-CS"/>
        </w:rPr>
        <w:t xml:space="preserve">, </w:t>
      </w:r>
      <w:r>
        <w:rPr>
          <w:lang w:val="sr-Cyrl-CS"/>
        </w:rPr>
        <w:t>Manivala</w:t>
      </w:r>
      <w:r w:rsidR="00891EE4" w:rsidRPr="00E95BC4">
        <w:rPr>
          <w:lang w:val="sr-Cyrl-CS"/>
        </w:rPr>
        <w:t xml:space="preserve"> </w:t>
      </w:r>
      <w:r>
        <w:rPr>
          <w:lang w:val="sr-Cyrl-CS"/>
        </w:rPr>
        <w:t>i</w:t>
      </w:r>
      <w:r w:rsidR="00891EE4" w:rsidRPr="00E95BC4">
        <w:rPr>
          <w:lang w:val="sr-Cyrl-CS"/>
        </w:rPr>
        <w:t xml:space="preserve"> </w:t>
      </w:r>
      <w:r>
        <w:rPr>
          <w:lang w:val="sr-Cyrl-CS"/>
        </w:rPr>
        <w:t>nacionalne</w:t>
      </w:r>
      <w:r w:rsidR="00891EE4" w:rsidRPr="00E95BC4">
        <w:rPr>
          <w:lang w:val="sr-Cyrl-CS"/>
        </w:rPr>
        <w:t xml:space="preserve"> </w:t>
      </w:r>
      <w:r>
        <w:rPr>
          <w:lang w:val="sr-Cyrl-CS"/>
        </w:rPr>
        <w:t>procene</w:t>
      </w:r>
      <w:r w:rsidR="00891EE4" w:rsidRPr="00E95BC4">
        <w:rPr>
          <w:lang w:val="sr-Cyrl-CS"/>
        </w:rPr>
        <w:t xml:space="preserve"> </w:t>
      </w:r>
      <w:r>
        <w:rPr>
          <w:lang w:val="sr-Cyrl-CS"/>
        </w:rPr>
        <w:t>rizika</w:t>
      </w:r>
      <w:r w:rsidR="00891EE4" w:rsidRPr="00E95BC4">
        <w:rPr>
          <w:lang w:val="sr-Cyrl-CS"/>
        </w:rPr>
        <w:t xml:space="preserve">. </w:t>
      </w:r>
      <w:r>
        <w:rPr>
          <w:lang w:val="sr-Cyrl-CS"/>
        </w:rPr>
        <w:t>Vođstvo</w:t>
      </w:r>
      <w:r w:rsidR="00891EE4" w:rsidRPr="00E95BC4">
        <w:rPr>
          <w:lang w:val="sr-Cyrl-CS"/>
        </w:rPr>
        <w:t xml:space="preserve"> </w:t>
      </w:r>
      <w:r>
        <w:rPr>
          <w:lang w:val="sr-Cyrl-CS"/>
        </w:rPr>
        <w:t>Koordinacionog</w:t>
      </w:r>
      <w:r w:rsidR="00891EE4" w:rsidRPr="00E95BC4">
        <w:rPr>
          <w:lang w:val="sr-Cyrl-CS"/>
        </w:rPr>
        <w:t xml:space="preserve"> </w:t>
      </w:r>
      <w:r>
        <w:rPr>
          <w:lang w:val="sr-Cyrl-CS"/>
        </w:rPr>
        <w:t>tela</w:t>
      </w:r>
      <w:r w:rsidR="00891EE4" w:rsidRPr="00E95BC4">
        <w:rPr>
          <w:lang w:val="sr-Cyrl-CS"/>
        </w:rPr>
        <w:t xml:space="preserve"> </w:t>
      </w:r>
      <w:r>
        <w:rPr>
          <w:lang w:val="sr-Cyrl-CS"/>
        </w:rPr>
        <w:lastRenderedPageBreak/>
        <w:t>i</w:t>
      </w:r>
      <w:r w:rsidR="00891EE4" w:rsidRPr="00E95BC4">
        <w:rPr>
          <w:lang w:val="sr-Cyrl-CS"/>
        </w:rPr>
        <w:t xml:space="preserve"> </w:t>
      </w:r>
      <w:r>
        <w:rPr>
          <w:lang w:val="sr-Cyrl-CS"/>
        </w:rPr>
        <w:t>njegovi</w:t>
      </w:r>
      <w:r w:rsidR="00891EE4" w:rsidRPr="00E95BC4">
        <w:rPr>
          <w:lang w:val="sr-Cyrl-CS"/>
        </w:rPr>
        <w:t xml:space="preserve"> </w:t>
      </w:r>
      <w:r>
        <w:rPr>
          <w:lang w:val="sr-Cyrl-CS"/>
        </w:rPr>
        <w:t>članovi</w:t>
      </w:r>
      <w:r w:rsidR="00891EE4" w:rsidRPr="00E95BC4">
        <w:rPr>
          <w:lang w:val="sr-Cyrl-CS"/>
        </w:rPr>
        <w:t xml:space="preserve"> </w:t>
      </w:r>
      <w:r>
        <w:rPr>
          <w:lang w:val="sr-Cyrl-CS"/>
        </w:rPr>
        <w:t>treba</w:t>
      </w:r>
      <w:r w:rsidR="00891EE4" w:rsidRPr="00E95BC4">
        <w:rPr>
          <w:lang w:val="sr-Cyrl-CS"/>
        </w:rPr>
        <w:t xml:space="preserve"> </w:t>
      </w:r>
      <w:r>
        <w:rPr>
          <w:lang w:val="sr-Cyrl-CS"/>
        </w:rPr>
        <w:t>da</w:t>
      </w:r>
      <w:r w:rsidR="00891EE4" w:rsidRPr="00E95BC4">
        <w:rPr>
          <w:lang w:val="sr-Cyrl-CS"/>
        </w:rPr>
        <w:t xml:space="preserve"> </w:t>
      </w:r>
      <w:r>
        <w:rPr>
          <w:lang w:val="sr-Cyrl-CS"/>
        </w:rPr>
        <w:t>budu</w:t>
      </w:r>
      <w:r w:rsidR="00891EE4" w:rsidRPr="00E95BC4">
        <w:rPr>
          <w:lang w:val="sr-Cyrl-CS"/>
        </w:rPr>
        <w:t xml:space="preserve"> </w:t>
      </w:r>
      <w:r>
        <w:rPr>
          <w:lang w:val="sr-Cyrl-CS"/>
        </w:rPr>
        <w:t>u</w:t>
      </w:r>
      <w:r w:rsidR="00891EE4" w:rsidRPr="00E95BC4">
        <w:rPr>
          <w:lang w:val="sr-Cyrl-CS"/>
        </w:rPr>
        <w:t xml:space="preserve"> </w:t>
      </w:r>
      <w:r>
        <w:rPr>
          <w:lang w:val="sr-Cyrl-CS"/>
        </w:rPr>
        <w:t>stanju</w:t>
      </w:r>
      <w:r w:rsidR="00891EE4" w:rsidRPr="00E95BC4">
        <w:rPr>
          <w:lang w:val="sr-Cyrl-CS"/>
        </w:rPr>
        <w:t xml:space="preserve"> </w:t>
      </w:r>
      <w:r>
        <w:rPr>
          <w:lang w:val="sr-Cyrl-CS"/>
        </w:rPr>
        <w:t>da</w:t>
      </w:r>
      <w:r w:rsidR="00891EE4" w:rsidRPr="00E95BC4">
        <w:rPr>
          <w:lang w:val="sr-Cyrl-CS"/>
        </w:rPr>
        <w:t xml:space="preserve"> </w:t>
      </w:r>
      <w:r>
        <w:rPr>
          <w:lang w:val="sr-Cyrl-CS"/>
        </w:rPr>
        <w:t>izdejstvuju</w:t>
      </w:r>
      <w:r w:rsidR="00891EE4" w:rsidRPr="00E95BC4">
        <w:rPr>
          <w:lang w:val="sr-Cyrl-CS"/>
        </w:rPr>
        <w:t xml:space="preserve"> </w:t>
      </w:r>
      <w:r>
        <w:rPr>
          <w:lang w:val="sr-Cyrl-CS"/>
        </w:rPr>
        <w:t>sprovođenje</w:t>
      </w:r>
      <w:r w:rsidR="00891EE4" w:rsidRPr="00E95BC4">
        <w:rPr>
          <w:lang w:val="sr-Cyrl-CS"/>
        </w:rPr>
        <w:t xml:space="preserve"> </w:t>
      </w:r>
      <w:r>
        <w:rPr>
          <w:lang w:val="sr-Cyrl-CS"/>
        </w:rPr>
        <w:t>odluka</w:t>
      </w:r>
      <w:r w:rsidR="00891EE4" w:rsidRPr="00E95BC4">
        <w:rPr>
          <w:lang w:val="sr-Cyrl-CS"/>
        </w:rPr>
        <w:t xml:space="preserve"> </w:t>
      </w:r>
      <w:r>
        <w:rPr>
          <w:lang w:val="sr-Cyrl-CS"/>
        </w:rPr>
        <w:t>Koordinacionog</w:t>
      </w:r>
      <w:r w:rsidR="00891EE4" w:rsidRPr="00E95BC4">
        <w:rPr>
          <w:lang w:val="sr-Cyrl-CS"/>
        </w:rPr>
        <w:t xml:space="preserve"> </w:t>
      </w:r>
      <w:r>
        <w:rPr>
          <w:lang w:val="sr-Cyrl-CS"/>
        </w:rPr>
        <w:t>tela</w:t>
      </w:r>
      <w:r w:rsidR="00891EE4" w:rsidRPr="00E95BC4">
        <w:rPr>
          <w:lang w:val="sr-Cyrl-CS"/>
        </w:rPr>
        <w:t xml:space="preserve"> </w:t>
      </w:r>
      <w:r>
        <w:rPr>
          <w:lang w:val="sr-Cyrl-CS"/>
        </w:rPr>
        <w:t>i</w:t>
      </w:r>
      <w:r w:rsidR="00891EE4" w:rsidRPr="00E95BC4">
        <w:rPr>
          <w:lang w:val="sr-Cyrl-CS"/>
        </w:rPr>
        <w:t xml:space="preserve"> </w:t>
      </w:r>
      <w:r>
        <w:rPr>
          <w:lang w:val="sr-Cyrl-CS"/>
        </w:rPr>
        <w:t>reformi</w:t>
      </w:r>
      <w:r w:rsidR="00891EE4" w:rsidRPr="00E95BC4">
        <w:rPr>
          <w:lang w:val="sr-Cyrl-CS"/>
        </w:rPr>
        <w:t xml:space="preserve"> </w:t>
      </w:r>
      <w:r>
        <w:rPr>
          <w:lang w:val="sr-Cyrl-CS"/>
        </w:rPr>
        <w:t>u</w:t>
      </w:r>
      <w:r w:rsidR="00891EE4" w:rsidRPr="00E95BC4">
        <w:rPr>
          <w:lang w:val="sr-Cyrl-CS"/>
        </w:rPr>
        <w:t xml:space="preserve"> </w:t>
      </w:r>
      <w:r>
        <w:rPr>
          <w:lang w:val="sr-Cyrl-CS"/>
        </w:rPr>
        <w:t>sistemu</w:t>
      </w:r>
      <w:r w:rsidR="00891EE4" w:rsidRPr="00E95BC4">
        <w:rPr>
          <w:lang w:val="sr-Cyrl-CS"/>
        </w:rPr>
        <w:t xml:space="preserve">. </w:t>
      </w:r>
      <w:r>
        <w:rPr>
          <w:lang w:val="sr-Cyrl-CS"/>
        </w:rPr>
        <w:t>Takođe</w:t>
      </w:r>
      <w:r w:rsidR="00891EE4" w:rsidRPr="00E95BC4">
        <w:rPr>
          <w:lang w:val="sr-Cyrl-CS"/>
        </w:rPr>
        <w:t xml:space="preserve"> </w:t>
      </w:r>
      <w:r>
        <w:rPr>
          <w:lang w:val="sr-Cyrl-CS"/>
        </w:rPr>
        <w:t>je</w:t>
      </w:r>
      <w:r w:rsidR="00891EE4" w:rsidRPr="00E95BC4">
        <w:rPr>
          <w:lang w:val="sr-Cyrl-CS"/>
        </w:rPr>
        <w:t xml:space="preserve"> </w:t>
      </w:r>
      <w:r>
        <w:rPr>
          <w:lang w:val="sr-Cyrl-CS"/>
        </w:rPr>
        <w:t>neophodno</w:t>
      </w:r>
      <w:r w:rsidR="00891EE4" w:rsidRPr="00E95BC4">
        <w:rPr>
          <w:lang w:val="sr-Cyrl-CS"/>
        </w:rPr>
        <w:t xml:space="preserve"> </w:t>
      </w:r>
      <w:r>
        <w:rPr>
          <w:lang w:val="sr-Cyrl-CS"/>
        </w:rPr>
        <w:t>proaktivno</w:t>
      </w:r>
      <w:r w:rsidR="00891EE4" w:rsidRPr="00E95BC4">
        <w:rPr>
          <w:lang w:val="sr-Cyrl-CS"/>
        </w:rPr>
        <w:t xml:space="preserve"> </w:t>
      </w:r>
      <w:r>
        <w:rPr>
          <w:lang w:val="sr-Cyrl-CS"/>
        </w:rPr>
        <w:t>pratiti</w:t>
      </w:r>
      <w:r w:rsidR="00891EE4" w:rsidRPr="00E95BC4">
        <w:rPr>
          <w:lang w:val="sr-Cyrl-CS"/>
        </w:rPr>
        <w:t xml:space="preserve"> </w:t>
      </w:r>
      <w:r>
        <w:rPr>
          <w:lang w:val="sr-Cyrl-CS"/>
        </w:rPr>
        <w:t>sve</w:t>
      </w:r>
      <w:r w:rsidR="00891EE4" w:rsidRPr="00E95BC4">
        <w:rPr>
          <w:lang w:val="sr-Cyrl-CS"/>
        </w:rPr>
        <w:t xml:space="preserve"> </w:t>
      </w:r>
      <w:r>
        <w:rPr>
          <w:lang w:val="sr-Cyrl-CS"/>
        </w:rPr>
        <w:t>standarde</w:t>
      </w:r>
      <w:r w:rsidR="00891EE4" w:rsidRPr="00E95BC4">
        <w:rPr>
          <w:lang w:val="sr-Cyrl-CS"/>
        </w:rPr>
        <w:t xml:space="preserve"> </w:t>
      </w:r>
      <w:r>
        <w:rPr>
          <w:lang w:val="sr-Cyrl-CS"/>
        </w:rPr>
        <w:t>koji</w:t>
      </w:r>
      <w:r w:rsidR="00891EE4" w:rsidRPr="00E95BC4">
        <w:rPr>
          <w:lang w:val="sr-Cyrl-CS"/>
        </w:rPr>
        <w:t xml:space="preserve"> </w:t>
      </w:r>
      <w:r>
        <w:rPr>
          <w:lang w:val="sr-Cyrl-CS"/>
        </w:rPr>
        <w:t>su</w:t>
      </w:r>
      <w:r w:rsidR="00891EE4" w:rsidRPr="00E95BC4">
        <w:rPr>
          <w:lang w:val="sr-Cyrl-CS"/>
        </w:rPr>
        <w:t xml:space="preserve"> </w:t>
      </w:r>
      <w:r>
        <w:rPr>
          <w:lang w:val="sr-Cyrl-CS"/>
        </w:rPr>
        <w:t>fazi</w:t>
      </w:r>
      <w:r w:rsidR="00891EE4" w:rsidRPr="00E95BC4">
        <w:rPr>
          <w:lang w:val="sr-Cyrl-CS"/>
        </w:rPr>
        <w:t xml:space="preserve"> </w:t>
      </w:r>
      <w:r>
        <w:rPr>
          <w:lang w:val="sr-Cyrl-CS"/>
        </w:rPr>
        <w:t>promene</w:t>
      </w:r>
      <w:r w:rsidR="00891EE4" w:rsidRPr="00E95BC4">
        <w:rPr>
          <w:lang w:val="sr-Cyrl-CS"/>
        </w:rPr>
        <w:t xml:space="preserve"> </w:t>
      </w:r>
      <w:r>
        <w:rPr>
          <w:lang w:val="sr-Cyrl-CS"/>
        </w:rPr>
        <w:t>i</w:t>
      </w:r>
      <w:r w:rsidR="00891EE4" w:rsidRPr="00E95BC4">
        <w:rPr>
          <w:lang w:val="sr-Cyrl-CS"/>
        </w:rPr>
        <w:t xml:space="preserve"> </w:t>
      </w:r>
      <w:r>
        <w:rPr>
          <w:lang w:val="sr-Cyrl-CS"/>
        </w:rPr>
        <w:t>blagovremeno</w:t>
      </w:r>
      <w:r w:rsidR="00891EE4" w:rsidRPr="00E95BC4">
        <w:rPr>
          <w:lang w:val="sr-Cyrl-CS"/>
        </w:rPr>
        <w:t xml:space="preserve"> </w:t>
      </w:r>
      <w:r>
        <w:rPr>
          <w:lang w:val="sr-Cyrl-CS"/>
        </w:rPr>
        <w:t>reagovati</w:t>
      </w:r>
      <w:r w:rsidR="00891EE4" w:rsidRPr="00E95BC4">
        <w:rPr>
          <w:lang w:val="sr-Cyrl-CS"/>
        </w:rPr>
        <w:t xml:space="preserve"> </w:t>
      </w:r>
      <w:r>
        <w:rPr>
          <w:lang w:val="sr-Cyrl-CS"/>
        </w:rPr>
        <w:t>radi</w:t>
      </w:r>
      <w:r w:rsidR="00891EE4" w:rsidRPr="00E95BC4">
        <w:rPr>
          <w:lang w:val="sr-Cyrl-CS"/>
        </w:rPr>
        <w:t xml:space="preserve"> </w:t>
      </w:r>
      <w:r>
        <w:rPr>
          <w:lang w:val="sr-Cyrl-CS"/>
        </w:rPr>
        <w:t>njihovog</w:t>
      </w:r>
      <w:r w:rsidR="00891EE4" w:rsidRPr="00E95BC4">
        <w:rPr>
          <w:lang w:val="sr-Cyrl-CS"/>
        </w:rPr>
        <w:t xml:space="preserve"> </w:t>
      </w:r>
      <w:r>
        <w:rPr>
          <w:lang w:val="sr-Cyrl-CS"/>
        </w:rPr>
        <w:t>uvođenja</w:t>
      </w:r>
      <w:r w:rsidR="009A5E51" w:rsidRPr="00E95BC4">
        <w:rPr>
          <w:lang w:val="sr-Cyrl-CS"/>
        </w:rPr>
        <w:t xml:space="preserve"> </w:t>
      </w:r>
      <w:r>
        <w:rPr>
          <w:lang w:val="sr-Cyrl-CS"/>
        </w:rPr>
        <w:t>u</w:t>
      </w:r>
      <w:r w:rsidR="009A5E51" w:rsidRPr="00E95BC4">
        <w:rPr>
          <w:lang w:val="sr-Cyrl-CS"/>
        </w:rPr>
        <w:t xml:space="preserve"> </w:t>
      </w:r>
      <w:r>
        <w:rPr>
          <w:lang w:val="sr-Cyrl-CS"/>
        </w:rPr>
        <w:t>sistem</w:t>
      </w:r>
      <w:r w:rsidR="009A5E51" w:rsidRPr="00E95BC4">
        <w:rPr>
          <w:lang w:val="sr-Cyrl-CS"/>
        </w:rPr>
        <w:t xml:space="preserve">. </w:t>
      </w:r>
      <w:r>
        <w:rPr>
          <w:lang w:val="sr-Cyrl-CS"/>
        </w:rPr>
        <w:t>Neredovno</w:t>
      </w:r>
      <w:r w:rsidR="009A5E51" w:rsidRPr="00E95BC4">
        <w:rPr>
          <w:lang w:val="sr-Cyrl-CS"/>
        </w:rPr>
        <w:t xml:space="preserve"> </w:t>
      </w:r>
      <w:r>
        <w:rPr>
          <w:lang w:val="sr-Cyrl-CS"/>
        </w:rPr>
        <w:t>sastajanje</w:t>
      </w:r>
      <w:r w:rsidR="009A5E51" w:rsidRPr="00E95BC4">
        <w:rPr>
          <w:lang w:val="sr-Cyrl-CS"/>
        </w:rPr>
        <w:t xml:space="preserve"> </w:t>
      </w:r>
      <w:r>
        <w:rPr>
          <w:lang w:val="sr-Cyrl-CS"/>
        </w:rPr>
        <w:t>i</w:t>
      </w:r>
      <w:r w:rsidR="009A5E51" w:rsidRPr="00E95BC4">
        <w:rPr>
          <w:lang w:val="sr-Cyrl-CS"/>
        </w:rPr>
        <w:t xml:space="preserve"> </w:t>
      </w:r>
      <w:r>
        <w:rPr>
          <w:lang w:val="sr-Cyrl-CS"/>
        </w:rPr>
        <w:t>zanemarivanje</w:t>
      </w:r>
      <w:r w:rsidR="009A5E51" w:rsidRPr="00E95BC4">
        <w:rPr>
          <w:lang w:val="sr-Cyrl-CS"/>
        </w:rPr>
        <w:t xml:space="preserve"> </w:t>
      </w:r>
      <w:r>
        <w:rPr>
          <w:lang w:val="sr-Cyrl-CS"/>
        </w:rPr>
        <w:t>značaja</w:t>
      </w:r>
      <w:r w:rsidR="009A5E51" w:rsidRPr="00E95BC4">
        <w:rPr>
          <w:lang w:val="sr-Cyrl-CS"/>
        </w:rPr>
        <w:t xml:space="preserve"> </w:t>
      </w:r>
      <w:r>
        <w:rPr>
          <w:lang w:val="sr-Cyrl-CS"/>
        </w:rPr>
        <w:t>koordinacije</w:t>
      </w:r>
      <w:r w:rsidR="009A5E51" w:rsidRPr="00E95BC4">
        <w:rPr>
          <w:lang w:val="sr-Cyrl-CS"/>
        </w:rPr>
        <w:t xml:space="preserve"> </w:t>
      </w:r>
      <w:r>
        <w:rPr>
          <w:lang w:val="sr-Cyrl-CS"/>
        </w:rPr>
        <w:t>i</w:t>
      </w:r>
      <w:r w:rsidR="009A5E51" w:rsidRPr="00E95BC4">
        <w:rPr>
          <w:lang w:val="sr-Cyrl-CS"/>
        </w:rPr>
        <w:t xml:space="preserve"> </w:t>
      </w:r>
      <w:r>
        <w:rPr>
          <w:lang w:val="sr-Cyrl-CS"/>
        </w:rPr>
        <w:t>međusobne</w:t>
      </w:r>
      <w:r w:rsidR="009A5E51" w:rsidRPr="00E95BC4">
        <w:rPr>
          <w:lang w:val="sr-Cyrl-CS"/>
        </w:rPr>
        <w:t xml:space="preserve"> </w:t>
      </w:r>
      <w:r>
        <w:rPr>
          <w:lang w:val="sr-Cyrl-CS"/>
        </w:rPr>
        <w:t>saradnje</w:t>
      </w:r>
      <w:r w:rsidR="009A5E51" w:rsidRPr="00E95BC4">
        <w:rPr>
          <w:lang w:val="sr-Cyrl-CS"/>
        </w:rPr>
        <w:t xml:space="preserve"> </w:t>
      </w:r>
      <w:r>
        <w:rPr>
          <w:lang w:val="sr-Cyrl-CS"/>
        </w:rPr>
        <w:t>dovodi</w:t>
      </w:r>
      <w:r w:rsidR="009A5E51" w:rsidRPr="00E95BC4">
        <w:rPr>
          <w:lang w:val="sr-Cyrl-CS"/>
        </w:rPr>
        <w:t xml:space="preserve"> </w:t>
      </w:r>
      <w:r>
        <w:rPr>
          <w:lang w:val="sr-Cyrl-CS"/>
        </w:rPr>
        <w:t>do</w:t>
      </w:r>
      <w:r w:rsidR="009A5E51" w:rsidRPr="00E95BC4">
        <w:rPr>
          <w:lang w:val="sr-Cyrl-CS"/>
        </w:rPr>
        <w:t xml:space="preserve"> </w:t>
      </w:r>
      <w:r>
        <w:rPr>
          <w:lang w:val="sr-Cyrl-CS"/>
        </w:rPr>
        <w:t>neefektivnosti</w:t>
      </w:r>
      <w:r w:rsidR="009A5E51" w:rsidRPr="00E95BC4">
        <w:rPr>
          <w:lang w:val="sr-Cyrl-CS"/>
        </w:rPr>
        <w:t xml:space="preserve"> </w:t>
      </w:r>
      <w:r>
        <w:rPr>
          <w:lang w:val="sr-Cyrl-CS"/>
        </w:rPr>
        <w:t>koordinacije</w:t>
      </w:r>
      <w:r w:rsidR="009A5E51" w:rsidRPr="00E95BC4">
        <w:rPr>
          <w:lang w:val="sr-Cyrl-CS"/>
        </w:rPr>
        <w:t xml:space="preserve">, </w:t>
      </w:r>
      <w:r>
        <w:rPr>
          <w:lang w:val="sr-Cyrl-CS"/>
        </w:rPr>
        <w:t>odnosno</w:t>
      </w:r>
      <w:r w:rsidR="009A5E51" w:rsidRPr="00E95BC4">
        <w:rPr>
          <w:lang w:val="sr-Cyrl-CS"/>
        </w:rPr>
        <w:t xml:space="preserve"> </w:t>
      </w:r>
      <w:r>
        <w:rPr>
          <w:lang w:val="sr-Cyrl-CS"/>
        </w:rPr>
        <w:t>Koordinaciono</w:t>
      </w:r>
      <w:r w:rsidR="009A5E51" w:rsidRPr="00E95BC4">
        <w:rPr>
          <w:lang w:val="sr-Cyrl-CS"/>
        </w:rPr>
        <w:t xml:space="preserve"> </w:t>
      </w:r>
      <w:r>
        <w:rPr>
          <w:lang w:val="sr-Cyrl-CS"/>
        </w:rPr>
        <w:t>telo</w:t>
      </w:r>
      <w:r w:rsidR="00882204">
        <w:rPr>
          <w:lang w:val="sr-Cyrl-CS"/>
        </w:rPr>
        <w:t xml:space="preserve"> </w:t>
      </w:r>
      <w:r>
        <w:rPr>
          <w:lang w:val="sr-Cyrl-CS"/>
        </w:rPr>
        <w:t>neće</w:t>
      </w:r>
      <w:r w:rsidR="00882204">
        <w:rPr>
          <w:lang w:val="sr-Cyrl-CS"/>
        </w:rPr>
        <w:t xml:space="preserve"> </w:t>
      </w:r>
      <w:r>
        <w:rPr>
          <w:lang w:val="sr-Cyrl-CS"/>
        </w:rPr>
        <w:t>biti</w:t>
      </w:r>
      <w:r w:rsidR="00882204">
        <w:rPr>
          <w:lang w:val="sr-Cyrl-CS"/>
        </w:rPr>
        <w:t xml:space="preserve"> </w:t>
      </w:r>
      <w:r>
        <w:rPr>
          <w:lang w:val="sr-Cyrl-CS"/>
        </w:rPr>
        <w:t>u</w:t>
      </w:r>
      <w:r w:rsidR="00882204">
        <w:rPr>
          <w:lang w:val="sr-Cyrl-CS"/>
        </w:rPr>
        <w:t xml:space="preserve"> </w:t>
      </w:r>
      <w:r>
        <w:rPr>
          <w:lang w:val="sr-Cyrl-CS"/>
        </w:rPr>
        <w:t>stanju</w:t>
      </w:r>
      <w:r w:rsidR="00882204">
        <w:rPr>
          <w:lang w:val="sr-Cyrl-CS"/>
        </w:rPr>
        <w:t xml:space="preserve"> </w:t>
      </w:r>
      <w:r>
        <w:rPr>
          <w:lang w:val="sr-Cyrl-CS"/>
        </w:rPr>
        <w:t>da</w:t>
      </w:r>
      <w:r w:rsidR="00882204">
        <w:rPr>
          <w:lang w:val="sr-Cyrl-CS"/>
        </w:rPr>
        <w:t xml:space="preserve"> </w:t>
      </w:r>
      <w:r>
        <w:rPr>
          <w:lang w:val="sr-Cyrl-CS"/>
        </w:rPr>
        <w:t>delotvorno</w:t>
      </w:r>
      <w:r w:rsidR="009A5E51" w:rsidRPr="00E95BC4">
        <w:rPr>
          <w:lang w:val="sr-Cyrl-CS"/>
        </w:rPr>
        <w:t xml:space="preserve"> </w:t>
      </w:r>
      <w:r>
        <w:rPr>
          <w:lang w:val="sr-Cyrl-CS"/>
        </w:rPr>
        <w:t>koordinira</w:t>
      </w:r>
      <w:r w:rsidR="009A5E51" w:rsidRPr="00E95BC4">
        <w:rPr>
          <w:lang w:val="sr-Cyrl-CS"/>
        </w:rPr>
        <w:t xml:space="preserve"> </w:t>
      </w:r>
      <w:r>
        <w:rPr>
          <w:lang w:val="sr-Cyrl-CS"/>
        </w:rPr>
        <w:t>i</w:t>
      </w:r>
      <w:r w:rsidR="009A5E51" w:rsidRPr="00E95BC4">
        <w:rPr>
          <w:lang w:val="sr-Cyrl-CS"/>
        </w:rPr>
        <w:t xml:space="preserve"> </w:t>
      </w:r>
      <w:r>
        <w:rPr>
          <w:lang w:val="sr-Cyrl-CS"/>
        </w:rPr>
        <w:t>proizvodi</w:t>
      </w:r>
      <w:r w:rsidR="009A5E51" w:rsidRPr="00E95BC4">
        <w:rPr>
          <w:lang w:val="sr-Cyrl-CS"/>
        </w:rPr>
        <w:t xml:space="preserve"> </w:t>
      </w:r>
      <w:r>
        <w:rPr>
          <w:lang w:val="sr-Cyrl-CS"/>
        </w:rPr>
        <w:t>promene</w:t>
      </w:r>
      <w:r w:rsidR="009A5E51" w:rsidRPr="00E95BC4">
        <w:rPr>
          <w:lang w:val="sr-Cyrl-CS"/>
        </w:rPr>
        <w:t xml:space="preserve"> </w:t>
      </w:r>
      <w:r>
        <w:rPr>
          <w:lang w:val="sr-Cyrl-CS"/>
        </w:rPr>
        <w:t>u</w:t>
      </w:r>
      <w:r w:rsidR="009A5E51" w:rsidRPr="00E95BC4">
        <w:rPr>
          <w:lang w:val="sr-Cyrl-CS"/>
        </w:rPr>
        <w:t xml:space="preserve"> </w:t>
      </w:r>
      <w:r>
        <w:rPr>
          <w:lang w:val="sr-Cyrl-CS"/>
        </w:rPr>
        <w:t>sistemu</w:t>
      </w:r>
      <w:r w:rsidR="009A5E51" w:rsidRPr="00E95BC4">
        <w:rPr>
          <w:lang w:val="sr-Cyrl-CS"/>
        </w:rPr>
        <w:t xml:space="preserve">, </w:t>
      </w:r>
      <w:r>
        <w:rPr>
          <w:lang w:val="sr-Cyrl-CS"/>
        </w:rPr>
        <w:t>što</w:t>
      </w:r>
      <w:r w:rsidR="009A5E51" w:rsidRPr="00E95BC4">
        <w:rPr>
          <w:lang w:val="sr-Cyrl-CS"/>
        </w:rPr>
        <w:t xml:space="preserve"> </w:t>
      </w:r>
      <w:r>
        <w:rPr>
          <w:lang w:val="sr-Cyrl-CS"/>
        </w:rPr>
        <w:t>predstavlja</w:t>
      </w:r>
      <w:r w:rsidR="009A5E51" w:rsidRPr="00E95BC4">
        <w:rPr>
          <w:lang w:val="sr-Cyrl-CS"/>
        </w:rPr>
        <w:t xml:space="preserve"> </w:t>
      </w:r>
      <w:r>
        <w:rPr>
          <w:lang w:val="sr-Cyrl-CS"/>
        </w:rPr>
        <w:t>rizik</w:t>
      </w:r>
      <w:r w:rsidR="009A5E51" w:rsidRPr="00E95BC4">
        <w:rPr>
          <w:lang w:val="sr-Cyrl-CS"/>
        </w:rPr>
        <w:t>;</w:t>
      </w:r>
    </w:p>
    <w:p w:rsidR="00891EE4" w:rsidRPr="00E95BC4" w:rsidRDefault="005818C0" w:rsidP="00285FD7">
      <w:pPr>
        <w:pStyle w:val="ListParagraph"/>
        <w:numPr>
          <w:ilvl w:val="0"/>
          <w:numId w:val="7"/>
        </w:numPr>
        <w:jc w:val="both"/>
        <w:rPr>
          <w:lang w:val="sr-Cyrl-CS"/>
        </w:rPr>
      </w:pPr>
      <w:r>
        <w:rPr>
          <w:b/>
          <w:lang w:val="sr-Cyrl-CS"/>
        </w:rPr>
        <w:t>očuvanje</w:t>
      </w:r>
      <w:r w:rsidR="00891EE4" w:rsidRPr="00E95BC4">
        <w:rPr>
          <w:b/>
          <w:lang w:val="sr-Cyrl-CS"/>
        </w:rPr>
        <w:t xml:space="preserve"> </w:t>
      </w:r>
      <w:r>
        <w:rPr>
          <w:b/>
          <w:lang w:val="sr-Cyrl-CS"/>
        </w:rPr>
        <w:t>i</w:t>
      </w:r>
      <w:r w:rsidR="00891EE4" w:rsidRPr="00E95BC4">
        <w:rPr>
          <w:b/>
          <w:lang w:val="sr-Cyrl-CS"/>
        </w:rPr>
        <w:t xml:space="preserve"> </w:t>
      </w:r>
      <w:r>
        <w:rPr>
          <w:b/>
          <w:lang w:val="sr-Cyrl-CS"/>
        </w:rPr>
        <w:t>dodatno</w:t>
      </w:r>
      <w:r w:rsidR="00891EE4" w:rsidRPr="00E95BC4">
        <w:rPr>
          <w:b/>
          <w:lang w:val="sr-Cyrl-CS"/>
        </w:rPr>
        <w:t xml:space="preserve"> </w:t>
      </w:r>
      <w:r>
        <w:rPr>
          <w:b/>
          <w:lang w:val="sr-Cyrl-CS"/>
        </w:rPr>
        <w:t>jačanje</w:t>
      </w:r>
      <w:r w:rsidR="00891EE4" w:rsidRPr="00E95BC4">
        <w:rPr>
          <w:b/>
          <w:lang w:val="sr-Cyrl-CS"/>
        </w:rPr>
        <w:t xml:space="preserve"> </w:t>
      </w:r>
      <w:r>
        <w:rPr>
          <w:b/>
          <w:lang w:val="sr-Cyrl-CS"/>
        </w:rPr>
        <w:t>resursa</w:t>
      </w:r>
      <w:r w:rsidR="00891EE4" w:rsidRPr="00E95BC4">
        <w:rPr>
          <w:b/>
          <w:lang w:val="sr-Cyrl-CS"/>
        </w:rPr>
        <w:t xml:space="preserve">, </w:t>
      </w:r>
      <w:r>
        <w:rPr>
          <w:b/>
          <w:lang w:val="sr-Cyrl-CS"/>
        </w:rPr>
        <w:t>ljudskih</w:t>
      </w:r>
      <w:r w:rsidR="00891EE4" w:rsidRPr="00E95BC4">
        <w:rPr>
          <w:b/>
          <w:lang w:val="sr-Cyrl-CS"/>
        </w:rPr>
        <w:t xml:space="preserve"> </w:t>
      </w:r>
      <w:r>
        <w:rPr>
          <w:b/>
          <w:lang w:val="sr-Cyrl-CS"/>
        </w:rPr>
        <w:t>i</w:t>
      </w:r>
      <w:r w:rsidR="00891EE4" w:rsidRPr="00E95BC4">
        <w:rPr>
          <w:b/>
          <w:lang w:val="sr-Cyrl-CS"/>
        </w:rPr>
        <w:t xml:space="preserve"> </w:t>
      </w:r>
      <w:r>
        <w:rPr>
          <w:b/>
          <w:lang w:val="sr-Cyrl-CS"/>
        </w:rPr>
        <w:t>materijalno</w:t>
      </w:r>
      <w:r w:rsidR="00891EE4" w:rsidRPr="00E95BC4">
        <w:rPr>
          <w:b/>
          <w:lang w:val="sr-Cyrl-CS"/>
        </w:rPr>
        <w:t>-</w:t>
      </w:r>
      <w:r>
        <w:rPr>
          <w:b/>
          <w:lang w:val="sr-Cyrl-CS"/>
        </w:rPr>
        <w:t>tehničkih</w:t>
      </w:r>
      <w:r w:rsidR="00891EE4" w:rsidRPr="00E95BC4">
        <w:rPr>
          <w:lang w:val="sr-Cyrl-CS"/>
        </w:rPr>
        <w:t xml:space="preserve"> </w:t>
      </w:r>
      <w:r>
        <w:rPr>
          <w:lang w:val="sr-Cyrl-CS"/>
        </w:rPr>
        <w:t>u</w:t>
      </w:r>
      <w:r w:rsidR="00891EE4" w:rsidRPr="00E95BC4">
        <w:rPr>
          <w:lang w:val="sr-Cyrl-CS"/>
        </w:rPr>
        <w:t xml:space="preserve"> </w:t>
      </w:r>
      <w:r>
        <w:rPr>
          <w:lang w:val="sr-Cyrl-CS"/>
        </w:rPr>
        <w:t>skladu</w:t>
      </w:r>
      <w:r w:rsidR="00891EE4" w:rsidRPr="00E95BC4">
        <w:rPr>
          <w:lang w:val="sr-Cyrl-CS"/>
        </w:rPr>
        <w:t xml:space="preserve"> </w:t>
      </w:r>
      <w:r>
        <w:rPr>
          <w:lang w:val="sr-Cyrl-CS"/>
        </w:rPr>
        <w:t>sa</w:t>
      </w:r>
      <w:r w:rsidR="00891EE4" w:rsidRPr="00E95BC4">
        <w:rPr>
          <w:lang w:val="sr-Cyrl-CS"/>
        </w:rPr>
        <w:t xml:space="preserve"> </w:t>
      </w:r>
      <w:r>
        <w:rPr>
          <w:lang w:val="sr-Cyrl-CS"/>
        </w:rPr>
        <w:t>analizom</w:t>
      </w:r>
      <w:r w:rsidR="00891EE4" w:rsidRPr="00E95BC4">
        <w:rPr>
          <w:lang w:val="sr-Cyrl-CS"/>
        </w:rPr>
        <w:t xml:space="preserve"> </w:t>
      </w:r>
      <w:r>
        <w:rPr>
          <w:lang w:val="sr-Cyrl-CS"/>
        </w:rPr>
        <w:t>i</w:t>
      </w:r>
      <w:r w:rsidR="00891EE4" w:rsidRPr="00E95BC4">
        <w:rPr>
          <w:lang w:val="sr-Cyrl-CS"/>
        </w:rPr>
        <w:t xml:space="preserve"> </w:t>
      </w:r>
      <w:r>
        <w:rPr>
          <w:lang w:val="sr-Cyrl-CS"/>
        </w:rPr>
        <w:t>procenom</w:t>
      </w:r>
      <w:r w:rsidR="00891EE4" w:rsidRPr="00E95BC4">
        <w:rPr>
          <w:lang w:val="sr-Cyrl-CS"/>
        </w:rPr>
        <w:t xml:space="preserve"> </w:t>
      </w:r>
      <w:r>
        <w:rPr>
          <w:lang w:val="sr-Cyrl-CS"/>
        </w:rPr>
        <w:t>rizika</w:t>
      </w:r>
      <w:r w:rsidR="00891EE4" w:rsidRPr="00E95BC4">
        <w:rPr>
          <w:lang w:val="sr-Cyrl-CS"/>
        </w:rPr>
        <w:t xml:space="preserve">. </w:t>
      </w:r>
      <w:r>
        <w:rPr>
          <w:lang w:val="sr-Cyrl-CS"/>
        </w:rPr>
        <w:t>U</w:t>
      </w:r>
      <w:r w:rsidR="00891EE4" w:rsidRPr="00E95BC4">
        <w:rPr>
          <w:lang w:val="sr-Cyrl-CS"/>
        </w:rPr>
        <w:t xml:space="preserve"> </w:t>
      </w:r>
      <w:r>
        <w:rPr>
          <w:lang w:val="sr-Cyrl-CS"/>
        </w:rPr>
        <w:t>svetlu</w:t>
      </w:r>
      <w:r w:rsidR="00891EE4" w:rsidRPr="00E95BC4">
        <w:rPr>
          <w:lang w:val="sr-Cyrl-CS"/>
        </w:rPr>
        <w:t xml:space="preserve"> </w:t>
      </w:r>
      <w:r>
        <w:rPr>
          <w:lang w:val="sr-Cyrl-CS"/>
        </w:rPr>
        <w:t>stalne</w:t>
      </w:r>
      <w:r w:rsidR="00891EE4" w:rsidRPr="00E95BC4">
        <w:rPr>
          <w:lang w:val="sr-Cyrl-CS"/>
        </w:rPr>
        <w:t xml:space="preserve"> </w:t>
      </w:r>
      <w:r>
        <w:rPr>
          <w:lang w:val="sr-Cyrl-CS"/>
        </w:rPr>
        <w:t>fluktuacije</w:t>
      </w:r>
      <w:r w:rsidR="00891EE4" w:rsidRPr="00E95BC4">
        <w:rPr>
          <w:lang w:val="sr-Cyrl-CS"/>
        </w:rPr>
        <w:t xml:space="preserve"> </w:t>
      </w:r>
      <w:r>
        <w:rPr>
          <w:lang w:val="sr-Cyrl-CS"/>
        </w:rPr>
        <w:t>radne</w:t>
      </w:r>
      <w:r w:rsidR="00891EE4" w:rsidRPr="00E95BC4">
        <w:rPr>
          <w:lang w:val="sr-Cyrl-CS"/>
        </w:rPr>
        <w:t xml:space="preserve"> </w:t>
      </w:r>
      <w:r>
        <w:rPr>
          <w:lang w:val="sr-Cyrl-CS"/>
        </w:rPr>
        <w:t>snage</w:t>
      </w:r>
      <w:r w:rsidR="00891EE4" w:rsidRPr="00E95BC4">
        <w:rPr>
          <w:lang w:val="sr-Cyrl-CS"/>
        </w:rPr>
        <w:t xml:space="preserve"> </w:t>
      </w:r>
      <w:r>
        <w:rPr>
          <w:lang w:val="sr-Cyrl-CS"/>
        </w:rPr>
        <w:t>i</w:t>
      </w:r>
      <w:r w:rsidR="00891EE4" w:rsidRPr="00E95BC4">
        <w:rPr>
          <w:lang w:val="sr-Cyrl-CS"/>
        </w:rPr>
        <w:t xml:space="preserve"> </w:t>
      </w:r>
      <w:r>
        <w:rPr>
          <w:lang w:val="sr-Cyrl-CS"/>
        </w:rPr>
        <w:t>zastarevanja</w:t>
      </w:r>
      <w:r w:rsidR="00891EE4" w:rsidRPr="00E95BC4">
        <w:rPr>
          <w:lang w:val="sr-Cyrl-CS"/>
        </w:rPr>
        <w:t xml:space="preserve"> </w:t>
      </w:r>
      <w:r>
        <w:rPr>
          <w:lang w:val="sr-Cyrl-CS"/>
        </w:rPr>
        <w:t>informaciono</w:t>
      </w:r>
      <w:r w:rsidR="00891EE4" w:rsidRPr="00E95BC4">
        <w:rPr>
          <w:lang w:val="sr-Cyrl-CS"/>
        </w:rPr>
        <w:t>-</w:t>
      </w:r>
      <w:r>
        <w:rPr>
          <w:lang w:val="sr-Cyrl-CS"/>
        </w:rPr>
        <w:t>tehničkih</w:t>
      </w:r>
      <w:r w:rsidR="00891EE4" w:rsidRPr="00E95BC4">
        <w:rPr>
          <w:lang w:val="sr-Cyrl-CS"/>
        </w:rPr>
        <w:t xml:space="preserve"> </w:t>
      </w:r>
      <w:r>
        <w:rPr>
          <w:lang w:val="sr-Cyrl-CS"/>
        </w:rPr>
        <w:t>sredstava</w:t>
      </w:r>
      <w:r w:rsidR="00891EE4" w:rsidRPr="00E95BC4">
        <w:rPr>
          <w:lang w:val="sr-Cyrl-CS"/>
        </w:rPr>
        <w:t xml:space="preserve">, </w:t>
      </w:r>
      <w:r>
        <w:rPr>
          <w:lang w:val="sr-Cyrl-CS"/>
        </w:rPr>
        <w:t>neophodno</w:t>
      </w:r>
      <w:r w:rsidR="00891EE4" w:rsidRPr="00E95BC4">
        <w:rPr>
          <w:lang w:val="sr-Cyrl-CS"/>
        </w:rPr>
        <w:t xml:space="preserve"> </w:t>
      </w:r>
      <w:r>
        <w:rPr>
          <w:lang w:val="sr-Cyrl-CS"/>
        </w:rPr>
        <w:t>je</w:t>
      </w:r>
      <w:r w:rsidR="00891EE4" w:rsidRPr="00E95BC4">
        <w:rPr>
          <w:lang w:val="sr-Cyrl-CS"/>
        </w:rPr>
        <w:t xml:space="preserve"> </w:t>
      </w:r>
      <w:r>
        <w:rPr>
          <w:lang w:val="sr-Cyrl-CS"/>
        </w:rPr>
        <w:t>pronaći</w:t>
      </w:r>
      <w:r w:rsidR="00891EE4" w:rsidRPr="00E95BC4">
        <w:rPr>
          <w:lang w:val="sr-Cyrl-CS"/>
        </w:rPr>
        <w:t xml:space="preserve"> </w:t>
      </w:r>
      <w:r>
        <w:rPr>
          <w:lang w:val="sr-Cyrl-CS"/>
        </w:rPr>
        <w:t>načine</w:t>
      </w:r>
      <w:r w:rsidR="00891EE4" w:rsidRPr="00E95BC4">
        <w:rPr>
          <w:lang w:val="sr-Cyrl-CS"/>
        </w:rPr>
        <w:t xml:space="preserve"> </w:t>
      </w:r>
      <w:r>
        <w:rPr>
          <w:lang w:val="sr-Cyrl-CS"/>
        </w:rPr>
        <w:t>zadržavanja</w:t>
      </w:r>
      <w:r w:rsidR="00891EE4" w:rsidRPr="00E95BC4">
        <w:rPr>
          <w:lang w:val="sr-Cyrl-CS"/>
        </w:rPr>
        <w:t xml:space="preserve"> </w:t>
      </w:r>
      <w:r>
        <w:rPr>
          <w:lang w:val="sr-Cyrl-CS"/>
        </w:rPr>
        <w:t>i</w:t>
      </w:r>
      <w:r w:rsidR="00891EE4" w:rsidRPr="00E95BC4">
        <w:rPr>
          <w:lang w:val="sr-Cyrl-CS"/>
        </w:rPr>
        <w:t xml:space="preserve"> </w:t>
      </w:r>
      <w:r>
        <w:rPr>
          <w:lang w:val="sr-Cyrl-CS"/>
        </w:rPr>
        <w:t>privlačenja</w:t>
      </w:r>
      <w:r w:rsidR="00891EE4" w:rsidRPr="00E95BC4">
        <w:rPr>
          <w:lang w:val="sr-Cyrl-CS"/>
        </w:rPr>
        <w:t xml:space="preserve"> </w:t>
      </w:r>
      <w:r>
        <w:rPr>
          <w:lang w:val="sr-Cyrl-CS"/>
        </w:rPr>
        <w:t>sposobnih</w:t>
      </w:r>
      <w:r w:rsidR="00891EE4" w:rsidRPr="00E95BC4">
        <w:rPr>
          <w:lang w:val="sr-Cyrl-CS"/>
        </w:rPr>
        <w:t xml:space="preserve"> </w:t>
      </w:r>
      <w:r>
        <w:rPr>
          <w:lang w:val="sr-Cyrl-CS"/>
        </w:rPr>
        <w:t>kadrova</w:t>
      </w:r>
      <w:r w:rsidR="00891EE4" w:rsidRPr="00E95BC4">
        <w:rPr>
          <w:lang w:val="sr-Cyrl-CS"/>
        </w:rPr>
        <w:t xml:space="preserve">. </w:t>
      </w:r>
      <w:r>
        <w:rPr>
          <w:lang w:val="sr-Cyrl-CS"/>
        </w:rPr>
        <w:t>Efekti</w:t>
      </w:r>
      <w:r w:rsidR="00891EE4" w:rsidRPr="00E95BC4">
        <w:rPr>
          <w:lang w:val="sr-Cyrl-CS"/>
        </w:rPr>
        <w:t xml:space="preserve"> </w:t>
      </w:r>
      <w:r>
        <w:rPr>
          <w:lang w:val="sr-Cyrl-CS"/>
        </w:rPr>
        <w:t>se</w:t>
      </w:r>
      <w:r w:rsidR="00891EE4" w:rsidRPr="00E95BC4">
        <w:rPr>
          <w:lang w:val="sr-Cyrl-CS"/>
        </w:rPr>
        <w:t xml:space="preserve"> </w:t>
      </w:r>
      <w:r>
        <w:rPr>
          <w:lang w:val="sr-Cyrl-CS"/>
        </w:rPr>
        <w:t>mogu</w:t>
      </w:r>
      <w:r w:rsidR="00891EE4" w:rsidRPr="00E95BC4">
        <w:rPr>
          <w:lang w:val="sr-Cyrl-CS"/>
        </w:rPr>
        <w:t xml:space="preserve"> </w:t>
      </w:r>
      <w:r>
        <w:rPr>
          <w:lang w:val="sr-Cyrl-CS"/>
        </w:rPr>
        <w:t>postići</w:t>
      </w:r>
      <w:r w:rsidR="00891EE4" w:rsidRPr="00E95BC4">
        <w:rPr>
          <w:lang w:val="sr-Cyrl-CS"/>
        </w:rPr>
        <w:t xml:space="preserve"> </w:t>
      </w:r>
      <w:r>
        <w:rPr>
          <w:lang w:val="sr-Cyrl-CS"/>
        </w:rPr>
        <w:t>i</w:t>
      </w:r>
      <w:r w:rsidR="00891EE4" w:rsidRPr="00E95BC4">
        <w:rPr>
          <w:lang w:val="sr-Cyrl-CS"/>
        </w:rPr>
        <w:t xml:space="preserve"> </w:t>
      </w:r>
      <w:r>
        <w:rPr>
          <w:lang w:val="sr-Cyrl-CS"/>
        </w:rPr>
        <w:t>internom</w:t>
      </w:r>
      <w:r w:rsidR="00891EE4" w:rsidRPr="00E95BC4">
        <w:rPr>
          <w:lang w:val="sr-Cyrl-CS"/>
        </w:rPr>
        <w:t xml:space="preserve"> </w:t>
      </w:r>
      <w:r>
        <w:rPr>
          <w:lang w:val="sr-Cyrl-CS"/>
        </w:rPr>
        <w:t>preraspodelom</w:t>
      </w:r>
      <w:r w:rsidR="00891EE4" w:rsidRPr="00E95BC4">
        <w:rPr>
          <w:lang w:val="sr-Cyrl-CS"/>
        </w:rPr>
        <w:t xml:space="preserve">, </w:t>
      </w:r>
      <w:r>
        <w:rPr>
          <w:lang w:val="sr-Cyrl-CS"/>
        </w:rPr>
        <w:t>a</w:t>
      </w:r>
      <w:r w:rsidR="00891EE4" w:rsidRPr="00E95BC4">
        <w:rPr>
          <w:lang w:val="sr-Cyrl-CS"/>
        </w:rPr>
        <w:t xml:space="preserve"> </w:t>
      </w:r>
      <w:r>
        <w:rPr>
          <w:lang w:val="sr-Cyrl-CS"/>
        </w:rPr>
        <w:t>ne</w:t>
      </w:r>
      <w:r w:rsidR="00891EE4" w:rsidRPr="00E95BC4">
        <w:rPr>
          <w:lang w:val="sr-Cyrl-CS"/>
        </w:rPr>
        <w:t xml:space="preserve"> </w:t>
      </w:r>
      <w:r>
        <w:rPr>
          <w:lang w:val="sr-Cyrl-CS"/>
        </w:rPr>
        <w:t>samo</w:t>
      </w:r>
      <w:r w:rsidR="00891EE4" w:rsidRPr="00E95BC4">
        <w:rPr>
          <w:lang w:val="sr-Cyrl-CS"/>
        </w:rPr>
        <w:t xml:space="preserve"> </w:t>
      </w:r>
      <w:r>
        <w:rPr>
          <w:lang w:val="sr-Cyrl-CS"/>
        </w:rPr>
        <w:t>novim</w:t>
      </w:r>
      <w:r w:rsidR="00891EE4" w:rsidRPr="00E95BC4">
        <w:rPr>
          <w:lang w:val="sr-Cyrl-CS"/>
        </w:rPr>
        <w:t xml:space="preserve"> </w:t>
      </w:r>
      <w:r>
        <w:rPr>
          <w:lang w:val="sr-Cyrl-CS"/>
        </w:rPr>
        <w:t>zapošljavanjem</w:t>
      </w:r>
      <w:r w:rsidR="00891EE4" w:rsidRPr="00E95BC4">
        <w:rPr>
          <w:lang w:val="sr-Cyrl-CS"/>
        </w:rPr>
        <w:t xml:space="preserve">. </w:t>
      </w:r>
      <w:r>
        <w:rPr>
          <w:lang w:val="sr-Cyrl-CS"/>
        </w:rPr>
        <w:t>Neki</w:t>
      </w:r>
      <w:r w:rsidR="00891EE4" w:rsidRPr="00E95BC4">
        <w:rPr>
          <w:lang w:val="sr-Cyrl-CS"/>
        </w:rPr>
        <w:t xml:space="preserve"> </w:t>
      </w:r>
      <w:r>
        <w:rPr>
          <w:lang w:val="sr-Cyrl-CS"/>
        </w:rPr>
        <w:t>pomaci</w:t>
      </w:r>
      <w:r w:rsidR="00891EE4" w:rsidRPr="00E95BC4">
        <w:rPr>
          <w:lang w:val="sr-Cyrl-CS"/>
        </w:rPr>
        <w:t xml:space="preserve"> </w:t>
      </w:r>
      <w:r>
        <w:rPr>
          <w:lang w:val="sr-Cyrl-CS"/>
        </w:rPr>
        <w:t>su</w:t>
      </w:r>
      <w:r w:rsidR="00891EE4" w:rsidRPr="00E95BC4">
        <w:rPr>
          <w:lang w:val="sr-Cyrl-CS"/>
        </w:rPr>
        <w:t xml:space="preserve"> </w:t>
      </w:r>
      <w:r>
        <w:rPr>
          <w:lang w:val="sr-Cyrl-CS"/>
        </w:rPr>
        <w:t>napravljeni</w:t>
      </w:r>
      <w:r w:rsidR="00891EE4" w:rsidRPr="00E95BC4">
        <w:rPr>
          <w:lang w:val="sr-Cyrl-CS"/>
        </w:rPr>
        <w:t xml:space="preserve">, </w:t>
      </w:r>
      <w:r>
        <w:rPr>
          <w:lang w:val="sr-Cyrl-CS"/>
        </w:rPr>
        <w:t>posebno</w:t>
      </w:r>
      <w:r w:rsidR="00891EE4" w:rsidRPr="00E95BC4">
        <w:rPr>
          <w:lang w:val="sr-Cyrl-CS"/>
        </w:rPr>
        <w:t xml:space="preserve"> </w:t>
      </w:r>
      <w:r>
        <w:rPr>
          <w:lang w:val="sr-Cyrl-CS"/>
        </w:rPr>
        <w:t>u</w:t>
      </w:r>
      <w:r w:rsidR="00891EE4" w:rsidRPr="00E95BC4">
        <w:rPr>
          <w:lang w:val="sr-Cyrl-CS"/>
        </w:rPr>
        <w:t xml:space="preserve"> </w:t>
      </w:r>
      <w:r>
        <w:rPr>
          <w:lang w:val="sr-Cyrl-CS"/>
        </w:rPr>
        <w:t>pogledu</w:t>
      </w:r>
      <w:r w:rsidR="00891EE4" w:rsidRPr="00E95BC4">
        <w:rPr>
          <w:lang w:val="sr-Cyrl-CS"/>
        </w:rPr>
        <w:t xml:space="preserve"> </w:t>
      </w:r>
      <w:r>
        <w:rPr>
          <w:lang w:val="sr-Cyrl-CS"/>
        </w:rPr>
        <w:t>statusa</w:t>
      </w:r>
      <w:r w:rsidR="00891EE4" w:rsidRPr="00E95BC4">
        <w:rPr>
          <w:lang w:val="sr-Cyrl-CS"/>
        </w:rPr>
        <w:t xml:space="preserve"> </w:t>
      </w:r>
      <w:r>
        <w:rPr>
          <w:lang w:val="sr-Cyrl-CS"/>
        </w:rPr>
        <w:t>inspektora</w:t>
      </w:r>
      <w:r w:rsidR="00891EE4" w:rsidRPr="00E95BC4">
        <w:rPr>
          <w:lang w:val="sr-Cyrl-CS"/>
        </w:rPr>
        <w:t xml:space="preserve"> </w:t>
      </w:r>
      <w:r>
        <w:rPr>
          <w:lang w:val="sr-Cyrl-CS"/>
        </w:rPr>
        <w:t>shodno</w:t>
      </w:r>
      <w:r w:rsidR="00891EE4" w:rsidRPr="00E95BC4">
        <w:rPr>
          <w:lang w:val="sr-Cyrl-CS"/>
        </w:rPr>
        <w:t xml:space="preserve"> </w:t>
      </w:r>
      <w:r>
        <w:rPr>
          <w:lang w:val="sr-Cyrl-CS"/>
        </w:rPr>
        <w:t>Zakonu</w:t>
      </w:r>
      <w:r w:rsidR="00891EE4" w:rsidRPr="00E95BC4">
        <w:rPr>
          <w:lang w:val="sr-Cyrl-CS"/>
        </w:rPr>
        <w:t xml:space="preserve"> </w:t>
      </w:r>
      <w:r>
        <w:rPr>
          <w:lang w:val="sr-Cyrl-CS"/>
        </w:rPr>
        <w:t>o</w:t>
      </w:r>
      <w:r w:rsidR="00891EE4" w:rsidRPr="00E95BC4">
        <w:rPr>
          <w:lang w:val="sr-Cyrl-CS"/>
        </w:rPr>
        <w:t xml:space="preserve"> </w:t>
      </w:r>
      <w:r>
        <w:rPr>
          <w:lang w:val="sr-Cyrl-CS"/>
        </w:rPr>
        <w:t>inspekcijskom</w:t>
      </w:r>
      <w:r w:rsidR="00891EE4" w:rsidRPr="00E95BC4">
        <w:rPr>
          <w:lang w:val="sr-Cyrl-CS"/>
        </w:rPr>
        <w:t xml:space="preserve"> </w:t>
      </w:r>
      <w:r>
        <w:rPr>
          <w:lang w:val="sr-Cyrl-CS"/>
        </w:rPr>
        <w:t>nadzoru</w:t>
      </w:r>
      <w:r w:rsidR="00891EE4" w:rsidRPr="00E95BC4">
        <w:rPr>
          <w:lang w:val="sr-Cyrl-CS"/>
        </w:rPr>
        <w:t xml:space="preserve">. </w:t>
      </w:r>
      <w:r>
        <w:rPr>
          <w:lang w:val="sr-Cyrl-CS"/>
        </w:rPr>
        <w:t>U</w:t>
      </w:r>
      <w:r w:rsidR="00891EE4" w:rsidRPr="00E95BC4">
        <w:rPr>
          <w:lang w:val="sr-Cyrl-CS"/>
        </w:rPr>
        <w:t xml:space="preserve"> </w:t>
      </w:r>
      <w:r>
        <w:rPr>
          <w:lang w:val="sr-Cyrl-CS"/>
        </w:rPr>
        <w:t>tom</w:t>
      </w:r>
      <w:r w:rsidR="00891EE4" w:rsidRPr="00E95BC4">
        <w:rPr>
          <w:lang w:val="sr-Cyrl-CS"/>
        </w:rPr>
        <w:t xml:space="preserve"> </w:t>
      </w:r>
      <w:r>
        <w:rPr>
          <w:lang w:val="sr-Cyrl-CS"/>
        </w:rPr>
        <w:t>smislu</w:t>
      </w:r>
      <w:r w:rsidR="00891EE4" w:rsidRPr="00E95BC4">
        <w:rPr>
          <w:lang w:val="sr-Cyrl-CS"/>
        </w:rPr>
        <w:t xml:space="preserve"> </w:t>
      </w:r>
      <w:r>
        <w:rPr>
          <w:lang w:val="sr-Cyrl-CS"/>
        </w:rPr>
        <w:t>od</w:t>
      </w:r>
      <w:r w:rsidR="00891EE4" w:rsidRPr="00E95BC4">
        <w:rPr>
          <w:lang w:val="sr-Cyrl-CS"/>
        </w:rPr>
        <w:t xml:space="preserve"> </w:t>
      </w:r>
      <w:r>
        <w:rPr>
          <w:lang w:val="sr-Cyrl-CS"/>
        </w:rPr>
        <w:t>izuzetnog</w:t>
      </w:r>
      <w:r w:rsidR="00891EE4" w:rsidRPr="00E95BC4">
        <w:rPr>
          <w:lang w:val="sr-Cyrl-CS"/>
        </w:rPr>
        <w:t xml:space="preserve"> </w:t>
      </w:r>
      <w:r>
        <w:rPr>
          <w:lang w:val="sr-Cyrl-CS"/>
        </w:rPr>
        <w:t>značaja</w:t>
      </w:r>
      <w:r w:rsidR="00891EE4" w:rsidRPr="00E95BC4">
        <w:rPr>
          <w:lang w:val="sr-Cyrl-CS"/>
        </w:rPr>
        <w:t xml:space="preserve"> </w:t>
      </w:r>
      <w:r>
        <w:rPr>
          <w:lang w:val="sr-Cyrl-CS"/>
        </w:rPr>
        <w:t>je</w:t>
      </w:r>
      <w:r w:rsidR="00891EE4" w:rsidRPr="00E95BC4">
        <w:rPr>
          <w:lang w:val="sr-Cyrl-CS"/>
        </w:rPr>
        <w:t xml:space="preserve"> </w:t>
      </w:r>
      <w:r>
        <w:rPr>
          <w:lang w:val="sr-Cyrl-CS"/>
        </w:rPr>
        <w:t>i</w:t>
      </w:r>
      <w:r w:rsidR="00891EE4" w:rsidRPr="00E95BC4">
        <w:rPr>
          <w:lang w:val="sr-Cyrl-CS"/>
        </w:rPr>
        <w:t xml:space="preserve"> </w:t>
      </w:r>
      <w:r>
        <w:rPr>
          <w:lang w:val="sr-Cyrl-CS"/>
        </w:rPr>
        <w:t>potreba</w:t>
      </w:r>
      <w:r w:rsidR="00891EE4" w:rsidRPr="00E95BC4">
        <w:rPr>
          <w:lang w:val="sr-Cyrl-CS"/>
        </w:rPr>
        <w:t xml:space="preserve"> </w:t>
      </w:r>
      <w:r>
        <w:rPr>
          <w:lang w:val="sr-Cyrl-CS"/>
        </w:rPr>
        <w:t>za</w:t>
      </w:r>
      <w:r w:rsidR="00891EE4" w:rsidRPr="00E95BC4">
        <w:rPr>
          <w:lang w:val="sr-Cyrl-CS"/>
        </w:rPr>
        <w:t xml:space="preserve"> </w:t>
      </w:r>
      <w:r>
        <w:rPr>
          <w:lang w:val="sr-Cyrl-CS"/>
        </w:rPr>
        <w:t>jačanjem</w:t>
      </w:r>
      <w:r w:rsidR="00891EE4" w:rsidRPr="00E95BC4">
        <w:rPr>
          <w:lang w:val="sr-Cyrl-CS"/>
        </w:rPr>
        <w:t xml:space="preserve"> </w:t>
      </w:r>
      <w:r>
        <w:rPr>
          <w:lang w:val="sr-Cyrl-CS"/>
        </w:rPr>
        <w:t>funkcija</w:t>
      </w:r>
      <w:r w:rsidR="00891EE4" w:rsidRPr="00E95BC4">
        <w:rPr>
          <w:lang w:val="sr-Cyrl-CS"/>
        </w:rPr>
        <w:t xml:space="preserve"> </w:t>
      </w:r>
      <w:r>
        <w:rPr>
          <w:lang w:val="sr-Cyrl-CS"/>
        </w:rPr>
        <w:t>organa</w:t>
      </w:r>
      <w:r w:rsidR="00891EE4" w:rsidRPr="00E95BC4">
        <w:rPr>
          <w:lang w:val="sr-Cyrl-CS"/>
        </w:rPr>
        <w:t xml:space="preserve"> </w:t>
      </w:r>
      <w:r>
        <w:rPr>
          <w:lang w:val="sr-Cyrl-CS"/>
        </w:rPr>
        <w:t>u</w:t>
      </w:r>
      <w:r w:rsidR="00891EE4" w:rsidRPr="00E95BC4">
        <w:rPr>
          <w:lang w:val="sr-Cyrl-CS"/>
        </w:rPr>
        <w:t xml:space="preserve"> </w:t>
      </w:r>
      <w:r>
        <w:rPr>
          <w:lang w:val="sr-Cyrl-CS"/>
        </w:rPr>
        <w:t>delu</w:t>
      </w:r>
      <w:r w:rsidR="00891EE4" w:rsidRPr="00E95BC4">
        <w:rPr>
          <w:lang w:val="sr-Cyrl-CS"/>
        </w:rPr>
        <w:t xml:space="preserve"> </w:t>
      </w:r>
      <w:r>
        <w:rPr>
          <w:lang w:val="sr-Cyrl-CS"/>
        </w:rPr>
        <w:t>koji</w:t>
      </w:r>
      <w:r w:rsidR="00891EE4" w:rsidRPr="00E95BC4">
        <w:rPr>
          <w:lang w:val="sr-Cyrl-CS"/>
        </w:rPr>
        <w:t xml:space="preserve"> </w:t>
      </w:r>
      <w:r>
        <w:rPr>
          <w:lang w:val="sr-Cyrl-CS"/>
        </w:rPr>
        <w:t>se</w:t>
      </w:r>
      <w:r w:rsidR="00891EE4" w:rsidRPr="00E95BC4">
        <w:rPr>
          <w:lang w:val="sr-Cyrl-CS"/>
        </w:rPr>
        <w:t xml:space="preserve"> </w:t>
      </w:r>
      <w:r>
        <w:rPr>
          <w:lang w:val="sr-Cyrl-CS"/>
        </w:rPr>
        <w:t>tiče</w:t>
      </w:r>
      <w:r w:rsidR="00891EE4" w:rsidRPr="00E95BC4">
        <w:rPr>
          <w:lang w:val="sr-Cyrl-CS"/>
        </w:rPr>
        <w:t xml:space="preserve"> </w:t>
      </w:r>
      <w:r>
        <w:rPr>
          <w:lang w:val="sr-Cyrl-CS"/>
        </w:rPr>
        <w:t>obuke</w:t>
      </w:r>
      <w:r w:rsidR="00891EE4" w:rsidRPr="00E95BC4">
        <w:rPr>
          <w:lang w:val="sr-Cyrl-CS"/>
        </w:rPr>
        <w:t xml:space="preserve"> </w:t>
      </w:r>
      <w:r>
        <w:rPr>
          <w:lang w:val="sr-Cyrl-CS"/>
        </w:rPr>
        <w:t>i</w:t>
      </w:r>
      <w:r w:rsidR="00891EE4" w:rsidRPr="00E95BC4">
        <w:rPr>
          <w:lang w:val="sr-Cyrl-CS"/>
        </w:rPr>
        <w:t xml:space="preserve"> </w:t>
      </w:r>
      <w:r>
        <w:rPr>
          <w:lang w:val="sr-Cyrl-CS"/>
        </w:rPr>
        <w:t>izgradnje</w:t>
      </w:r>
      <w:r w:rsidR="00891EE4" w:rsidRPr="00E95BC4">
        <w:rPr>
          <w:lang w:val="sr-Cyrl-CS"/>
        </w:rPr>
        <w:t xml:space="preserve"> </w:t>
      </w:r>
      <w:r>
        <w:rPr>
          <w:lang w:val="sr-Cyrl-CS"/>
        </w:rPr>
        <w:t>kapaciteta</w:t>
      </w:r>
      <w:r w:rsidR="00891EE4" w:rsidRPr="00E95BC4">
        <w:rPr>
          <w:lang w:val="sr-Cyrl-CS"/>
        </w:rPr>
        <w:t xml:space="preserve"> </w:t>
      </w:r>
      <w:r>
        <w:rPr>
          <w:lang w:val="sr-Cyrl-CS"/>
        </w:rPr>
        <w:t>kao</w:t>
      </w:r>
      <w:r w:rsidR="00891EE4" w:rsidRPr="00E95BC4">
        <w:rPr>
          <w:lang w:val="sr-Cyrl-CS"/>
        </w:rPr>
        <w:t xml:space="preserve"> </w:t>
      </w:r>
      <w:r>
        <w:rPr>
          <w:lang w:val="sr-Cyrl-CS"/>
        </w:rPr>
        <w:t>i</w:t>
      </w:r>
      <w:r w:rsidR="00891EE4" w:rsidRPr="00E95BC4">
        <w:rPr>
          <w:lang w:val="sr-Cyrl-CS"/>
        </w:rPr>
        <w:t xml:space="preserve"> </w:t>
      </w:r>
      <w:r>
        <w:rPr>
          <w:lang w:val="sr-Cyrl-CS"/>
        </w:rPr>
        <w:t>traženje</w:t>
      </w:r>
      <w:r w:rsidR="00891EE4" w:rsidRPr="00E95BC4">
        <w:rPr>
          <w:lang w:val="sr-Cyrl-CS"/>
        </w:rPr>
        <w:t xml:space="preserve"> </w:t>
      </w:r>
      <w:r>
        <w:rPr>
          <w:lang w:val="sr-Cyrl-CS"/>
        </w:rPr>
        <w:t>načina</w:t>
      </w:r>
      <w:r w:rsidR="00891EE4" w:rsidRPr="00E95BC4">
        <w:rPr>
          <w:lang w:val="sr-Cyrl-CS"/>
        </w:rPr>
        <w:t xml:space="preserve"> </w:t>
      </w:r>
      <w:r>
        <w:rPr>
          <w:lang w:val="sr-Cyrl-CS"/>
        </w:rPr>
        <w:t>za</w:t>
      </w:r>
      <w:r w:rsidR="00891EE4" w:rsidRPr="00E95BC4">
        <w:rPr>
          <w:lang w:val="sr-Cyrl-CS"/>
        </w:rPr>
        <w:t xml:space="preserve"> </w:t>
      </w:r>
      <w:r>
        <w:rPr>
          <w:lang w:val="sr-Cyrl-CS"/>
        </w:rPr>
        <w:t>korišćenje</w:t>
      </w:r>
      <w:r w:rsidR="00891EE4" w:rsidRPr="00E95BC4">
        <w:rPr>
          <w:lang w:val="sr-Cyrl-CS"/>
        </w:rPr>
        <w:t xml:space="preserve"> </w:t>
      </w:r>
      <w:r>
        <w:rPr>
          <w:lang w:val="sr-Cyrl-CS"/>
        </w:rPr>
        <w:t>stranih</w:t>
      </w:r>
      <w:r w:rsidR="00891EE4" w:rsidRPr="00E95BC4">
        <w:rPr>
          <w:lang w:val="sr-Cyrl-CS"/>
        </w:rPr>
        <w:t xml:space="preserve"> </w:t>
      </w:r>
      <w:r>
        <w:rPr>
          <w:lang w:val="sr-Cyrl-CS"/>
        </w:rPr>
        <w:t>izvora</w:t>
      </w:r>
      <w:r w:rsidR="00891EE4" w:rsidRPr="00E95BC4">
        <w:rPr>
          <w:lang w:val="sr-Cyrl-CS"/>
        </w:rPr>
        <w:t xml:space="preserve"> </w:t>
      </w:r>
      <w:r>
        <w:rPr>
          <w:lang w:val="sr-Cyrl-CS"/>
        </w:rPr>
        <w:t>finansiranja</w:t>
      </w:r>
      <w:r w:rsidR="00891EE4" w:rsidRPr="00E95BC4">
        <w:rPr>
          <w:lang w:val="sr-Cyrl-CS"/>
        </w:rPr>
        <w:t xml:space="preserve"> </w:t>
      </w:r>
      <w:r>
        <w:rPr>
          <w:lang w:val="sr-Cyrl-CS"/>
        </w:rPr>
        <w:t>za</w:t>
      </w:r>
      <w:r w:rsidR="00891EE4" w:rsidRPr="00E95BC4">
        <w:rPr>
          <w:lang w:val="sr-Cyrl-CS"/>
        </w:rPr>
        <w:t xml:space="preserve"> </w:t>
      </w:r>
      <w:r>
        <w:rPr>
          <w:lang w:val="sr-Cyrl-CS"/>
        </w:rPr>
        <w:t>potrebe</w:t>
      </w:r>
      <w:r w:rsidR="00891EE4" w:rsidRPr="00E95BC4">
        <w:rPr>
          <w:lang w:val="sr-Cyrl-CS"/>
        </w:rPr>
        <w:t xml:space="preserve"> </w:t>
      </w:r>
      <w:r>
        <w:rPr>
          <w:lang w:val="sr-Cyrl-CS"/>
        </w:rPr>
        <w:t>dobijanja</w:t>
      </w:r>
      <w:r w:rsidR="00891EE4" w:rsidRPr="00E95BC4">
        <w:rPr>
          <w:lang w:val="sr-Cyrl-CS"/>
        </w:rPr>
        <w:t xml:space="preserve"> </w:t>
      </w:r>
      <w:r>
        <w:rPr>
          <w:lang w:val="sr-Cyrl-CS"/>
        </w:rPr>
        <w:t>tehničke</w:t>
      </w:r>
      <w:r w:rsidR="00891EE4" w:rsidRPr="00E95BC4">
        <w:rPr>
          <w:lang w:val="sr-Cyrl-CS"/>
        </w:rPr>
        <w:t xml:space="preserve"> </w:t>
      </w:r>
      <w:r>
        <w:rPr>
          <w:lang w:val="sr-Cyrl-CS"/>
        </w:rPr>
        <w:t>pomoći</w:t>
      </w:r>
      <w:r w:rsidR="00891EE4" w:rsidRPr="00E95BC4">
        <w:rPr>
          <w:lang w:val="sr-Cyrl-CS"/>
        </w:rPr>
        <w:t xml:space="preserve"> </w:t>
      </w:r>
      <w:r>
        <w:rPr>
          <w:lang w:val="sr-Cyrl-CS"/>
        </w:rPr>
        <w:t>i</w:t>
      </w:r>
      <w:r w:rsidR="00891EE4" w:rsidRPr="00E95BC4">
        <w:rPr>
          <w:lang w:val="sr-Cyrl-CS"/>
        </w:rPr>
        <w:t xml:space="preserve"> </w:t>
      </w:r>
      <w:r>
        <w:rPr>
          <w:lang w:val="sr-Cyrl-CS"/>
        </w:rPr>
        <w:t>ekspertize</w:t>
      </w:r>
      <w:r w:rsidR="00891EE4" w:rsidRPr="00E95BC4">
        <w:rPr>
          <w:lang w:val="sr-Cyrl-CS"/>
        </w:rPr>
        <w:t>.</w:t>
      </w:r>
      <w:r w:rsidR="009A5E51" w:rsidRPr="00E95BC4">
        <w:rPr>
          <w:lang w:val="sr-Cyrl-CS"/>
        </w:rPr>
        <w:t xml:space="preserve"> </w:t>
      </w:r>
      <w:r>
        <w:rPr>
          <w:lang w:val="sr-Cyrl-CS"/>
        </w:rPr>
        <w:t>Odliv</w:t>
      </w:r>
      <w:r w:rsidR="009A5E51" w:rsidRPr="00E95BC4">
        <w:rPr>
          <w:lang w:val="sr-Cyrl-CS"/>
        </w:rPr>
        <w:t xml:space="preserve"> </w:t>
      </w:r>
      <w:r>
        <w:rPr>
          <w:lang w:val="sr-Cyrl-CS"/>
        </w:rPr>
        <w:t>kadrova</w:t>
      </w:r>
      <w:r w:rsidR="009A5E51" w:rsidRPr="00E95BC4">
        <w:rPr>
          <w:lang w:val="sr-Cyrl-CS"/>
        </w:rPr>
        <w:t xml:space="preserve">, </w:t>
      </w:r>
      <w:r>
        <w:rPr>
          <w:lang w:val="sr-Cyrl-CS"/>
        </w:rPr>
        <w:t>nemogućnost</w:t>
      </w:r>
      <w:r w:rsidR="009A5E51" w:rsidRPr="00E95BC4">
        <w:rPr>
          <w:lang w:val="sr-Cyrl-CS"/>
        </w:rPr>
        <w:t xml:space="preserve"> </w:t>
      </w:r>
      <w:r>
        <w:rPr>
          <w:lang w:val="sr-Cyrl-CS"/>
        </w:rPr>
        <w:t>angažmana</w:t>
      </w:r>
      <w:r w:rsidR="009A5E51" w:rsidRPr="00E95BC4">
        <w:rPr>
          <w:lang w:val="sr-Cyrl-CS"/>
        </w:rPr>
        <w:t xml:space="preserve"> </w:t>
      </w:r>
      <w:r>
        <w:rPr>
          <w:lang w:val="sr-Cyrl-CS"/>
        </w:rPr>
        <w:t>adekvatnog</w:t>
      </w:r>
      <w:r w:rsidR="009A5E51" w:rsidRPr="00E95BC4">
        <w:rPr>
          <w:lang w:val="sr-Cyrl-CS"/>
        </w:rPr>
        <w:t xml:space="preserve"> </w:t>
      </w:r>
      <w:r>
        <w:rPr>
          <w:lang w:val="sr-Cyrl-CS"/>
        </w:rPr>
        <w:t>osoblja</w:t>
      </w:r>
      <w:r w:rsidR="009A5E51" w:rsidRPr="00E95BC4">
        <w:rPr>
          <w:lang w:val="sr-Cyrl-CS"/>
        </w:rPr>
        <w:t xml:space="preserve"> </w:t>
      </w:r>
      <w:r>
        <w:rPr>
          <w:lang w:val="sr-Cyrl-CS"/>
        </w:rPr>
        <w:t>i</w:t>
      </w:r>
      <w:r w:rsidR="009A5E51" w:rsidRPr="00E95BC4">
        <w:rPr>
          <w:lang w:val="sr-Cyrl-CS"/>
        </w:rPr>
        <w:t xml:space="preserve"> </w:t>
      </w:r>
      <w:r>
        <w:rPr>
          <w:lang w:val="sr-Cyrl-CS"/>
        </w:rPr>
        <w:t>nedovoljna</w:t>
      </w:r>
      <w:r w:rsidR="009A5E51" w:rsidRPr="00E95BC4">
        <w:rPr>
          <w:lang w:val="sr-Cyrl-CS"/>
        </w:rPr>
        <w:t xml:space="preserve"> </w:t>
      </w:r>
      <w:r>
        <w:rPr>
          <w:lang w:val="sr-Cyrl-CS"/>
        </w:rPr>
        <w:t>obučenost</w:t>
      </w:r>
      <w:r w:rsidR="009A5E51" w:rsidRPr="00E95BC4">
        <w:rPr>
          <w:lang w:val="sr-Cyrl-CS"/>
        </w:rPr>
        <w:t xml:space="preserve"> </w:t>
      </w:r>
      <w:r>
        <w:rPr>
          <w:lang w:val="sr-Cyrl-CS"/>
        </w:rPr>
        <w:t>predstavljaju</w:t>
      </w:r>
      <w:r w:rsidR="009A5E51" w:rsidRPr="00E95BC4">
        <w:rPr>
          <w:lang w:val="sr-Cyrl-CS"/>
        </w:rPr>
        <w:t xml:space="preserve"> </w:t>
      </w:r>
      <w:r>
        <w:rPr>
          <w:lang w:val="sr-Cyrl-CS"/>
        </w:rPr>
        <w:t>rizik</w:t>
      </w:r>
      <w:r w:rsidR="009A5E51" w:rsidRPr="00E95BC4">
        <w:rPr>
          <w:lang w:val="sr-Cyrl-CS"/>
        </w:rPr>
        <w:t>.</w:t>
      </w:r>
    </w:p>
    <w:p w:rsidR="00093C87" w:rsidRPr="00E95BC4" w:rsidRDefault="00093C87">
      <w:pPr>
        <w:rPr>
          <w:rFonts w:eastAsiaTheme="majorEastAsia"/>
          <w:b/>
          <w:bCs/>
          <w:color w:val="365F91" w:themeColor="accent1" w:themeShade="BF"/>
          <w:lang w:val="sr-Cyrl-CS"/>
        </w:rPr>
      </w:pPr>
      <w:r w:rsidRPr="00E95BC4">
        <w:rPr>
          <w:lang w:val="sr-Cyrl-CS"/>
        </w:rPr>
        <w:br w:type="page"/>
      </w:r>
    </w:p>
    <w:p w:rsidR="009A5E51" w:rsidRPr="00E95BC4" w:rsidRDefault="009A5E51" w:rsidP="00285FD7">
      <w:pPr>
        <w:pStyle w:val="Heading1"/>
        <w:spacing w:before="0"/>
        <w:rPr>
          <w:rFonts w:ascii="Times New Roman" w:hAnsi="Times New Roman" w:cs="Times New Roman"/>
          <w:sz w:val="24"/>
          <w:szCs w:val="24"/>
          <w:lang w:val="sr-Cyrl-CS"/>
        </w:rPr>
      </w:pPr>
    </w:p>
    <w:p w:rsidR="00674A9F" w:rsidRPr="00E95BC4" w:rsidRDefault="00947093" w:rsidP="00674A9F">
      <w:pPr>
        <w:jc w:val="both"/>
        <w:rPr>
          <w:b/>
          <w:lang w:val="sr-Cyrl-CS"/>
        </w:rPr>
      </w:pPr>
      <w:r w:rsidRPr="00E95BC4">
        <w:rPr>
          <w:lang w:val="sr-Cyrl-CS"/>
        </w:rPr>
        <w:tab/>
      </w:r>
      <w:r w:rsidR="005818C0">
        <w:rPr>
          <w:b/>
          <w:lang w:val="sr-Cyrl-CS"/>
        </w:rPr>
        <w:t>Završni</w:t>
      </w:r>
      <w:r w:rsidRPr="00E95BC4">
        <w:rPr>
          <w:b/>
          <w:lang w:val="sr-Cyrl-CS"/>
        </w:rPr>
        <w:t xml:space="preserve"> </w:t>
      </w:r>
      <w:r w:rsidR="005818C0">
        <w:rPr>
          <w:b/>
          <w:lang w:val="sr-Cyrl-CS"/>
        </w:rPr>
        <w:t>deo</w:t>
      </w:r>
    </w:p>
    <w:p w:rsidR="00947093" w:rsidRPr="00E95BC4" w:rsidRDefault="00947093" w:rsidP="00674A9F">
      <w:pPr>
        <w:jc w:val="both"/>
        <w:rPr>
          <w:b/>
          <w:lang w:val="sr-Cyrl-CS"/>
        </w:rPr>
      </w:pPr>
    </w:p>
    <w:p w:rsidR="00093C87" w:rsidRPr="00E95BC4" w:rsidRDefault="005818C0" w:rsidP="00093C87">
      <w:pPr>
        <w:ind w:firstLine="720"/>
        <w:jc w:val="both"/>
        <w:rPr>
          <w:lang w:val="sr-Cyrl-CS"/>
        </w:rPr>
      </w:pPr>
      <w:r>
        <w:rPr>
          <w:lang w:val="sr-Cyrl-CS"/>
        </w:rPr>
        <w:t>Ovu</w:t>
      </w:r>
      <w:r w:rsidR="00093C87" w:rsidRPr="00E95BC4">
        <w:rPr>
          <w:lang w:val="sr-Cyrl-CS"/>
        </w:rPr>
        <w:t xml:space="preserve"> </w:t>
      </w:r>
      <w:r>
        <w:rPr>
          <w:lang w:val="sr-Cyrl-CS"/>
        </w:rPr>
        <w:t>strategiju</w:t>
      </w:r>
      <w:r w:rsidR="00093C87" w:rsidRPr="00E95BC4">
        <w:rPr>
          <w:lang w:val="sr-Cyrl-CS"/>
        </w:rPr>
        <w:t xml:space="preserve"> </w:t>
      </w:r>
      <w:r>
        <w:rPr>
          <w:lang w:val="sr-Cyrl-CS"/>
        </w:rPr>
        <w:t>objaviti</w:t>
      </w:r>
      <w:r w:rsidR="00093C87" w:rsidRPr="00E95BC4">
        <w:rPr>
          <w:lang w:val="sr-Cyrl-CS"/>
        </w:rPr>
        <w:t xml:space="preserve"> </w:t>
      </w:r>
      <w:r>
        <w:rPr>
          <w:lang w:val="sr-Cyrl-CS"/>
        </w:rPr>
        <w:t>na</w:t>
      </w:r>
      <w:r w:rsidR="00093C87" w:rsidRPr="00E95BC4">
        <w:rPr>
          <w:lang w:val="sr-Cyrl-CS"/>
        </w:rPr>
        <w:t xml:space="preserve"> </w:t>
      </w:r>
      <w:r>
        <w:rPr>
          <w:lang w:val="sr-Cyrl-CS"/>
        </w:rPr>
        <w:t>internet</w:t>
      </w:r>
      <w:r w:rsidR="00093C87" w:rsidRPr="00E95BC4">
        <w:rPr>
          <w:lang w:val="sr-Cyrl-CS"/>
        </w:rPr>
        <w:t xml:space="preserve"> </w:t>
      </w:r>
      <w:r>
        <w:rPr>
          <w:lang w:val="sr-Cyrl-CS"/>
        </w:rPr>
        <w:t>stranici</w:t>
      </w:r>
      <w:r w:rsidR="00093C87" w:rsidRPr="00E95BC4">
        <w:rPr>
          <w:lang w:val="sr-Cyrl-CS"/>
        </w:rPr>
        <w:t xml:space="preserve"> </w:t>
      </w:r>
      <w:r>
        <w:rPr>
          <w:lang w:val="sr-Cyrl-CS"/>
        </w:rPr>
        <w:t>Vlade</w:t>
      </w:r>
      <w:r w:rsidR="00093C87" w:rsidRPr="00E95BC4">
        <w:rPr>
          <w:lang w:val="sr-Cyrl-CS"/>
        </w:rPr>
        <w:t xml:space="preserve">, </w:t>
      </w:r>
      <w:r>
        <w:rPr>
          <w:lang w:val="sr-Cyrl-CS"/>
        </w:rPr>
        <w:t>na</w:t>
      </w:r>
      <w:r w:rsidR="00093C87" w:rsidRPr="00E95BC4">
        <w:rPr>
          <w:lang w:val="sr-Cyrl-CS"/>
        </w:rPr>
        <w:t xml:space="preserve"> </w:t>
      </w:r>
      <w:r>
        <w:rPr>
          <w:lang w:val="sr-Cyrl-CS"/>
        </w:rPr>
        <w:t>portalu</w:t>
      </w:r>
      <w:r w:rsidR="00093C87" w:rsidRPr="00E95BC4">
        <w:rPr>
          <w:lang w:val="sr-Cyrl-CS"/>
        </w:rPr>
        <w:t xml:space="preserve"> </w:t>
      </w:r>
      <w:r>
        <w:rPr>
          <w:lang w:val="sr-Cyrl-CS"/>
        </w:rPr>
        <w:t>e</w:t>
      </w:r>
      <w:r w:rsidR="00093C87" w:rsidRPr="00E95BC4">
        <w:rPr>
          <w:lang w:val="sr-Cyrl-CS"/>
        </w:rPr>
        <w:t>-</w:t>
      </w:r>
      <w:r>
        <w:rPr>
          <w:lang w:val="sr-Cyrl-CS"/>
        </w:rPr>
        <w:t>Uprave</w:t>
      </w:r>
      <w:r w:rsidR="00093C87" w:rsidRPr="00E95BC4">
        <w:rPr>
          <w:lang w:val="sr-Cyrl-CS"/>
        </w:rPr>
        <w:t xml:space="preserve"> </w:t>
      </w:r>
      <w:r>
        <w:rPr>
          <w:lang w:val="sr-Cyrl-CS"/>
        </w:rPr>
        <w:t>i</w:t>
      </w:r>
      <w:r w:rsidR="00093C87" w:rsidRPr="00E95BC4">
        <w:rPr>
          <w:lang w:val="sr-Cyrl-CS"/>
        </w:rPr>
        <w:t xml:space="preserve"> </w:t>
      </w:r>
      <w:r>
        <w:rPr>
          <w:lang w:val="sr-Cyrl-CS"/>
        </w:rPr>
        <w:t>internet</w:t>
      </w:r>
      <w:r w:rsidR="00093C87" w:rsidRPr="00E95BC4">
        <w:rPr>
          <w:lang w:val="sr-Cyrl-CS"/>
        </w:rPr>
        <w:t xml:space="preserve"> </w:t>
      </w:r>
      <w:r>
        <w:rPr>
          <w:lang w:val="sr-Cyrl-CS"/>
        </w:rPr>
        <w:t>stranici</w:t>
      </w:r>
      <w:r w:rsidR="00093C87" w:rsidRPr="00E95BC4">
        <w:rPr>
          <w:lang w:val="sr-Cyrl-CS"/>
        </w:rPr>
        <w:t xml:space="preserve"> </w:t>
      </w:r>
      <w:r>
        <w:rPr>
          <w:lang w:val="sr-Cyrl-CS"/>
        </w:rPr>
        <w:t>Ministarstva</w:t>
      </w:r>
      <w:r w:rsidR="00093C87" w:rsidRPr="00E95BC4">
        <w:rPr>
          <w:lang w:val="sr-Cyrl-CS"/>
        </w:rPr>
        <w:t xml:space="preserve"> </w:t>
      </w:r>
      <w:r>
        <w:rPr>
          <w:lang w:val="sr-Cyrl-CS"/>
        </w:rPr>
        <w:t>finansija</w:t>
      </w:r>
      <w:r w:rsidR="00093C87" w:rsidRPr="00E95BC4">
        <w:rPr>
          <w:lang w:val="sr-Cyrl-CS"/>
        </w:rPr>
        <w:t>.</w:t>
      </w:r>
    </w:p>
    <w:p w:rsidR="00093C87" w:rsidRPr="00E95BC4" w:rsidRDefault="00093C87" w:rsidP="00093C87">
      <w:pPr>
        <w:ind w:firstLine="720"/>
        <w:jc w:val="both"/>
        <w:rPr>
          <w:lang w:val="sr-Cyrl-CS"/>
        </w:rPr>
      </w:pPr>
    </w:p>
    <w:p w:rsidR="00093C87" w:rsidRPr="00E95BC4" w:rsidRDefault="005818C0" w:rsidP="00093C87">
      <w:pPr>
        <w:ind w:firstLine="720"/>
        <w:jc w:val="both"/>
        <w:rPr>
          <w:lang w:val="sr-Cyrl-CS"/>
        </w:rPr>
      </w:pPr>
      <w:r>
        <w:rPr>
          <w:lang w:val="sr-Cyrl-CS"/>
        </w:rPr>
        <w:t>Ovu</w:t>
      </w:r>
      <w:r w:rsidR="00093C87" w:rsidRPr="00E95BC4">
        <w:rPr>
          <w:lang w:val="sr-Cyrl-CS"/>
        </w:rPr>
        <w:t xml:space="preserve"> </w:t>
      </w:r>
      <w:r>
        <w:rPr>
          <w:lang w:val="sr-Cyrl-CS"/>
        </w:rPr>
        <w:t>strategiju</w:t>
      </w:r>
      <w:r w:rsidR="00093C87" w:rsidRPr="00E95BC4">
        <w:rPr>
          <w:lang w:val="sr-Cyrl-CS"/>
        </w:rPr>
        <w:t xml:space="preserve"> </w:t>
      </w:r>
      <w:r>
        <w:rPr>
          <w:lang w:val="sr-Cyrl-CS"/>
        </w:rPr>
        <w:t>objaviti</w:t>
      </w:r>
      <w:r w:rsidR="00093C87" w:rsidRPr="00E95BC4">
        <w:rPr>
          <w:lang w:val="sr-Cyrl-CS"/>
        </w:rPr>
        <w:t xml:space="preserve"> </w:t>
      </w:r>
      <w:r>
        <w:rPr>
          <w:lang w:val="sr-Cyrl-CS"/>
        </w:rPr>
        <w:t>u</w:t>
      </w:r>
      <w:r w:rsidR="00093C87" w:rsidRPr="00E95BC4">
        <w:rPr>
          <w:lang w:val="sr-Cyrl-CS"/>
        </w:rPr>
        <w:t xml:space="preserve"> „</w:t>
      </w:r>
      <w:r>
        <w:rPr>
          <w:lang w:val="sr-Cyrl-CS"/>
        </w:rPr>
        <w:t>Službenom</w:t>
      </w:r>
      <w:r w:rsidR="00093C87" w:rsidRPr="00E95BC4">
        <w:rPr>
          <w:lang w:val="sr-Cyrl-CS"/>
        </w:rPr>
        <w:t xml:space="preserve"> </w:t>
      </w:r>
      <w:r>
        <w:rPr>
          <w:lang w:val="sr-Cyrl-CS"/>
        </w:rPr>
        <w:t>glasniku</w:t>
      </w:r>
      <w:r w:rsidR="00093C87" w:rsidRPr="00E95BC4">
        <w:rPr>
          <w:lang w:val="sr-Cyrl-CS"/>
        </w:rPr>
        <w:t xml:space="preserve"> </w:t>
      </w:r>
      <w:r>
        <w:rPr>
          <w:lang w:val="sr-Cyrl-CS"/>
        </w:rPr>
        <w:t>Republike</w:t>
      </w:r>
      <w:r w:rsidR="00093C87" w:rsidRPr="00E95BC4">
        <w:rPr>
          <w:lang w:val="sr-Cyrl-CS"/>
        </w:rPr>
        <w:t xml:space="preserve"> </w:t>
      </w:r>
      <w:r>
        <w:rPr>
          <w:lang w:val="sr-Cyrl-CS"/>
        </w:rPr>
        <w:t>Srbije</w:t>
      </w:r>
      <w:r w:rsidR="00093C87" w:rsidRPr="00E95BC4">
        <w:rPr>
          <w:lang w:val="sr-Cyrl-CS"/>
        </w:rPr>
        <w:t xml:space="preserve">”.   </w:t>
      </w:r>
    </w:p>
    <w:p w:rsidR="00093C87" w:rsidRPr="00E95BC4" w:rsidRDefault="00093C87" w:rsidP="00093C87">
      <w:pPr>
        <w:ind w:firstLine="720"/>
        <w:jc w:val="both"/>
        <w:rPr>
          <w:lang w:val="sr-Cyrl-CS"/>
        </w:rPr>
      </w:pPr>
    </w:p>
    <w:p w:rsidR="00093C87" w:rsidRPr="00E95BC4" w:rsidRDefault="00093C87" w:rsidP="00093C87">
      <w:pPr>
        <w:ind w:firstLine="720"/>
        <w:jc w:val="both"/>
        <w:rPr>
          <w:lang w:val="sr-Cyrl-CS"/>
        </w:rPr>
      </w:pPr>
    </w:p>
    <w:p w:rsidR="00093C87" w:rsidRPr="00E95BC4" w:rsidRDefault="00093C87" w:rsidP="00093C87">
      <w:pPr>
        <w:ind w:firstLine="720"/>
        <w:jc w:val="both"/>
        <w:rPr>
          <w:lang w:val="sr-Cyrl-CS"/>
        </w:rPr>
      </w:pPr>
      <w:r w:rsidRPr="00E95BC4">
        <w:rPr>
          <w:lang w:val="sr-Cyrl-CS"/>
        </w:rPr>
        <w:t xml:space="preserve">05 </w:t>
      </w:r>
      <w:r w:rsidR="005818C0">
        <w:rPr>
          <w:lang w:val="sr-Cyrl-CS"/>
        </w:rPr>
        <w:t>Broj</w:t>
      </w:r>
      <w:r w:rsidRPr="00E95BC4">
        <w:rPr>
          <w:lang w:val="sr-Cyrl-CS"/>
        </w:rPr>
        <w:t>: 011-1265/2020-1</w:t>
      </w:r>
    </w:p>
    <w:p w:rsidR="00093C87" w:rsidRPr="00E95BC4" w:rsidRDefault="005818C0" w:rsidP="00093C87">
      <w:pPr>
        <w:ind w:firstLine="720"/>
        <w:jc w:val="both"/>
        <w:rPr>
          <w:lang w:val="sr-Cyrl-CS"/>
        </w:rPr>
      </w:pPr>
      <w:r>
        <w:rPr>
          <w:lang w:val="sr-Cyrl-CS"/>
        </w:rPr>
        <w:t>U</w:t>
      </w:r>
      <w:r w:rsidR="00093C87" w:rsidRPr="00E95BC4">
        <w:rPr>
          <w:lang w:val="sr-Cyrl-CS"/>
        </w:rPr>
        <w:t xml:space="preserve"> </w:t>
      </w:r>
      <w:r>
        <w:rPr>
          <w:lang w:val="sr-Cyrl-CS"/>
        </w:rPr>
        <w:t>Beogradu</w:t>
      </w:r>
      <w:r w:rsidR="00093C87" w:rsidRPr="00E95BC4">
        <w:rPr>
          <w:lang w:val="sr-Cyrl-CS"/>
        </w:rPr>
        <w:t xml:space="preserve">, 13. </w:t>
      </w:r>
      <w:r>
        <w:rPr>
          <w:lang w:val="sr-Cyrl-CS"/>
        </w:rPr>
        <w:t>februara</w:t>
      </w:r>
      <w:r w:rsidR="00093C87" w:rsidRPr="00E95BC4">
        <w:rPr>
          <w:lang w:val="sr-Cyrl-CS"/>
        </w:rPr>
        <w:t xml:space="preserve"> 2020. </w:t>
      </w:r>
      <w:r>
        <w:rPr>
          <w:lang w:val="sr-Cyrl-CS"/>
        </w:rPr>
        <w:t>godine</w:t>
      </w:r>
    </w:p>
    <w:p w:rsidR="00093C87" w:rsidRPr="00E95BC4" w:rsidRDefault="00093C87" w:rsidP="00093C87">
      <w:pPr>
        <w:ind w:firstLine="720"/>
        <w:jc w:val="both"/>
        <w:rPr>
          <w:lang w:val="sr-Cyrl-CS"/>
        </w:rPr>
      </w:pPr>
    </w:p>
    <w:p w:rsidR="00093C87" w:rsidRPr="00E95BC4" w:rsidRDefault="00093C87" w:rsidP="00093C87">
      <w:pPr>
        <w:ind w:firstLine="720"/>
        <w:jc w:val="both"/>
        <w:rPr>
          <w:lang w:val="sr-Cyrl-CS"/>
        </w:rPr>
      </w:pPr>
    </w:p>
    <w:p w:rsidR="00093C87" w:rsidRPr="00E95BC4" w:rsidRDefault="005818C0" w:rsidP="00093C87">
      <w:pPr>
        <w:ind w:firstLine="720"/>
        <w:jc w:val="center"/>
        <w:rPr>
          <w:lang w:val="sr-Cyrl-CS"/>
        </w:rPr>
      </w:pPr>
      <w:r>
        <w:rPr>
          <w:lang w:val="sr-Cyrl-CS"/>
        </w:rPr>
        <w:t>V</w:t>
      </w:r>
      <w:r w:rsidR="00EF6005" w:rsidRPr="00E95BC4">
        <w:rPr>
          <w:lang w:val="sr-Cyrl-CS"/>
        </w:rPr>
        <w:t xml:space="preserve"> </w:t>
      </w:r>
      <w:r>
        <w:rPr>
          <w:lang w:val="sr-Cyrl-CS"/>
        </w:rPr>
        <w:t>L</w:t>
      </w:r>
      <w:r w:rsidR="00EF6005" w:rsidRPr="00E95BC4">
        <w:rPr>
          <w:lang w:val="sr-Cyrl-CS"/>
        </w:rPr>
        <w:t xml:space="preserve"> </w:t>
      </w:r>
      <w:r>
        <w:rPr>
          <w:lang w:val="sr-Cyrl-CS"/>
        </w:rPr>
        <w:t>A</w:t>
      </w:r>
      <w:r w:rsidR="00EF6005" w:rsidRPr="00E95BC4">
        <w:rPr>
          <w:lang w:val="sr-Cyrl-CS"/>
        </w:rPr>
        <w:t xml:space="preserve"> </w:t>
      </w:r>
      <w:r>
        <w:rPr>
          <w:lang w:val="sr-Cyrl-CS"/>
        </w:rPr>
        <w:t>D</w:t>
      </w:r>
      <w:r w:rsidR="00EF6005" w:rsidRPr="00E95BC4">
        <w:rPr>
          <w:lang w:val="sr-Cyrl-CS"/>
        </w:rPr>
        <w:t xml:space="preserve"> </w:t>
      </w:r>
      <w:r>
        <w:rPr>
          <w:lang w:val="sr-Cyrl-CS"/>
        </w:rPr>
        <w:t>A</w:t>
      </w:r>
    </w:p>
    <w:p w:rsidR="00093C87" w:rsidRPr="00E95BC4" w:rsidRDefault="00093C87" w:rsidP="00093C87">
      <w:pPr>
        <w:ind w:firstLine="720"/>
        <w:jc w:val="center"/>
        <w:rPr>
          <w:lang w:val="sr-Cyrl-CS"/>
        </w:rPr>
      </w:pPr>
    </w:p>
    <w:p w:rsidR="00093C87" w:rsidRPr="00E95BC4" w:rsidRDefault="00093C87" w:rsidP="00093C87">
      <w:pPr>
        <w:ind w:firstLine="720"/>
        <w:jc w:val="center"/>
        <w:rPr>
          <w:lang w:val="sr-Cyrl-CS"/>
        </w:rPr>
      </w:pPr>
      <w:r w:rsidRPr="00E95BC4">
        <w:rPr>
          <w:lang w:val="sr-Cyrl-CS"/>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5"/>
        <w:gridCol w:w="4105"/>
      </w:tblGrid>
      <w:tr w:rsidR="00093C87" w:rsidRPr="00E95BC4" w:rsidTr="00093C87">
        <w:tc>
          <w:tcPr>
            <w:tcW w:w="5245" w:type="dxa"/>
          </w:tcPr>
          <w:p w:rsidR="00093C87" w:rsidRPr="00E95BC4" w:rsidRDefault="00093C87" w:rsidP="00093C87">
            <w:pPr>
              <w:jc w:val="center"/>
              <w:rPr>
                <w:lang w:val="sr-Cyrl-CS"/>
              </w:rPr>
            </w:pPr>
          </w:p>
        </w:tc>
        <w:tc>
          <w:tcPr>
            <w:tcW w:w="4105" w:type="dxa"/>
          </w:tcPr>
          <w:p w:rsidR="00093C87" w:rsidRPr="00E95BC4" w:rsidRDefault="005818C0" w:rsidP="00093C87">
            <w:pPr>
              <w:jc w:val="center"/>
              <w:rPr>
                <w:lang w:val="sr-Cyrl-CS"/>
              </w:rPr>
            </w:pPr>
            <w:r>
              <w:rPr>
                <w:lang w:val="sr-Cyrl-CS"/>
              </w:rPr>
              <w:t>PREDSEDNIK</w:t>
            </w:r>
          </w:p>
          <w:p w:rsidR="00093C87" w:rsidRPr="00E95BC4" w:rsidRDefault="00093C87" w:rsidP="00093C87">
            <w:pPr>
              <w:jc w:val="center"/>
              <w:rPr>
                <w:lang w:val="sr-Cyrl-CS"/>
              </w:rPr>
            </w:pPr>
          </w:p>
          <w:p w:rsidR="00EF6005" w:rsidRPr="00E95BC4" w:rsidRDefault="00EF6005" w:rsidP="00093C87">
            <w:pPr>
              <w:jc w:val="center"/>
              <w:rPr>
                <w:lang w:val="sr-Cyrl-CS"/>
              </w:rPr>
            </w:pPr>
          </w:p>
          <w:p w:rsidR="00093C87" w:rsidRPr="00E95BC4" w:rsidRDefault="00EF6005" w:rsidP="00093C87">
            <w:pPr>
              <w:jc w:val="center"/>
              <w:rPr>
                <w:lang w:val="sr-Cyrl-CS"/>
              </w:rPr>
            </w:pPr>
            <w:r w:rsidRPr="00E95BC4">
              <w:rPr>
                <w:lang w:val="sr-Cyrl-CS"/>
              </w:rPr>
              <w:t xml:space="preserve">  </w:t>
            </w:r>
            <w:r w:rsidR="005818C0">
              <w:rPr>
                <w:lang w:val="sr-Cyrl-CS"/>
              </w:rPr>
              <w:t>Ana</w:t>
            </w:r>
            <w:r w:rsidR="00093C87" w:rsidRPr="00E95BC4">
              <w:rPr>
                <w:lang w:val="sr-Cyrl-CS"/>
              </w:rPr>
              <w:t xml:space="preserve"> </w:t>
            </w:r>
            <w:r w:rsidR="005818C0">
              <w:rPr>
                <w:lang w:val="sr-Cyrl-CS"/>
              </w:rPr>
              <w:t>Brnabić</w:t>
            </w:r>
            <w:r w:rsidR="00093C87" w:rsidRPr="00E95BC4">
              <w:rPr>
                <w:lang w:val="sr-Cyrl-CS"/>
              </w:rPr>
              <w:t xml:space="preserve">, </w:t>
            </w:r>
            <w:r w:rsidR="005818C0">
              <w:rPr>
                <w:lang w:val="sr-Cyrl-CS"/>
              </w:rPr>
              <w:t>s</w:t>
            </w:r>
            <w:r w:rsidR="00093C87" w:rsidRPr="00E95BC4">
              <w:rPr>
                <w:lang w:val="sr-Cyrl-CS"/>
              </w:rPr>
              <w:t>.</w:t>
            </w:r>
            <w:r w:rsidR="005818C0">
              <w:rPr>
                <w:lang w:val="sr-Cyrl-CS"/>
              </w:rPr>
              <w:t>r</w:t>
            </w:r>
            <w:r w:rsidR="00093C87" w:rsidRPr="00E95BC4">
              <w:rPr>
                <w:lang w:val="sr-Cyrl-CS"/>
              </w:rPr>
              <w:t>.</w:t>
            </w:r>
          </w:p>
        </w:tc>
      </w:tr>
    </w:tbl>
    <w:p w:rsidR="00093C87" w:rsidRPr="00E95BC4" w:rsidRDefault="00093C87" w:rsidP="00093C87">
      <w:pPr>
        <w:ind w:firstLine="720"/>
        <w:jc w:val="center"/>
        <w:rPr>
          <w:lang w:val="sr-Cyrl-CS"/>
        </w:rPr>
      </w:pPr>
    </w:p>
    <w:sectPr w:rsidR="00093C87" w:rsidRPr="00E95BC4" w:rsidSect="00793779">
      <w:headerReference w:type="default"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E78" w:rsidRDefault="00C23E78" w:rsidP="00713A91">
      <w:r>
        <w:separator/>
      </w:r>
    </w:p>
  </w:endnote>
  <w:endnote w:type="continuationSeparator" w:id="0">
    <w:p w:rsidR="00C23E78" w:rsidRDefault="00C23E78" w:rsidP="00713A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Segoe UI" w:hAnsi="Segoe UI" w:cs="Segoe UI"/>
        <w:color w:val="auto"/>
        <w:sz w:val="21"/>
        <w:szCs w:val="21"/>
      </w:rPr>
      <w:id w:val="18746953"/>
      <w:docPartObj>
        <w:docPartGallery w:val="Page Numbers (Bottom of Page)"/>
        <w:docPartUnique/>
      </w:docPartObj>
    </w:sdtPr>
    <w:sdtContent>
      <w:p w:rsidR="005818C0" w:rsidRPr="000B0BBF" w:rsidRDefault="005818C0">
        <w:pPr>
          <w:pStyle w:val="Footer"/>
          <w:jc w:val="right"/>
          <w:rPr>
            <w:rFonts w:ascii="Segoe UI" w:hAnsi="Segoe UI" w:cs="Segoe UI"/>
            <w:sz w:val="21"/>
            <w:szCs w:val="21"/>
          </w:rPr>
        </w:pPr>
        <w:r w:rsidRPr="000B0BBF">
          <w:rPr>
            <w:rFonts w:ascii="Segoe UI" w:hAnsi="Segoe UI" w:cs="Segoe UI"/>
            <w:sz w:val="21"/>
            <w:szCs w:val="21"/>
          </w:rPr>
          <w:fldChar w:fldCharType="begin"/>
        </w:r>
        <w:r w:rsidRPr="000B0BBF">
          <w:rPr>
            <w:rFonts w:ascii="Segoe UI" w:hAnsi="Segoe UI" w:cs="Segoe UI"/>
            <w:sz w:val="21"/>
            <w:szCs w:val="21"/>
          </w:rPr>
          <w:instrText xml:space="preserve"> PAGE   \* MERGEFORMAT </w:instrText>
        </w:r>
        <w:r w:rsidRPr="000B0BBF">
          <w:rPr>
            <w:rFonts w:ascii="Segoe UI" w:hAnsi="Segoe UI" w:cs="Segoe UI"/>
            <w:sz w:val="21"/>
            <w:szCs w:val="21"/>
          </w:rPr>
          <w:fldChar w:fldCharType="separate"/>
        </w:r>
        <w:r>
          <w:rPr>
            <w:rFonts w:ascii="Segoe UI" w:hAnsi="Segoe UI" w:cs="Segoe UI"/>
            <w:noProof/>
            <w:sz w:val="21"/>
            <w:szCs w:val="21"/>
          </w:rPr>
          <w:t>29</w:t>
        </w:r>
        <w:r w:rsidRPr="000B0BBF">
          <w:rPr>
            <w:rFonts w:ascii="Segoe UI" w:hAnsi="Segoe UI" w:cs="Segoe UI"/>
            <w:sz w:val="21"/>
            <w:szCs w:val="21"/>
          </w:rPr>
          <w:fldChar w:fldCharType="end"/>
        </w:r>
      </w:p>
    </w:sdtContent>
  </w:sdt>
  <w:p w:rsidR="005818C0" w:rsidRPr="000B0BBF" w:rsidRDefault="005818C0">
    <w:pPr>
      <w:pStyle w:val="Footer"/>
      <w:rPr>
        <w:rFonts w:ascii="Segoe UI" w:hAnsi="Segoe UI" w:cs="Segoe UI"/>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E78" w:rsidRDefault="00C23E78" w:rsidP="00713A91">
      <w:r>
        <w:separator/>
      </w:r>
    </w:p>
  </w:footnote>
  <w:footnote w:type="continuationSeparator" w:id="0">
    <w:p w:rsidR="00C23E78" w:rsidRDefault="00C23E78" w:rsidP="00713A91">
      <w:r>
        <w:continuationSeparator/>
      </w:r>
    </w:p>
  </w:footnote>
  <w:footnote w:id="1">
    <w:p w:rsidR="005818C0" w:rsidRPr="00D96082" w:rsidRDefault="005818C0" w:rsidP="00D96082">
      <w:pPr>
        <w:pStyle w:val="FootnoteText"/>
        <w:rPr>
          <w:rFonts w:ascii="Segoe UI" w:hAnsi="Segoe UI" w:cs="Segoe UI"/>
          <w:sz w:val="17"/>
          <w:szCs w:val="17"/>
        </w:rPr>
      </w:pPr>
      <w:r w:rsidRPr="00D96082">
        <w:rPr>
          <w:rStyle w:val="FootnoteReference"/>
          <w:rFonts w:ascii="Segoe UI" w:hAnsi="Segoe UI" w:cs="Segoe UI"/>
          <w:sz w:val="17"/>
          <w:szCs w:val="17"/>
        </w:rPr>
        <w:footnoteRef/>
      </w:r>
      <w:r w:rsidRPr="00D96082">
        <w:rPr>
          <w:rFonts w:ascii="Segoe UI" w:hAnsi="Segoe UI" w:cs="Segoe UI"/>
          <w:sz w:val="17"/>
          <w:szCs w:val="17"/>
        </w:rPr>
        <w:t xml:space="preserve"> </w:t>
      </w:r>
      <w:r w:rsidRPr="00D96082">
        <w:rPr>
          <w:rFonts w:ascii="Segoe UI" w:eastAsia="Times New Roman" w:hAnsi="Segoe UI" w:cs="Segoe UI"/>
          <w:color w:val="auto"/>
          <w:kern w:val="0"/>
          <w:sz w:val="17"/>
          <w:szCs w:val="17"/>
        </w:rPr>
        <w:t>Financial Action Task Force – FATF, https://www.fatf-gafi.org/</w:t>
      </w:r>
    </w:p>
  </w:footnote>
  <w:footnote w:id="2">
    <w:p w:rsidR="005818C0" w:rsidRPr="00D96082" w:rsidRDefault="005818C0" w:rsidP="00285FD7">
      <w:pPr>
        <w:pStyle w:val="FootnoteText"/>
        <w:rPr>
          <w:rFonts w:ascii="Segoe UI" w:hAnsi="Segoe UI" w:cs="Segoe UI"/>
          <w:sz w:val="17"/>
          <w:szCs w:val="17"/>
        </w:rPr>
      </w:pPr>
      <w:r w:rsidRPr="00D96082">
        <w:rPr>
          <w:rStyle w:val="FootnoteReference"/>
          <w:rFonts w:ascii="Segoe UI" w:hAnsi="Segoe UI" w:cs="Segoe UI"/>
          <w:sz w:val="17"/>
          <w:szCs w:val="17"/>
        </w:rPr>
        <w:footnoteRef/>
      </w:r>
      <w:r w:rsidRPr="00D96082">
        <w:rPr>
          <w:rFonts w:ascii="Segoe UI" w:hAnsi="Segoe UI" w:cs="Segoe UI"/>
          <w:sz w:val="17"/>
          <w:szCs w:val="17"/>
        </w:rPr>
        <w:t xml:space="preserve"> http://www.mei.gov.rs/src/vesti/893/189/335/detaljnije/na-trecoj-medjuvladinoj-konferenciji-u-briselu-otvorena-poglavlja-23-i-24</w:t>
      </w:r>
    </w:p>
  </w:footnote>
  <w:footnote w:id="3">
    <w:p w:rsidR="005818C0" w:rsidRPr="00D96082" w:rsidRDefault="005818C0" w:rsidP="00285FD7">
      <w:pPr>
        <w:pStyle w:val="FootnoteText"/>
        <w:rPr>
          <w:rFonts w:ascii="Segoe UI" w:hAnsi="Segoe UI" w:cs="Segoe UI"/>
          <w:sz w:val="17"/>
          <w:szCs w:val="17"/>
        </w:rPr>
      </w:pPr>
      <w:r w:rsidRPr="00D96082">
        <w:rPr>
          <w:rStyle w:val="FootnoteReference"/>
          <w:rFonts w:ascii="Segoe UI" w:hAnsi="Segoe UI" w:cs="Segoe UI"/>
          <w:sz w:val="17"/>
          <w:szCs w:val="17"/>
        </w:rPr>
        <w:footnoteRef/>
      </w:r>
      <w:r w:rsidRPr="00D96082">
        <w:rPr>
          <w:rFonts w:ascii="Segoe UI" w:hAnsi="Segoe UI" w:cs="Segoe UI"/>
          <w:sz w:val="17"/>
          <w:szCs w:val="17"/>
        </w:rPr>
        <w:t xml:space="preserve"> https://www.mpravde.gov.rs/tekst/13933/izvestaj-br-32016-o-sprovodjenju-akcionog-plana-za-poglavlje-23.php</w:t>
      </w:r>
    </w:p>
  </w:footnote>
  <w:footnote w:id="4">
    <w:p w:rsidR="005818C0" w:rsidRPr="00D96082" w:rsidRDefault="005818C0" w:rsidP="00285FD7">
      <w:pPr>
        <w:pStyle w:val="FootnoteText"/>
        <w:rPr>
          <w:rFonts w:ascii="Segoe UI" w:hAnsi="Segoe UI" w:cs="Segoe UI"/>
          <w:sz w:val="17"/>
          <w:szCs w:val="17"/>
        </w:rPr>
      </w:pPr>
      <w:r w:rsidRPr="00D96082">
        <w:rPr>
          <w:rStyle w:val="FootnoteReference"/>
          <w:rFonts w:ascii="Segoe UI" w:hAnsi="Segoe UI" w:cs="Segoe UI"/>
          <w:sz w:val="17"/>
          <w:szCs w:val="17"/>
        </w:rPr>
        <w:footnoteRef/>
      </w:r>
      <w:r w:rsidRPr="00D96082">
        <w:rPr>
          <w:rFonts w:ascii="Segoe UI" w:hAnsi="Segoe UI" w:cs="Segoe UI"/>
          <w:sz w:val="17"/>
          <w:szCs w:val="17"/>
        </w:rPr>
        <w:t xml:space="preserve"> https://www.fatf-gafi.org/publications/mutualevaluations/documents/fatf-methodology.html</w:t>
      </w:r>
    </w:p>
  </w:footnote>
  <w:footnote w:id="5">
    <w:p w:rsidR="005818C0" w:rsidRPr="00D96082" w:rsidRDefault="005818C0" w:rsidP="00285FD7">
      <w:pPr>
        <w:pStyle w:val="FootnoteText"/>
        <w:rPr>
          <w:rFonts w:ascii="Segoe UI" w:hAnsi="Segoe UI" w:cs="Segoe UI"/>
          <w:sz w:val="17"/>
          <w:szCs w:val="17"/>
        </w:rPr>
      </w:pPr>
      <w:r w:rsidRPr="00D96082">
        <w:rPr>
          <w:rStyle w:val="FootnoteReference"/>
          <w:rFonts w:ascii="Segoe UI" w:hAnsi="Segoe UI" w:cs="Segoe UI"/>
          <w:sz w:val="17"/>
          <w:szCs w:val="17"/>
        </w:rPr>
        <w:footnoteRef/>
      </w:r>
      <w:r w:rsidRPr="00D96082">
        <w:rPr>
          <w:rFonts w:ascii="Segoe UI" w:hAnsi="Segoe UI" w:cs="Segoe UI"/>
          <w:sz w:val="17"/>
          <w:szCs w:val="17"/>
        </w:rPr>
        <w:t xml:space="preserve"> Нпр. методологија Светске банке коју је Србија користила у изради националне процене ризика 2012. и 2018. године</w:t>
      </w:r>
    </w:p>
  </w:footnote>
  <w:footnote w:id="6">
    <w:p w:rsidR="005818C0" w:rsidRPr="00D96082" w:rsidRDefault="005818C0" w:rsidP="00285FD7">
      <w:pPr>
        <w:pStyle w:val="FootnoteText"/>
        <w:rPr>
          <w:rFonts w:ascii="Segoe UI" w:hAnsi="Segoe UI" w:cs="Segoe UI"/>
          <w:sz w:val="17"/>
          <w:szCs w:val="17"/>
        </w:rPr>
      </w:pPr>
      <w:r w:rsidRPr="00D96082">
        <w:rPr>
          <w:rStyle w:val="FootnoteReference"/>
          <w:rFonts w:ascii="Segoe UI" w:hAnsi="Segoe UI" w:cs="Segoe UI"/>
          <w:sz w:val="17"/>
          <w:szCs w:val="17"/>
        </w:rPr>
        <w:footnoteRef/>
      </w:r>
      <w:r w:rsidRPr="00D96082">
        <w:rPr>
          <w:rFonts w:ascii="Segoe UI" w:hAnsi="Segoe UI" w:cs="Segoe UI"/>
          <w:sz w:val="17"/>
          <w:szCs w:val="17"/>
        </w:rPr>
        <w:t xml:space="preserve"> Нпр. (прелазна) мерила у контексту преговора са Европском унијом</w:t>
      </w:r>
    </w:p>
  </w:footnote>
  <w:footnote w:id="7">
    <w:p w:rsidR="005818C0" w:rsidRPr="00D96082" w:rsidRDefault="005818C0" w:rsidP="00285FD7">
      <w:pPr>
        <w:pStyle w:val="FootnoteText"/>
        <w:jc w:val="both"/>
        <w:rPr>
          <w:rFonts w:ascii="Segoe UI" w:hAnsi="Segoe UI" w:cs="Segoe UI"/>
          <w:sz w:val="17"/>
          <w:szCs w:val="17"/>
        </w:rPr>
      </w:pPr>
      <w:r w:rsidRPr="00D96082">
        <w:rPr>
          <w:rStyle w:val="FootnoteReference"/>
          <w:rFonts w:ascii="Segoe UI" w:hAnsi="Segoe UI" w:cs="Segoe UI"/>
          <w:sz w:val="17"/>
          <w:szCs w:val="17"/>
        </w:rPr>
        <w:footnoteRef/>
      </w:r>
      <w:r w:rsidRPr="00D96082">
        <w:rPr>
          <w:rFonts w:ascii="Segoe UI" w:hAnsi="Segoe UI" w:cs="Segoe UI"/>
          <w:sz w:val="17"/>
          <w:szCs w:val="17"/>
        </w:rPr>
        <w:t xml:space="preserve"> https://www.coe.int/en/web/moneyval/moneyval-brief</w:t>
      </w:r>
    </w:p>
  </w:footnote>
  <w:footnote w:id="8">
    <w:p w:rsidR="005818C0" w:rsidRPr="00D96082" w:rsidRDefault="005818C0" w:rsidP="00285FD7">
      <w:pPr>
        <w:pStyle w:val="FootnoteText"/>
        <w:jc w:val="both"/>
        <w:rPr>
          <w:rFonts w:ascii="Segoe UI" w:hAnsi="Segoe UI" w:cs="Segoe UI"/>
          <w:sz w:val="17"/>
          <w:szCs w:val="17"/>
        </w:rPr>
      </w:pPr>
      <w:r w:rsidRPr="00D96082">
        <w:rPr>
          <w:rStyle w:val="FootnoteReference"/>
          <w:rFonts w:ascii="Segoe UI" w:hAnsi="Segoe UI" w:cs="Segoe UI"/>
          <w:sz w:val="17"/>
          <w:szCs w:val="17"/>
        </w:rPr>
        <w:footnoteRef/>
      </w:r>
      <w:r w:rsidRPr="00D96082">
        <w:rPr>
          <w:rFonts w:ascii="Segoe UI" w:hAnsi="Segoe UI" w:cs="Segoe UI"/>
          <w:sz w:val="17"/>
          <w:szCs w:val="17"/>
        </w:rPr>
        <w:t xml:space="preserve"> https://www.coe.int/en/web/moneyval/jurisdictions/-serbia</w:t>
      </w:r>
    </w:p>
  </w:footnote>
  <w:footnote w:id="9">
    <w:p w:rsidR="005818C0" w:rsidRPr="00D96082" w:rsidRDefault="005818C0" w:rsidP="000D4757">
      <w:pPr>
        <w:pStyle w:val="FootnoteText"/>
        <w:jc w:val="both"/>
        <w:rPr>
          <w:rFonts w:ascii="Segoe UI" w:hAnsi="Segoe UI" w:cs="Segoe UI"/>
          <w:sz w:val="17"/>
          <w:szCs w:val="17"/>
        </w:rPr>
      </w:pPr>
      <w:r w:rsidRPr="00D96082">
        <w:rPr>
          <w:rStyle w:val="FootnoteReference"/>
          <w:rFonts w:ascii="Segoe UI" w:hAnsi="Segoe UI" w:cs="Segoe UI"/>
          <w:sz w:val="17"/>
          <w:szCs w:val="17"/>
        </w:rPr>
        <w:footnoteRef/>
      </w:r>
      <w:r w:rsidRPr="00D96082">
        <w:rPr>
          <w:rFonts w:ascii="Segoe UI" w:hAnsi="Segoe UI" w:cs="Segoe UI"/>
          <w:sz w:val="17"/>
          <w:szCs w:val="17"/>
        </w:rPr>
        <w:t xml:space="preserve"> Први извештај о напретку Манивал у пленуму констатује и не објављује се </w:t>
      </w:r>
    </w:p>
  </w:footnote>
  <w:footnote w:id="10">
    <w:p w:rsidR="005818C0" w:rsidRPr="00D96082" w:rsidRDefault="005818C0" w:rsidP="00285FD7">
      <w:pPr>
        <w:pStyle w:val="FootnoteText"/>
        <w:jc w:val="both"/>
        <w:rPr>
          <w:rFonts w:ascii="Segoe UI" w:hAnsi="Segoe UI" w:cs="Segoe UI"/>
          <w:sz w:val="17"/>
          <w:szCs w:val="17"/>
        </w:rPr>
      </w:pPr>
      <w:r w:rsidRPr="00D96082">
        <w:rPr>
          <w:rStyle w:val="FootnoteReference"/>
          <w:rFonts w:ascii="Segoe UI" w:hAnsi="Segoe UI" w:cs="Segoe UI"/>
          <w:sz w:val="17"/>
          <w:szCs w:val="17"/>
        </w:rPr>
        <w:footnoteRef/>
      </w:r>
      <w:r w:rsidRPr="00D96082">
        <w:rPr>
          <w:rFonts w:ascii="Segoe UI" w:hAnsi="Segoe UI" w:cs="Segoe UI"/>
          <w:sz w:val="17"/>
          <w:szCs w:val="17"/>
        </w:rPr>
        <w:t xml:space="preserve"> https://www.coe.int/en/web/moneyval/-/moneyval-publishes-follow-up-report-on-serbia</w:t>
      </w:r>
    </w:p>
  </w:footnote>
  <w:footnote w:id="11">
    <w:p w:rsidR="005818C0" w:rsidRPr="00D96082" w:rsidRDefault="005818C0" w:rsidP="00285FD7">
      <w:pPr>
        <w:pStyle w:val="FootnoteText"/>
        <w:jc w:val="both"/>
        <w:rPr>
          <w:rFonts w:ascii="Segoe UI" w:hAnsi="Segoe UI" w:cs="Segoe UI"/>
          <w:sz w:val="17"/>
          <w:szCs w:val="17"/>
        </w:rPr>
      </w:pPr>
      <w:r w:rsidRPr="00D96082">
        <w:rPr>
          <w:rStyle w:val="FootnoteReference"/>
          <w:rFonts w:ascii="Segoe UI" w:hAnsi="Segoe UI" w:cs="Segoe UI"/>
          <w:sz w:val="17"/>
          <w:szCs w:val="17"/>
        </w:rPr>
        <w:footnoteRef/>
      </w:r>
      <w:r w:rsidRPr="00D96082">
        <w:rPr>
          <w:rFonts w:ascii="Segoe UI" w:hAnsi="Segoe UI" w:cs="Segoe UI"/>
          <w:sz w:val="17"/>
          <w:szCs w:val="17"/>
        </w:rPr>
        <w:t xml:space="preserve"> https://www.coe.int/en/web/moneyval/jurisdictions/-serbia</w:t>
      </w:r>
    </w:p>
  </w:footnote>
  <w:footnote w:id="12">
    <w:p w:rsidR="005818C0" w:rsidRPr="00D96082" w:rsidRDefault="005818C0" w:rsidP="00320EA9">
      <w:pPr>
        <w:pStyle w:val="FootnoteText"/>
        <w:jc w:val="both"/>
        <w:rPr>
          <w:rFonts w:ascii="Segoe UI" w:hAnsi="Segoe UI" w:cs="Segoe UI"/>
          <w:sz w:val="17"/>
          <w:szCs w:val="17"/>
        </w:rPr>
      </w:pPr>
      <w:r w:rsidRPr="00D96082">
        <w:rPr>
          <w:rStyle w:val="FootnoteReference"/>
          <w:rFonts w:ascii="Segoe UI" w:hAnsi="Segoe UI" w:cs="Segoe UI"/>
          <w:sz w:val="17"/>
          <w:szCs w:val="17"/>
        </w:rPr>
        <w:footnoteRef/>
      </w:r>
      <w:r w:rsidRPr="00D96082">
        <w:rPr>
          <w:rFonts w:ascii="Segoe UI" w:hAnsi="Segoe UI" w:cs="Segoe UI"/>
          <w:sz w:val="17"/>
          <w:szCs w:val="17"/>
        </w:rPr>
        <w:t xml:space="preserve"> https://ec.europa.eu/neighbourhood-enlargement/sites/near/files/20190529-serbia-report.pdf</w:t>
      </w:r>
    </w:p>
  </w:footnote>
  <w:footnote w:id="13">
    <w:p w:rsidR="005818C0" w:rsidRPr="00D96082" w:rsidRDefault="005818C0" w:rsidP="00285FD7">
      <w:pPr>
        <w:pStyle w:val="FootnoteText"/>
        <w:jc w:val="both"/>
        <w:rPr>
          <w:rFonts w:ascii="Segoe UI" w:hAnsi="Segoe UI" w:cs="Segoe UI"/>
          <w:sz w:val="17"/>
          <w:szCs w:val="17"/>
        </w:rPr>
      </w:pPr>
      <w:r w:rsidRPr="00D96082">
        <w:rPr>
          <w:rStyle w:val="FootnoteReference"/>
          <w:rFonts w:ascii="Segoe UI" w:hAnsi="Segoe UI" w:cs="Segoe UI"/>
          <w:sz w:val="17"/>
          <w:szCs w:val="17"/>
        </w:rPr>
        <w:footnoteRef/>
      </w:r>
      <w:r w:rsidRPr="00D96082">
        <w:rPr>
          <w:rFonts w:ascii="Segoe UI" w:hAnsi="Segoe UI" w:cs="Segoe UI"/>
          <w:sz w:val="17"/>
          <w:szCs w:val="17"/>
        </w:rPr>
        <w:t xml:space="preserve"> Council of Europe Convention on Laundering, Search, Seizure and Confiscation of the Proceeds from Crime and on the Financing of Terrorism (CETS No. 198) https://www.coe.int/en/web/conventions/full-list/-/conventions/treaty/198</w:t>
      </w:r>
    </w:p>
  </w:footnote>
  <w:footnote w:id="14">
    <w:p w:rsidR="005818C0" w:rsidRPr="00D96082" w:rsidRDefault="005818C0" w:rsidP="00285FD7">
      <w:pPr>
        <w:pStyle w:val="FootnoteText"/>
        <w:jc w:val="both"/>
        <w:rPr>
          <w:rFonts w:ascii="Segoe UI" w:hAnsi="Segoe UI" w:cs="Segoe UI"/>
          <w:sz w:val="17"/>
          <w:szCs w:val="17"/>
        </w:rPr>
      </w:pPr>
      <w:r w:rsidRPr="00D96082">
        <w:rPr>
          <w:rStyle w:val="FootnoteReference"/>
          <w:rFonts w:ascii="Segoe UI" w:hAnsi="Segoe UI" w:cs="Segoe UI"/>
          <w:sz w:val="17"/>
          <w:szCs w:val="17"/>
        </w:rPr>
        <w:footnoteRef/>
      </w:r>
      <w:r w:rsidRPr="00D96082">
        <w:rPr>
          <w:rFonts w:ascii="Segoe UI" w:hAnsi="Segoe UI" w:cs="Segoe UI"/>
          <w:sz w:val="17"/>
          <w:szCs w:val="17"/>
        </w:rPr>
        <w:t xml:space="preserve"> http://www.apml.gov.rs/cyr/file/?conid=2254</w:t>
      </w:r>
    </w:p>
  </w:footnote>
  <w:footnote w:id="15">
    <w:p w:rsidR="005818C0" w:rsidRPr="00D96082" w:rsidRDefault="005818C0" w:rsidP="00285FD7">
      <w:pPr>
        <w:pStyle w:val="FootnoteText"/>
        <w:jc w:val="both"/>
        <w:rPr>
          <w:rFonts w:ascii="Segoe UI" w:hAnsi="Segoe UI" w:cs="Segoe UI"/>
          <w:sz w:val="17"/>
          <w:szCs w:val="17"/>
        </w:rPr>
      </w:pPr>
      <w:r w:rsidRPr="00D96082">
        <w:rPr>
          <w:rStyle w:val="FootnoteReference"/>
          <w:rFonts w:ascii="Segoe UI" w:hAnsi="Segoe UI" w:cs="Segoe UI"/>
          <w:sz w:val="17"/>
          <w:szCs w:val="17"/>
        </w:rPr>
        <w:footnoteRef/>
      </w:r>
      <w:r w:rsidRPr="00D96082">
        <w:rPr>
          <w:rFonts w:ascii="Segoe UI" w:hAnsi="Segoe UI" w:cs="Segoe UI"/>
          <w:sz w:val="17"/>
          <w:szCs w:val="17"/>
        </w:rPr>
        <w:t xml:space="preserve"> Више о процесу евалуације и документима у оквиру Петог круга евалуције</w:t>
      </w:r>
      <w:r>
        <w:rPr>
          <w:rFonts w:ascii="Segoe UI" w:hAnsi="Segoe UI" w:cs="Segoe UI"/>
          <w:sz w:val="17"/>
          <w:szCs w:val="17"/>
          <w:lang/>
        </w:rPr>
        <w:t>,</w:t>
      </w:r>
      <w:r w:rsidRPr="00D96082">
        <w:rPr>
          <w:rFonts w:ascii="Segoe UI" w:hAnsi="Segoe UI" w:cs="Segoe UI"/>
          <w:sz w:val="17"/>
          <w:szCs w:val="17"/>
        </w:rPr>
        <w:t xml:space="preserve"> односно методологији евалуације:</w:t>
      </w:r>
    </w:p>
  </w:footnote>
  <w:footnote w:id="16">
    <w:p w:rsidR="005818C0" w:rsidRPr="00D96082" w:rsidRDefault="005818C0" w:rsidP="00285FD7">
      <w:pPr>
        <w:pStyle w:val="FootnoteText"/>
        <w:jc w:val="both"/>
        <w:rPr>
          <w:rFonts w:ascii="Segoe UI" w:hAnsi="Segoe UI" w:cs="Segoe UI"/>
          <w:sz w:val="17"/>
          <w:szCs w:val="17"/>
        </w:rPr>
      </w:pPr>
      <w:r w:rsidRPr="00D96082">
        <w:rPr>
          <w:rStyle w:val="FootnoteReference"/>
          <w:rFonts w:ascii="Segoe UI" w:hAnsi="Segoe UI" w:cs="Segoe UI"/>
          <w:sz w:val="17"/>
          <w:szCs w:val="17"/>
        </w:rPr>
        <w:footnoteRef/>
      </w:r>
      <w:r w:rsidRPr="00D96082">
        <w:rPr>
          <w:rFonts w:ascii="Segoe UI" w:hAnsi="Segoe UI" w:cs="Segoe UI"/>
          <w:sz w:val="17"/>
          <w:szCs w:val="17"/>
        </w:rPr>
        <w:t xml:space="preserve"> Више о националној процени ризика и коришћеној методологији:</w:t>
      </w:r>
    </w:p>
  </w:footnote>
  <w:footnote w:id="17">
    <w:p w:rsidR="005818C0" w:rsidRPr="00D96082" w:rsidRDefault="005818C0" w:rsidP="00285FD7">
      <w:pPr>
        <w:pStyle w:val="FootnoteText"/>
        <w:jc w:val="both"/>
        <w:rPr>
          <w:rFonts w:ascii="Segoe UI" w:hAnsi="Segoe UI" w:cs="Segoe UI"/>
          <w:sz w:val="17"/>
          <w:szCs w:val="17"/>
        </w:rPr>
      </w:pPr>
      <w:r w:rsidRPr="00D96082">
        <w:rPr>
          <w:rStyle w:val="FootnoteReference"/>
          <w:rFonts w:ascii="Segoe UI" w:hAnsi="Segoe UI" w:cs="Segoe UI"/>
          <w:sz w:val="17"/>
          <w:szCs w:val="17"/>
        </w:rPr>
        <w:footnoteRef/>
      </w:r>
      <w:r w:rsidRPr="00D96082">
        <w:rPr>
          <w:rFonts w:ascii="Segoe UI" w:hAnsi="Segoe UI" w:cs="Segoe UI"/>
          <w:sz w:val="17"/>
          <w:szCs w:val="17"/>
        </w:rPr>
        <w:t xml:space="preserve"> Пре свега се ради о изменама и допунама Закона о спречавању прања новца и финансирања тероризма.</w:t>
      </w:r>
    </w:p>
  </w:footnote>
  <w:footnote w:id="18">
    <w:p w:rsidR="005818C0" w:rsidRPr="00D96082" w:rsidRDefault="005818C0" w:rsidP="00285FD7">
      <w:pPr>
        <w:pStyle w:val="FootnoteText"/>
        <w:jc w:val="both"/>
        <w:rPr>
          <w:rFonts w:ascii="Segoe UI" w:hAnsi="Segoe UI" w:cs="Segoe UI"/>
          <w:sz w:val="17"/>
          <w:szCs w:val="17"/>
        </w:rPr>
      </w:pPr>
      <w:r w:rsidRPr="00D96082">
        <w:rPr>
          <w:rStyle w:val="FootnoteReference"/>
          <w:rFonts w:ascii="Segoe UI" w:hAnsi="Segoe UI" w:cs="Segoe UI"/>
          <w:sz w:val="17"/>
          <w:szCs w:val="17"/>
        </w:rPr>
        <w:footnoteRef/>
      </w:r>
      <w:r w:rsidRPr="00D96082">
        <w:rPr>
          <w:rFonts w:ascii="Segoe UI" w:hAnsi="Segoe UI" w:cs="Segoe UI"/>
          <w:sz w:val="17"/>
          <w:szCs w:val="17"/>
        </w:rPr>
        <w:t xml:space="preserve"> http://www.apml.gov.rs/cyr/file/?conid=2255</w:t>
      </w:r>
    </w:p>
  </w:footnote>
  <w:footnote w:id="19">
    <w:p w:rsidR="005818C0" w:rsidRPr="00D96082" w:rsidRDefault="005818C0" w:rsidP="00285FD7">
      <w:pPr>
        <w:pStyle w:val="FootnoteText"/>
        <w:jc w:val="both"/>
        <w:rPr>
          <w:rFonts w:ascii="Segoe UI" w:hAnsi="Segoe UI" w:cs="Segoe UI"/>
          <w:sz w:val="17"/>
          <w:szCs w:val="17"/>
        </w:rPr>
      </w:pPr>
      <w:r w:rsidRPr="00D96082">
        <w:rPr>
          <w:rStyle w:val="FootnoteReference"/>
          <w:rFonts w:ascii="Segoe UI" w:hAnsi="Segoe UI" w:cs="Segoe UI"/>
          <w:sz w:val="17"/>
          <w:szCs w:val="17"/>
        </w:rPr>
        <w:footnoteRef/>
      </w:r>
      <w:r w:rsidRPr="00D96082">
        <w:rPr>
          <w:rFonts w:ascii="Segoe UI" w:hAnsi="Segoe UI" w:cs="Segoe UI"/>
          <w:sz w:val="17"/>
          <w:szCs w:val="17"/>
        </w:rPr>
        <w:t xml:space="preserve"> Потреба п</w:t>
      </w:r>
      <w:r w:rsidRPr="00D96082">
        <w:rPr>
          <w:rFonts w:ascii="Segoe UI" w:eastAsia="Times New Roman" w:hAnsi="Segoe UI" w:cs="Segoe UI"/>
          <w:color w:val="auto"/>
          <w:kern w:val="0"/>
          <w:sz w:val="17"/>
          <w:szCs w:val="17"/>
        </w:rPr>
        <w:t xml:space="preserve">реиспитивања делотворности система за спречавање прања новца и финансирање тероризма; Недовољна информисаност државних органа у систему борбе против ПН/ФТ о прекограничним претњама у складу са урађеном националној процени ризика; Недостатак повратних информација о поднетим пријавама за привредне преступе од правосудних органа; Казнена политика; Непостојање капацитета за процену вредности одузете имовине; </w:t>
      </w:r>
      <w:r w:rsidRPr="00D96082">
        <w:rPr>
          <w:rFonts w:ascii="Segoe UI" w:eastAsia="Times New Roman" w:hAnsi="Segoe UI" w:cs="Segoe UI"/>
          <w:kern w:val="0"/>
          <w:sz w:val="17"/>
          <w:szCs w:val="17"/>
        </w:rPr>
        <w:t xml:space="preserve">Недовољан број непосредних контрола рачуновођа; </w:t>
      </w:r>
      <w:r w:rsidRPr="00D96082">
        <w:rPr>
          <w:rFonts w:ascii="Segoe UI" w:eastAsia="Times New Roman" w:hAnsi="Segoe UI" w:cs="Segoe UI"/>
          <w:color w:val="auto"/>
          <w:kern w:val="0"/>
          <w:sz w:val="17"/>
          <w:szCs w:val="17"/>
        </w:rPr>
        <w:t>Неуједначеност броја пријава и квалитета САР код обвезника; Одсуство анализа случајева прања новца кроз улагања у изградњу некретнина од стране инвеститора физичких лица; Неусклађеност појединих аката надзорних органа са новом Националном проценом ризика; Пратити увођење нових производа у финансијском систему; Неадекватан ниво обучености за спречавање прања новца и финансирање тероризма; Недовољна информисаност у вези са злоупотребама производа на финансијском тржишту (тржиште капитала, физички преносивих средстава плаћања, девизни платни промет и др.)</w:t>
      </w:r>
    </w:p>
  </w:footnote>
  <w:footnote w:id="20">
    <w:p w:rsidR="005818C0" w:rsidRPr="00D96082" w:rsidRDefault="005818C0" w:rsidP="00285FD7">
      <w:pPr>
        <w:pStyle w:val="FootnoteText"/>
        <w:jc w:val="both"/>
        <w:rPr>
          <w:rFonts w:ascii="Segoe UI" w:hAnsi="Segoe UI" w:cs="Segoe UI"/>
          <w:sz w:val="17"/>
          <w:szCs w:val="17"/>
        </w:rPr>
      </w:pPr>
      <w:r w:rsidRPr="00D96082">
        <w:rPr>
          <w:rStyle w:val="FootnoteReference"/>
          <w:rFonts w:ascii="Segoe UI" w:hAnsi="Segoe UI" w:cs="Segoe UI"/>
          <w:sz w:val="17"/>
          <w:szCs w:val="17"/>
        </w:rPr>
        <w:footnoteRef/>
      </w:r>
      <w:r w:rsidRPr="00D96082">
        <w:rPr>
          <w:rFonts w:ascii="Segoe UI" w:hAnsi="Segoe UI" w:cs="Segoe UI"/>
          <w:sz w:val="17"/>
          <w:szCs w:val="17"/>
        </w:rPr>
        <w:t xml:space="preserve"> Редовно ажурирати националну процену ризика у складу са чланом 70. Закона о спре</w:t>
      </w:r>
      <w:r>
        <w:rPr>
          <w:rFonts w:ascii="Segoe UI" w:hAnsi="Segoe UI" w:cs="Segoe UI"/>
          <w:sz w:val="17"/>
          <w:szCs w:val="17"/>
        </w:rPr>
        <w:t>чавању прања новца и финансирања</w:t>
      </w:r>
      <w:r w:rsidRPr="00D96082">
        <w:rPr>
          <w:rFonts w:ascii="Segoe UI" w:hAnsi="Segoe UI" w:cs="Segoe UI"/>
          <w:sz w:val="17"/>
          <w:szCs w:val="17"/>
        </w:rPr>
        <w:t xml:space="preserve"> тероризма; </w:t>
      </w:r>
      <w:r w:rsidRPr="00D96082">
        <w:rPr>
          <w:rFonts w:ascii="Segoe UI" w:eastAsia="Times New Roman" w:hAnsi="Segoe UI" w:cs="Segoe UI"/>
          <w:color w:val="auto"/>
          <w:kern w:val="0"/>
          <w:sz w:val="17"/>
          <w:szCs w:val="17"/>
        </w:rPr>
        <w:t>Унапредити вођење евиденција и израду статистичких извештаја; Водити проактивне финансијске истраге; Унапредити оперативну сарадњу; Унапредити координацију УСПН, надзорних органа и правосудних органа; Уједначити судску праксу; Ојачати административне капацитете за</w:t>
      </w:r>
      <w:r>
        <w:rPr>
          <w:rFonts w:ascii="Segoe UI" w:eastAsia="Times New Roman" w:hAnsi="Segoe UI" w:cs="Segoe UI"/>
          <w:color w:val="auto"/>
          <w:kern w:val="0"/>
          <w:sz w:val="17"/>
          <w:szCs w:val="17"/>
        </w:rPr>
        <w:t xml:space="preserve"> вршење континуираног посредног</w:t>
      </w:r>
      <w:r w:rsidRPr="00D96082">
        <w:rPr>
          <w:rFonts w:ascii="Segoe UI" w:eastAsia="Times New Roman" w:hAnsi="Segoe UI" w:cs="Segoe UI"/>
          <w:color w:val="auto"/>
          <w:kern w:val="0"/>
          <w:sz w:val="17"/>
          <w:szCs w:val="17"/>
        </w:rPr>
        <w:t>/непосредног надзора над обвезницима по ЗСПНФТ, који приређују игре на срећу; Ојачати административне капацитете стручног и инспекцијског надзора за промет драгоценим металима; Ојачати административне капацитете инспекцијског надзора над прометом аутомобилима; Интензивно спроводити инспекцијски надзор посредника; Спроводити интензиван стручни надзор и инспекцијски надзор код привредних субјеката који обављају промет предмета од драгоцених метала и аутомобила; Одржавање обука царинских службеника</w:t>
      </w:r>
    </w:p>
  </w:footnote>
  <w:footnote w:id="21">
    <w:p w:rsidR="005818C0" w:rsidRPr="00BF5470" w:rsidRDefault="005818C0" w:rsidP="00285FD7">
      <w:pPr>
        <w:pStyle w:val="FootnoteText"/>
        <w:jc w:val="both"/>
        <w:rPr>
          <w:rFonts w:ascii="Segoe UI" w:hAnsi="Segoe UI" w:cs="Segoe UI"/>
          <w:color w:val="262626" w:themeColor="text1" w:themeTint="D9"/>
          <w:sz w:val="17"/>
          <w:szCs w:val="17"/>
          <w:lang/>
        </w:rPr>
      </w:pPr>
      <w:r w:rsidRPr="00D96082">
        <w:rPr>
          <w:rStyle w:val="FootnoteReference"/>
          <w:rFonts w:ascii="Segoe UI" w:hAnsi="Segoe UI" w:cs="Segoe UI"/>
          <w:color w:val="262626" w:themeColor="text1" w:themeTint="D9"/>
          <w:sz w:val="17"/>
          <w:szCs w:val="17"/>
        </w:rPr>
        <w:footnoteRef/>
      </w:r>
      <w:r w:rsidRPr="00D96082">
        <w:rPr>
          <w:rFonts w:ascii="Segoe UI" w:hAnsi="Segoe UI" w:cs="Segoe UI"/>
          <w:color w:val="262626" w:themeColor="text1" w:themeTint="D9"/>
          <w:sz w:val="17"/>
          <w:szCs w:val="17"/>
        </w:rPr>
        <w:t xml:space="preserve"> Ради се о по једној активности за које су задужене Правосудна академија, Завод</w:t>
      </w:r>
      <w:r>
        <w:rPr>
          <w:rFonts w:ascii="Segoe UI" w:hAnsi="Segoe UI" w:cs="Segoe UI"/>
          <w:color w:val="262626" w:themeColor="text1" w:themeTint="D9"/>
          <w:sz w:val="17"/>
          <w:szCs w:val="17"/>
        </w:rPr>
        <w:t xml:space="preserve"> за статистику, јавна предузећа</w:t>
      </w:r>
      <w:r w:rsidRPr="00BF5470">
        <w:rPr>
          <w:rFonts w:ascii="Segoe UI" w:hAnsi="Segoe UI" w:cs="Segoe UI"/>
          <w:color w:val="262626" w:themeColor="text1" w:themeTint="D9"/>
          <w:sz w:val="17"/>
          <w:szCs w:val="17"/>
        </w:rPr>
        <w:t xml:space="preserve"> </w:t>
      </w:r>
      <w:r>
        <w:rPr>
          <w:rFonts w:ascii="Segoe UI" w:hAnsi="Segoe UI" w:cs="Segoe UI"/>
          <w:color w:val="262626" w:themeColor="text1" w:themeTint="D9"/>
          <w:sz w:val="17"/>
          <w:szCs w:val="17"/>
        </w:rPr>
        <w:t>итд</w:t>
      </w:r>
      <w:r>
        <w:rPr>
          <w:rFonts w:ascii="Segoe UI" w:hAnsi="Segoe UI" w:cs="Segoe UI"/>
          <w:color w:val="262626" w:themeColor="text1" w:themeTint="D9"/>
          <w:sz w:val="17"/>
          <w:szCs w:val="17"/>
          <w:lang/>
        </w:rPr>
        <w:t>.</w:t>
      </w:r>
    </w:p>
  </w:footnote>
  <w:footnote w:id="22">
    <w:p w:rsidR="005818C0" w:rsidRPr="00BF5470" w:rsidRDefault="005818C0" w:rsidP="00285FD7">
      <w:pPr>
        <w:pStyle w:val="FootnoteText"/>
        <w:jc w:val="both"/>
        <w:rPr>
          <w:rFonts w:ascii="Segoe UI" w:hAnsi="Segoe UI" w:cs="Segoe UI"/>
          <w:color w:val="262626" w:themeColor="text1" w:themeTint="D9"/>
          <w:sz w:val="17"/>
          <w:szCs w:val="17"/>
          <w:lang/>
        </w:rPr>
      </w:pPr>
      <w:r w:rsidRPr="00D96082">
        <w:rPr>
          <w:rStyle w:val="FootnoteReference"/>
          <w:rFonts w:ascii="Segoe UI" w:hAnsi="Segoe UI" w:cs="Segoe UI"/>
          <w:color w:val="262626" w:themeColor="text1" w:themeTint="D9"/>
          <w:sz w:val="17"/>
          <w:szCs w:val="17"/>
        </w:rPr>
        <w:footnoteRef/>
      </w:r>
      <w:r w:rsidRPr="00D96082">
        <w:rPr>
          <w:rFonts w:ascii="Segoe UI" w:hAnsi="Segoe UI" w:cs="Segoe UI"/>
          <w:color w:val="262626" w:themeColor="text1" w:themeTint="D9"/>
          <w:sz w:val="17"/>
          <w:szCs w:val="17"/>
        </w:rPr>
        <w:t xml:space="preserve"> На основу информација Народне банке Србије, Министарства унутрашњих послова, Републичког јавног тужилаштва, МТТТ-Сектора тржишне инспекције, Правосудне академије, Управе за спречавање прања новца, АПР и Министарства правде, али и из до сада прикупљених информација у оквиру различитих активности (нпр. извештавање FATF, М</w:t>
      </w:r>
      <w:r>
        <w:rPr>
          <w:rFonts w:ascii="Segoe UI" w:hAnsi="Segoe UI" w:cs="Segoe UI"/>
          <w:color w:val="262626" w:themeColor="text1" w:themeTint="D9"/>
          <w:sz w:val="17"/>
          <w:szCs w:val="17"/>
        </w:rPr>
        <w:t>анивала, Европске комисије итд)</w:t>
      </w:r>
    </w:p>
  </w:footnote>
  <w:footnote w:id="23">
    <w:p w:rsidR="005818C0" w:rsidRPr="00BF5470" w:rsidRDefault="005818C0" w:rsidP="00285FD7">
      <w:pPr>
        <w:pStyle w:val="FootnoteText"/>
        <w:jc w:val="both"/>
        <w:rPr>
          <w:rFonts w:ascii="Segoe UI" w:hAnsi="Segoe UI" w:cs="Segoe UI"/>
          <w:sz w:val="17"/>
          <w:szCs w:val="17"/>
          <w:lang/>
        </w:rPr>
      </w:pPr>
      <w:r w:rsidRPr="00D96082">
        <w:rPr>
          <w:rStyle w:val="FootnoteReference"/>
          <w:rFonts w:ascii="Segoe UI" w:hAnsi="Segoe UI" w:cs="Segoe UI"/>
          <w:sz w:val="17"/>
          <w:szCs w:val="17"/>
        </w:rPr>
        <w:footnoteRef/>
      </w:r>
      <w:r w:rsidRPr="00D96082">
        <w:rPr>
          <w:rFonts w:ascii="Segoe UI" w:hAnsi="Segoe UI" w:cs="Segoe UI"/>
          <w:sz w:val="17"/>
          <w:szCs w:val="17"/>
        </w:rPr>
        <w:t xml:space="preserve"> </w:t>
      </w:r>
      <w:r w:rsidRPr="00D96082">
        <w:rPr>
          <w:rFonts w:ascii="Segoe UI" w:hAnsi="Segoe UI" w:cs="Segoe UI"/>
          <w:color w:val="262626" w:themeColor="text1" w:themeTint="D9"/>
          <w:sz w:val="17"/>
          <w:szCs w:val="17"/>
        </w:rPr>
        <w:t>Ове области се тичу примене циљаних финансијских санкција за тероризам и ширење оружја за масовно уништење (што је регулисано Законом о ограничавању располагања имовином у циљу спречавања тероризма и ширења оружја за масовно уништење) и надзора над непрофитним сектором ради спречавања могућности злоупотребе непрофитних организациј</w:t>
      </w:r>
      <w:r>
        <w:rPr>
          <w:rFonts w:ascii="Segoe UI" w:hAnsi="Segoe UI" w:cs="Segoe UI"/>
          <w:color w:val="262626" w:themeColor="text1" w:themeTint="D9"/>
          <w:sz w:val="17"/>
          <w:szCs w:val="17"/>
        </w:rPr>
        <w:t>а у сврхе финансирања тероризма</w:t>
      </w:r>
    </w:p>
  </w:footnote>
  <w:footnote w:id="24">
    <w:p w:rsidR="005818C0" w:rsidRPr="00BF5470" w:rsidRDefault="005818C0" w:rsidP="00285FD7">
      <w:pPr>
        <w:pStyle w:val="FootnoteText"/>
        <w:jc w:val="both"/>
        <w:rPr>
          <w:rFonts w:ascii="Segoe UI" w:hAnsi="Segoe UI" w:cs="Segoe UI"/>
          <w:color w:val="262626" w:themeColor="text1" w:themeTint="D9"/>
          <w:sz w:val="17"/>
          <w:szCs w:val="17"/>
          <w:lang/>
        </w:rPr>
      </w:pPr>
      <w:r w:rsidRPr="00D96082">
        <w:rPr>
          <w:rStyle w:val="FootnoteReference"/>
          <w:rFonts w:ascii="Segoe UI" w:hAnsi="Segoe UI" w:cs="Segoe UI"/>
          <w:color w:val="262626" w:themeColor="text1" w:themeTint="D9"/>
          <w:sz w:val="17"/>
          <w:szCs w:val="17"/>
        </w:rPr>
        <w:footnoteRef/>
      </w:r>
      <w:r w:rsidRPr="00D96082">
        <w:rPr>
          <w:rFonts w:ascii="Segoe UI" w:hAnsi="Segoe UI" w:cs="Segoe UI"/>
          <w:color w:val="262626" w:themeColor="text1" w:themeTint="D9"/>
          <w:sz w:val="17"/>
          <w:szCs w:val="17"/>
        </w:rPr>
        <w:t xml:space="preserve"> Детаљне информације о напретку Србије налазе се у извештајима надлежних органа који су сачињавани у контексту испуњавања препорука Манивала, Акционог плана FATF, Препорука FATF и </w:t>
      </w:r>
      <w:r>
        <w:rPr>
          <w:rFonts w:ascii="Segoe UI" w:hAnsi="Segoe UI" w:cs="Segoe UI"/>
          <w:color w:val="262626" w:themeColor="text1" w:themeTint="D9"/>
          <w:sz w:val="17"/>
          <w:szCs w:val="17"/>
        </w:rPr>
        <w:t>правних тековина Европске уније</w:t>
      </w:r>
    </w:p>
  </w:footnote>
  <w:footnote w:id="25">
    <w:p w:rsidR="005818C0" w:rsidRPr="00D96082" w:rsidRDefault="005818C0" w:rsidP="00285FD7">
      <w:pPr>
        <w:pStyle w:val="FootnoteText"/>
        <w:rPr>
          <w:rFonts w:ascii="Segoe UI" w:hAnsi="Segoe UI" w:cs="Segoe UI"/>
          <w:sz w:val="17"/>
          <w:szCs w:val="17"/>
        </w:rPr>
      </w:pPr>
      <w:r w:rsidRPr="00D96082">
        <w:rPr>
          <w:rStyle w:val="FootnoteReference"/>
          <w:rFonts w:ascii="Segoe UI" w:hAnsi="Segoe UI" w:cs="Segoe UI"/>
          <w:sz w:val="17"/>
          <w:szCs w:val="17"/>
        </w:rPr>
        <w:footnoteRef/>
      </w:r>
      <w:r w:rsidRPr="00D96082">
        <w:rPr>
          <w:rFonts w:ascii="Segoe UI" w:hAnsi="Segoe UI" w:cs="Segoe UI"/>
          <w:sz w:val="17"/>
          <w:szCs w:val="17"/>
        </w:rPr>
        <w:t xml:space="preserve"> https://www.fatf-gafi.org/publications/mutualevaluations/documents/assessment-ratings.html</w:t>
      </w:r>
    </w:p>
  </w:footnote>
  <w:footnote w:id="26">
    <w:p w:rsidR="005818C0" w:rsidRPr="00E338C9" w:rsidRDefault="005818C0" w:rsidP="00FD45ED">
      <w:pPr>
        <w:jc w:val="both"/>
        <w:rPr>
          <w:rFonts w:ascii="Segoe UI" w:eastAsia="SimSun" w:hAnsi="Segoe UI" w:cs="Segoe UI"/>
          <w:color w:val="auto"/>
          <w:kern w:val="0"/>
          <w:sz w:val="12"/>
          <w:szCs w:val="12"/>
          <w:lang w:eastAsia="zh-CN"/>
        </w:rPr>
      </w:pPr>
      <w:r w:rsidRPr="00D96082">
        <w:rPr>
          <w:rStyle w:val="FootnoteReference"/>
          <w:rFonts w:ascii="Segoe UI" w:hAnsi="Segoe UI" w:cs="Segoe UI"/>
          <w:sz w:val="17"/>
          <w:szCs w:val="17"/>
        </w:rPr>
        <w:footnoteRef/>
      </w:r>
      <w:r w:rsidRPr="00D96082">
        <w:rPr>
          <w:rFonts w:ascii="Segoe UI" w:hAnsi="Segoe UI" w:cs="Segoe UI"/>
          <w:sz w:val="17"/>
          <w:szCs w:val="17"/>
        </w:rPr>
        <w:t xml:space="preserve"> </w:t>
      </w:r>
      <w:r w:rsidRPr="00613489">
        <w:rPr>
          <w:rFonts w:ascii="Segoe UI" w:eastAsia="SimSun" w:hAnsi="Segoe UI" w:cs="Segoe UI"/>
          <w:color w:val="auto"/>
          <w:kern w:val="0"/>
          <w:sz w:val="12"/>
          <w:szCs w:val="12"/>
          <w:lang w:eastAsia="zh-CN"/>
        </w:rPr>
        <w:t>Слобода кретања капитала једна је од четири слободе на којима је засновано функционисање унутрашњег тржишта Европске уније, у вези са чим се воде и преговори у оквиру Поглавља 4. У том контексту, државе чланице имају обавезу да, уз неке изузетке, уклоне сва ограничења кретању капитала и унутар ЕУ и између земаља чланица и осталих земаља. Циљ је да прекогранична плаћања постану једнако једноставна, ефикасна и сигурна као и „национална” унутар земаља чланица, док се истовремено побољшавају права корисника на коришћење услуга плаћања. Такође, настоји се да</w:t>
      </w:r>
      <w:r w:rsidRPr="00613489">
        <w:rPr>
          <w:rFonts w:ascii="Segoe UI" w:eastAsia="SimSun" w:hAnsi="Segoe UI" w:cs="Segoe UI"/>
          <w:color w:val="auto"/>
          <w:kern w:val="0"/>
          <w:sz w:val="14"/>
          <w:szCs w:val="14"/>
          <w:lang w:eastAsia="zh-CN"/>
        </w:rPr>
        <w:t xml:space="preserve"> се </w:t>
      </w:r>
      <w:r w:rsidRPr="00613489">
        <w:rPr>
          <w:rFonts w:ascii="Segoe UI" w:eastAsia="SimSun" w:hAnsi="Segoe UI" w:cs="Segoe UI"/>
          <w:color w:val="auto"/>
          <w:kern w:val="0"/>
          <w:sz w:val="12"/>
          <w:szCs w:val="12"/>
          <w:lang w:eastAsia="zh-CN"/>
        </w:rPr>
        <w:t>побољша конкуренција отварањем тржишта плаћања ка новим учесницима, тако да се подстиче повећање ефикасности и смањење трошкова, и успоставља се неопходна платформа за једин</w:t>
      </w:r>
      <w:r>
        <w:rPr>
          <w:rFonts w:ascii="Segoe UI" w:eastAsia="SimSun" w:hAnsi="Segoe UI" w:cs="Segoe UI"/>
          <w:color w:val="auto"/>
          <w:kern w:val="0"/>
          <w:sz w:val="12"/>
          <w:szCs w:val="12"/>
          <w:lang w:eastAsia="zh-CN"/>
        </w:rPr>
        <w:t>ствену зону за плаћање у еврима</w:t>
      </w:r>
      <w:r>
        <w:rPr>
          <w:rFonts w:ascii="Segoe UI" w:eastAsia="SimSun" w:hAnsi="Segoe UI" w:cs="Segoe UI"/>
          <w:color w:val="auto"/>
          <w:kern w:val="0"/>
          <w:sz w:val="12"/>
          <w:szCs w:val="12"/>
          <w:lang w:eastAsia="zh-CN"/>
        </w:rPr>
        <w:t>.</w:t>
      </w:r>
    </w:p>
  </w:footnote>
  <w:footnote w:id="27">
    <w:p w:rsidR="005818C0" w:rsidRPr="00CA4C25" w:rsidRDefault="005818C0" w:rsidP="0004492D">
      <w:pPr>
        <w:jc w:val="both"/>
        <w:rPr>
          <w:rFonts w:ascii="Segoe UI" w:eastAsia="Times New Roman" w:hAnsi="Segoe UI" w:cs="Segoe UI"/>
          <w:color w:val="auto"/>
          <w:kern w:val="0"/>
          <w:sz w:val="12"/>
          <w:szCs w:val="12"/>
          <w:lang w:eastAsia="en-GB"/>
        </w:rPr>
      </w:pPr>
      <w:r w:rsidRPr="00CA4C25">
        <w:rPr>
          <w:rStyle w:val="FootnoteReference"/>
          <w:rFonts w:ascii="Segoe UI" w:hAnsi="Segoe UI" w:cs="Segoe UI"/>
          <w:sz w:val="12"/>
          <w:szCs w:val="12"/>
        </w:rPr>
        <w:footnoteRef/>
      </w:r>
      <w:r w:rsidRPr="00CA4C25">
        <w:rPr>
          <w:rFonts w:ascii="Segoe UI" w:hAnsi="Segoe UI" w:cs="Segoe UI"/>
          <w:sz w:val="12"/>
          <w:szCs w:val="12"/>
        </w:rPr>
        <w:t xml:space="preserve"> Председник Координационог тела је министар финансија, а чланови (32) долазе из следећих 26 органа државне управе, тела и институција:</w:t>
      </w:r>
      <w:r w:rsidRPr="00CA4C25">
        <w:rPr>
          <w:rFonts w:ascii="Segoe UI" w:eastAsia="Times New Roman" w:hAnsi="Segoe UI" w:cs="Segoe UI"/>
          <w:color w:val="auto"/>
          <w:kern w:val="0"/>
          <w:sz w:val="12"/>
          <w:szCs w:val="12"/>
          <w:lang w:val="en-GB" w:eastAsia="en-GB"/>
        </w:rPr>
        <w:t xml:space="preserve"> Министарство финансија;</w:t>
      </w:r>
      <w:r w:rsidRPr="00CA4C25">
        <w:rPr>
          <w:rFonts w:ascii="Segoe UI" w:eastAsia="Times New Roman" w:hAnsi="Segoe UI" w:cs="Segoe UI"/>
          <w:color w:val="auto"/>
          <w:kern w:val="0"/>
          <w:sz w:val="12"/>
          <w:szCs w:val="12"/>
          <w:lang w:eastAsia="en-GB"/>
        </w:rPr>
        <w:t xml:space="preserve"> </w:t>
      </w:r>
      <w:r w:rsidRPr="00CA4C25">
        <w:rPr>
          <w:rFonts w:ascii="Segoe UI" w:eastAsia="Times New Roman" w:hAnsi="Segoe UI" w:cs="Segoe UI"/>
          <w:color w:val="auto"/>
          <w:kern w:val="0"/>
          <w:sz w:val="12"/>
          <w:szCs w:val="12"/>
          <w:lang w:val="en-GB" w:eastAsia="en-GB"/>
        </w:rPr>
        <w:t>Министарство правде; Министарство правде</w:t>
      </w:r>
      <w:r w:rsidRPr="00CA4C25">
        <w:rPr>
          <w:rFonts w:ascii="Segoe UI" w:eastAsia="Times New Roman" w:hAnsi="Segoe UI" w:cs="Segoe UI"/>
          <w:color w:val="auto"/>
          <w:kern w:val="0"/>
          <w:sz w:val="12"/>
          <w:szCs w:val="12"/>
          <w:lang w:eastAsia="en-GB"/>
        </w:rPr>
        <w:t>-Дирекција за управаљање одузетом имовином; МФ-</w:t>
      </w:r>
      <w:r w:rsidRPr="00CA4C25">
        <w:rPr>
          <w:rFonts w:ascii="Segoe UI" w:eastAsia="Times New Roman" w:hAnsi="Segoe UI" w:cs="Segoe UI"/>
          <w:color w:val="auto"/>
          <w:kern w:val="0"/>
          <w:sz w:val="12"/>
          <w:szCs w:val="12"/>
          <w:lang w:val="en-GB" w:eastAsia="en-GB"/>
        </w:rPr>
        <w:t>Управа за спречавање прања новца;</w:t>
      </w:r>
      <w:r w:rsidRPr="00CA4C25">
        <w:rPr>
          <w:rFonts w:ascii="Segoe UI" w:eastAsia="Times New Roman" w:hAnsi="Segoe UI" w:cs="Segoe UI"/>
          <w:color w:val="auto"/>
          <w:kern w:val="0"/>
          <w:sz w:val="12"/>
          <w:szCs w:val="12"/>
          <w:lang w:eastAsia="en-GB"/>
        </w:rPr>
        <w:t xml:space="preserve"> </w:t>
      </w:r>
      <w:r w:rsidRPr="00CA4C25">
        <w:rPr>
          <w:rFonts w:ascii="Segoe UI" w:eastAsia="Times New Roman" w:hAnsi="Segoe UI" w:cs="Segoe UI"/>
          <w:color w:val="auto"/>
          <w:kern w:val="0"/>
          <w:sz w:val="12"/>
          <w:szCs w:val="12"/>
          <w:lang w:val="en-GB" w:eastAsia="en-GB"/>
        </w:rPr>
        <w:t>Министарство унутрашњих послова</w:t>
      </w:r>
      <w:r w:rsidRPr="00CA4C25">
        <w:rPr>
          <w:rFonts w:ascii="Segoe UI" w:eastAsia="Times New Roman" w:hAnsi="Segoe UI" w:cs="Segoe UI"/>
          <w:color w:val="auto"/>
          <w:kern w:val="0"/>
          <w:sz w:val="12"/>
          <w:szCs w:val="12"/>
          <w:lang w:eastAsia="en-GB"/>
        </w:rPr>
        <w:t>-СБПОК</w:t>
      </w:r>
      <w:r w:rsidRPr="00CA4C25">
        <w:rPr>
          <w:rFonts w:ascii="Segoe UI" w:eastAsia="Times New Roman" w:hAnsi="Segoe UI" w:cs="Segoe UI"/>
          <w:color w:val="auto"/>
          <w:kern w:val="0"/>
          <w:sz w:val="12"/>
          <w:szCs w:val="12"/>
          <w:lang w:val="en-GB" w:eastAsia="en-GB"/>
        </w:rPr>
        <w:t>;</w:t>
      </w:r>
      <w:r w:rsidRPr="00CA4C25">
        <w:rPr>
          <w:rFonts w:ascii="Segoe UI" w:eastAsia="Times New Roman" w:hAnsi="Segoe UI" w:cs="Segoe UI"/>
          <w:color w:val="auto"/>
          <w:kern w:val="0"/>
          <w:sz w:val="12"/>
          <w:szCs w:val="12"/>
          <w:lang w:eastAsia="en-GB"/>
        </w:rPr>
        <w:t xml:space="preserve"> </w:t>
      </w:r>
      <w:r w:rsidRPr="00CA4C25">
        <w:rPr>
          <w:rFonts w:ascii="Segoe UI" w:eastAsia="Times New Roman" w:hAnsi="Segoe UI" w:cs="Segoe UI"/>
          <w:color w:val="auto"/>
          <w:kern w:val="0"/>
          <w:sz w:val="12"/>
          <w:szCs w:val="12"/>
          <w:lang w:val="en-GB" w:eastAsia="en-GB"/>
        </w:rPr>
        <w:t>Министарство унутрашњих послова</w:t>
      </w:r>
      <w:r w:rsidRPr="00CA4C25">
        <w:rPr>
          <w:rFonts w:ascii="Segoe UI" w:eastAsia="Times New Roman" w:hAnsi="Segoe UI" w:cs="Segoe UI"/>
          <w:color w:val="auto"/>
          <w:kern w:val="0"/>
          <w:sz w:val="12"/>
          <w:szCs w:val="12"/>
          <w:lang w:eastAsia="en-GB"/>
        </w:rPr>
        <w:t>-СБПТ</w:t>
      </w:r>
      <w:r w:rsidRPr="00CA4C25">
        <w:rPr>
          <w:rFonts w:ascii="Segoe UI" w:eastAsia="Times New Roman" w:hAnsi="Segoe UI" w:cs="Segoe UI"/>
          <w:color w:val="auto"/>
          <w:kern w:val="0"/>
          <w:sz w:val="12"/>
          <w:szCs w:val="12"/>
          <w:lang w:val="en-GB" w:eastAsia="en-GB"/>
        </w:rPr>
        <w:t>;</w:t>
      </w:r>
      <w:r w:rsidRPr="00CA4C25">
        <w:rPr>
          <w:rFonts w:ascii="Segoe UI" w:eastAsia="Times New Roman" w:hAnsi="Segoe UI" w:cs="Segoe UI"/>
          <w:color w:val="auto"/>
          <w:kern w:val="0"/>
          <w:sz w:val="12"/>
          <w:szCs w:val="12"/>
          <w:lang w:eastAsia="en-GB"/>
        </w:rPr>
        <w:t xml:space="preserve"> </w:t>
      </w:r>
      <w:r w:rsidRPr="00CA4C25">
        <w:rPr>
          <w:rFonts w:ascii="Segoe UI" w:eastAsia="Times New Roman" w:hAnsi="Segoe UI" w:cs="Segoe UI"/>
          <w:color w:val="auto"/>
          <w:kern w:val="0"/>
          <w:sz w:val="12"/>
          <w:szCs w:val="12"/>
          <w:lang w:val="en-GB" w:eastAsia="en-GB"/>
        </w:rPr>
        <w:t>Врховни касациони суд;</w:t>
      </w:r>
      <w:r w:rsidRPr="00CA4C25">
        <w:rPr>
          <w:rFonts w:ascii="Segoe UI" w:eastAsia="Times New Roman" w:hAnsi="Segoe UI" w:cs="Segoe UI"/>
          <w:color w:val="auto"/>
          <w:kern w:val="0"/>
          <w:sz w:val="12"/>
          <w:szCs w:val="12"/>
          <w:lang w:eastAsia="en-GB"/>
        </w:rPr>
        <w:t xml:space="preserve"> </w:t>
      </w:r>
      <w:r w:rsidRPr="00CA4C25">
        <w:rPr>
          <w:rFonts w:ascii="Segoe UI" w:eastAsia="Times New Roman" w:hAnsi="Segoe UI" w:cs="Segoe UI"/>
          <w:color w:val="auto"/>
          <w:kern w:val="0"/>
          <w:sz w:val="12"/>
          <w:szCs w:val="12"/>
          <w:lang w:val="en-GB" w:eastAsia="en-GB"/>
        </w:rPr>
        <w:t>Тужилаштво за организовани криминал;</w:t>
      </w:r>
      <w:r w:rsidRPr="00CA4C25">
        <w:rPr>
          <w:rFonts w:ascii="Segoe UI" w:eastAsia="Times New Roman" w:hAnsi="Segoe UI" w:cs="Segoe UI"/>
          <w:color w:val="auto"/>
          <w:kern w:val="0"/>
          <w:sz w:val="12"/>
          <w:szCs w:val="12"/>
          <w:lang w:eastAsia="en-GB"/>
        </w:rPr>
        <w:t xml:space="preserve"> </w:t>
      </w:r>
      <w:r w:rsidRPr="00CA4C25">
        <w:rPr>
          <w:rFonts w:ascii="Segoe UI" w:eastAsia="Times New Roman" w:hAnsi="Segoe UI" w:cs="Segoe UI"/>
          <w:color w:val="auto"/>
          <w:kern w:val="0"/>
          <w:sz w:val="12"/>
          <w:szCs w:val="12"/>
          <w:lang w:val="en-GB" w:eastAsia="en-GB"/>
        </w:rPr>
        <w:t>Републичко јавно тужилаштво;</w:t>
      </w:r>
      <w:r w:rsidRPr="00CA4C25">
        <w:rPr>
          <w:rFonts w:ascii="Segoe UI" w:eastAsia="Times New Roman" w:hAnsi="Segoe UI" w:cs="Segoe UI"/>
          <w:color w:val="auto"/>
          <w:kern w:val="0"/>
          <w:sz w:val="12"/>
          <w:szCs w:val="12"/>
          <w:lang w:eastAsia="en-GB"/>
        </w:rPr>
        <w:t xml:space="preserve"> </w:t>
      </w:r>
      <w:r w:rsidRPr="00CA4C25">
        <w:rPr>
          <w:rFonts w:ascii="Segoe UI" w:eastAsia="Times New Roman" w:hAnsi="Segoe UI" w:cs="Segoe UI"/>
          <w:color w:val="auto"/>
          <w:kern w:val="0"/>
          <w:sz w:val="12"/>
          <w:szCs w:val="12"/>
          <w:lang w:val="en-GB" w:eastAsia="en-GB"/>
        </w:rPr>
        <w:t>Безбедносно-информативна агенција;</w:t>
      </w:r>
      <w:r w:rsidRPr="00CA4C25">
        <w:rPr>
          <w:rFonts w:ascii="Segoe UI" w:eastAsia="Times New Roman" w:hAnsi="Segoe UI" w:cs="Segoe UI"/>
          <w:color w:val="auto"/>
          <w:kern w:val="0"/>
          <w:sz w:val="12"/>
          <w:szCs w:val="12"/>
          <w:lang w:eastAsia="en-GB"/>
        </w:rPr>
        <w:t xml:space="preserve"> </w:t>
      </w:r>
      <w:r w:rsidRPr="00CA4C25">
        <w:rPr>
          <w:rFonts w:ascii="Segoe UI" w:eastAsia="Times New Roman" w:hAnsi="Segoe UI" w:cs="Segoe UI"/>
          <w:color w:val="auto"/>
          <w:kern w:val="0"/>
          <w:sz w:val="12"/>
          <w:szCs w:val="12"/>
          <w:lang w:val="en-GB" w:eastAsia="en-GB"/>
        </w:rPr>
        <w:t>Комисија за хартије од вредности;</w:t>
      </w:r>
      <w:r w:rsidRPr="00CA4C25">
        <w:rPr>
          <w:rFonts w:ascii="Segoe UI" w:eastAsia="Times New Roman" w:hAnsi="Segoe UI" w:cs="Segoe UI"/>
          <w:color w:val="auto"/>
          <w:kern w:val="0"/>
          <w:sz w:val="12"/>
          <w:szCs w:val="12"/>
          <w:lang w:eastAsia="en-GB"/>
        </w:rPr>
        <w:t xml:space="preserve"> </w:t>
      </w:r>
      <w:r w:rsidRPr="00CA4C25">
        <w:rPr>
          <w:rFonts w:ascii="Segoe UI" w:eastAsia="Times New Roman" w:hAnsi="Segoe UI" w:cs="Segoe UI"/>
          <w:color w:val="auto"/>
          <w:kern w:val="0"/>
          <w:sz w:val="12"/>
          <w:szCs w:val="12"/>
          <w:lang w:val="en-GB" w:eastAsia="en-GB"/>
        </w:rPr>
        <w:t>Канцеларија Савета за националну безбедност и заштиту тајних података;</w:t>
      </w:r>
      <w:r w:rsidRPr="00CA4C25">
        <w:rPr>
          <w:rFonts w:ascii="Segoe UI" w:eastAsia="Times New Roman" w:hAnsi="Segoe UI" w:cs="Segoe UI"/>
          <w:color w:val="auto"/>
          <w:kern w:val="0"/>
          <w:sz w:val="12"/>
          <w:szCs w:val="12"/>
          <w:lang w:eastAsia="en-GB"/>
        </w:rPr>
        <w:t xml:space="preserve"> </w:t>
      </w:r>
      <w:r w:rsidRPr="00CA4C25">
        <w:rPr>
          <w:rFonts w:ascii="Segoe UI" w:eastAsia="Times New Roman" w:hAnsi="Segoe UI" w:cs="Segoe UI"/>
          <w:color w:val="auto"/>
          <w:kern w:val="0"/>
          <w:sz w:val="12"/>
          <w:szCs w:val="12"/>
          <w:lang w:val="en-GB" w:eastAsia="en-GB"/>
        </w:rPr>
        <w:t>Народна банка Србије;</w:t>
      </w:r>
      <w:r w:rsidRPr="00CA4C25">
        <w:rPr>
          <w:rFonts w:ascii="Segoe UI" w:eastAsia="Times New Roman" w:hAnsi="Segoe UI" w:cs="Segoe UI"/>
          <w:color w:val="auto"/>
          <w:kern w:val="0"/>
          <w:sz w:val="12"/>
          <w:szCs w:val="12"/>
          <w:lang w:eastAsia="en-GB"/>
        </w:rPr>
        <w:t xml:space="preserve"> МФ-</w:t>
      </w:r>
      <w:r w:rsidRPr="00CA4C25">
        <w:rPr>
          <w:rFonts w:ascii="Segoe UI" w:eastAsia="Times New Roman" w:hAnsi="Segoe UI" w:cs="Segoe UI"/>
          <w:color w:val="auto"/>
          <w:kern w:val="0"/>
          <w:sz w:val="12"/>
          <w:szCs w:val="12"/>
          <w:lang w:val="en-GB" w:eastAsia="en-GB"/>
        </w:rPr>
        <w:t>Управа царина;</w:t>
      </w:r>
      <w:r w:rsidRPr="00CA4C25">
        <w:rPr>
          <w:rFonts w:ascii="Segoe UI" w:eastAsia="Times New Roman" w:hAnsi="Segoe UI" w:cs="Segoe UI"/>
          <w:color w:val="auto"/>
          <w:kern w:val="0"/>
          <w:sz w:val="12"/>
          <w:szCs w:val="12"/>
          <w:lang w:eastAsia="en-GB"/>
        </w:rPr>
        <w:t xml:space="preserve"> МФ-</w:t>
      </w:r>
      <w:r w:rsidRPr="00CA4C25">
        <w:rPr>
          <w:rFonts w:ascii="Segoe UI" w:eastAsia="Times New Roman" w:hAnsi="Segoe UI" w:cs="Segoe UI"/>
          <w:color w:val="auto"/>
          <w:kern w:val="0"/>
          <w:sz w:val="12"/>
          <w:szCs w:val="12"/>
          <w:lang w:val="en-GB" w:eastAsia="en-GB"/>
        </w:rPr>
        <w:t>Пореска управа</w:t>
      </w:r>
      <w:r w:rsidRPr="00CA4C25">
        <w:rPr>
          <w:rFonts w:ascii="Segoe UI" w:eastAsia="Times New Roman" w:hAnsi="Segoe UI" w:cs="Segoe UI"/>
          <w:color w:val="auto"/>
          <w:kern w:val="0"/>
          <w:sz w:val="12"/>
          <w:szCs w:val="12"/>
          <w:lang w:eastAsia="en-GB"/>
        </w:rPr>
        <w:t>, Пореска полиција</w:t>
      </w:r>
      <w:r w:rsidRPr="00CA4C25">
        <w:rPr>
          <w:rFonts w:ascii="Segoe UI" w:eastAsia="Times New Roman" w:hAnsi="Segoe UI" w:cs="Segoe UI"/>
          <w:color w:val="auto"/>
          <w:kern w:val="0"/>
          <w:sz w:val="12"/>
          <w:szCs w:val="12"/>
          <w:lang w:val="en-GB" w:eastAsia="en-GB"/>
        </w:rPr>
        <w:t>;</w:t>
      </w:r>
      <w:r w:rsidRPr="00CA4C25">
        <w:rPr>
          <w:rFonts w:ascii="Segoe UI" w:eastAsia="Times New Roman" w:hAnsi="Segoe UI" w:cs="Segoe UI"/>
          <w:color w:val="auto"/>
          <w:kern w:val="0"/>
          <w:sz w:val="12"/>
          <w:szCs w:val="12"/>
          <w:lang w:eastAsia="en-GB"/>
        </w:rPr>
        <w:t xml:space="preserve"> </w:t>
      </w:r>
      <w:r w:rsidRPr="00CA4C25">
        <w:rPr>
          <w:rFonts w:ascii="Segoe UI" w:eastAsia="Times New Roman" w:hAnsi="Segoe UI" w:cs="Segoe UI"/>
          <w:color w:val="auto"/>
          <w:kern w:val="0"/>
          <w:sz w:val="12"/>
          <w:szCs w:val="12"/>
          <w:lang w:val="en-GB" w:eastAsia="en-GB"/>
        </w:rPr>
        <w:t>Јавнобележничка комора Србије;</w:t>
      </w:r>
      <w:r w:rsidRPr="00CA4C25">
        <w:rPr>
          <w:rFonts w:ascii="Segoe UI" w:eastAsia="Times New Roman" w:hAnsi="Segoe UI" w:cs="Segoe UI"/>
          <w:color w:val="auto"/>
          <w:kern w:val="0"/>
          <w:sz w:val="12"/>
          <w:szCs w:val="12"/>
          <w:lang w:eastAsia="en-GB"/>
        </w:rPr>
        <w:t xml:space="preserve"> </w:t>
      </w:r>
      <w:r w:rsidRPr="00CA4C25">
        <w:rPr>
          <w:rFonts w:ascii="Segoe UI" w:eastAsia="Times New Roman" w:hAnsi="Segoe UI" w:cs="Segoe UI"/>
          <w:color w:val="auto"/>
          <w:kern w:val="0"/>
          <w:sz w:val="12"/>
          <w:szCs w:val="12"/>
          <w:lang w:val="en-GB" w:eastAsia="en-GB"/>
        </w:rPr>
        <w:t>Адвокатска комора Србије;</w:t>
      </w:r>
      <w:r w:rsidRPr="00CA4C25">
        <w:rPr>
          <w:rFonts w:ascii="Segoe UI" w:eastAsia="Times New Roman" w:hAnsi="Segoe UI" w:cs="Segoe UI"/>
          <w:color w:val="auto"/>
          <w:kern w:val="0"/>
          <w:sz w:val="12"/>
          <w:szCs w:val="12"/>
          <w:lang w:eastAsia="en-GB"/>
        </w:rPr>
        <w:t xml:space="preserve"> </w:t>
      </w:r>
      <w:r w:rsidRPr="00CA4C25">
        <w:rPr>
          <w:rFonts w:ascii="Segoe UI" w:eastAsia="Times New Roman" w:hAnsi="Segoe UI" w:cs="Segoe UI"/>
          <w:color w:val="auto"/>
          <w:kern w:val="0"/>
          <w:sz w:val="12"/>
          <w:szCs w:val="12"/>
          <w:lang w:val="en-GB" w:eastAsia="en-GB"/>
        </w:rPr>
        <w:t>Министарство трговине, туризма и телекомуникација – Сектор тржишне инспекције;</w:t>
      </w:r>
      <w:r w:rsidRPr="00CA4C25">
        <w:rPr>
          <w:rFonts w:ascii="Segoe UI" w:eastAsia="Times New Roman" w:hAnsi="Segoe UI" w:cs="Segoe UI"/>
          <w:color w:val="auto"/>
          <w:kern w:val="0"/>
          <w:sz w:val="12"/>
          <w:szCs w:val="12"/>
          <w:lang w:eastAsia="en-GB"/>
        </w:rPr>
        <w:t xml:space="preserve"> </w:t>
      </w:r>
      <w:r w:rsidRPr="00CA4C25">
        <w:rPr>
          <w:rFonts w:ascii="Segoe UI" w:eastAsia="Times New Roman" w:hAnsi="Segoe UI" w:cs="Segoe UI"/>
          <w:color w:val="auto"/>
          <w:kern w:val="0"/>
          <w:sz w:val="12"/>
          <w:szCs w:val="12"/>
          <w:lang w:val="en-GB" w:eastAsia="en-GB"/>
        </w:rPr>
        <w:t>Министарство трговине, туризма и телекомуникација – Сектор за електронске комуникације и поштански саобраћај;</w:t>
      </w:r>
      <w:r w:rsidRPr="00CA4C25">
        <w:rPr>
          <w:rFonts w:ascii="Segoe UI" w:eastAsia="Times New Roman" w:hAnsi="Segoe UI" w:cs="Segoe UI"/>
          <w:color w:val="auto"/>
          <w:kern w:val="0"/>
          <w:sz w:val="12"/>
          <w:szCs w:val="12"/>
          <w:lang w:eastAsia="en-GB"/>
        </w:rPr>
        <w:t xml:space="preserve"> </w:t>
      </w:r>
      <w:r w:rsidRPr="00CA4C25">
        <w:rPr>
          <w:rFonts w:ascii="Segoe UI" w:eastAsia="Times New Roman" w:hAnsi="Segoe UI" w:cs="Segoe UI"/>
          <w:color w:val="auto"/>
          <w:kern w:val="0"/>
          <w:sz w:val="12"/>
          <w:szCs w:val="12"/>
          <w:lang w:val="en-GB" w:eastAsia="en-GB"/>
        </w:rPr>
        <w:t>Министарство спољних послова;</w:t>
      </w:r>
      <w:r w:rsidRPr="00CA4C25">
        <w:rPr>
          <w:rFonts w:ascii="Segoe UI" w:eastAsia="Times New Roman" w:hAnsi="Segoe UI" w:cs="Segoe UI"/>
          <w:color w:val="auto"/>
          <w:kern w:val="0"/>
          <w:sz w:val="12"/>
          <w:szCs w:val="12"/>
          <w:lang w:eastAsia="en-GB"/>
        </w:rPr>
        <w:t xml:space="preserve"> </w:t>
      </w:r>
      <w:r w:rsidRPr="00CA4C25">
        <w:rPr>
          <w:rFonts w:ascii="Segoe UI" w:eastAsia="Times New Roman" w:hAnsi="Segoe UI" w:cs="Segoe UI"/>
          <w:color w:val="auto"/>
          <w:kern w:val="0"/>
          <w:sz w:val="12"/>
          <w:szCs w:val="12"/>
          <w:lang w:val="en-GB" w:eastAsia="en-GB"/>
        </w:rPr>
        <w:t>Канцеларија за сарадњу са цивилним друштвом;</w:t>
      </w:r>
      <w:r w:rsidRPr="00CA4C25">
        <w:rPr>
          <w:rFonts w:ascii="Segoe UI" w:eastAsia="Times New Roman" w:hAnsi="Segoe UI" w:cs="Segoe UI"/>
          <w:color w:val="auto"/>
          <w:kern w:val="0"/>
          <w:sz w:val="12"/>
          <w:szCs w:val="12"/>
          <w:lang w:eastAsia="en-GB"/>
        </w:rPr>
        <w:t xml:space="preserve"> </w:t>
      </w:r>
      <w:r w:rsidRPr="00CA4C25">
        <w:rPr>
          <w:rFonts w:ascii="Segoe UI" w:eastAsia="Times New Roman" w:hAnsi="Segoe UI" w:cs="Segoe UI"/>
          <w:color w:val="auto"/>
          <w:kern w:val="0"/>
          <w:sz w:val="12"/>
          <w:szCs w:val="12"/>
          <w:lang w:val="en-GB" w:eastAsia="en-GB"/>
        </w:rPr>
        <w:t>Министарство привреде;</w:t>
      </w:r>
      <w:r w:rsidRPr="00CA4C25">
        <w:rPr>
          <w:rFonts w:ascii="Segoe UI" w:eastAsia="Times New Roman" w:hAnsi="Segoe UI" w:cs="Segoe UI"/>
          <w:color w:val="auto"/>
          <w:kern w:val="0"/>
          <w:sz w:val="12"/>
          <w:szCs w:val="12"/>
          <w:lang w:eastAsia="en-GB"/>
        </w:rPr>
        <w:t xml:space="preserve"> </w:t>
      </w:r>
      <w:r w:rsidRPr="00CA4C25">
        <w:rPr>
          <w:rFonts w:ascii="Segoe UI" w:eastAsia="Times New Roman" w:hAnsi="Segoe UI" w:cs="Segoe UI"/>
          <w:color w:val="auto"/>
          <w:kern w:val="0"/>
          <w:sz w:val="12"/>
          <w:szCs w:val="12"/>
          <w:lang w:val="en-GB" w:eastAsia="en-GB"/>
        </w:rPr>
        <w:t>Агенција за привредне регистре</w:t>
      </w:r>
      <w:r w:rsidRPr="00CA4C25">
        <w:rPr>
          <w:rFonts w:ascii="Segoe UI" w:eastAsia="Times New Roman" w:hAnsi="Segoe UI" w:cs="Segoe UI"/>
          <w:color w:val="auto"/>
          <w:kern w:val="0"/>
          <w:sz w:val="12"/>
          <w:szCs w:val="12"/>
          <w:lang w:eastAsia="en-GB"/>
        </w:rPr>
        <w:t>;</w:t>
      </w:r>
      <w:r w:rsidRPr="00CA4C25">
        <w:rPr>
          <w:rFonts w:ascii="Segoe UI" w:eastAsia="Times New Roman" w:hAnsi="Segoe UI" w:cs="Segoe UI"/>
          <w:color w:val="auto"/>
          <w:kern w:val="0"/>
          <w:sz w:val="12"/>
          <w:szCs w:val="12"/>
          <w:lang w:val="en-GB" w:eastAsia="en-GB"/>
        </w:rPr>
        <w:t xml:space="preserve"> Министарство државне управе и локалне самоуправе;</w:t>
      </w:r>
      <w:r w:rsidRPr="00CA4C25">
        <w:rPr>
          <w:rFonts w:ascii="Segoe UI" w:eastAsia="Times New Roman" w:hAnsi="Segoe UI" w:cs="Segoe UI"/>
          <w:color w:val="auto"/>
          <w:kern w:val="0"/>
          <w:sz w:val="12"/>
          <w:szCs w:val="12"/>
          <w:lang w:eastAsia="en-GB"/>
        </w:rPr>
        <w:t xml:space="preserve"> МФ-</w:t>
      </w:r>
      <w:r w:rsidRPr="00CA4C25">
        <w:rPr>
          <w:rFonts w:ascii="Segoe UI" w:eastAsia="Times New Roman" w:hAnsi="Segoe UI" w:cs="Segoe UI"/>
          <w:color w:val="auto"/>
          <w:kern w:val="0"/>
          <w:sz w:val="12"/>
          <w:szCs w:val="12"/>
          <w:lang w:val="en-GB" w:eastAsia="en-GB"/>
        </w:rPr>
        <w:t>Управа за игре на срећу.</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8C0" w:rsidRPr="00A47261" w:rsidRDefault="005818C0" w:rsidP="00A47261">
    <w:pPr>
      <w:pStyle w:val="Header"/>
      <w:jc w:val="right"/>
      <w:rPr>
        <w:b/>
        <w:color w:val="FF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C2F88"/>
    <w:multiLevelType w:val="hybridMultilevel"/>
    <w:tmpl w:val="9976D8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FF0A61"/>
    <w:multiLevelType w:val="hybridMultilevel"/>
    <w:tmpl w:val="2B220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743ED3"/>
    <w:multiLevelType w:val="hybridMultilevel"/>
    <w:tmpl w:val="9976D8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291773E"/>
    <w:multiLevelType w:val="hybridMultilevel"/>
    <w:tmpl w:val="EE82AD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9051A60"/>
    <w:multiLevelType w:val="hybridMultilevel"/>
    <w:tmpl w:val="2392F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D7720A"/>
    <w:multiLevelType w:val="hybridMultilevel"/>
    <w:tmpl w:val="592A3A0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3E95A98"/>
    <w:multiLevelType w:val="hybridMultilevel"/>
    <w:tmpl w:val="9976D8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4AC10FE"/>
    <w:multiLevelType w:val="hybridMultilevel"/>
    <w:tmpl w:val="42D67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992AB6"/>
    <w:multiLevelType w:val="hybridMultilevel"/>
    <w:tmpl w:val="9976D8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7ED7A87"/>
    <w:multiLevelType w:val="hybridMultilevel"/>
    <w:tmpl w:val="8F089A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0A7917"/>
    <w:multiLevelType w:val="hybridMultilevel"/>
    <w:tmpl w:val="42563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862134"/>
    <w:multiLevelType w:val="hybridMultilevel"/>
    <w:tmpl w:val="01160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401087"/>
    <w:multiLevelType w:val="hybridMultilevel"/>
    <w:tmpl w:val="46BC1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F95C3B"/>
    <w:multiLevelType w:val="hybridMultilevel"/>
    <w:tmpl w:val="1316A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5225B0"/>
    <w:multiLevelType w:val="multilevel"/>
    <w:tmpl w:val="54F48DE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B77398"/>
    <w:multiLevelType w:val="hybridMultilevel"/>
    <w:tmpl w:val="891EE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375828"/>
    <w:multiLevelType w:val="multilevel"/>
    <w:tmpl w:val="54F48DE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930E71"/>
    <w:multiLevelType w:val="multilevel"/>
    <w:tmpl w:val="54F48DE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155046"/>
    <w:multiLevelType w:val="hybridMultilevel"/>
    <w:tmpl w:val="9976D8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21C4ADB"/>
    <w:multiLevelType w:val="hybridMultilevel"/>
    <w:tmpl w:val="A782AF7C"/>
    <w:lvl w:ilvl="0" w:tplc="DB7CB438">
      <w:start w:val="1"/>
      <w:numFmt w:val="decimal"/>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4A329B"/>
    <w:multiLevelType w:val="hybridMultilevel"/>
    <w:tmpl w:val="6352D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253143"/>
    <w:multiLevelType w:val="hybridMultilevel"/>
    <w:tmpl w:val="4BA2F894"/>
    <w:lvl w:ilvl="0" w:tplc="EA9C2A60">
      <w:start w:val="1"/>
      <w:numFmt w:val="decimal"/>
      <w:lvlText w:val="%1."/>
      <w:lvlJc w:val="left"/>
      <w:pPr>
        <w:ind w:left="720" w:hanging="360"/>
      </w:pPr>
      <w:rPr>
        <w:b/>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511C5F"/>
    <w:multiLevelType w:val="hybridMultilevel"/>
    <w:tmpl w:val="1B6C4A02"/>
    <w:lvl w:ilvl="0" w:tplc="5B564EEC">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1304A17"/>
    <w:multiLevelType w:val="multilevel"/>
    <w:tmpl w:val="54F48DE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F66A1F"/>
    <w:multiLevelType w:val="multilevel"/>
    <w:tmpl w:val="54F48DE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3F34CF"/>
    <w:multiLevelType w:val="hybridMultilevel"/>
    <w:tmpl w:val="55588364"/>
    <w:lvl w:ilvl="0" w:tplc="F50A1E10">
      <w:start w:val="1"/>
      <w:numFmt w:val="decimal"/>
      <w:lvlText w:val="%1."/>
      <w:lvlJc w:val="left"/>
      <w:pPr>
        <w:ind w:left="720" w:hanging="360"/>
      </w:pPr>
      <w:rPr>
        <w:b/>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943CD7"/>
    <w:multiLevelType w:val="hybridMultilevel"/>
    <w:tmpl w:val="709C8B9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4EF7DB6"/>
    <w:multiLevelType w:val="multilevel"/>
    <w:tmpl w:val="54F48DE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C97678"/>
    <w:multiLevelType w:val="hybridMultilevel"/>
    <w:tmpl w:val="9976D8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B6D0999"/>
    <w:multiLevelType w:val="hybridMultilevel"/>
    <w:tmpl w:val="C98EC08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6FF42DF4"/>
    <w:multiLevelType w:val="hybridMultilevel"/>
    <w:tmpl w:val="9976D8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EE91666"/>
    <w:multiLevelType w:val="multilevel"/>
    <w:tmpl w:val="54F48DE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0"/>
  </w:num>
  <w:num w:numId="3">
    <w:abstractNumId w:val="7"/>
  </w:num>
  <w:num w:numId="4">
    <w:abstractNumId w:val="4"/>
  </w:num>
  <w:num w:numId="5">
    <w:abstractNumId w:val="1"/>
  </w:num>
  <w:num w:numId="6">
    <w:abstractNumId w:val="12"/>
  </w:num>
  <w:num w:numId="7">
    <w:abstractNumId w:val="15"/>
  </w:num>
  <w:num w:numId="8">
    <w:abstractNumId w:val="23"/>
  </w:num>
  <w:num w:numId="9">
    <w:abstractNumId w:val="21"/>
  </w:num>
  <w:num w:numId="10">
    <w:abstractNumId w:val="19"/>
  </w:num>
  <w:num w:numId="11">
    <w:abstractNumId w:val="25"/>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5"/>
  </w:num>
  <w:num w:numId="15">
    <w:abstractNumId w:val="26"/>
  </w:num>
  <w:num w:numId="16">
    <w:abstractNumId w:val="3"/>
  </w:num>
  <w:num w:numId="17">
    <w:abstractNumId w:val="29"/>
  </w:num>
  <w:num w:numId="18">
    <w:abstractNumId w:val="31"/>
  </w:num>
  <w:num w:numId="19">
    <w:abstractNumId w:val="17"/>
  </w:num>
  <w:num w:numId="20">
    <w:abstractNumId w:val="27"/>
  </w:num>
  <w:num w:numId="21">
    <w:abstractNumId w:val="14"/>
  </w:num>
  <w:num w:numId="22">
    <w:abstractNumId w:val="16"/>
  </w:num>
  <w:num w:numId="23">
    <w:abstractNumId w:val="24"/>
  </w:num>
  <w:num w:numId="24">
    <w:abstractNumId w:val="13"/>
  </w:num>
  <w:num w:numId="25">
    <w:abstractNumId w:val="10"/>
  </w:num>
  <w:num w:numId="26">
    <w:abstractNumId w:val="9"/>
  </w:num>
  <w:num w:numId="27">
    <w:abstractNumId w:val="18"/>
  </w:num>
  <w:num w:numId="28">
    <w:abstractNumId w:val="6"/>
  </w:num>
  <w:num w:numId="29">
    <w:abstractNumId w:val="8"/>
  </w:num>
  <w:num w:numId="30">
    <w:abstractNumId w:val="28"/>
  </w:num>
  <w:num w:numId="31">
    <w:abstractNumId w:val="0"/>
  </w:num>
  <w:num w:numId="32">
    <w:abstractNumId w:val="3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713A91"/>
    <w:rsid w:val="0000003B"/>
    <w:rsid w:val="0001093D"/>
    <w:rsid w:val="00012D3E"/>
    <w:rsid w:val="00015C01"/>
    <w:rsid w:val="00016FCA"/>
    <w:rsid w:val="000229FA"/>
    <w:rsid w:val="000269C8"/>
    <w:rsid w:val="00032563"/>
    <w:rsid w:val="000342B2"/>
    <w:rsid w:val="0003799E"/>
    <w:rsid w:val="00037BF6"/>
    <w:rsid w:val="00040297"/>
    <w:rsid w:val="000435FD"/>
    <w:rsid w:val="0004492D"/>
    <w:rsid w:val="0004546C"/>
    <w:rsid w:val="000474AA"/>
    <w:rsid w:val="00050AB0"/>
    <w:rsid w:val="00050E7F"/>
    <w:rsid w:val="00051416"/>
    <w:rsid w:val="00054E20"/>
    <w:rsid w:val="000553F1"/>
    <w:rsid w:val="00056AE0"/>
    <w:rsid w:val="00065149"/>
    <w:rsid w:val="000656E7"/>
    <w:rsid w:val="000674FF"/>
    <w:rsid w:val="000703A9"/>
    <w:rsid w:val="00073345"/>
    <w:rsid w:val="00074050"/>
    <w:rsid w:val="00074670"/>
    <w:rsid w:val="00077619"/>
    <w:rsid w:val="00077845"/>
    <w:rsid w:val="00083ED0"/>
    <w:rsid w:val="000860BE"/>
    <w:rsid w:val="0008634A"/>
    <w:rsid w:val="00090975"/>
    <w:rsid w:val="00091BE9"/>
    <w:rsid w:val="00093C87"/>
    <w:rsid w:val="0009405E"/>
    <w:rsid w:val="00094F11"/>
    <w:rsid w:val="000A3B0D"/>
    <w:rsid w:val="000A59A7"/>
    <w:rsid w:val="000A7CC4"/>
    <w:rsid w:val="000B0BBF"/>
    <w:rsid w:val="000B3C2A"/>
    <w:rsid w:val="000B5F1D"/>
    <w:rsid w:val="000B75F7"/>
    <w:rsid w:val="000C1D77"/>
    <w:rsid w:val="000C4208"/>
    <w:rsid w:val="000C6EB5"/>
    <w:rsid w:val="000C7714"/>
    <w:rsid w:val="000D08A9"/>
    <w:rsid w:val="000D1143"/>
    <w:rsid w:val="000D1319"/>
    <w:rsid w:val="000D4757"/>
    <w:rsid w:val="000D492F"/>
    <w:rsid w:val="000E3771"/>
    <w:rsid w:val="000E3FF6"/>
    <w:rsid w:val="000E7324"/>
    <w:rsid w:val="000F0BD0"/>
    <w:rsid w:val="000F7156"/>
    <w:rsid w:val="00102718"/>
    <w:rsid w:val="00102ECF"/>
    <w:rsid w:val="001043A5"/>
    <w:rsid w:val="00104CDD"/>
    <w:rsid w:val="001210BE"/>
    <w:rsid w:val="00121212"/>
    <w:rsid w:val="00121E8F"/>
    <w:rsid w:val="00122CB1"/>
    <w:rsid w:val="00123675"/>
    <w:rsid w:val="001254C3"/>
    <w:rsid w:val="00131ED0"/>
    <w:rsid w:val="00133CB5"/>
    <w:rsid w:val="0013548D"/>
    <w:rsid w:val="00142EDC"/>
    <w:rsid w:val="00143AC7"/>
    <w:rsid w:val="00144339"/>
    <w:rsid w:val="00144CCE"/>
    <w:rsid w:val="00146E18"/>
    <w:rsid w:val="00154FDD"/>
    <w:rsid w:val="00156124"/>
    <w:rsid w:val="00156D4E"/>
    <w:rsid w:val="00161230"/>
    <w:rsid w:val="001626DC"/>
    <w:rsid w:val="00163505"/>
    <w:rsid w:val="00165CB9"/>
    <w:rsid w:val="00170910"/>
    <w:rsid w:val="001812E7"/>
    <w:rsid w:val="001821C4"/>
    <w:rsid w:val="00182940"/>
    <w:rsid w:val="00184E9E"/>
    <w:rsid w:val="00185FE6"/>
    <w:rsid w:val="00191E3F"/>
    <w:rsid w:val="001A0C43"/>
    <w:rsid w:val="001A18C8"/>
    <w:rsid w:val="001A3C52"/>
    <w:rsid w:val="001A47C0"/>
    <w:rsid w:val="001A655F"/>
    <w:rsid w:val="001B2108"/>
    <w:rsid w:val="001B2820"/>
    <w:rsid w:val="001B2E39"/>
    <w:rsid w:val="001B379F"/>
    <w:rsid w:val="001B4CBD"/>
    <w:rsid w:val="001B60B1"/>
    <w:rsid w:val="001B65B2"/>
    <w:rsid w:val="001C28EC"/>
    <w:rsid w:val="001C4A4F"/>
    <w:rsid w:val="001E4E03"/>
    <w:rsid w:val="001E542B"/>
    <w:rsid w:val="001E55D5"/>
    <w:rsid w:val="001E5DFF"/>
    <w:rsid w:val="001F1495"/>
    <w:rsid w:val="001F15C3"/>
    <w:rsid w:val="001F2C4B"/>
    <w:rsid w:val="002052A3"/>
    <w:rsid w:val="0020533F"/>
    <w:rsid w:val="0020631B"/>
    <w:rsid w:val="00206857"/>
    <w:rsid w:val="002074F1"/>
    <w:rsid w:val="00210A55"/>
    <w:rsid w:val="00212E61"/>
    <w:rsid w:val="002145B3"/>
    <w:rsid w:val="002146DD"/>
    <w:rsid w:val="00215665"/>
    <w:rsid w:val="0021585E"/>
    <w:rsid w:val="002219B5"/>
    <w:rsid w:val="0022234E"/>
    <w:rsid w:val="002247A8"/>
    <w:rsid w:val="00224C1E"/>
    <w:rsid w:val="00232650"/>
    <w:rsid w:val="0023679E"/>
    <w:rsid w:val="00236EB6"/>
    <w:rsid w:val="002374BA"/>
    <w:rsid w:val="002424EB"/>
    <w:rsid w:val="002458E9"/>
    <w:rsid w:val="00245ED1"/>
    <w:rsid w:val="00250537"/>
    <w:rsid w:val="00254C7E"/>
    <w:rsid w:val="002632C2"/>
    <w:rsid w:val="00263A5E"/>
    <w:rsid w:val="0026686C"/>
    <w:rsid w:val="00267777"/>
    <w:rsid w:val="002702AB"/>
    <w:rsid w:val="00271782"/>
    <w:rsid w:val="002726D3"/>
    <w:rsid w:val="00273598"/>
    <w:rsid w:val="00274562"/>
    <w:rsid w:val="00276BBB"/>
    <w:rsid w:val="00281A15"/>
    <w:rsid w:val="00283830"/>
    <w:rsid w:val="00283DD5"/>
    <w:rsid w:val="00284C51"/>
    <w:rsid w:val="00285FD7"/>
    <w:rsid w:val="00286710"/>
    <w:rsid w:val="002922B5"/>
    <w:rsid w:val="00294720"/>
    <w:rsid w:val="002A3F75"/>
    <w:rsid w:val="002A4CC7"/>
    <w:rsid w:val="002B23AB"/>
    <w:rsid w:val="002B6D6A"/>
    <w:rsid w:val="002B7AB2"/>
    <w:rsid w:val="002B7E1A"/>
    <w:rsid w:val="002C15B7"/>
    <w:rsid w:val="002C54BD"/>
    <w:rsid w:val="002D1889"/>
    <w:rsid w:val="002D3052"/>
    <w:rsid w:val="002D69E2"/>
    <w:rsid w:val="002E071E"/>
    <w:rsid w:val="002E2CAF"/>
    <w:rsid w:val="002E5077"/>
    <w:rsid w:val="002E5CC8"/>
    <w:rsid w:val="002F1FEA"/>
    <w:rsid w:val="002F2585"/>
    <w:rsid w:val="002F2CC6"/>
    <w:rsid w:val="003030E6"/>
    <w:rsid w:val="003041BF"/>
    <w:rsid w:val="003067CB"/>
    <w:rsid w:val="003069B2"/>
    <w:rsid w:val="003162F4"/>
    <w:rsid w:val="00317E78"/>
    <w:rsid w:val="00320748"/>
    <w:rsid w:val="00320EA9"/>
    <w:rsid w:val="003214BC"/>
    <w:rsid w:val="00321E8D"/>
    <w:rsid w:val="00323486"/>
    <w:rsid w:val="00323A5A"/>
    <w:rsid w:val="00326CC2"/>
    <w:rsid w:val="00326EA5"/>
    <w:rsid w:val="00336773"/>
    <w:rsid w:val="0034189E"/>
    <w:rsid w:val="00343DEC"/>
    <w:rsid w:val="00345049"/>
    <w:rsid w:val="00345568"/>
    <w:rsid w:val="003478F8"/>
    <w:rsid w:val="00350767"/>
    <w:rsid w:val="00350AF3"/>
    <w:rsid w:val="003562B4"/>
    <w:rsid w:val="0036171D"/>
    <w:rsid w:val="00363221"/>
    <w:rsid w:val="00363ED5"/>
    <w:rsid w:val="00366074"/>
    <w:rsid w:val="00367ABB"/>
    <w:rsid w:val="00367ADF"/>
    <w:rsid w:val="00370282"/>
    <w:rsid w:val="00375E65"/>
    <w:rsid w:val="003909EA"/>
    <w:rsid w:val="00395DA3"/>
    <w:rsid w:val="0039640D"/>
    <w:rsid w:val="003A159C"/>
    <w:rsid w:val="003A2212"/>
    <w:rsid w:val="003A648B"/>
    <w:rsid w:val="003A6CA2"/>
    <w:rsid w:val="003B399A"/>
    <w:rsid w:val="003B3C7C"/>
    <w:rsid w:val="003B5D89"/>
    <w:rsid w:val="003C012B"/>
    <w:rsid w:val="003C0BAA"/>
    <w:rsid w:val="003C0D99"/>
    <w:rsid w:val="003C2A92"/>
    <w:rsid w:val="003C48F1"/>
    <w:rsid w:val="003D6E69"/>
    <w:rsid w:val="003E418C"/>
    <w:rsid w:val="003E57B4"/>
    <w:rsid w:val="003E6F29"/>
    <w:rsid w:val="003F3E12"/>
    <w:rsid w:val="003F4F08"/>
    <w:rsid w:val="003F6C47"/>
    <w:rsid w:val="004052BA"/>
    <w:rsid w:val="004079BC"/>
    <w:rsid w:val="0041026F"/>
    <w:rsid w:val="0041235D"/>
    <w:rsid w:val="00421291"/>
    <w:rsid w:val="004232FE"/>
    <w:rsid w:val="00423F6C"/>
    <w:rsid w:val="00424469"/>
    <w:rsid w:val="00424D8F"/>
    <w:rsid w:val="00424DC6"/>
    <w:rsid w:val="00425B43"/>
    <w:rsid w:val="004313D4"/>
    <w:rsid w:val="004316AD"/>
    <w:rsid w:val="004318D2"/>
    <w:rsid w:val="00432822"/>
    <w:rsid w:val="00434EDC"/>
    <w:rsid w:val="004420AE"/>
    <w:rsid w:val="00442D60"/>
    <w:rsid w:val="004446B4"/>
    <w:rsid w:val="0044603F"/>
    <w:rsid w:val="00447807"/>
    <w:rsid w:val="00450A86"/>
    <w:rsid w:val="00451BF1"/>
    <w:rsid w:val="00463E7C"/>
    <w:rsid w:val="00464869"/>
    <w:rsid w:val="00465BE6"/>
    <w:rsid w:val="00467761"/>
    <w:rsid w:val="004747BD"/>
    <w:rsid w:val="004769B3"/>
    <w:rsid w:val="00476D5F"/>
    <w:rsid w:val="00481539"/>
    <w:rsid w:val="004819C9"/>
    <w:rsid w:val="0048239B"/>
    <w:rsid w:val="00487258"/>
    <w:rsid w:val="00492C3B"/>
    <w:rsid w:val="00493915"/>
    <w:rsid w:val="004965C9"/>
    <w:rsid w:val="00497818"/>
    <w:rsid w:val="00497A27"/>
    <w:rsid w:val="004A1E65"/>
    <w:rsid w:val="004A6FEC"/>
    <w:rsid w:val="004B4172"/>
    <w:rsid w:val="004B7C54"/>
    <w:rsid w:val="004C04D7"/>
    <w:rsid w:val="004C44F2"/>
    <w:rsid w:val="004C54B0"/>
    <w:rsid w:val="004C597F"/>
    <w:rsid w:val="004C76C3"/>
    <w:rsid w:val="004D0E60"/>
    <w:rsid w:val="004D6269"/>
    <w:rsid w:val="004E07FF"/>
    <w:rsid w:val="004E180B"/>
    <w:rsid w:val="004E3E05"/>
    <w:rsid w:val="004E570C"/>
    <w:rsid w:val="004E74BC"/>
    <w:rsid w:val="004F598D"/>
    <w:rsid w:val="004F5B8A"/>
    <w:rsid w:val="005056EA"/>
    <w:rsid w:val="005068C3"/>
    <w:rsid w:val="00514CA1"/>
    <w:rsid w:val="00520B00"/>
    <w:rsid w:val="00520B58"/>
    <w:rsid w:val="0052577D"/>
    <w:rsid w:val="00526A7A"/>
    <w:rsid w:val="00526B4C"/>
    <w:rsid w:val="00530C7B"/>
    <w:rsid w:val="0053445B"/>
    <w:rsid w:val="005372EE"/>
    <w:rsid w:val="005414D3"/>
    <w:rsid w:val="0054380B"/>
    <w:rsid w:val="00552016"/>
    <w:rsid w:val="00552A56"/>
    <w:rsid w:val="0055614B"/>
    <w:rsid w:val="00557B42"/>
    <w:rsid w:val="00575AF4"/>
    <w:rsid w:val="005768D4"/>
    <w:rsid w:val="00577F78"/>
    <w:rsid w:val="005818C0"/>
    <w:rsid w:val="00583368"/>
    <w:rsid w:val="00583FE2"/>
    <w:rsid w:val="005877A4"/>
    <w:rsid w:val="00587FE4"/>
    <w:rsid w:val="00596F2E"/>
    <w:rsid w:val="005A3EEE"/>
    <w:rsid w:val="005A6DC3"/>
    <w:rsid w:val="005B03E9"/>
    <w:rsid w:val="005B10C2"/>
    <w:rsid w:val="005B69D9"/>
    <w:rsid w:val="005C0132"/>
    <w:rsid w:val="005C3BBE"/>
    <w:rsid w:val="005C5918"/>
    <w:rsid w:val="005C5D8A"/>
    <w:rsid w:val="005C69BF"/>
    <w:rsid w:val="005C7708"/>
    <w:rsid w:val="005D036E"/>
    <w:rsid w:val="005F240E"/>
    <w:rsid w:val="005F2A88"/>
    <w:rsid w:val="005F5F31"/>
    <w:rsid w:val="006014A9"/>
    <w:rsid w:val="0060276A"/>
    <w:rsid w:val="00603DAA"/>
    <w:rsid w:val="0060447A"/>
    <w:rsid w:val="0060607D"/>
    <w:rsid w:val="00607374"/>
    <w:rsid w:val="00607B8A"/>
    <w:rsid w:val="00613489"/>
    <w:rsid w:val="0061765F"/>
    <w:rsid w:val="006244CE"/>
    <w:rsid w:val="006301B6"/>
    <w:rsid w:val="0063555F"/>
    <w:rsid w:val="006359AA"/>
    <w:rsid w:val="006364A3"/>
    <w:rsid w:val="0064036A"/>
    <w:rsid w:val="00640619"/>
    <w:rsid w:val="00641F60"/>
    <w:rsid w:val="0065437A"/>
    <w:rsid w:val="0065536B"/>
    <w:rsid w:val="00657FEB"/>
    <w:rsid w:val="0066049D"/>
    <w:rsid w:val="00660A8C"/>
    <w:rsid w:val="00660ABD"/>
    <w:rsid w:val="00661819"/>
    <w:rsid w:val="006634AE"/>
    <w:rsid w:val="00665BC3"/>
    <w:rsid w:val="00674A9F"/>
    <w:rsid w:val="00674B4D"/>
    <w:rsid w:val="00675F8D"/>
    <w:rsid w:val="006808BF"/>
    <w:rsid w:val="00680B5F"/>
    <w:rsid w:val="00685676"/>
    <w:rsid w:val="00692B78"/>
    <w:rsid w:val="0069535B"/>
    <w:rsid w:val="006A53F2"/>
    <w:rsid w:val="006A607F"/>
    <w:rsid w:val="006B1926"/>
    <w:rsid w:val="006B25BA"/>
    <w:rsid w:val="006B2D80"/>
    <w:rsid w:val="006B3697"/>
    <w:rsid w:val="006B44FA"/>
    <w:rsid w:val="006B4500"/>
    <w:rsid w:val="006B456A"/>
    <w:rsid w:val="006B6E0B"/>
    <w:rsid w:val="006C15FB"/>
    <w:rsid w:val="006C303F"/>
    <w:rsid w:val="006C3281"/>
    <w:rsid w:val="006C3A16"/>
    <w:rsid w:val="006C3B76"/>
    <w:rsid w:val="006C4E6E"/>
    <w:rsid w:val="006D03A5"/>
    <w:rsid w:val="006D29C7"/>
    <w:rsid w:val="006D3236"/>
    <w:rsid w:val="006D41ED"/>
    <w:rsid w:val="006D56C2"/>
    <w:rsid w:val="006D5E7E"/>
    <w:rsid w:val="006D74CD"/>
    <w:rsid w:val="006D7E87"/>
    <w:rsid w:val="006E0804"/>
    <w:rsid w:val="006E1576"/>
    <w:rsid w:val="006E272C"/>
    <w:rsid w:val="006E45AC"/>
    <w:rsid w:val="006E693A"/>
    <w:rsid w:val="006F2E9B"/>
    <w:rsid w:val="006F7310"/>
    <w:rsid w:val="006F74D9"/>
    <w:rsid w:val="0070378D"/>
    <w:rsid w:val="00704045"/>
    <w:rsid w:val="00704F54"/>
    <w:rsid w:val="00707DEB"/>
    <w:rsid w:val="0071106E"/>
    <w:rsid w:val="0071229F"/>
    <w:rsid w:val="00713A91"/>
    <w:rsid w:val="00713C9A"/>
    <w:rsid w:val="007169B7"/>
    <w:rsid w:val="0072265E"/>
    <w:rsid w:val="00733420"/>
    <w:rsid w:val="0073479B"/>
    <w:rsid w:val="00734916"/>
    <w:rsid w:val="007400BE"/>
    <w:rsid w:val="007405F7"/>
    <w:rsid w:val="00741126"/>
    <w:rsid w:val="0074155A"/>
    <w:rsid w:val="00743456"/>
    <w:rsid w:val="007450DA"/>
    <w:rsid w:val="00745C54"/>
    <w:rsid w:val="00745DD3"/>
    <w:rsid w:val="00745F39"/>
    <w:rsid w:val="00746A29"/>
    <w:rsid w:val="007574CB"/>
    <w:rsid w:val="007606A2"/>
    <w:rsid w:val="0076321C"/>
    <w:rsid w:val="00763367"/>
    <w:rsid w:val="0076411F"/>
    <w:rsid w:val="00765B7E"/>
    <w:rsid w:val="00784AA9"/>
    <w:rsid w:val="00786290"/>
    <w:rsid w:val="007865C0"/>
    <w:rsid w:val="00787792"/>
    <w:rsid w:val="00790738"/>
    <w:rsid w:val="00791D60"/>
    <w:rsid w:val="00793779"/>
    <w:rsid w:val="007953F0"/>
    <w:rsid w:val="007A1892"/>
    <w:rsid w:val="007A7B74"/>
    <w:rsid w:val="007B0298"/>
    <w:rsid w:val="007B3772"/>
    <w:rsid w:val="007C21A1"/>
    <w:rsid w:val="007C3863"/>
    <w:rsid w:val="007C4E60"/>
    <w:rsid w:val="007C6285"/>
    <w:rsid w:val="007D3835"/>
    <w:rsid w:val="007D51C0"/>
    <w:rsid w:val="007D60B3"/>
    <w:rsid w:val="007D61F7"/>
    <w:rsid w:val="007E03E4"/>
    <w:rsid w:val="007E1D3C"/>
    <w:rsid w:val="007E1EA4"/>
    <w:rsid w:val="007E7244"/>
    <w:rsid w:val="007F28BA"/>
    <w:rsid w:val="007F5C8D"/>
    <w:rsid w:val="007F70F0"/>
    <w:rsid w:val="007F7F60"/>
    <w:rsid w:val="007F7FA4"/>
    <w:rsid w:val="00800732"/>
    <w:rsid w:val="008040CA"/>
    <w:rsid w:val="0080414E"/>
    <w:rsid w:val="008064E7"/>
    <w:rsid w:val="00806E9B"/>
    <w:rsid w:val="00810794"/>
    <w:rsid w:val="0081525D"/>
    <w:rsid w:val="008152F0"/>
    <w:rsid w:val="00816358"/>
    <w:rsid w:val="008166FB"/>
    <w:rsid w:val="0081731E"/>
    <w:rsid w:val="00820ACB"/>
    <w:rsid w:val="0082149B"/>
    <w:rsid w:val="0082324E"/>
    <w:rsid w:val="008258C2"/>
    <w:rsid w:val="00826675"/>
    <w:rsid w:val="0083281B"/>
    <w:rsid w:val="00835D12"/>
    <w:rsid w:val="0083693C"/>
    <w:rsid w:val="0084011D"/>
    <w:rsid w:val="0084093B"/>
    <w:rsid w:val="00842C31"/>
    <w:rsid w:val="00842D2B"/>
    <w:rsid w:val="00847FC1"/>
    <w:rsid w:val="00851277"/>
    <w:rsid w:val="00851393"/>
    <w:rsid w:val="00854A41"/>
    <w:rsid w:val="008572E7"/>
    <w:rsid w:val="00863117"/>
    <w:rsid w:val="00863A32"/>
    <w:rsid w:val="00863E13"/>
    <w:rsid w:val="00864498"/>
    <w:rsid w:val="00864EB1"/>
    <w:rsid w:val="0086525D"/>
    <w:rsid w:val="008663F2"/>
    <w:rsid w:val="00867224"/>
    <w:rsid w:val="008725D4"/>
    <w:rsid w:val="008738FC"/>
    <w:rsid w:val="008739B5"/>
    <w:rsid w:val="00875A03"/>
    <w:rsid w:val="0087616A"/>
    <w:rsid w:val="00876914"/>
    <w:rsid w:val="00877F10"/>
    <w:rsid w:val="0088130C"/>
    <w:rsid w:val="0088138E"/>
    <w:rsid w:val="00882204"/>
    <w:rsid w:val="00883269"/>
    <w:rsid w:val="00885F9C"/>
    <w:rsid w:val="00891636"/>
    <w:rsid w:val="00891EE4"/>
    <w:rsid w:val="0089493A"/>
    <w:rsid w:val="008A1074"/>
    <w:rsid w:val="008A184C"/>
    <w:rsid w:val="008A3D46"/>
    <w:rsid w:val="008A65BD"/>
    <w:rsid w:val="008A7033"/>
    <w:rsid w:val="008B4459"/>
    <w:rsid w:val="008C09AC"/>
    <w:rsid w:val="008C111C"/>
    <w:rsid w:val="008C12BC"/>
    <w:rsid w:val="008C4177"/>
    <w:rsid w:val="008D3C16"/>
    <w:rsid w:val="008D6879"/>
    <w:rsid w:val="008D7FBA"/>
    <w:rsid w:val="008E086E"/>
    <w:rsid w:val="008E0C1C"/>
    <w:rsid w:val="008E17F3"/>
    <w:rsid w:val="008E25B5"/>
    <w:rsid w:val="008E4671"/>
    <w:rsid w:val="008F0383"/>
    <w:rsid w:val="008F6CF9"/>
    <w:rsid w:val="00903B60"/>
    <w:rsid w:val="00907B40"/>
    <w:rsid w:val="00910033"/>
    <w:rsid w:val="009255B6"/>
    <w:rsid w:val="00927A2E"/>
    <w:rsid w:val="00931FE5"/>
    <w:rsid w:val="0093316B"/>
    <w:rsid w:val="00934E82"/>
    <w:rsid w:val="00944D14"/>
    <w:rsid w:val="00946516"/>
    <w:rsid w:val="00947093"/>
    <w:rsid w:val="009510A6"/>
    <w:rsid w:val="00952081"/>
    <w:rsid w:val="009526CA"/>
    <w:rsid w:val="00955914"/>
    <w:rsid w:val="0096032B"/>
    <w:rsid w:val="00962FA1"/>
    <w:rsid w:val="0096445A"/>
    <w:rsid w:val="0096670D"/>
    <w:rsid w:val="00971204"/>
    <w:rsid w:val="00972C36"/>
    <w:rsid w:val="00974A03"/>
    <w:rsid w:val="00976AD7"/>
    <w:rsid w:val="00981209"/>
    <w:rsid w:val="00985089"/>
    <w:rsid w:val="00986E93"/>
    <w:rsid w:val="00987594"/>
    <w:rsid w:val="00990BEE"/>
    <w:rsid w:val="00990F58"/>
    <w:rsid w:val="0099638C"/>
    <w:rsid w:val="00996814"/>
    <w:rsid w:val="009A2486"/>
    <w:rsid w:val="009A511C"/>
    <w:rsid w:val="009A5328"/>
    <w:rsid w:val="009A5E51"/>
    <w:rsid w:val="009A5F8C"/>
    <w:rsid w:val="009A6243"/>
    <w:rsid w:val="009A6D0D"/>
    <w:rsid w:val="009A7DDB"/>
    <w:rsid w:val="009B27FA"/>
    <w:rsid w:val="009B3BB9"/>
    <w:rsid w:val="009B424F"/>
    <w:rsid w:val="009B5569"/>
    <w:rsid w:val="009B6F9B"/>
    <w:rsid w:val="009C0579"/>
    <w:rsid w:val="009D00C4"/>
    <w:rsid w:val="009D68EE"/>
    <w:rsid w:val="009E02C0"/>
    <w:rsid w:val="009E03A7"/>
    <w:rsid w:val="009E1129"/>
    <w:rsid w:val="00A01D0D"/>
    <w:rsid w:val="00A02FC2"/>
    <w:rsid w:val="00A12AA6"/>
    <w:rsid w:val="00A146DB"/>
    <w:rsid w:val="00A1499B"/>
    <w:rsid w:val="00A24750"/>
    <w:rsid w:val="00A26580"/>
    <w:rsid w:val="00A278FF"/>
    <w:rsid w:val="00A27A1D"/>
    <w:rsid w:val="00A34DED"/>
    <w:rsid w:val="00A362A5"/>
    <w:rsid w:val="00A366AD"/>
    <w:rsid w:val="00A42156"/>
    <w:rsid w:val="00A464DB"/>
    <w:rsid w:val="00A47261"/>
    <w:rsid w:val="00A6074C"/>
    <w:rsid w:val="00A63977"/>
    <w:rsid w:val="00A649F8"/>
    <w:rsid w:val="00A64F3C"/>
    <w:rsid w:val="00A70FDA"/>
    <w:rsid w:val="00A7555F"/>
    <w:rsid w:val="00A75DE8"/>
    <w:rsid w:val="00A7634B"/>
    <w:rsid w:val="00A765CF"/>
    <w:rsid w:val="00A76933"/>
    <w:rsid w:val="00A82060"/>
    <w:rsid w:val="00A86266"/>
    <w:rsid w:val="00A927A4"/>
    <w:rsid w:val="00A9340A"/>
    <w:rsid w:val="00AA23AE"/>
    <w:rsid w:val="00AA37DA"/>
    <w:rsid w:val="00AA5B3F"/>
    <w:rsid w:val="00AA6D60"/>
    <w:rsid w:val="00AB0707"/>
    <w:rsid w:val="00AB07E5"/>
    <w:rsid w:val="00AB16CA"/>
    <w:rsid w:val="00AB4856"/>
    <w:rsid w:val="00AB5CF8"/>
    <w:rsid w:val="00AC11E9"/>
    <w:rsid w:val="00AC2562"/>
    <w:rsid w:val="00AC3A43"/>
    <w:rsid w:val="00AC572E"/>
    <w:rsid w:val="00AC7277"/>
    <w:rsid w:val="00AD07BC"/>
    <w:rsid w:val="00AD151C"/>
    <w:rsid w:val="00AD1E10"/>
    <w:rsid w:val="00AD531F"/>
    <w:rsid w:val="00AD5EBA"/>
    <w:rsid w:val="00AD5F3C"/>
    <w:rsid w:val="00AE1ADF"/>
    <w:rsid w:val="00AE49F7"/>
    <w:rsid w:val="00AF26DE"/>
    <w:rsid w:val="00AF4B6F"/>
    <w:rsid w:val="00B02F59"/>
    <w:rsid w:val="00B033B8"/>
    <w:rsid w:val="00B0718F"/>
    <w:rsid w:val="00B14744"/>
    <w:rsid w:val="00B150CA"/>
    <w:rsid w:val="00B25B44"/>
    <w:rsid w:val="00B267CF"/>
    <w:rsid w:val="00B32268"/>
    <w:rsid w:val="00B34331"/>
    <w:rsid w:val="00B35A1A"/>
    <w:rsid w:val="00B362E0"/>
    <w:rsid w:val="00B40979"/>
    <w:rsid w:val="00B40B97"/>
    <w:rsid w:val="00B44AB4"/>
    <w:rsid w:val="00B4543F"/>
    <w:rsid w:val="00B458C2"/>
    <w:rsid w:val="00B46C05"/>
    <w:rsid w:val="00B50C7C"/>
    <w:rsid w:val="00B5332F"/>
    <w:rsid w:val="00B55947"/>
    <w:rsid w:val="00B562D9"/>
    <w:rsid w:val="00B56E46"/>
    <w:rsid w:val="00B56E7D"/>
    <w:rsid w:val="00B627C8"/>
    <w:rsid w:val="00B64E1D"/>
    <w:rsid w:val="00B65101"/>
    <w:rsid w:val="00B654ED"/>
    <w:rsid w:val="00B70620"/>
    <w:rsid w:val="00B720FB"/>
    <w:rsid w:val="00B769C5"/>
    <w:rsid w:val="00B77B19"/>
    <w:rsid w:val="00B77FF7"/>
    <w:rsid w:val="00B83C4A"/>
    <w:rsid w:val="00B86C7E"/>
    <w:rsid w:val="00B925E7"/>
    <w:rsid w:val="00B92A09"/>
    <w:rsid w:val="00B94B2E"/>
    <w:rsid w:val="00BA0B29"/>
    <w:rsid w:val="00BA7C35"/>
    <w:rsid w:val="00BB04FA"/>
    <w:rsid w:val="00BB3926"/>
    <w:rsid w:val="00BB4CB2"/>
    <w:rsid w:val="00BB6891"/>
    <w:rsid w:val="00BC0401"/>
    <w:rsid w:val="00BC6F23"/>
    <w:rsid w:val="00BD0633"/>
    <w:rsid w:val="00BD0F86"/>
    <w:rsid w:val="00BD2766"/>
    <w:rsid w:val="00BD56FF"/>
    <w:rsid w:val="00BD7563"/>
    <w:rsid w:val="00BE1A2E"/>
    <w:rsid w:val="00BE282A"/>
    <w:rsid w:val="00BE5998"/>
    <w:rsid w:val="00BE642B"/>
    <w:rsid w:val="00BF1B62"/>
    <w:rsid w:val="00BF5470"/>
    <w:rsid w:val="00BF57D9"/>
    <w:rsid w:val="00BF68B6"/>
    <w:rsid w:val="00C001F4"/>
    <w:rsid w:val="00C00F4F"/>
    <w:rsid w:val="00C0410C"/>
    <w:rsid w:val="00C05AAB"/>
    <w:rsid w:val="00C062C3"/>
    <w:rsid w:val="00C11F8E"/>
    <w:rsid w:val="00C1496A"/>
    <w:rsid w:val="00C14CEB"/>
    <w:rsid w:val="00C20BD0"/>
    <w:rsid w:val="00C20CD9"/>
    <w:rsid w:val="00C21C2C"/>
    <w:rsid w:val="00C23E78"/>
    <w:rsid w:val="00C24928"/>
    <w:rsid w:val="00C322A1"/>
    <w:rsid w:val="00C36273"/>
    <w:rsid w:val="00C36CE0"/>
    <w:rsid w:val="00C37424"/>
    <w:rsid w:val="00C41CE7"/>
    <w:rsid w:val="00C46A59"/>
    <w:rsid w:val="00C46CB0"/>
    <w:rsid w:val="00C50116"/>
    <w:rsid w:val="00C55991"/>
    <w:rsid w:val="00C57A83"/>
    <w:rsid w:val="00C6078C"/>
    <w:rsid w:val="00C642CC"/>
    <w:rsid w:val="00C6475B"/>
    <w:rsid w:val="00C650C3"/>
    <w:rsid w:val="00C7213A"/>
    <w:rsid w:val="00C761A2"/>
    <w:rsid w:val="00C802E4"/>
    <w:rsid w:val="00C83D13"/>
    <w:rsid w:val="00C905B0"/>
    <w:rsid w:val="00C9286F"/>
    <w:rsid w:val="00C93EED"/>
    <w:rsid w:val="00C951CC"/>
    <w:rsid w:val="00C96963"/>
    <w:rsid w:val="00CA1824"/>
    <w:rsid w:val="00CA4617"/>
    <w:rsid w:val="00CA4C25"/>
    <w:rsid w:val="00CB13E8"/>
    <w:rsid w:val="00CB5545"/>
    <w:rsid w:val="00CC21F4"/>
    <w:rsid w:val="00CC3224"/>
    <w:rsid w:val="00CC3736"/>
    <w:rsid w:val="00CC44BB"/>
    <w:rsid w:val="00CC4EF6"/>
    <w:rsid w:val="00CC5C25"/>
    <w:rsid w:val="00CE1FCF"/>
    <w:rsid w:val="00CE4C1E"/>
    <w:rsid w:val="00CF027E"/>
    <w:rsid w:val="00CF080D"/>
    <w:rsid w:val="00CF1D1B"/>
    <w:rsid w:val="00CF30B2"/>
    <w:rsid w:val="00CF3802"/>
    <w:rsid w:val="00CF4CC3"/>
    <w:rsid w:val="00CF53DD"/>
    <w:rsid w:val="00CF75A0"/>
    <w:rsid w:val="00CF7F3A"/>
    <w:rsid w:val="00D00A39"/>
    <w:rsid w:val="00D01697"/>
    <w:rsid w:val="00D039B9"/>
    <w:rsid w:val="00D0536D"/>
    <w:rsid w:val="00D0571C"/>
    <w:rsid w:val="00D107B0"/>
    <w:rsid w:val="00D1117C"/>
    <w:rsid w:val="00D12FC8"/>
    <w:rsid w:val="00D13B96"/>
    <w:rsid w:val="00D15782"/>
    <w:rsid w:val="00D17BB2"/>
    <w:rsid w:val="00D17E15"/>
    <w:rsid w:val="00D20B46"/>
    <w:rsid w:val="00D22AD2"/>
    <w:rsid w:val="00D25E44"/>
    <w:rsid w:val="00D32654"/>
    <w:rsid w:val="00D33D64"/>
    <w:rsid w:val="00D4125D"/>
    <w:rsid w:val="00D53854"/>
    <w:rsid w:val="00D5399E"/>
    <w:rsid w:val="00D552C8"/>
    <w:rsid w:val="00D57EC4"/>
    <w:rsid w:val="00D648D0"/>
    <w:rsid w:val="00D80C14"/>
    <w:rsid w:val="00D82A7A"/>
    <w:rsid w:val="00D83454"/>
    <w:rsid w:val="00D870B9"/>
    <w:rsid w:val="00D9195A"/>
    <w:rsid w:val="00D91B82"/>
    <w:rsid w:val="00D93CED"/>
    <w:rsid w:val="00D93DEA"/>
    <w:rsid w:val="00D9541E"/>
    <w:rsid w:val="00D96082"/>
    <w:rsid w:val="00DA0064"/>
    <w:rsid w:val="00DA75CF"/>
    <w:rsid w:val="00DA7692"/>
    <w:rsid w:val="00DB0EA6"/>
    <w:rsid w:val="00DB0EC8"/>
    <w:rsid w:val="00DB1FCA"/>
    <w:rsid w:val="00DB34B7"/>
    <w:rsid w:val="00DB5550"/>
    <w:rsid w:val="00DB72B5"/>
    <w:rsid w:val="00DC3BC4"/>
    <w:rsid w:val="00DC4AA4"/>
    <w:rsid w:val="00DD0286"/>
    <w:rsid w:val="00DD0D6E"/>
    <w:rsid w:val="00DD2BCE"/>
    <w:rsid w:val="00DD4067"/>
    <w:rsid w:val="00DD48F3"/>
    <w:rsid w:val="00DD68A6"/>
    <w:rsid w:val="00DD72E1"/>
    <w:rsid w:val="00DD7D00"/>
    <w:rsid w:val="00DE44BF"/>
    <w:rsid w:val="00DE4D05"/>
    <w:rsid w:val="00DF0DDF"/>
    <w:rsid w:val="00DF143E"/>
    <w:rsid w:val="00DF2729"/>
    <w:rsid w:val="00DF3B3E"/>
    <w:rsid w:val="00DF6E5B"/>
    <w:rsid w:val="00E0054E"/>
    <w:rsid w:val="00E041C8"/>
    <w:rsid w:val="00E04390"/>
    <w:rsid w:val="00E044F9"/>
    <w:rsid w:val="00E163E1"/>
    <w:rsid w:val="00E228E3"/>
    <w:rsid w:val="00E312BC"/>
    <w:rsid w:val="00E31352"/>
    <w:rsid w:val="00E338C9"/>
    <w:rsid w:val="00E377E3"/>
    <w:rsid w:val="00E40838"/>
    <w:rsid w:val="00E4123F"/>
    <w:rsid w:val="00E43478"/>
    <w:rsid w:val="00E45084"/>
    <w:rsid w:val="00E459C1"/>
    <w:rsid w:val="00E45FF8"/>
    <w:rsid w:val="00E51052"/>
    <w:rsid w:val="00E517D0"/>
    <w:rsid w:val="00E5527A"/>
    <w:rsid w:val="00E577EE"/>
    <w:rsid w:val="00E57984"/>
    <w:rsid w:val="00E617EB"/>
    <w:rsid w:val="00E61AA4"/>
    <w:rsid w:val="00E62D95"/>
    <w:rsid w:val="00E62F72"/>
    <w:rsid w:val="00E65578"/>
    <w:rsid w:val="00E74F8C"/>
    <w:rsid w:val="00E8015F"/>
    <w:rsid w:val="00E80BE6"/>
    <w:rsid w:val="00E81497"/>
    <w:rsid w:val="00E83693"/>
    <w:rsid w:val="00E8557B"/>
    <w:rsid w:val="00E856F4"/>
    <w:rsid w:val="00E902D8"/>
    <w:rsid w:val="00E91A83"/>
    <w:rsid w:val="00E95BC4"/>
    <w:rsid w:val="00E96085"/>
    <w:rsid w:val="00E9705E"/>
    <w:rsid w:val="00EA1004"/>
    <w:rsid w:val="00EA6825"/>
    <w:rsid w:val="00EA7D55"/>
    <w:rsid w:val="00EB0026"/>
    <w:rsid w:val="00EB12F5"/>
    <w:rsid w:val="00EB243C"/>
    <w:rsid w:val="00EB24C3"/>
    <w:rsid w:val="00EB2DE7"/>
    <w:rsid w:val="00EB4EE8"/>
    <w:rsid w:val="00EB775C"/>
    <w:rsid w:val="00EC3A17"/>
    <w:rsid w:val="00EC53DA"/>
    <w:rsid w:val="00ED46EC"/>
    <w:rsid w:val="00ED4F9F"/>
    <w:rsid w:val="00ED58C8"/>
    <w:rsid w:val="00EE102D"/>
    <w:rsid w:val="00EE296B"/>
    <w:rsid w:val="00EE56CF"/>
    <w:rsid w:val="00EF185F"/>
    <w:rsid w:val="00EF6005"/>
    <w:rsid w:val="00F00DFC"/>
    <w:rsid w:val="00F040F1"/>
    <w:rsid w:val="00F07D7D"/>
    <w:rsid w:val="00F145BF"/>
    <w:rsid w:val="00F15A08"/>
    <w:rsid w:val="00F16B6E"/>
    <w:rsid w:val="00F16F15"/>
    <w:rsid w:val="00F172E0"/>
    <w:rsid w:val="00F21E30"/>
    <w:rsid w:val="00F251A1"/>
    <w:rsid w:val="00F2688F"/>
    <w:rsid w:val="00F3347F"/>
    <w:rsid w:val="00F33ED5"/>
    <w:rsid w:val="00F3448F"/>
    <w:rsid w:val="00F3579D"/>
    <w:rsid w:val="00F35DC4"/>
    <w:rsid w:val="00F36F80"/>
    <w:rsid w:val="00F42CDE"/>
    <w:rsid w:val="00F43E26"/>
    <w:rsid w:val="00F43ECD"/>
    <w:rsid w:val="00F44EA0"/>
    <w:rsid w:val="00F50D44"/>
    <w:rsid w:val="00F51459"/>
    <w:rsid w:val="00F53066"/>
    <w:rsid w:val="00F634B9"/>
    <w:rsid w:val="00F6467E"/>
    <w:rsid w:val="00F65C28"/>
    <w:rsid w:val="00F67792"/>
    <w:rsid w:val="00F700E0"/>
    <w:rsid w:val="00F71AE8"/>
    <w:rsid w:val="00F77324"/>
    <w:rsid w:val="00F774BC"/>
    <w:rsid w:val="00F77DEA"/>
    <w:rsid w:val="00F82597"/>
    <w:rsid w:val="00F83CCF"/>
    <w:rsid w:val="00F8564E"/>
    <w:rsid w:val="00F86F91"/>
    <w:rsid w:val="00F90196"/>
    <w:rsid w:val="00F9603C"/>
    <w:rsid w:val="00F96F47"/>
    <w:rsid w:val="00F976A3"/>
    <w:rsid w:val="00FA1340"/>
    <w:rsid w:val="00FA3014"/>
    <w:rsid w:val="00FA5629"/>
    <w:rsid w:val="00FB1798"/>
    <w:rsid w:val="00FB7B3A"/>
    <w:rsid w:val="00FC3049"/>
    <w:rsid w:val="00FC4AE1"/>
    <w:rsid w:val="00FC5632"/>
    <w:rsid w:val="00FD0484"/>
    <w:rsid w:val="00FD45ED"/>
    <w:rsid w:val="00FD6ACD"/>
    <w:rsid w:val="00FE09CF"/>
    <w:rsid w:val="00FE0FE5"/>
    <w:rsid w:val="00FE4BC6"/>
    <w:rsid w:val="00FE659C"/>
    <w:rsid w:val="00FF094C"/>
    <w:rsid w:val="00FF2EA9"/>
    <w:rsid w:val="00FF3F3C"/>
    <w:rsid w:val="00FF5F4C"/>
    <w:rsid w:val="00FF62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kern w:val="28"/>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B6891"/>
  </w:style>
  <w:style w:type="paragraph" w:styleId="Heading1">
    <w:name w:val="heading 1"/>
    <w:basedOn w:val="Normal"/>
    <w:next w:val="Normal"/>
    <w:link w:val="Heading1Char"/>
    <w:uiPriority w:val="9"/>
    <w:qFormat/>
    <w:rsid w:val="003C01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D2BCE"/>
    <w:pPr>
      <w:spacing w:before="100" w:beforeAutospacing="1" w:after="100" w:afterAutospacing="1"/>
      <w:outlineLvl w:val="1"/>
    </w:pPr>
    <w:rPr>
      <w:rFonts w:eastAsia="Times New Roman"/>
      <w:b/>
      <w:bCs/>
      <w:color w:val="auto"/>
      <w:kern w:val="0"/>
      <w:szCs w:val="36"/>
    </w:rPr>
  </w:style>
  <w:style w:type="paragraph" w:styleId="Heading3">
    <w:name w:val="heading 3"/>
    <w:basedOn w:val="Normal"/>
    <w:next w:val="Normal"/>
    <w:link w:val="Heading3Char"/>
    <w:uiPriority w:val="9"/>
    <w:unhideWhenUsed/>
    <w:qFormat/>
    <w:rsid w:val="00DD2BCE"/>
    <w:pPr>
      <w:keepNext/>
      <w:keepLines/>
      <w:spacing w:before="200"/>
      <w:outlineLvl w:val="2"/>
    </w:pPr>
    <w:rPr>
      <w:rFonts w:eastAsiaTheme="majorEastAsia" w:cstheme="majorBidi"/>
      <w:b/>
      <w:bCs/>
      <w:color w:val="auto"/>
      <w:sz w:val="20"/>
    </w:rPr>
  </w:style>
  <w:style w:type="paragraph" w:styleId="Heading6">
    <w:name w:val="heading 6"/>
    <w:basedOn w:val="Normal"/>
    <w:next w:val="Normal"/>
    <w:link w:val="Heading6Char"/>
    <w:uiPriority w:val="9"/>
    <w:semiHidden/>
    <w:unhideWhenUsed/>
    <w:qFormat/>
    <w:rsid w:val="003C012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qFormat/>
    <w:rsid w:val="00713A91"/>
    <w:rPr>
      <w:sz w:val="20"/>
      <w:szCs w:val="20"/>
    </w:rPr>
  </w:style>
  <w:style w:type="character" w:customStyle="1" w:styleId="FootnoteTextChar">
    <w:name w:val="Footnote Text Char"/>
    <w:basedOn w:val="DefaultParagraphFont"/>
    <w:link w:val="FootnoteText"/>
    <w:uiPriority w:val="99"/>
    <w:semiHidden/>
    <w:rsid w:val="00713A91"/>
    <w:rPr>
      <w:sz w:val="20"/>
      <w:szCs w:val="20"/>
    </w:rPr>
  </w:style>
  <w:style w:type="character" w:styleId="FootnoteReference">
    <w:name w:val="footnote reference"/>
    <w:basedOn w:val="DefaultParagraphFont"/>
    <w:uiPriority w:val="99"/>
    <w:semiHidden/>
    <w:unhideWhenUsed/>
    <w:qFormat/>
    <w:rsid w:val="00713A91"/>
    <w:rPr>
      <w:vertAlign w:val="superscript"/>
    </w:rPr>
  </w:style>
  <w:style w:type="paragraph" w:customStyle="1" w:styleId="emission">
    <w:name w:val="emission"/>
    <w:basedOn w:val="Normal"/>
    <w:rsid w:val="00713A91"/>
    <w:pPr>
      <w:spacing w:before="100" w:beforeAutospacing="1" w:after="100" w:afterAutospacing="1"/>
    </w:pPr>
    <w:rPr>
      <w:rFonts w:eastAsia="Times New Roman"/>
      <w:color w:val="auto"/>
      <w:kern w:val="0"/>
    </w:rPr>
  </w:style>
  <w:style w:type="paragraph" w:customStyle="1" w:styleId="rfrenceinstitutionnelle">
    <w:name w:val="rfrenceinstitutionnelle"/>
    <w:basedOn w:val="Normal"/>
    <w:rsid w:val="00713A91"/>
    <w:pPr>
      <w:spacing w:before="100" w:beforeAutospacing="1" w:after="100" w:afterAutospacing="1"/>
    </w:pPr>
    <w:rPr>
      <w:rFonts w:eastAsia="Times New Roman"/>
      <w:color w:val="auto"/>
      <w:kern w:val="0"/>
    </w:rPr>
  </w:style>
  <w:style w:type="paragraph" w:customStyle="1" w:styleId="typedudocumentcp">
    <w:name w:val="typedudocument_cp"/>
    <w:basedOn w:val="Normal"/>
    <w:rsid w:val="00713A91"/>
    <w:pPr>
      <w:spacing w:before="100" w:beforeAutospacing="1" w:after="100" w:afterAutospacing="1"/>
    </w:pPr>
    <w:rPr>
      <w:rFonts w:eastAsia="Times New Roman"/>
      <w:color w:val="auto"/>
      <w:kern w:val="0"/>
    </w:rPr>
  </w:style>
  <w:style w:type="paragraph" w:customStyle="1" w:styleId="accompagnantcp">
    <w:name w:val="accompagnant_cp"/>
    <w:basedOn w:val="Normal"/>
    <w:rsid w:val="00713A91"/>
    <w:pPr>
      <w:spacing w:before="100" w:beforeAutospacing="1" w:after="100" w:afterAutospacing="1"/>
    </w:pPr>
    <w:rPr>
      <w:rFonts w:eastAsia="Times New Roman"/>
      <w:color w:val="auto"/>
      <w:kern w:val="0"/>
    </w:rPr>
  </w:style>
  <w:style w:type="paragraph" w:customStyle="1" w:styleId="typeacteprincipalcp">
    <w:name w:val="typeacteprincipal_cp"/>
    <w:basedOn w:val="Normal"/>
    <w:rsid w:val="00713A91"/>
    <w:pPr>
      <w:spacing w:before="100" w:beforeAutospacing="1" w:after="100" w:afterAutospacing="1"/>
    </w:pPr>
    <w:rPr>
      <w:rFonts w:eastAsia="Times New Roman"/>
      <w:color w:val="auto"/>
      <w:kern w:val="0"/>
    </w:rPr>
  </w:style>
  <w:style w:type="paragraph" w:customStyle="1" w:styleId="objetacteprincipalcp">
    <w:name w:val="objetacteprincipal_cp"/>
    <w:basedOn w:val="Normal"/>
    <w:rsid w:val="00713A91"/>
    <w:pPr>
      <w:spacing w:before="100" w:beforeAutospacing="1" w:after="100" w:afterAutospacing="1"/>
    </w:pPr>
    <w:rPr>
      <w:rFonts w:eastAsia="Times New Roman"/>
      <w:color w:val="auto"/>
      <w:kern w:val="0"/>
    </w:rPr>
  </w:style>
  <w:style w:type="paragraph" w:customStyle="1" w:styleId="basic-paragraph">
    <w:name w:val="basic-paragraph"/>
    <w:basedOn w:val="Normal"/>
    <w:rsid w:val="008166FB"/>
    <w:pPr>
      <w:spacing w:before="100" w:beforeAutospacing="1" w:after="100" w:afterAutospacing="1"/>
    </w:pPr>
    <w:rPr>
      <w:rFonts w:eastAsia="Times New Roman"/>
      <w:color w:val="auto"/>
      <w:kern w:val="0"/>
    </w:rPr>
  </w:style>
  <w:style w:type="character" w:customStyle="1" w:styleId="italik">
    <w:name w:val="italik"/>
    <w:basedOn w:val="DefaultParagraphFont"/>
    <w:rsid w:val="008166FB"/>
  </w:style>
  <w:style w:type="paragraph" w:customStyle="1" w:styleId="bold">
    <w:name w:val="bold"/>
    <w:basedOn w:val="Normal"/>
    <w:rsid w:val="008166FB"/>
    <w:pPr>
      <w:spacing w:before="100" w:beforeAutospacing="1" w:after="100" w:afterAutospacing="1"/>
    </w:pPr>
    <w:rPr>
      <w:rFonts w:eastAsia="Times New Roman"/>
      <w:color w:val="auto"/>
      <w:kern w:val="0"/>
    </w:rPr>
  </w:style>
  <w:style w:type="paragraph" w:customStyle="1" w:styleId="clan">
    <w:name w:val="clan"/>
    <w:basedOn w:val="Normal"/>
    <w:rsid w:val="008166FB"/>
    <w:pPr>
      <w:spacing w:before="100" w:beforeAutospacing="1" w:after="100" w:afterAutospacing="1"/>
    </w:pPr>
    <w:rPr>
      <w:rFonts w:eastAsia="Times New Roman"/>
      <w:color w:val="auto"/>
      <w:kern w:val="0"/>
    </w:rPr>
  </w:style>
  <w:style w:type="paragraph" w:customStyle="1" w:styleId="odluka-zakon">
    <w:name w:val="odluka-zakon"/>
    <w:basedOn w:val="Normal"/>
    <w:rsid w:val="008166FB"/>
    <w:pPr>
      <w:spacing w:before="100" w:beforeAutospacing="1" w:after="100" w:afterAutospacing="1"/>
    </w:pPr>
    <w:rPr>
      <w:rFonts w:eastAsia="Times New Roman"/>
      <w:color w:val="auto"/>
      <w:kern w:val="0"/>
    </w:rPr>
  </w:style>
  <w:style w:type="paragraph" w:customStyle="1" w:styleId="auto-style1">
    <w:name w:val="auto-style1"/>
    <w:basedOn w:val="Normal"/>
    <w:rsid w:val="008166FB"/>
    <w:pPr>
      <w:spacing w:before="100" w:beforeAutospacing="1" w:after="100" w:afterAutospacing="1"/>
    </w:pPr>
    <w:rPr>
      <w:rFonts w:eastAsia="Times New Roman"/>
      <w:color w:val="auto"/>
      <w:kern w:val="0"/>
    </w:rPr>
  </w:style>
  <w:style w:type="paragraph" w:customStyle="1" w:styleId="centar">
    <w:name w:val="centar"/>
    <w:basedOn w:val="Normal"/>
    <w:rsid w:val="00B77B19"/>
    <w:pPr>
      <w:spacing w:before="100" w:beforeAutospacing="1" w:after="100" w:afterAutospacing="1"/>
    </w:pPr>
    <w:rPr>
      <w:rFonts w:eastAsia="Times New Roman"/>
      <w:color w:val="auto"/>
      <w:kern w:val="0"/>
    </w:rPr>
  </w:style>
  <w:style w:type="paragraph" w:customStyle="1" w:styleId="Default">
    <w:name w:val="Default"/>
    <w:rsid w:val="006C3281"/>
    <w:pPr>
      <w:autoSpaceDE w:val="0"/>
      <w:autoSpaceDN w:val="0"/>
      <w:adjustRightInd w:val="0"/>
    </w:pPr>
    <w:rPr>
      <w:rFonts w:ascii="Arial" w:hAnsi="Arial" w:cs="Arial"/>
      <w:kern w:val="0"/>
    </w:rPr>
  </w:style>
  <w:style w:type="paragraph" w:styleId="ListParagraph">
    <w:name w:val="List Paragraph"/>
    <w:basedOn w:val="Normal"/>
    <w:link w:val="ListParagraphChar"/>
    <w:uiPriority w:val="34"/>
    <w:qFormat/>
    <w:rsid w:val="006C3281"/>
    <w:pPr>
      <w:ind w:left="720"/>
      <w:contextualSpacing/>
    </w:pPr>
  </w:style>
  <w:style w:type="table" w:styleId="TableGrid">
    <w:name w:val="Table Grid"/>
    <w:basedOn w:val="TableNormal"/>
    <w:uiPriority w:val="59"/>
    <w:rsid w:val="008813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ATF-TEXTE1115">
    <w:name w:val="FATF-TEXTE 11/15"/>
    <w:link w:val="FATF-TEXTE1115Char"/>
    <w:qFormat/>
    <w:rsid w:val="0088138E"/>
    <w:pPr>
      <w:tabs>
        <w:tab w:val="left" w:pos="624"/>
        <w:tab w:val="left" w:pos="1247"/>
        <w:tab w:val="left" w:pos="1871"/>
        <w:tab w:val="left" w:pos="2495"/>
        <w:tab w:val="left" w:pos="3119"/>
      </w:tabs>
      <w:spacing w:after="120" w:line="300" w:lineRule="exact"/>
      <w:jc w:val="both"/>
    </w:pPr>
    <w:rPr>
      <w:rFonts w:ascii="Cambria" w:eastAsia="SimSun" w:hAnsi="Cambria"/>
      <w:color w:val="auto"/>
      <w:kern w:val="0"/>
      <w:sz w:val="22"/>
      <w:szCs w:val="22"/>
      <w:lang w:val="en-GB" w:eastAsia="zh-CN"/>
    </w:rPr>
  </w:style>
  <w:style w:type="character" w:customStyle="1" w:styleId="FATF-TEXTE1115Char">
    <w:name w:val="FATF-TEXTE 11/15 Char"/>
    <w:basedOn w:val="DefaultParagraphFont"/>
    <w:link w:val="FATF-TEXTE1115"/>
    <w:rsid w:val="0088138E"/>
    <w:rPr>
      <w:rFonts w:ascii="Cambria" w:eastAsia="SimSun" w:hAnsi="Cambria"/>
      <w:color w:val="auto"/>
      <w:kern w:val="0"/>
      <w:sz w:val="22"/>
      <w:szCs w:val="22"/>
      <w:lang w:val="en-GB" w:eastAsia="zh-CN"/>
    </w:rPr>
  </w:style>
  <w:style w:type="paragraph" w:styleId="BalloonText">
    <w:name w:val="Balloon Text"/>
    <w:basedOn w:val="Normal"/>
    <w:link w:val="BalloonTextChar"/>
    <w:uiPriority w:val="99"/>
    <w:semiHidden/>
    <w:unhideWhenUsed/>
    <w:rsid w:val="00A26580"/>
    <w:rPr>
      <w:rFonts w:ascii="Tahoma" w:hAnsi="Tahoma" w:cs="Tahoma"/>
      <w:sz w:val="16"/>
      <w:szCs w:val="16"/>
    </w:rPr>
  </w:style>
  <w:style w:type="character" w:customStyle="1" w:styleId="BalloonTextChar">
    <w:name w:val="Balloon Text Char"/>
    <w:basedOn w:val="DefaultParagraphFont"/>
    <w:link w:val="BalloonText"/>
    <w:uiPriority w:val="99"/>
    <w:semiHidden/>
    <w:rsid w:val="00A26580"/>
    <w:rPr>
      <w:rFonts w:ascii="Tahoma" w:hAnsi="Tahoma" w:cs="Tahoma"/>
      <w:sz w:val="16"/>
      <w:szCs w:val="16"/>
    </w:rPr>
  </w:style>
  <w:style w:type="character" w:customStyle="1" w:styleId="Heading2Char">
    <w:name w:val="Heading 2 Char"/>
    <w:basedOn w:val="DefaultParagraphFont"/>
    <w:link w:val="Heading2"/>
    <w:uiPriority w:val="9"/>
    <w:rsid w:val="00DD2BCE"/>
    <w:rPr>
      <w:rFonts w:eastAsia="Times New Roman"/>
      <w:b/>
      <w:bCs/>
      <w:color w:val="auto"/>
      <w:kern w:val="0"/>
      <w:szCs w:val="36"/>
    </w:rPr>
  </w:style>
  <w:style w:type="paragraph" w:styleId="PlainText">
    <w:name w:val="Plain Text"/>
    <w:basedOn w:val="Normal"/>
    <w:link w:val="PlainTextChar"/>
    <w:uiPriority w:val="99"/>
    <w:semiHidden/>
    <w:unhideWhenUsed/>
    <w:rsid w:val="000E3FF6"/>
    <w:rPr>
      <w:rFonts w:ascii="Consolas" w:eastAsia="Calibri" w:hAnsi="Consolas"/>
      <w:color w:val="auto"/>
      <w:kern w:val="0"/>
      <w:sz w:val="21"/>
      <w:szCs w:val="21"/>
    </w:rPr>
  </w:style>
  <w:style w:type="character" w:customStyle="1" w:styleId="PlainTextChar">
    <w:name w:val="Plain Text Char"/>
    <w:basedOn w:val="DefaultParagraphFont"/>
    <w:link w:val="PlainText"/>
    <w:uiPriority w:val="99"/>
    <w:semiHidden/>
    <w:rsid w:val="000E3FF6"/>
    <w:rPr>
      <w:rFonts w:ascii="Consolas" w:eastAsia="Calibri" w:hAnsi="Consolas"/>
      <w:color w:val="auto"/>
      <w:kern w:val="0"/>
      <w:sz w:val="21"/>
      <w:szCs w:val="21"/>
    </w:rPr>
  </w:style>
  <w:style w:type="paragraph" w:styleId="NormalWeb">
    <w:name w:val="Normal (Web)"/>
    <w:basedOn w:val="Normal"/>
    <w:uiPriority w:val="99"/>
    <w:semiHidden/>
    <w:unhideWhenUsed/>
    <w:rsid w:val="00F6467E"/>
    <w:pPr>
      <w:spacing w:before="100" w:beforeAutospacing="1" w:after="100" w:afterAutospacing="1"/>
    </w:pPr>
    <w:rPr>
      <w:rFonts w:eastAsia="Times New Roman"/>
      <w:color w:val="auto"/>
      <w:kern w:val="0"/>
    </w:rPr>
  </w:style>
  <w:style w:type="character" w:styleId="Strong">
    <w:name w:val="Strong"/>
    <w:basedOn w:val="DefaultParagraphFont"/>
    <w:uiPriority w:val="22"/>
    <w:qFormat/>
    <w:rsid w:val="00F6467E"/>
    <w:rPr>
      <w:b/>
      <w:bCs/>
    </w:rPr>
  </w:style>
  <w:style w:type="character" w:customStyle="1" w:styleId="Heading1Char">
    <w:name w:val="Heading 1 Char"/>
    <w:basedOn w:val="DefaultParagraphFont"/>
    <w:link w:val="Heading1"/>
    <w:uiPriority w:val="9"/>
    <w:rsid w:val="003C012B"/>
    <w:rPr>
      <w:rFonts w:asciiTheme="majorHAnsi" w:eastAsiaTheme="majorEastAsia" w:hAnsiTheme="majorHAnsi" w:cstheme="majorBidi"/>
      <w:b/>
      <w:bCs/>
      <w:color w:val="365F91" w:themeColor="accent1" w:themeShade="BF"/>
      <w:sz w:val="28"/>
      <w:szCs w:val="28"/>
    </w:rPr>
  </w:style>
  <w:style w:type="character" w:customStyle="1" w:styleId="Heading6Char">
    <w:name w:val="Heading 6 Char"/>
    <w:basedOn w:val="DefaultParagraphFont"/>
    <w:link w:val="Heading6"/>
    <w:uiPriority w:val="9"/>
    <w:semiHidden/>
    <w:rsid w:val="003C012B"/>
    <w:rPr>
      <w:rFonts w:asciiTheme="majorHAnsi" w:eastAsiaTheme="majorEastAsia" w:hAnsiTheme="majorHAnsi" w:cstheme="majorBidi"/>
      <w:i/>
      <w:iCs/>
      <w:color w:val="243F60" w:themeColor="accent1" w:themeShade="7F"/>
    </w:rPr>
  </w:style>
  <w:style w:type="character" w:styleId="Hyperlink">
    <w:name w:val="Hyperlink"/>
    <w:basedOn w:val="DefaultParagraphFont"/>
    <w:uiPriority w:val="99"/>
    <w:unhideWhenUsed/>
    <w:rsid w:val="003C012B"/>
    <w:rPr>
      <w:color w:val="0000FF"/>
      <w:u w:val="single"/>
    </w:rPr>
  </w:style>
  <w:style w:type="paragraph" w:styleId="NoSpacing">
    <w:name w:val="No Spacing"/>
    <w:link w:val="NoSpacingChar"/>
    <w:uiPriority w:val="1"/>
    <w:qFormat/>
    <w:rsid w:val="00F36F80"/>
    <w:rPr>
      <w:rFonts w:asciiTheme="minorHAnsi" w:eastAsiaTheme="minorEastAsia" w:hAnsiTheme="minorHAnsi" w:cstheme="minorBidi"/>
      <w:color w:val="auto"/>
      <w:kern w:val="0"/>
      <w:sz w:val="22"/>
      <w:szCs w:val="22"/>
    </w:rPr>
  </w:style>
  <w:style w:type="character" w:customStyle="1" w:styleId="NoSpacingChar">
    <w:name w:val="No Spacing Char"/>
    <w:basedOn w:val="DefaultParagraphFont"/>
    <w:link w:val="NoSpacing"/>
    <w:uiPriority w:val="1"/>
    <w:rsid w:val="00F36F80"/>
    <w:rPr>
      <w:rFonts w:asciiTheme="minorHAnsi" w:eastAsiaTheme="minorEastAsia" w:hAnsiTheme="minorHAnsi" w:cstheme="minorBidi"/>
      <w:color w:val="auto"/>
      <w:kern w:val="0"/>
      <w:sz w:val="22"/>
      <w:szCs w:val="22"/>
    </w:rPr>
  </w:style>
  <w:style w:type="character" w:styleId="CommentReference">
    <w:name w:val="annotation reference"/>
    <w:basedOn w:val="DefaultParagraphFont"/>
    <w:uiPriority w:val="99"/>
    <w:semiHidden/>
    <w:unhideWhenUsed/>
    <w:rsid w:val="00BE1A2E"/>
    <w:rPr>
      <w:sz w:val="16"/>
      <w:szCs w:val="16"/>
    </w:rPr>
  </w:style>
  <w:style w:type="paragraph" w:styleId="CommentText">
    <w:name w:val="annotation text"/>
    <w:basedOn w:val="Normal"/>
    <w:link w:val="CommentTextChar"/>
    <w:uiPriority w:val="99"/>
    <w:unhideWhenUsed/>
    <w:rsid w:val="00BE1A2E"/>
    <w:rPr>
      <w:sz w:val="20"/>
      <w:szCs w:val="20"/>
    </w:rPr>
  </w:style>
  <w:style w:type="character" w:customStyle="1" w:styleId="CommentTextChar">
    <w:name w:val="Comment Text Char"/>
    <w:basedOn w:val="DefaultParagraphFont"/>
    <w:link w:val="CommentText"/>
    <w:uiPriority w:val="99"/>
    <w:rsid w:val="00BE1A2E"/>
    <w:rPr>
      <w:sz w:val="20"/>
      <w:szCs w:val="20"/>
    </w:rPr>
  </w:style>
  <w:style w:type="paragraph" w:styleId="CommentSubject">
    <w:name w:val="annotation subject"/>
    <w:basedOn w:val="CommentText"/>
    <w:next w:val="CommentText"/>
    <w:link w:val="CommentSubjectChar"/>
    <w:uiPriority w:val="99"/>
    <w:semiHidden/>
    <w:unhideWhenUsed/>
    <w:rsid w:val="00BE1A2E"/>
    <w:rPr>
      <w:b/>
      <w:bCs/>
    </w:rPr>
  </w:style>
  <w:style w:type="character" w:customStyle="1" w:styleId="CommentSubjectChar">
    <w:name w:val="Comment Subject Char"/>
    <w:basedOn w:val="CommentTextChar"/>
    <w:link w:val="CommentSubject"/>
    <w:uiPriority w:val="99"/>
    <w:semiHidden/>
    <w:rsid w:val="00BE1A2E"/>
    <w:rPr>
      <w:b/>
      <w:bCs/>
      <w:sz w:val="20"/>
      <w:szCs w:val="20"/>
    </w:rPr>
  </w:style>
  <w:style w:type="character" w:customStyle="1" w:styleId="ListParagraphChar">
    <w:name w:val="List Paragraph Char"/>
    <w:link w:val="ListParagraph"/>
    <w:uiPriority w:val="34"/>
    <w:locked/>
    <w:rsid w:val="002632C2"/>
  </w:style>
  <w:style w:type="character" w:styleId="PageNumber">
    <w:name w:val="page number"/>
    <w:basedOn w:val="DefaultParagraphFont"/>
    <w:uiPriority w:val="99"/>
    <w:semiHidden/>
    <w:unhideWhenUsed/>
    <w:rsid w:val="00A70FDA"/>
  </w:style>
  <w:style w:type="paragraph" w:styleId="TOCHeading">
    <w:name w:val="TOC Heading"/>
    <w:basedOn w:val="Heading1"/>
    <w:next w:val="Normal"/>
    <w:uiPriority w:val="39"/>
    <w:semiHidden/>
    <w:unhideWhenUsed/>
    <w:qFormat/>
    <w:rsid w:val="00A70FDA"/>
    <w:pPr>
      <w:spacing w:line="276" w:lineRule="auto"/>
      <w:outlineLvl w:val="9"/>
    </w:pPr>
    <w:rPr>
      <w:kern w:val="0"/>
    </w:rPr>
  </w:style>
  <w:style w:type="paragraph" w:styleId="TOC1">
    <w:name w:val="toc 1"/>
    <w:basedOn w:val="Normal"/>
    <w:next w:val="Normal"/>
    <w:autoRedefine/>
    <w:uiPriority w:val="39"/>
    <w:unhideWhenUsed/>
    <w:rsid w:val="00A70FDA"/>
    <w:pPr>
      <w:spacing w:after="100"/>
    </w:pPr>
  </w:style>
  <w:style w:type="character" w:customStyle="1" w:styleId="il">
    <w:name w:val="il"/>
    <w:basedOn w:val="DefaultParagraphFont"/>
    <w:rsid w:val="00E04390"/>
  </w:style>
  <w:style w:type="character" w:customStyle="1" w:styleId="v2-clan-left-1">
    <w:name w:val="v2-clan-left-1"/>
    <w:basedOn w:val="DefaultParagraphFont"/>
    <w:rsid w:val="00DA75CF"/>
  </w:style>
  <w:style w:type="paragraph" w:customStyle="1" w:styleId="potpis">
    <w:name w:val="potpis"/>
    <w:basedOn w:val="Normal"/>
    <w:rsid w:val="00DA75CF"/>
    <w:pPr>
      <w:spacing w:before="100" w:beforeAutospacing="1" w:after="100" w:afterAutospacing="1"/>
    </w:pPr>
    <w:rPr>
      <w:rFonts w:eastAsia="Times New Roman"/>
      <w:color w:val="auto"/>
      <w:kern w:val="0"/>
      <w:lang w:val="en-GB" w:eastAsia="en-GB"/>
    </w:rPr>
  </w:style>
  <w:style w:type="character" w:customStyle="1" w:styleId="st">
    <w:name w:val="st"/>
    <w:basedOn w:val="DefaultParagraphFont"/>
    <w:rsid w:val="0004492D"/>
  </w:style>
  <w:style w:type="paragraph" w:styleId="Header">
    <w:name w:val="header"/>
    <w:basedOn w:val="Normal"/>
    <w:link w:val="HeaderChar"/>
    <w:uiPriority w:val="99"/>
    <w:unhideWhenUsed/>
    <w:rsid w:val="006B456A"/>
    <w:pPr>
      <w:tabs>
        <w:tab w:val="center" w:pos="4513"/>
        <w:tab w:val="right" w:pos="9026"/>
      </w:tabs>
    </w:pPr>
  </w:style>
  <w:style w:type="character" w:customStyle="1" w:styleId="HeaderChar">
    <w:name w:val="Header Char"/>
    <w:basedOn w:val="DefaultParagraphFont"/>
    <w:link w:val="Header"/>
    <w:uiPriority w:val="99"/>
    <w:rsid w:val="006B456A"/>
  </w:style>
  <w:style w:type="paragraph" w:styleId="Footer">
    <w:name w:val="footer"/>
    <w:basedOn w:val="Normal"/>
    <w:link w:val="FooterChar"/>
    <w:uiPriority w:val="99"/>
    <w:unhideWhenUsed/>
    <w:rsid w:val="006B456A"/>
    <w:pPr>
      <w:tabs>
        <w:tab w:val="center" w:pos="4513"/>
        <w:tab w:val="right" w:pos="9026"/>
      </w:tabs>
    </w:pPr>
  </w:style>
  <w:style w:type="character" w:customStyle="1" w:styleId="FooterChar">
    <w:name w:val="Footer Char"/>
    <w:basedOn w:val="DefaultParagraphFont"/>
    <w:link w:val="Footer"/>
    <w:uiPriority w:val="99"/>
    <w:rsid w:val="006B456A"/>
  </w:style>
  <w:style w:type="paragraph" w:styleId="Revision">
    <w:name w:val="Revision"/>
    <w:hidden/>
    <w:uiPriority w:val="99"/>
    <w:semiHidden/>
    <w:rsid w:val="00F43ECD"/>
    <w:rPr>
      <w:rFonts w:asciiTheme="minorHAnsi" w:hAnsiTheme="minorHAnsi" w:cstheme="minorBidi"/>
      <w:color w:val="auto"/>
      <w:kern w:val="0"/>
      <w:sz w:val="22"/>
      <w:szCs w:val="22"/>
    </w:rPr>
  </w:style>
  <w:style w:type="character" w:customStyle="1" w:styleId="highlight">
    <w:name w:val="highlight"/>
    <w:basedOn w:val="DefaultParagraphFont"/>
    <w:rsid w:val="00F43ECD"/>
  </w:style>
  <w:style w:type="character" w:customStyle="1" w:styleId="naslovpropisa1">
    <w:name w:val="naslovpropisa1"/>
    <w:basedOn w:val="DefaultParagraphFont"/>
    <w:rsid w:val="00182940"/>
  </w:style>
  <w:style w:type="character" w:customStyle="1" w:styleId="naslovpropisa1a">
    <w:name w:val="naslovpropisa1a"/>
    <w:basedOn w:val="DefaultParagraphFont"/>
    <w:rsid w:val="00182940"/>
  </w:style>
  <w:style w:type="paragraph" w:customStyle="1" w:styleId="podnaslovpropisa">
    <w:name w:val="podnaslovpropisa"/>
    <w:basedOn w:val="Normal"/>
    <w:rsid w:val="00182940"/>
    <w:pPr>
      <w:spacing w:before="100" w:beforeAutospacing="1" w:after="100" w:afterAutospacing="1"/>
    </w:pPr>
    <w:rPr>
      <w:rFonts w:eastAsia="Times New Roman"/>
      <w:color w:val="auto"/>
      <w:kern w:val="0"/>
    </w:rPr>
  </w:style>
  <w:style w:type="table" w:styleId="MediumGrid3-Accent1">
    <w:name w:val="Medium Grid 3 Accent 1"/>
    <w:basedOn w:val="TableNormal"/>
    <w:uiPriority w:val="69"/>
    <w:rsid w:val="00A1499B"/>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1">
    <w:name w:val="Medium Grid 31"/>
    <w:basedOn w:val="TableNormal"/>
    <w:uiPriority w:val="69"/>
    <w:rsid w:val="00972C36"/>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character" w:customStyle="1" w:styleId="Heading3Char">
    <w:name w:val="Heading 3 Char"/>
    <w:basedOn w:val="DefaultParagraphFont"/>
    <w:link w:val="Heading3"/>
    <w:uiPriority w:val="9"/>
    <w:rsid w:val="00DD2BCE"/>
    <w:rPr>
      <w:rFonts w:eastAsiaTheme="majorEastAsia" w:cstheme="majorBidi"/>
      <w:b/>
      <w:bCs/>
      <w:color w:val="auto"/>
      <w:sz w:val="20"/>
    </w:rPr>
  </w:style>
  <w:style w:type="paragraph" w:styleId="TOC2">
    <w:name w:val="toc 2"/>
    <w:basedOn w:val="Normal"/>
    <w:next w:val="Normal"/>
    <w:autoRedefine/>
    <w:uiPriority w:val="39"/>
    <w:unhideWhenUsed/>
    <w:rsid w:val="009E02C0"/>
    <w:pPr>
      <w:spacing w:after="100"/>
      <w:ind w:left="240"/>
    </w:pPr>
  </w:style>
  <w:style w:type="paragraph" w:styleId="TOC3">
    <w:name w:val="toc 3"/>
    <w:basedOn w:val="Normal"/>
    <w:next w:val="Normal"/>
    <w:autoRedefine/>
    <w:uiPriority w:val="39"/>
    <w:unhideWhenUsed/>
    <w:rsid w:val="009E02C0"/>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kern w:val="28"/>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B6891"/>
  </w:style>
  <w:style w:type="paragraph" w:styleId="Heading1">
    <w:name w:val="heading 1"/>
    <w:basedOn w:val="Normal"/>
    <w:next w:val="Normal"/>
    <w:link w:val="Heading1Char"/>
    <w:uiPriority w:val="9"/>
    <w:qFormat/>
    <w:rsid w:val="003C01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D2BCE"/>
    <w:pPr>
      <w:spacing w:before="100" w:beforeAutospacing="1" w:after="100" w:afterAutospacing="1"/>
      <w:outlineLvl w:val="1"/>
    </w:pPr>
    <w:rPr>
      <w:rFonts w:eastAsia="Times New Roman"/>
      <w:b/>
      <w:bCs/>
      <w:color w:val="auto"/>
      <w:kern w:val="0"/>
      <w:szCs w:val="36"/>
    </w:rPr>
  </w:style>
  <w:style w:type="paragraph" w:styleId="Heading3">
    <w:name w:val="heading 3"/>
    <w:basedOn w:val="Normal"/>
    <w:next w:val="Normal"/>
    <w:link w:val="Heading3Char"/>
    <w:uiPriority w:val="9"/>
    <w:unhideWhenUsed/>
    <w:qFormat/>
    <w:rsid w:val="00DD2BCE"/>
    <w:pPr>
      <w:keepNext/>
      <w:keepLines/>
      <w:spacing w:before="200"/>
      <w:outlineLvl w:val="2"/>
    </w:pPr>
    <w:rPr>
      <w:rFonts w:eastAsiaTheme="majorEastAsia" w:cstheme="majorBidi"/>
      <w:b/>
      <w:bCs/>
      <w:color w:val="auto"/>
      <w:sz w:val="20"/>
    </w:rPr>
  </w:style>
  <w:style w:type="paragraph" w:styleId="Heading6">
    <w:name w:val="heading 6"/>
    <w:basedOn w:val="Normal"/>
    <w:next w:val="Normal"/>
    <w:link w:val="Heading6Char"/>
    <w:uiPriority w:val="9"/>
    <w:semiHidden/>
    <w:unhideWhenUsed/>
    <w:qFormat/>
    <w:rsid w:val="003C012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qFormat/>
    <w:rsid w:val="00713A91"/>
    <w:rPr>
      <w:sz w:val="20"/>
      <w:szCs w:val="20"/>
    </w:rPr>
  </w:style>
  <w:style w:type="character" w:customStyle="1" w:styleId="FootnoteTextChar">
    <w:name w:val="Footnote Text Char"/>
    <w:basedOn w:val="DefaultParagraphFont"/>
    <w:link w:val="FootnoteText"/>
    <w:uiPriority w:val="99"/>
    <w:semiHidden/>
    <w:rsid w:val="00713A91"/>
    <w:rPr>
      <w:sz w:val="20"/>
      <w:szCs w:val="20"/>
    </w:rPr>
  </w:style>
  <w:style w:type="character" w:styleId="FootnoteReference">
    <w:name w:val="footnote reference"/>
    <w:basedOn w:val="DefaultParagraphFont"/>
    <w:uiPriority w:val="99"/>
    <w:semiHidden/>
    <w:unhideWhenUsed/>
    <w:qFormat/>
    <w:rsid w:val="00713A91"/>
    <w:rPr>
      <w:vertAlign w:val="superscript"/>
    </w:rPr>
  </w:style>
  <w:style w:type="paragraph" w:customStyle="1" w:styleId="emission">
    <w:name w:val="emission"/>
    <w:basedOn w:val="Normal"/>
    <w:rsid w:val="00713A91"/>
    <w:pPr>
      <w:spacing w:before="100" w:beforeAutospacing="1" w:after="100" w:afterAutospacing="1"/>
    </w:pPr>
    <w:rPr>
      <w:rFonts w:eastAsia="Times New Roman"/>
      <w:color w:val="auto"/>
      <w:kern w:val="0"/>
    </w:rPr>
  </w:style>
  <w:style w:type="paragraph" w:customStyle="1" w:styleId="rfrenceinstitutionnelle">
    <w:name w:val="rfrenceinstitutionnelle"/>
    <w:basedOn w:val="Normal"/>
    <w:rsid w:val="00713A91"/>
    <w:pPr>
      <w:spacing w:before="100" w:beforeAutospacing="1" w:after="100" w:afterAutospacing="1"/>
    </w:pPr>
    <w:rPr>
      <w:rFonts w:eastAsia="Times New Roman"/>
      <w:color w:val="auto"/>
      <w:kern w:val="0"/>
    </w:rPr>
  </w:style>
  <w:style w:type="paragraph" w:customStyle="1" w:styleId="typedudocumentcp">
    <w:name w:val="typedudocument_cp"/>
    <w:basedOn w:val="Normal"/>
    <w:rsid w:val="00713A91"/>
    <w:pPr>
      <w:spacing w:before="100" w:beforeAutospacing="1" w:after="100" w:afterAutospacing="1"/>
    </w:pPr>
    <w:rPr>
      <w:rFonts w:eastAsia="Times New Roman"/>
      <w:color w:val="auto"/>
      <w:kern w:val="0"/>
    </w:rPr>
  </w:style>
  <w:style w:type="paragraph" w:customStyle="1" w:styleId="accompagnantcp">
    <w:name w:val="accompagnant_cp"/>
    <w:basedOn w:val="Normal"/>
    <w:rsid w:val="00713A91"/>
    <w:pPr>
      <w:spacing w:before="100" w:beforeAutospacing="1" w:after="100" w:afterAutospacing="1"/>
    </w:pPr>
    <w:rPr>
      <w:rFonts w:eastAsia="Times New Roman"/>
      <w:color w:val="auto"/>
      <w:kern w:val="0"/>
    </w:rPr>
  </w:style>
  <w:style w:type="paragraph" w:customStyle="1" w:styleId="typeacteprincipalcp">
    <w:name w:val="typeacteprincipal_cp"/>
    <w:basedOn w:val="Normal"/>
    <w:rsid w:val="00713A91"/>
    <w:pPr>
      <w:spacing w:before="100" w:beforeAutospacing="1" w:after="100" w:afterAutospacing="1"/>
    </w:pPr>
    <w:rPr>
      <w:rFonts w:eastAsia="Times New Roman"/>
      <w:color w:val="auto"/>
      <w:kern w:val="0"/>
    </w:rPr>
  </w:style>
  <w:style w:type="paragraph" w:customStyle="1" w:styleId="objetacteprincipalcp">
    <w:name w:val="objetacteprincipal_cp"/>
    <w:basedOn w:val="Normal"/>
    <w:rsid w:val="00713A91"/>
    <w:pPr>
      <w:spacing w:before="100" w:beforeAutospacing="1" w:after="100" w:afterAutospacing="1"/>
    </w:pPr>
    <w:rPr>
      <w:rFonts w:eastAsia="Times New Roman"/>
      <w:color w:val="auto"/>
      <w:kern w:val="0"/>
    </w:rPr>
  </w:style>
  <w:style w:type="paragraph" w:customStyle="1" w:styleId="basic-paragraph">
    <w:name w:val="basic-paragraph"/>
    <w:basedOn w:val="Normal"/>
    <w:rsid w:val="008166FB"/>
    <w:pPr>
      <w:spacing w:before="100" w:beforeAutospacing="1" w:after="100" w:afterAutospacing="1"/>
    </w:pPr>
    <w:rPr>
      <w:rFonts w:eastAsia="Times New Roman"/>
      <w:color w:val="auto"/>
      <w:kern w:val="0"/>
    </w:rPr>
  </w:style>
  <w:style w:type="character" w:customStyle="1" w:styleId="italik">
    <w:name w:val="italik"/>
    <w:basedOn w:val="DefaultParagraphFont"/>
    <w:rsid w:val="008166FB"/>
  </w:style>
  <w:style w:type="paragraph" w:customStyle="1" w:styleId="bold">
    <w:name w:val="bold"/>
    <w:basedOn w:val="Normal"/>
    <w:rsid w:val="008166FB"/>
    <w:pPr>
      <w:spacing w:before="100" w:beforeAutospacing="1" w:after="100" w:afterAutospacing="1"/>
    </w:pPr>
    <w:rPr>
      <w:rFonts w:eastAsia="Times New Roman"/>
      <w:color w:val="auto"/>
      <w:kern w:val="0"/>
    </w:rPr>
  </w:style>
  <w:style w:type="paragraph" w:customStyle="1" w:styleId="clan">
    <w:name w:val="clan"/>
    <w:basedOn w:val="Normal"/>
    <w:rsid w:val="008166FB"/>
    <w:pPr>
      <w:spacing w:before="100" w:beforeAutospacing="1" w:after="100" w:afterAutospacing="1"/>
    </w:pPr>
    <w:rPr>
      <w:rFonts w:eastAsia="Times New Roman"/>
      <w:color w:val="auto"/>
      <w:kern w:val="0"/>
    </w:rPr>
  </w:style>
  <w:style w:type="paragraph" w:customStyle="1" w:styleId="odluka-zakon">
    <w:name w:val="odluka-zakon"/>
    <w:basedOn w:val="Normal"/>
    <w:rsid w:val="008166FB"/>
    <w:pPr>
      <w:spacing w:before="100" w:beforeAutospacing="1" w:after="100" w:afterAutospacing="1"/>
    </w:pPr>
    <w:rPr>
      <w:rFonts w:eastAsia="Times New Roman"/>
      <w:color w:val="auto"/>
      <w:kern w:val="0"/>
    </w:rPr>
  </w:style>
  <w:style w:type="paragraph" w:customStyle="1" w:styleId="auto-style1">
    <w:name w:val="auto-style1"/>
    <w:basedOn w:val="Normal"/>
    <w:rsid w:val="008166FB"/>
    <w:pPr>
      <w:spacing w:before="100" w:beforeAutospacing="1" w:after="100" w:afterAutospacing="1"/>
    </w:pPr>
    <w:rPr>
      <w:rFonts w:eastAsia="Times New Roman"/>
      <w:color w:val="auto"/>
      <w:kern w:val="0"/>
    </w:rPr>
  </w:style>
  <w:style w:type="paragraph" w:customStyle="1" w:styleId="centar">
    <w:name w:val="centar"/>
    <w:basedOn w:val="Normal"/>
    <w:rsid w:val="00B77B19"/>
    <w:pPr>
      <w:spacing w:before="100" w:beforeAutospacing="1" w:after="100" w:afterAutospacing="1"/>
    </w:pPr>
    <w:rPr>
      <w:rFonts w:eastAsia="Times New Roman"/>
      <w:color w:val="auto"/>
      <w:kern w:val="0"/>
    </w:rPr>
  </w:style>
  <w:style w:type="paragraph" w:customStyle="1" w:styleId="Default">
    <w:name w:val="Default"/>
    <w:rsid w:val="006C3281"/>
    <w:pPr>
      <w:autoSpaceDE w:val="0"/>
      <w:autoSpaceDN w:val="0"/>
      <w:adjustRightInd w:val="0"/>
    </w:pPr>
    <w:rPr>
      <w:rFonts w:ascii="Arial" w:hAnsi="Arial" w:cs="Arial"/>
      <w:kern w:val="0"/>
    </w:rPr>
  </w:style>
  <w:style w:type="paragraph" w:styleId="ListParagraph">
    <w:name w:val="List Paragraph"/>
    <w:basedOn w:val="Normal"/>
    <w:link w:val="ListParagraphChar"/>
    <w:uiPriority w:val="34"/>
    <w:qFormat/>
    <w:rsid w:val="006C3281"/>
    <w:pPr>
      <w:ind w:left="720"/>
      <w:contextualSpacing/>
    </w:pPr>
  </w:style>
  <w:style w:type="table" w:styleId="TableGrid">
    <w:name w:val="Table Grid"/>
    <w:basedOn w:val="TableNormal"/>
    <w:uiPriority w:val="59"/>
    <w:rsid w:val="00881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TF-TEXTE1115">
    <w:name w:val="FATF-TEXTE 11/15"/>
    <w:link w:val="FATF-TEXTE1115Char"/>
    <w:qFormat/>
    <w:rsid w:val="0088138E"/>
    <w:pPr>
      <w:tabs>
        <w:tab w:val="left" w:pos="624"/>
        <w:tab w:val="left" w:pos="1247"/>
        <w:tab w:val="left" w:pos="1871"/>
        <w:tab w:val="left" w:pos="2495"/>
        <w:tab w:val="left" w:pos="3119"/>
      </w:tabs>
      <w:spacing w:after="120" w:line="300" w:lineRule="exact"/>
      <w:jc w:val="both"/>
    </w:pPr>
    <w:rPr>
      <w:rFonts w:ascii="Cambria" w:eastAsia="SimSun" w:hAnsi="Cambria"/>
      <w:color w:val="auto"/>
      <w:kern w:val="0"/>
      <w:sz w:val="22"/>
      <w:szCs w:val="22"/>
      <w:lang w:val="en-GB" w:eastAsia="zh-CN"/>
    </w:rPr>
  </w:style>
  <w:style w:type="character" w:customStyle="1" w:styleId="FATF-TEXTE1115Char">
    <w:name w:val="FATF-TEXTE 11/15 Char"/>
    <w:basedOn w:val="DefaultParagraphFont"/>
    <w:link w:val="FATF-TEXTE1115"/>
    <w:rsid w:val="0088138E"/>
    <w:rPr>
      <w:rFonts w:ascii="Cambria" w:eastAsia="SimSun" w:hAnsi="Cambria"/>
      <w:color w:val="auto"/>
      <w:kern w:val="0"/>
      <w:sz w:val="22"/>
      <w:szCs w:val="22"/>
      <w:lang w:val="en-GB" w:eastAsia="zh-CN"/>
    </w:rPr>
  </w:style>
  <w:style w:type="paragraph" w:styleId="BalloonText">
    <w:name w:val="Balloon Text"/>
    <w:basedOn w:val="Normal"/>
    <w:link w:val="BalloonTextChar"/>
    <w:uiPriority w:val="99"/>
    <w:semiHidden/>
    <w:unhideWhenUsed/>
    <w:rsid w:val="00A26580"/>
    <w:rPr>
      <w:rFonts w:ascii="Tahoma" w:hAnsi="Tahoma" w:cs="Tahoma"/>
      <w:sz w:val="16"/>
      <w:szCs w:val="16"/>
    </w:rPr>
  </w:style>
  <w:style w:type="character" w:customStyle="1" w:styleId="BalloonTextChar">
    <w:name w:val="Balloon Text Char"/>
    <w:basedOn w:val="DefaultParagraphFont"/>
    <w:link w:val="BalloonText"/>
    <w:uiPriority w:val="99"/>
    <w:semiHidden/>
    <w:rsid w:val="00A26580"/>
    <w:rPr>
      <w:rFonts w:ascii="Tahoma" w:hAnsi="Tahoma" w:cs="Tahoma"/>
      <w:sz w:val="16"/>
      <w:szCs w:val="16"/>
    </w:rPr>
  </w:style>
  <w:style w:type="character" w:customStyle="1" w:styleId="Heading2Char">
    <w:name w:val="Heading 2 Char"/>
    <w:basedOn w:val="DefaultParagraphFont"/>
    <w:link w:val="Heading2"/>
    <w:uiPriority w:val="9"/>
    <w:rsid w:val="00DD2BCE"/>
    <w:rPr>
      <w:rFonts w:eastAsia="Times New Roman"/>
      <w:b/>
      <w:bCs/>
      <w:color w:val="auto"/>
      <w:kern w:val="0"/>
      <w:szCs w:val="36"/>
    </w:rPr>
  </w:style>
  <w:style w:type="paragraph" w:styleId="PlainText">
    <w:name w:val="Plain Text"/>
    <w:basedOn w:val="Normal"/>
    <w:link w:val="PlainTextChar"/>
    <w:uiPriority w:val="99"/>
    <w:semiHidden/>
    <w:unhideWhenUsed/>
    <w:rsid w:val="000E3FF6"/>
    <w:rPr>
      <w:rFonts w:ascii="Consolas" w:eastAsia="Calibri" w:hAnsi="Consolas"/>
      <w:color w:val="auto"/>
      <w:kern w:val="0"/>
      <w:sz w:val="21"/>
      <w:szCs w:val="21"/>
    </w:rPr>
  </w:style>
  <w:style w:type="character" w:customStyle="1" w:styleId="PlainTextChar">
    <w:name w:val="Plain Text Char"/>
    <w:basedOn w:val="DefaultParagraphFont"/>
    <w:link w:val="PlainText"/>
    <w:uiPriority w:val="99"/>
    <w:semiHidden/>
    <w:rsid w:val="000E3FF6"/>
    <w:rPr>
      <w:rFonts w:ascii="Consolas" w:eastAsia="Calibri" w:hAnsi="Consolas"/>
      <w:color w:val="auto"/>
      <w:kern w:val="0"/>
      <w:sz w:val="21"/>
      <w:szCs w:val="21"/>
    </w:rPr>
  </w:style>
  <w:style w:type="paragraph" w:styleId="NormalWeb">
    <w:name w:val="Normal (Web)"/>
    <w:basedOn w:val="Normal"/>
    <w:uiPriority w:val="99"/>
    <w:semiHidden/>
    <w:unhideWhenUsed/>
    <w:rsid w:val="00F6467E"/>
    <w:pPr>
      <w:spacing w:before="100" w:beforeAutospacing="1" w:after="100" w:afterAutospacing="1"/>
    </w:pPr>
    <w:rPr>
      <w:rFonts w:eastAsia="Times New Roman"/>
      <w:color w:val="auto"/>
      <w:kern w:val="0"/>
    </w:rPr>
  </w:style>
  <w:style w:type="character" w:styleId="Strong">
    <w:name w:val="Strong"/>
    <w:basedOn w:val="DefaultParagraphFont"/>
    <w:uiPriority w:val="22"/>
    <w:qFormat/>
    <w:rsid w:val="00F6467E"/>
    <w:rPr>
      <w:b/>
      <w:bCs/>
    </w:rPr>
  </w:style>
  <w:style w:type="character" w:customStyle="1" w:styleId="Heading1Char">
    <w:name w:val="Heading 1 Char"/>
    <w:basedOn w:val="DefaultParagraphFont"/>
    <w:link w:val="Heading1"/>
    <w:uiPriority w:val="9"/>
    <w:rsid w:val="003C012B"/>
    <w:rPr>
      <w:rFonts w:asciiTheme="majorHAnsi" w:eastAsiaTheme="majorEastAsia" w:hAnsiTheme="majorHAnsi" w:cstheme="majorBidi"/>
      <w:b/>
      <w:bCs/>
      <w:color w:val="365F91" w:themeColor="accent1" w:themeShade="BF"/>
      <w:sz w:val="28"/>
      <w:szCs w:val="28"/>
    </w:rPr>
  </w:style>
  <w:style w:type="character" w:customStyle="1" w:styleId="Heading6Char">
    <w:name w:val="Heading 6 Char"/>
    <w:basedOn w:val="DefaultParagraphFont"/>
    <w:link w:val="Heading6"/>
    <w:uiPriority w:val="9"/>
    <w:semiHidden/>
    <w:rsid w:val="003C012B"/>
    <w:rPr>
      <w:rFonts w:asciiTheme="majorHAnsi" w:eastAsiaTheme="majorEastAsia" w:hAnsiTheme="majorHAnsi" w:cstheme="majorBidi"/>
      <w:i/>
      <w:iCs/>
      <w:color w:val="243F60" w:themeColor="accent1" w:themeShade="7F"/>
    </w:rPr>
  </w:style>
  <w:style w:type="character" w:styleId="Hyperlink">
    <w:name w:val="Hyperlink"/>
    <w:basedOn w:val="DefaultParagraphFont"/>
    <w:uiPriority w:val="99"/>
    <w:unhideWhenUsed/>
    <w:rsid w:val="003C012B"/>
    <w:rPr>
      <w:color w:val="0000FF"/>
      <w:u w:val="single"/>
    </w:rPr>
  </w:style>
  <w:style w:type="paragraph" w:styleId="NoSpacing">
    <w:name w:val="No Spacing"/>
    <w:link w:val="NoSpacingChar"/>
    <w:uiPriority w:val="1"/>
    <w:qFormat/>
    <w:rsid w:val="00F36F80"/>
    <w:rPr>
      <w:rFonts w:asciiTheme="minorHAnsi" w:eastAsiaTheme="minorEastAsia" w:hAnsiTheme="minorHAnsi" w:cstheme="minorBidi"/>
      <w:color w:val="auto"/>
      <w:kern w:val="0"/>
      <w:sz w:val="22"/>
      <w:szCs w:val="22"/>
    </w:rPr>
  </w:style>
  <w:style w:type="character" w:customStyle="1" w:styleId="NoSpacingChar">
    <w:name w:val="No Spacing Char"/>
    <w:basedOn w:val="DefaultParagraphFont"/>
    <w:link w:val="NoSpacing"/>
    <w:uiPriority w:val="1"/>
    <w:rsid w:val="00F36F80"/>
    <w:rPr>
      <w:rFonts w:asciiTheme="minorHAnsi" w:eastAsiaTheme="minorEastAsia" w:hAnsiTheme="minorHAnsi" w:cstheme="minorBidi"/>
      <w:color w:val="auto"/>
      <w:kern w:val="0"/>
      <w:sz w:val="22"/>
      <w:szCs w:val="22"/>
    </w:rPr>
  </w:style>
  <w:style w:type="character" w:styleId="CommentReference">
    <w:name w:val="annotation reference"/>
    <w:basedOn w:val="DefaultParagraphFont"/>
    <w:uiPriority w:val="99"/>
    <w:semiHidden/>
    <w:unhideWhenUsed/>
    <w:rsid w:val="00BE1A2E"/>
    <w:rPr>
      <w:sz w:val="16"/>
      <w:szCs w:val="16"/>
    </w:rPr>
  </w:style>
  <w:style w:type="paragraph" w:styleId="CommentText">
    <w:name w:val="annotation text"/>
    <w:basedOn w:val="Normal"/>
    <w:link w:val="CommentTextChar"/>
    <w:uiPriority w:val="99"/>
    <w:unhideWhenUsed/>
    <w:rsid w:val="00BE1A2E"/>
    <w:rPr>
      <w:sz w:val="20"/>
      <w:szCs w:val="20"/>
    </w:rPr>
  </w:style>
  <w:style w:type="character" w:customStyle="1" w:styleId="CommentTextChar">
    <w:name w:val="Comment Text Char"/>
    <w:basedOn w:val="DefaultParagraphFont"/>
    <w:link w:val="CommentText"/>
    <w:uiPriority w:val="99"/>
    <w:rsid w:val="00BE1A2E"/>
    <w:rPr>
      <w:sz w:val="20"/>
      <w:szCs w:val="20"/>
    </w:rPr>
  </w:style>
  <w:style w:type="paragraph" w:styleId="CommentSubject">
    <w:name w:val="annotation subject"/>
    <w:basedOn w:val="CommentText"/>
    <w:next w:val="CommentText"/>
    <w:link w:val="CommentSubjectChar"/>
    <w:uiPriority w:val="99"/>
    <w:semiHidden/>
    <w:unhideWhenUsed/>
    <w:rsid w:val="00BE1A2E"/>
    <w:rPr>
      <w:b/>
      <w:bCs/>
    </w:rPr>
  </w:style>
  <w:style w:type="character" w:customStyle="1" w:styleId="CommentSubjectChar">
    <w:name w:val="Comment Subject Char"/>
    <w:basedOn w:val="CommentTextChar"/>
    <w:link w:val="CommentSubject"/>
    <w:uiPriority w:val="99"/>
    <w:semiHidden/>
    <w:rsid w:val="00BE1A2E"/>
    <w:rPr>
      <w:b/>
      <w:bCs/>
      <w:sz w:val="20"/>
      <w:szCs w:val="20"/>
    </w:rPr>
  </w:style>
  <w:style w:type="character" w:customStyle="1" w:styleId="ListParagraphChar">
    <w:name w:val="List Paragraph Char"/>
    <w:link w:val="ListParagraph"/>
    <w:uiPriority w:val="34"/>
    <w:locked/>
    <w:rsid w:val="002632C2"/>
  </w:style>
  <w:style w:type="character" w:styleId="PageNumber">
    <w:name w:val="page number"/>
    <w:basedOn w:val="DefaultParagraphFont"/>
    <w:uiPriority w:val="99"/>
    <w:semiHidden/>
    <w:unhideWhenUsed/>
    <w:rsid w:val="00A70FDA"/>
  </w:style>
  <w:style w:type="paragraph" w:styleId="TOCHeading">
    <w:name w:val="TOC Heading"/>
    <w:basedOn w:val="Heading1"/>
    <w:next w:val="Normal"/>
    <w:uiPriority w:val="39"/>
    <w:semiHidden/>
    <w:unhideWhenUsed/>
    <w:qFormat/>
    <w:rsid w:val="00A70FDA"/>
    <w:pPr>
      <w:spacing w:line="276" w:lineRule="auto"/>
      <w:outlineLvl w:val="9"/>
    </w:pPr>
    <w:rPr>
      <w:kern w:val="0"/>
    </w:rPr>
  </w:style>
  <w:style w:type="paragraph" w:styleId="TOC1">
    <w:name w:val="toc 1"/>
    <w:basedOn w:val="Normal"/>
    <w:next w:val="Normal"/>
    <w:autoRedefine/>
    <w:uiPriority w:val="39"/>
    <w:unhideWhenUsed/>
    <w:rsid w:val="00A70FDA"/>
    <w:pPr>
      <w:spacing w:after="100"/>
    </w:pPr>
  </w:style>
  <w:style w:type="character" w:customStyle="1" w:styleId="il">
    <w:name w:val="il"/>
    <w:basedOn w:val="DefaultParagraphFont"/>
    <w:rsid w:val="00E04390"/>
  </w:style>
  <w:style w:type="character" w:customStyle="1" w:styleId="v2-clan-left-1">
    <w:name w:val="v2-clan-left-1"/>
    <w:basedOn w:val="DefaultParagraphFont"/>
    <w:rsid w:val="00DA75CF"/>
  </w:style>
  <w:style w:type="paragraph" w:customStyle="1" w:styleId="potpis">
    <w:name w:val="potpis"/>
    <w:basedOn w:val="Normal"/>
    <w:rsid w:val="00DA75CF"/>
    <w:pPr>
      <w:spacing w:before="100" w:beforeAutospacing="1" w:after="100" w:afterAutospacing="1"/>
    </w:pPr>
    <w:rPr>
      <w:rFonts w:eastAsia="Times New Roman"/>
      <w:color w:val="auto"/>
      <w:kern w:val="0"/>
      <w:lang w:val="en-GB" w:eastAsia="en-GB"/>
    </w:rPr>
  </w:style>
  <w:style w:type="character" w:customStyle="1" w:styleId="st">
    <w:name w:val="st"/>
    <w:basedOn w:val="DefaultParagraphFont"/>
    <w:rsid w:val="0004492D"/>
  </w:style>
  <w:style w:type="paragraph" w:styleId="Header">
    <w:name w:val="header"/>
    <w:basedOn w:val="Normal"/>
    <w:link w:val="HeaderChar"/>
    <w:uiPriority w:val="99"/>
    <w:unhideWhenUsed/>
    <w:rsid w:val="006B456A"/>
    <w:pPr>
      <w:tabs>
        <w:tab w:val="center" w:pos="4513"/>
        <w:tab w:val="right" w:pos="9026"/>
      </w:tabs>
    </w:pPr>
  </w:style>
  <w:style w:type="character" w:customStyle="1" w:styleId="HeaderChar">
    <w:name w:val="Header Char"/>
    <w:basedOn w:val="DefaultParagraphFont"/>
    <w:link w:val="Header"/>
    <w:uiPriority w:val="99"/>
    <w:rsid w:val="006B456A"/>
  </w:style>
  <w:style w:type="paragraph" w:styleId="Footer">
    <w:name w:val="footer"/>
    <w:basedOn w:val="Normal"/>
    <w:link w:val="FooterChar"/>
    <w:uiPriority w:val="99"/>
    <w:unhideWhenUsed/>
    <w:rsid w:val="006B456A"/>
    <w:pPr>
      <w:tabs>
        <w:tab w:val="center" w:pos="4513"/>
        <w:tab w:val="right" w:pos="9026"/>
      </w:tabs>
    </w:pPr>
  </w:style>
  <w:style w:type="character" w:customStyle="1" w:styleId="FooterChar">
    <w:name w:val="Footer Char"/>
    <w:basedOn w:val="DefaultParagraphFont"/>
    <w:link w:val="Footer"/>
    <w:uiPriority w:val="99"/>
    <w:rsid w:val="006B456A"/>
  </w:style>
  <w:style w:type="paragraph" w:styleId="Revision">
    <w:name w:val="Revision"/>
    <w:hidden/>
    <w:uiPriority w:val="99"/>
    <w:semiHidden/>
    <w:rsid w:val="00F43ECD"/>
    <w:rPr>
      <w:rFonts w:asciiTheme="minorHAnsi" w:hAnsiTheme="minorHAnsi" w:cstheme="minorBidi"/>
      <w:color w:val="auto"/>
      <w:kern w:val="0"/>
      <w:sz w:val="22"/>
      <w:szCs w:val="22"/>
    </w:rPr>
  </w:style>
  <w:style w:type="character" w:customStyle="1" w:styleId="highlight">
    <w:name w:val="highlight"/>
    <w:basedOn w:val="DefaultParagraphFont"/>
    <w:rsid w:val="00F43ECD"/>
  </w:style>
  <w:style w:type="character" w:customStyle="1" w:styleId="naslovpropisa1">
    <w:name w:val="naslovpropisa1"/>
    <w:basedOn w:val="DefaultParagraphFont"/>
    <w:rsid w:val="00182940"/>
  </w:style>
  <w:style w:type="character" w:customStyle="1" w:styleId="naslovpropisa1a">
    <w:name w:val="naslovpropisa1a"/>
    <w:basedOn w:val="DefaultParagraphFont"/>
    <w:rsid w:val="00182940"/>
  </w:style>
  <w:style w:type="paragraph" w:customStyle="1" w:styleId="podnaslovpropisa">
    <w:name w:val="podnaslovpropisa"/>
    <w:basedOn w:val="Normal"/>
    <w:rsid w:val="00182940"/>
    <w:pPr>
      <w:spacing w:before="100" w:beforeAutospacing="1" w:after="100" w:afterAutospacing="1"/>
    </w:pPr>
    <w:rPr>
      <w:rFonts w:eastAsia="Times New Roman"/>
      <w:color w:val="auto"/>
      <w:kern w:val="0"/>
    </w:rPr>
  </w:style>
  <w:style w:type="table" w:styleId="MediumGrid3-Accent1">
    <w:name w:val="Medium Grid 3 Accent 1"/>
    <w:basedOn w:val="TableNormal"/>
    <w:uiPriority w:val="69"/>
    <w:rsid w:val="00A1499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1">
    <w:name w:val="Medium Grid 31"/>
    <w:basedOn w:val="TableNormal"/>
    <w:uiPriority w:val="69"/>
    <w:rsid w:val="00972C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character" w:customStyle="1" w:styleId="Heading3Char">
    <w:name w:val="Heading 3 Char"/>
    <w:basedOn w:val="DefaultParagraphFont"/>
    <w:link w:val="Heading3"/>
    <w:uiPriority w:val="9"/>
    <w:rsid w:val="00DD2BCE"/>
    <w:rPr>
      <w:rFonts w:eastAsiaTheme="majorEastAsia" w:cstheme="majorBidi"/>
      <w:b/>
      <w:bCs/>
      <w:color w:val="auto"/>
      <w:sz w:val="20"/>
    </w:rPr>
  </w:style>
  <w:style w:type="paragraph" w:styleId="TOC2">
    <w:name w:val="toc 2"/>
    <w:basedOn w:val="Normal"/>
    <w:next w:val="Normal"/>
    <w:autoRedefine/>
    <w:uiPriority w:val="39"/>
    <w:unhideWhenUsed/>
    <w:rsid w:val="009E02C0"/>
    <w:pPr>
      <w:spacing w:after="100"/>
      <w:ind w:left="240"/>
    </w:pPr>
  </w:style>
  <w:style w:type="paragraph" w:styleId="TOC3">
    <w:name w:val="toc 3"/>
    <w:basedOn w:val="Normal"/>
    <w:next w:val="Normal"/>
    <w:autoRedefine/>
    <w:uiPriority w:val="39"/>
    <w:unhideWhenUsed/>
    <w:rsid w:val="009E02C0"/>
    <w:pPr>
      <w:spacing w:after="100"/>
      <w:ind w:left="480"/>
    </w:pPr>
  </w:style>
</w:styles>
</file>

<file path=word/webSettings.xml><?xml version="1.0" encoding="utf-8"?>
<w:webSettings xmlns:r="http://schemas.openxmlformats.org/officeDocument/2006/relationships" xmlns:w="http://schemas.openxmlformats.org/wordprocessingml/2006/main">
  <w:divs>
    <w:div w:id="2981438">
      <w:bodyDiv w:val="1"/>
      <w:marLeft w:val="0"/>
      <w:marRight w:val="0"/>
      <w:marTop w:val="0"/>
      <w:marBottom w:val="0"/>
      <w:divBdr>
        <w:top w:val="none" w:sz="0" w:space="0" w:color="auto"/>
        <w:left w:val="none" w:sz="0" w:space="0" w:color="auto"/>
        <w:bottom w:val="none" w:sz="0" w:space="0" w:color="auto"/>
        <w:right w:val="none" w:sz="0" w:space="0" w:color="auto"/>
      </w:divBdr>
    </w:div>
    <w:div w:id="27922886">
      <w:bodyDiv w:val="1"/>
      <w:marLeft w:val="0"/>
      <w:marRight w:val="0"/>
      <w:marTop w:val="0"/>
      <w:marBottom w:val="0"/>
      <w:divBdr>
        <w:top w:val="none" w:sz="0" w:space="0" w:color="auto"/>
        <w:left w:val="none" w:sz="0" w:space="0" w:color="auto"/>
        <w:bottom w:val="none" w:sz="0" w:space="0" w:color="auto"/>
        <w:right w:val="none" w:sz="0" w:space="0" w:color="auto"/>
      </w:divBdr>
    </w:div>
    <w:div w:id="46490595">
      <w:bodyDiv w:val="1"/>
      <w:marLeft w:val="0"/>
      <w:marRight w:val="0"/>
      <w:marTop w:val="0"/>
      <w:marBottom w:val="0"/>
      <w:divBdr>
        <w:top w:val="none" w:sz="0" w:space="0" w:color="auto"/>
        <w:left w:val="none" w:sz="0" w:space="0" w:color="auto"/>
        <w:bottom w:val="none" w:sz="0" w:space="0" w:color="auto"/>
        <w:right w:val="none" w:sz="0" w:space="0" w:color="auto"/>
      </w:divBdr>
    </w:div>
    <w:div w:id="90056689">
      <w:bodyDiv w:val="1"/>
      <w:marLeft w:val="0"/>
      <w:marRight w:val="0"/>
      <w:marTop w:val="0"/>
      <w:marBottom w:val="0"/>
      <w:divBdr>
        <w:top w:val="none" w:sz="0" w:space="0" w:color="auto"/>
        <w:left w:val="none" w:sz="0" w:space="0" w:color="auto"/>
        <w:bottom w:val="none" w:sz="0" w:space="0" w:color="auto"/>
        <w:right w:val="none" w:sz="0" w:space="0" w:color="auto"/>
      </w:divBdr>
    </w:div>
    <w:div w:id="94524125">
      <w:bodyDiv w:val="1"/>
      <w:marLeft w:val="0"/>
      <w:marRight w:val="0"/>
      <w:marTop w:val="0"/>
      <w:marBottom w:val="0"/>
      <w:divBdr>
        <w:top w:val="none" w:sz="0" w:space="0" w:color="auto"/>
        <w:left w:val="none" w:sz="0" w:space="0" w:color="auto"/>
        <w:bottom w:val="none" w:sz="0" w:space="0" w:color="auto"/>
        <w:right w:val="none" w:sz="0" w:space="0" w:color="auto"/>
      </w:divBdr>
    </w:div>
    <w:div w:id="108090755">
      <w:bodyDiv w:val="1"/>
      <w:marLeft w:val="0"/>
      <w:marRight w:val="0"/>
      <w:marTop w:val="0"/>
      <w:marBottom w:val="0"/>
      <w:divBdr>
        <w:top w:val="none" w:sz="0" w:space="0" w:color="auto"/>
        <w:left w:val="none" w:sz="0" w:space="0" w:color="auto"/>
        <w:bottom w:val="none" w:sz="0" w:space="0" w:color="auto"/>
        <w:right w:val="none" w:sz="0" w:space="0" w:color="auto"/>
      </w:divBdr>
    </w:div>
    <w:div w:id="160239242">
      <w:bodyDiv w:val="1"/>
      <w:marLeft w:val="0"/>
      <w:marRight w:val="0"/>
      <w:marTop w:val="0"/>
      <w:marBottom w:val="0"/>
      <w:divBdr>
        <w:top w:val="none" w:sz="0" w:space="0" w:color="auto"/>
        <w:left w:val="none" w:sz="0" w:space="0" w:color="auto"/>
        <w:bottom w:val="none" w:sz="0" w:space="0" w:color="auto"/>
        <w:right w:val="none" w:sz="0" w:space="0" w:color="auto"/>
      </w:divBdr>
    </w:div>
    <w:div w:id="184363662">
      <w:bodyDiv w:val="1"/>
      <w:marLeft w:val="0"/>
      <w:marRight w:val="0"/>
      <w:marTop w:val="0"/>
      <w:marBottom w:val="0"/>
      <w:divBdr>
        <w:top w:val="none" w:sz="0" w:space="0" w:color="auto"/>
        <w:left w:val="none" w:sz="0" w:space="0" w:color="auto"/>
        <w:bottom w:val="none" w:sz="0" w:space="0" w:color="auto"/>
        <w:right w:val="none" w:sz="0" w:space="0" w:color="auto"/>
      </w:divBdr>
    </w:div>
    <w:div w:id="211618245">
      <w:bodyDiv w:val="1"/>
      <w:marLeft w:val="0"/>
      <w:marRight w:val="0"/>
      <w:marTop w:val="0"/>
      <w:marBottom w:val="0"/>
      <w:divBdr>
        <w:top w:val="none" w:sz="0" w:space="0" w:color="auto"/>
        <w:left w:val="none" w:sz="0" w:space="0" w:color="auto"/>
        <w:bottom w:val="none" w:sz="0" w:space="0" w:color="auto"/>
        <w:right w:val="none" w:sz="0" w:space="0" w:color="auto"/>
      </w:divBdr>
    </w:div>
    <w:div w:id="232742996">
      <w:bodyDiv w:val="1"/>
      <w:marLeft w:val="0"/>
      <w:marRight w:val="0"/>
      <w:marTop w:val="0"/>
      <w:marBottom w:val="0"/>
      <w:divBdr>
        <w:top w:val="none" w:sz="0" w:space="0" w:color="auto"/>
        <w:left w:val="none" w:sz="0" w:space="0" w:color="auto"/>
        <w:bottom w:val="none" w:sz="0" w:space="0" w:color="auto"/>
        <w:right w:val="none" w:sz="0" w:space="0" w:color="auto"/>
      </w:divBdr>
    </w:div>
    <w:div w:id="326179598">
      <w:bodyDiv w:val="1"/>
      <w:marLeft w:val="0"/>
      <w:marRight w:val="0"/>
      <w:marTop w:val="0"/>
      <w:marBottom w:val="0"/>
      <w:divBdr>
        <w:top w:val="none" w:sz="0" w:space="0" w:color="auto"/>
        <w:left w:val="none" w:sz="0" w:space="0" w:color="auto"/>
        <w:bottom w:val="none" w:sz="0" w:space="0" w:color="auto"/>
        <w:right w:val="none" w:sz="0" w:space="0" w:color="auto"/>
      </w:divBdr>
      <w:divsChild>
        <w:div w:id="1260405163">
          <w:marLeft w:val="0"/>
          <w:marRight w:val="0"/>
          <w:marTop w:val="0"/>
          <w:marBottom w:val="0"/>
          <w:divBdr>
            <w:top w:val="none" w:sz="0" w:space="0" w:color="auto"/>
            <w:left w:val="none" w:sz="0" w:space="0" w:color="auto"/>
            <w:bottom w:val="none" w:sz="0" w:space="0" w:color="auto"/>
            <w:right w:val="none" w:sz="0" w:space="0" w:color="auto"/>
          </w:divBdr>
        </w:div>
        <w:div w:id="1429741372">
          <w:marLeft w:val="0"/>
          <w:marRight w:val="0"/>
          <w:marTop w:val="0"/>
          <w:marBottom w:val="0"/>
          <w:divBdr>
            <w:top w:val="none" w:sz="0" w:space="0" w:color="auto"/>
            <w:left w:val="none" w:sz="0" w:space="0" w:color="auto"/>
            <w:bottom w:val="none" w:sz="0" w:space="0" w:color="auto"/>
            <w:right w:val="none" w:sz="0" w:space="0" w:color="auto"/>
          </w:divBdr>
        </w:div>
        <w:div w:id="1629778772">
          <w:marLeft w:val="0"/>
          <w:marRight w:val="0"/>
          <w:marTop w:val="0"/>
          <w:marBottom w:val="0"/>
          <w:divBdr>
            <w:top w:val="none" w:sz="0" w:space="0" w:color="auto"/>
            <w:left w:val="none" w:sz="0" w:space="0" w:color="auto"/>
            <w:bottom w:val="none" w:sz="0" w:space="0" w:color="auto"/>
            <w:right w:val="none" w:sz="0" w:space="0" w:color="auto"/>
          </w:divBdr>
        </w:div>
      </w:divsChild>
    </w:div>
    <w:div w:id="336004885">
      <w:bodyDiv w:val="1"/>
      <w:marLeft w:val="0"/>
      <w:marRight w:val="0"/>
      <w:marTop w:val="0"/>
      <w:marBottom w:val="0"/>
      <w:divBdr>
        <w:top w:val="none" w:sz="0" w:space="0" w:color="auto"/>
        <w:left w:val="none" w:sz="0" w:space="0" w:color="auto"/>
        <w:bottom w:val="none" w:sz="0" w:space="0" w:color="auto"/>
        <w:right w:val="none" w:sz="0" w:space="0" w:color="auto"/>
      </w:divBdr>
    </w:div>
    <w:div w:id="457727508">
      <w:bodyDiv w:val="1"/>
      <w:marLeft w:val="0"/>
      <w:marRight w:val="0"/>
      <w:marTop w:val="0"/>
      <w:marBottom w:val="0"/>
      <w:divBdr>
        <w:top w:val="none" w:sz="0" w:space="0" w:color="auto"/>
        <w:left w:val="none" w:sz="0" w:space="0" w:color="auto"/>
        <w:bottom w:val="none" w:sz="0" w:space="0" w:color="auto"/>
        <w:right w:val="none" w:sz="0" w:space="0" w:color="auto"/>
      </w:divBdr>
    </w:div>
    <w:div w:id="480149249">
      <w:bodyDiv w:val="1"/>
      <w:marLeft w:val="0"/>
      <w:marRight w:val="0"/>
      <w:marTop w:val="0"/>
      <w:marBottom w:val="0"/>
      <w:divBdr>
        <w:top w:val="none" w:sz="0" w:space="0" w:color="auto"/>
        <w:left w:val="none" w:sz="0" w:space="0" w:color="auto"/>
        <w:bottom w:val="none" w:sz="0" w:space="0" w:color="auto"/>
        <w:right w:val="none" w:sz="0" w:space="0" w:color="auto"/>
      </w:divBdr>
    </w:div>
    <w:div w:id="509416441">
      <w:bodyDiv w:val="1"/>
      <w:marLeft w:val="0"/>
      <w:marRight w:val="0"/>
      <w:marTop w:val="0"/>
      <w:marBottom w:val="0"/>
      <w:divBdr>
        <w:top w:val="none" w:sz="0" w:space="0" w:color="auto"/>
        <w:left w:val="none" w:sz="0" w:space="0" w:color="auto"/>
        <w:bottom w:val="none" w:sz="0" w:space="0" w:color="auto"/>
        <w:right w:val="none" w:sz="0" w:space="0" w:color="auto"/>
      </w:divBdr>
    </w:div>
    <w:div w:id="518160091">
      <w:bodyDiv w:val="1"/>
      <w:marLeft w:val="0"/>
      <w:marRight w:val="0"/>
      <w:marTop w:val="0"/>
      <w:marBottom w:val="0"/>
      <w:divBdr>
        <w:top w:val="none" w:sz="0" w:space="0" w:color="auto"/>
        <w:left w:val="none" w:sz="0" w:space="0" w:color="auto"/>
        <w:bottom w:val="none" w:sz="0" w:space="0" w:color="auto"/>
        <w:right w:val="none" w:sz="0" w:space="0" w:color="auto"/>
      </w:divBdr>
    </w:div>
    <w:div w:id="534196065">
      <w:bodyDiv w:val="1"/>
      <w:marLeft w:val="0"/>
      <w:marRight w:val="0"/>
      <w:marTop w:val="0"/>
      <w:marBottom w:val="0"/>
      <w:divBdr>
        <w:top w:val="none" w:sz="0" w:space="0" w:color="auto"/>
        <w:left w:val="none" w:sz="0" w:space="0" w:color="auto"/>
        <w:bottom w:val="none" w:sz="0" w:space="0" w:color="auto"/>
        <w:right w:val="none" w:sz="0" w:space="0" w:color="auto"/>
      </w:divBdr>
    </w:div>
    <w:div w:id="548419528">
      <w:bodyDiv w:val="1"/>
      <w:marLeft w:val="0"/>
      <w:marRight w:val="0"/>
      <w:marTop w:val="0"/>
      <w:marBottom w:val="0"/>
      <w:divBdr>
        <w:top w:val="none" w:sz="0" w:space="0" w:color="auto"/>
        <w:left w:val="none" w:sz="0" w:space="0" w:color="auto"/>
        <w:bottom w:val="none" w:sz="0" w:space="0" w:color="auto"/>
        <w:right w:val="none" w:sz="0" w:space="0" w:color="auto"/>
      </w:divBdr>
    </w:div>
    <w:div w:id="643462402">
      <w:bodyDiv w:val="1"/>
      <w:marLeft w:val="0"/>
      <w:marRight w:val="0"/>
      <w:marTop w:val="0"/>
      <w:marBottom w:val="0"/>
      <w:divBdr>
        <w:top w:val="none" w:sz="0" w:space="0" w:color="auto"/>
        <w:left w:val="none" w:sz="0" w:space="0" w:color="auto"/>
        <w:bottom w:val="none" w:sz="0" w:space="0" w:color="auto"/>
        <w:right w:val="none" w:sz="0" w:space="0" w:color="auto"/>
      </w:divBdr>
    </w:div>
    <w:div w:id="662701551">
      <w:bodyDiv w:val="1"/>
      <w:marLeft w:val="0"/>
      <w:marRight w:val="0"/>
      <w:marTop w:val="0"/>
      <w:marBottom w:val="0"/>
      <w:divBdr>
        <w:top w:val="none" w:sz="0" w:space="0" w:color="auto"/>
        <w:left w:val="none" w:sz="0" w:space="0" w:color="auto"/>
        <w:bottom w:val="none" w:sz="0" w:space="0" w:color="auto"/>
        <w:right w:val="none" w:sz="0" w:space="0" w:color="auto"/>
      </w:divBdr>
    </w:div>
    <w:div w:id="691879939">
      <w:bodyDiv w:val="1"/>
      <w:marLeft w:val="0"/>
      <w:marRight w:val="0"/>
      <w:marTop w:val="0"/>
      <w:marBottom w:val="0"/>
      <w:divBdr>
        <w:top w:val="none" w:sz="0" w:space="0" w:color="auto"/>
        <w:left w:val="none" w:sz="0" w:space="0" w:color="auto"/>
        <w:bottom w:val="none" w:sz="0" w:space="0" w:color="auto"/>
        <w:right w:val="none" w:sz="0" w:space="0" w:color="auto"/>
      </w:divBdr>
    </w:div>
    <w:div w:id="761950779">
      <w:bodyDiv w:val="1"/>
      <w:marLeft w:val="0"/>
      <w:marRight w:val="0"/>
      <w:marTop w:val="0"/>
      <w:marBottom w:val="0"/>
      <w:divBdr>
        <w:top w:val="none" w:sz="0" w:space="0" w:color="auto"/>
        <w:left w:val="none" w:sz="0" w:space="0" w:color="auto"/>
        <w:bottom w:val="none" w:sz="0" w:space="0" w:color="auto"/>
        <w:right w:val="none" w:sz="0" w:space="0" w:color="auto"/>
      </w:divBdr>
    </w:div>
    <w:div w:id="762992439">
      <w:bodyDiv w:val="1"/>
      <w:marLeft w:val="0"/>
      <w:marRight w:val="0"/>
      <w:marTop w:val="0"/>
      <w:marBottom w:val="0"/>
      <w:divBdr>
        <w:top w:val="none" w:sz="0" w:space="0" w:color="auto"/>
        <w:left w:val="none" w:sz="0" w:space="0" w:color="auto"/>
        <w:bottom w:val="none" w:sz="0" w:space="0" w:color="auto"/>
        <w:right w:val="none" w:sz="0" w:space="0" w:color="auto"/>
      </w:divBdr>
    </w:div>
    <w:div w:id="784614961">
      <w:bodyDiv w:val="1"/>
      <w:marLeft w:val="0"/>
      <w:marRight w:val="0"/>
      <w:marTop w:val="0"/>
      <w:marBottom w:val="0"/>
      <w:divBdr>
        <w:top w:val="none" w:sz="0" w:space="0" w:color="auto"/>
        <w:left w:val="none" w:sz="0" w:space="0" w:color="auto"/>
        <w:bottom w:val="none" w:sz="0" w:space="0" w:color="auto"/>
        <w:right w:val="none" w:sz="0" w:space="0" w:color="auto"/>
      </w:divBdr>
    </w:div>
    <w:div w:id="820195936">
      <w:bodyDiv w:val="1"/>
      <w:marLeft w:val="0"/>
      <w:marRight w:val="0"/>
      <w:marTop w:val="0"/>
      <w:marBottom w:val="0"/>
      <w:divBdr>
        <w:top w:val="none" w:sz="0" w:space="0" w:color="auto"/>
        <w:left w:val="none" w:sz="0" w:space="0" w:color="auto"/>
        <w:bottom w:val="none" w:sz="0" w:space="0" w:color="auto"/>
        <w:right w:val="none" w:sz="0" w:space="0" w:color="auto"/>
      </w:divBdr>
    </w:div>
    <w:div w:id="956763380">
      <w:bodyDiv w:val="1"/>
      <w:marLeft w:val="0"/>
      <w:marRight w:val="0"/>
      <w:marTop w:val="0"/>
      <w:marBottom w:val="0"/>
      <w:divBdr>
        <w:top w:val="none" w:sz="0" w:space="0" w:color="auto"/>
        <w:left w:val="none" w:sz="0" w:space="0" w:color="auto"/>
        <w:bottom w:val="none" w:sz="0" w:space="0" w:color="auto"/>
        <w:right w:val="none" w:sz="0" w:space="0" w:color="auto"/>
      </w:divBdr>
    </w:div>
    <w:div w:id="980428902">
      <w:bodyDiv w:val="1"/>
      <w:marLeft w:val="0"/>
      <w:marRight w:val="0"/>
      <w:marTop w:val="0"/>
      <w:marBottom w:val="0"/>
      <w:divBdr>
        <w:top w:val="none" w:sz="0" w:space="0" w:color="auto"/>
        <w:left w:val="none" w:sz="0" w:space="0" w:color="auto"/>
        <w:bottom w:val="none" w:sz="0" w:space="0" w:color="auto"/>
        <w:right w:val="none" w:sz="0" w:space="0" w:color="auto"/>
      </w:divBdr>
    </w:div>
    <w:div w:id="1045375338">
      <w:bodyDiv w:val="1"/>
      <w:marLeft w:val="0"/>
      <w:marRight w:val="0"/>
      <w:marTop w:val="0"/>
      <w:marBottom w:val="0"/>
      <w:divBdr>
        <w:top w:val="none" w:sz="0" w:space="0" w:color="auto"/>
        <w:left w:val="none" w:sz="0" w:space="0" w:color="auto"/>
        <w:bottom w:val="none" w:sz="0" w:space="0" w:color="auto"/>
        <w:right w:val="none" w:sz="0" w:space="0" w:color="auto"/>
      </w:divBdr>
    </w:div>
    <w:div w:id="1088699376">
      <w:bodyDiv w:val="1"/>
      <w:marLeft w:val="0"/>
      <w:marRight w:val="0"/>
      <w:marTop w:val="0"/>
      <w:marBottom w:val="0"/>
      <w:divBdr>
        <w:top w:val="none" w:sz="0" w:space="0" w:color="auto"/>
        <w:left w:val="none" w:sz="0" w:space="0" w:color="auto"/>
        <w:bottom w:val="none" w:sz="0" w:space="0" w:color="auto"/>
        <w:right w:val="none" w:sz="0" w:space="0" w:color="auto"/>
      </w:divBdr>
    </w:div>
    <w:div w:id="1105886284">
      <w:bodyDiv w:val="1"/>
      <w:marLeft w:val="0"/>
      <w:marRight w:val="0"/>
      <w:marTop w:val="0"/>
      <w:marBottom w:val="0"/>
      <w:divBdr>
        <w:top w:val="none" w:sz="0" w:space="0" w:color="auto"/>
        <w:left w:val="none" w:sz="0" w:space="0" w:color="auto"/>
        <w:bottom w:val="none" w:sz="0" w:space="0" w:color="auto"/>
        <w:right w:val="none" w:sz="0" w:space="0" w:color="auto"/>
      </w:divBdr>
    </w:div>
    <w:div w:id="1108041421">
      <w:bodyDiv w:val="1"/>
      <w:marLeft w:val="0"/>
      <w:marRight w:val="0"/>
      <w:marTop w:val="0"/>
      <w:marBottom w:val="0"/>
      <w:divBdr>
        <w:top w:val="none" w:sz="0" w:space="0" w:color="auto"/>
        <w:left w:val="none" w:sz="0" w:space="0" w:color="auto"/>
        <w:bottom w:val="none" w:sz="0" w:space="0" w:color="auto"/>
        <w:right w:val="none" w:sz="0" w:space="0" w:color="auto"/>
      </w:divBdr>
    </w:div>
    <w:div w:id="1112241819">
      <w:bodyDiv w:val="1"/>
      <w:marLeft w:val="0"/>
      <w:marRight w:val="0"/>
      <w:marTop w:val="0"/>
      <w:marBottom w:val="0"/>
      <w:divBdr>
        <w:top w:val="none" w:sz="0" w:space="0" w:color="auto"/>
        <w:left w:val="none" w:sz="0" w:space="0" w:color="auto"/>
        <w:bottom w:val="none" w:sz="0" w:space="0" w:color="auto"/>
        <w:right w:val="none" w:sz="0" w:space="0" w:color="auto"/>
      </w:divBdr>
    </w:div>
    <w:div w:id="1138108017">
      <w:bodyDiv w:val="1"/>
      <w:marLeft w:val="0"/>
      <w:marRight w:val="0"/>
      <w:marTop w:val="0"/>
      <w:marBottom w:val="0"/>
      <w:divBdr>
        <w:top w:val="none" w:sz="0" w:space="0" w:color="auto"/>
        <w:left w:val="none" w:sz="0" w:space="0" w:color="auto"/>
        <w:bottom w:val="none" w:sz="0" w:space="0" w:color="auto"/>
        <w:right w:val="none" w:sz="0" w:space="0" w:color="auto"/>
      </w:divBdr>
    </w:div>
    <w:div w:id="1141769319">
      <w:bodyDiv w:val="1"/>
      <w:marLeft w:val="0"/>
      <w:marRight w:val="0"/>
      <w:marTop w:val="0"/>
      <w:marBottom w:val="0"/>
      <w:divBdr>
        <w:top w:val="none" w:sz="0" w:space="0" w:color="auto"/>
        <w:left w:val="none" w:sz="0" w:space="0" w:color="auto"/>
        <w:bottom w:val="none" w:sz="0" w:space="0" w:color="auto"/>
        <w:right w:val="none" w:sz="0" w:space="0" w:color="auto"/>
      </w:divBdr>
    </w:div>
    <w:div w:id="1158688394">
      <w:bodyDiv w:val="1"/>
      <w:marLeft w:val="0"/>
      <w:marRight w:val="0"/>
      <w:marTop w:val="0"/>
      <w:marBottom w:val="0"/>
      <w:divBdr>
        <w:top w:val="none" w:sz="0" w:space="0" w:color="auto"/>
        <w:left w:val="none" w:sz="0" w:space="0" w:color="auto"/>
        <w:bottom w:val="none" w:sz="0" w:space="0" w:color="auto"/>
        <w:right w:val="none" w:sz="0" w:space="0" w:color="auto"/>
      </w:divBdr>
    </w:div>
    <w:div w:id="1163936503">
      <w:bodyDiv w:val="1"/>
      <w:marLeft w:val="0"/>
      <w:marRight w:val="0"/>
      <w:marTop w:val="0"/>
      <w:marBottom w:val="0"/>
      <w:divBdr>
        <w:top w:val="none" w:sz="0" w:space="0" w:color="auto"/>
        <w:left w:val="none" w:sz="0" w:space="0" w:color="auto"/>
        <w:bottom w:val="none" w:sz="0" w:space="0" w:color="auto"/>
        <w:right w:val="none" w:sz="0" w:space="0" w:color="auto"/>
      </w:divBdr>
    </w:div>
    <w:div w:id="1202744443">
      <w:bodyDiv w:val="1"/>
      <w:marLeft w:val="0"/>
      <w:marRight w:val="0"/>
      <w:marTop w:val="0"/>
      <w:marBottom w:val="0"/>
      <w:divBdr>
        <w:top w:val="none" w:sz="0" w:space="0" w:color="auto"/>
        <w:left w:val="none" w:sz="0" w:space="0" w:color="auto"/>
        <w:bottom w:val="none" w:sz="0" w:space="0" w:color="auto"/>
        <w:right w:val="none" w:sz="0" w:space="0" w:color="auto"/>
      </w:divBdr>
    </w:div>
    <w:div w:id="1209337508">
      <w:bodyDiv w:val="1"/>
      <w:marLeft w:val="0"/>
      <w:marRight w:val="0"/>
      <w:marTop w:val="0"/>
      <w:marBottom w:val="0"/>
      <w:divBdr>
        <w:top w:val="none" w:sz="0" w:space="0" w:color="auto"/>
        <w:left w:val="none" w:sz="0" w:space="0" w:color="auto"/>
        <w:bottom w:val="none" w:sz="0" w:space="0" w:color="auto"/>
        <w:right w:val="none" w:sz="0" w:space="0" w:color="auto"/>
      </w:divBdr>
    </w:div>
    <w:div w:id="1245263964">
      <w:bodyDiv w:val="1"/>
      <w:marLeft w:val="0"/>
      <w:marRight w:val="0"/>
      <w:marTop w:val="0"/>
      <w:marBottom w:val="0"/>
      <w:divBdr>
        <w:top w:val="none" w:sz="0" w:space="0" w:color="auto"/>
        <w:left w:val="none" w:sz="0" w:space="0" w:color="auto"/>
        <w:bottom w:val="none" w:sz="0" w:space="0" w:color="auto"/>
        <w:right w:val="none" w:sz="0" w:space="0" w:color="auto"/>
      </w:divBdr>
    </w:div>
    <w:div w:id="1309288633">
      <w:bodyDiv w:val="1"/>
      <w:marLeft w:val="0"/>
      <w:marRight w:val="0"/>
      <w:marTop w:val="0"/>
      <w:marBottom w:val="0"/>
      <w:divBdr>
        <w:top w:val="none" w:sz="0" w:space="0" w:color="auto"/>
        <w:left w:val="none" w:sz="0" w:space="0" w:color="auto"/>
        <w:bottom w:val="none" w:sz="0" w:space="0" w:color="auto"/>
        <w:right w:val="none" w:sz="0" w:space="0" w:color="auto"/>
      </w:divBdr>
    </w:div>
    <w:div w:id="1313633269">
      <w:bodyDiv w:val="1"/>
      <w:marLeft w:val="0"/>
      <w:marRight w:val="0"/>
      <w:marTop w:val="0"/>
      <w:marBottom w:val="0"/>
      <w:divBdr>
        <w:top w:val="none" w:sz="0" w:space="0" w:color="auto"/>
        <w:left w:val="none" w:sz="0" w:space="0" w:color="auto"/>
        <w:bottom w:val="none" w:sz="0" w:space="0" w:color="auto"/>
        <w:right w:val="none" w:sz="0" w:space="0" w:color="auto"/>
      </w:divBdr>
    </w:div>
    <w:div w:id="1314329951">
      <w:bodyDiv w:val="1"/>
      <w:marLeft w:val="0"/>
      <w:marRight w:val="0"/>
      <w:marTop w:val="0"/>
      <w:marBottom w:val="0"/>
      <w:divBdr>
        <w:top w:val="none" w:sz="0" w:space="0" w:color="auto"/>
        <w:left w:val="none" w:sz="0" w:space="0" w:color="auto"/>
        <w:bottom w:val="none" w:sz="0" w:space="0" w:color="auto"/>
        <w:right w:val="none" w:sz="0" w:space="0" w:color="auto"/>
      </w:divBdr>
    </w:div>
    <w:div w:id="1328440435">
      <w:bodyDiv w:val="1"/>
      <w:marLeft w:val="0"/>
      <w:marRight w:val="0"/>
      <w:marTop w:val="0"/>
      <w:marBottom w:val="0"/>
      <w:divBdr>
        <w:top w:val="none" w:sz="0" w:space="0" w:color="auto"/>
        <w:left w:val="none" w:sz="0" w:space="0" w:color="auto"/>
        <w:bottom w:val="none" w:sz="0" w:space="0" w:color="auto"/>
        <w:right w:val="none" w:sz="0" w:space="0" w:color="auto"/>
      </w:divBdr>
    </w:div>
    <w:div w:id="1336882598">
      <w:bodyDiv w:val="1"/>
      <w:marLeft w:val="0"/>
      <w:marRight w:val="0"/>
      <w:marTop w:val="0"/>
      <w:marBottom w:val="0"/>
      <w:divBdr>
        <w:top w:val="none" w:sz="0" w:space="0" w:color="auto"/>
        <w:left w:val="none" w:sz="0" w:space="0" w:color="auto"/>
        <w:bottom w:val="none" w:sz="0" w:space="0" w:color="auto"/>
        <w:right w:val="none" w:sz="0" w:space="0" w:color="auto"/>
      </w:divBdr>
    </w:div>
    <w:div w:id="1355572278">
      <w:bodyDiv w:val="1"/>
      <w:marLeft w:val="0"/>
      <w:marRight w:val="0"/>
      <w:marTop w:val="0"/>
      <w:marBottom w:val="0"/>
      <w:divBdr>
        <w:top w:val="none" w:sz="0" w:space="0" w:color="auto"/>
        <w:left w:val="none" w:sz="0" w:space="0" w:color="auto"/>
        <w:bottom w:val="none" w:sz="0" w:space="0" w:color="auto"/>
        <w:right w:val="none" w:sz="0" w:space="0" w:color="auto"/>
      </w:divBdr>
    </w:div>
    <w:div w:id="1366641253">
      <w:bodyDiv w:val="1"/>
      <w:marLeft w:val="0"/>
      <w:marRight w:val="0"/>
      <w:marTop w:val="0"/>
      <w:marBottom w:val="0"/>
      <w:divBdr>
        <w:top w:val="none" w:sz="0" w:space="0" w:color="auto"/>
        <w:left w:val="none" w:sz="0" w:space="0" w:color="auto"/>
        <w:bottom w:val="none" w:sz="0" w:space="0" w:color="auto"/>
        <w:right w:val="none" w:sz="0" w:space="0" w:color="auto"/>
      </w:divBdr>
    </w:div>
    <w:div w:id="1384524937">
      <w:bodyDiv w:val="1"/>
      <w:marLeft w:val="0"/>
      <w:marRight w:val="0"/>
      <w:marTop w:val="0"/>
      <w:marBottom w:val="0"/>
      <w:divBdr>
        <w:top w:val="none" w:sz="0" w:space="0" w:color="auto"/>
        <w:left w:val="none" w:sz="0" w:space="0" w:color="auto"/>
        <w:bottom w:val="none" w:sz="0" w:space="0" w:color="auto"/>
        <w:right w:val="none" w:sz="0" w:space="0" w:color="auto"/>
      </w:divBdr>
    </w:div>
    <w:div w:id="1415660890">
      <w:bodyDiv w:val="1"/>
      <w:marLeft w:val="0"/>
      <w:marRight w:val="0"/>
      <w:marTop w:val="0"/>
      <w:marBottom w:val="0"/>
      <w:divBdr>
        <w:top w:val="none" w:sz="0" w:space="0" w:color="auto"/>
        <w:left w:val="none" w:sz="0" w:space="0" w:color="auto"/>
        <w:bottom w:val="none" w:sz="0" w:space="0" w:color="auto"/>
        <w:right w:val="none" w:sz="0" w:space="0" w:color="auto"/>
      </w:divBdr>
    </w:div>
    <w:div w:id="1440443765">
      <w:bodyDiv w:val="1"/>
      <w:marLeft w:val="0"/>
      <w:marRight w:val="0"/>
      <w:marTop w:val="0"/>
      <w:marBottom w:val="0"/>
      <w:divBdr>
        <w:top w:val="none" w:sz="0" w:space="0" w:color="auto"/>
        <w:left w:val="none" w:sz="0" w:space="0" w:color="auto"/>
        <w:bottom w:val="none" w:sz="0" w:space="0" w:color="auto"/>
        <w:right w:val="none" w:sz="0" w:space="0" w:color="auto"/>
      </w:divBdr>
    </w:div>
    <w:div w:id="1451588103">
      <w:bodyDiv w:val="1"/>
      <w:marLeft w:val="0"/>
      <w:marRight w:val="0"/>
      <w:marTop w:val="0"/>
      <w:marBottom w:val="0"/>
      <w:divBdr>
        <w:top w:val="none" w:sz="0" w:space="0" w:color="auto"/>
        <w:left w:val="none" w:sz="0" w:space="0" w:color="auto"/>
        <w:bottom w:val="none" w:sz="0" w:space="0" w:color="auto"/>
        <w:right w:val="none" w:sz="0" w:space="0" w:color="auto"/>
      </w:divBdr>
    </w:div>
    <w:div w:id="1494494526">
      <w:bodyDiv w:val="1"/>
      <w:marLeft w:val="0"/>
      <w:marRight w:val="0"/>
      <w:marTop w:val="0"/>
      <w:marBottom w:val="0"/>
      <w:divBdr>
        <w:top w:val="none" w:sz="0" w:space="0" w:color="auto"/>
        <w:left w:val="none" w:sz="0" w:space="0" w:color="auto"/>
        <w:bottom w:val="none" w:sz="0" w:space="0" w:color="auto"/>
        <w:right w:val="none" w:sz="0" w:space="0" w:color="auto"/>
      </w:divBdr>
    </w:div>
    <w:div w:id="1540557192">
      <w:bodyDiv w:val="1"/>
      <w:marLeft w:val="0"/>
      <w:marRight w:val="0"/>
      <w:marTop w:val="0"/>
      <w:marBottom w:val="0"/>
      <w:divBdr>
        <w:top w:val="none" w:sz="0" w:space="0" w:color="auto"/>
        <w:left w:val="none" w:sz="0" w:space="0" w:color="auto"/>
        <w:bottom w:val="none" w:sz="0" w:space="0" w:color="auto"/>
        <w:right w:val="none" w:sz="0" w:space="0" w:color="auto"/>
      </w:divBdr>
    </w:div>
    <w:div w:id="1573078416">
      <w:bodyDiv w:val="1"/>
      <w:marLeft w:val="0"/>
      <w:marRight w:val="0"/>
      <w:marTop w:val="0"/>
      <w:marBottom w:val="0"/>
      <w:divBdr>
        <w:top w:val="none" w:sz="0" w:space="0" w:color="auto"/>
        <w:left w:val="none" w:sz="0" w:space="0" w:color="auto"/>
        <w:bottom w:val="none" w:sz="0" w:space="0" w:color="auto"/>
        <w:right w:val="none" w:sz="0" w:space="0" w:color="auto"/>
      </w:divBdr>
    </w:div>
    <w:div w:id="1601529332">
      <w:bodyDiv w:val="1"/>
      <w:marLeft w:val="0"/>
      <w:marRight w:val="0"/>
      <w:marTop w:val="0"/>
      <w:marBottom w:val="0"/>
      <w:divBdr>
        <w:top w:val="none" w:sz="0" w:space="0" w:color="auto"/>
        <w:left w:val="none" w:sz="0" w:space="0" w:color="auto"/>
        <w:bottom w:val="none" w:sz="0" w:space="0" w:color="auto"/>
        <w:right w:val="none" w:sz="0" w:space="0" w:color="auto"/>
      </w:divBdr>
    </w:div>
    <w:div w:id="1646156837">
      <w:bodyDiv w:val="1"/>
      <w:marLeft w:val="0"/>
      <w:marRight w:val="0"/>
      <w:marTop w:val="0"/>
      <w:marBottom w:val="0"/>
      <w:divBdr>
        <w:top w:val="none" w:sz="0" w:space="0" w:color="auto"/>
        <w:left w:val="none" w:sz="0" w:space="0" w:color="auto"/>
        <w:bottom w:val="none" w:sz="0" w:space="0" w:color="auto"/>
        <w:right w:val="none" w:sz="0" w:space="0" w:color="auto"/>
      </w:divBdr>
    </w:div>
    <w:div w:id="1662928979">
      <w:bodyDiv w:val="1"/>
      <w:marLeft w:val="0"/>
      <w:marRight w:val="0"/>
      <w:marTop w:val="0"/>
      <w:marBottom w:val="0"/>
      <w:divBdr>
        <w:top w:val="none" w:sz="0" w:space="0" w:color="auto"/>
        <w:left w:val="none" w:sz="0" w:space="0" w:color="auto"/>
        <w:bottom w:val="none" w:sz="0" w:space="0" w:color="auto"/>
        <w:right w:val="none" w:sz="0" w:space="0" w:color="auto"/>
      </w:divBdr>
    </w:div>
    <w:div w:id="1680229283">
      <w:bodyDiv w:val="1"/>
      <w:marLeft w:val="0"/>
      <w:marRight w:val="0"/>
      <w:marTop w:val="0"/>
      <w:marBottom w:val="0"/>
      <w:divBdr>
        <w:top w:val="none" w:sz="0" w:space="0" w:color="auto"/>
        <w:left w:val="none" w:sz="0" w:space="0" w:color="auto"/>
        <w:bottom w:val="none" w:sz="0" w:space="0" w:color="auto"/>
        <w:right w:val="none" w:sz="0" w:space="0" w:color="auto"/>
      </w:divBdr>
    </w:div>
    <w:div w:id="1760444256">
      <w:bodyDiv w:val="1"/>
      <w:marLeft w:val="0"/>
      <w:marRight w:val="0"/>
      <w:marTop w:val="0"/>
      <w:marBottom w:val="0"/>
      <w:divBdr>
        <w:top w:val="none" w:sz="0" w:space="0" w:color="auto"/>
        <w:left w:val="none" w:sz="0" w:space="0" w:color="auto"/>
        <w:bottom w:val="none" w:sz="0" w:space="0" w:color="auto"/>
        <w:right w:val="none" w:sz="0" w:space="0" w:color="auto"/>
      </w:divBdr>
    </w:div>
    <w:div w:id="1769305818">
      <w:bodyDiv w:val="1"/>
      <w:marLeft w:val="0"/>
      <w:marRight w:val="0"/>
      <w:marTop w:val="0"/>
      <w:marBottom w:val="0"/>
      <w:divBdr>
        <w:top w:val="none" w:sz="0" w:space="0" w:color="auto"/>
        <w:left w:val="none" w:sz="0" w:space="0" w:color="auto"/>
        <w:bottom w:val="none" w:sz="0" w:space="0" w:color="auto"/>
        <w:right w:val="none" w:sz="0" w:space="0" w:color="auto"/>
      </w:divBdr>
    </w:div>
    <w:div w:id="1774592918">
      <w:bodyDiv w:val="1"/>
      <w:marLeft w:val="0"/>
      <w:marRight w:val="0"/>
      <w:marTop w:val="0"/>
      <w:marBottom w:val="0"/>
      <w:divBdr>
        <w:top w:val="none" w:sz="0" w:space="0" w:color="auto"/>
        <w:left w:val="none" w:sz="0" w:space="0" w:color="auto"/>
        <w:bottom w:val="none" w:sz="0" w:space="0" w:color="auto"/>
        <w:right w:val="none" w:sz="0" w:space="0" w:color="auto"/>
      </w:divBdr>
    </w:div>
    <w:div w:id="1777291324">
      <w:bodyDiv w:val="1"/>
      <w:marLeft w:val="0"/>
      <w:marRight w:val="0"/>
      <w:marTop w:val="0"/>
      <w:marBottom w:val="0"/>
      <w:divBdr>
        <w:top w:val="none" w:sz="0" w:space="0" w:color="auto"/>
        <w:left w:val="none" w:sz="0" w:space="0" w:color="auto"/>
        <w:bottom w:val="none" w:sz="0" w:space="0" w:color="auto"/>
        <w:right w:val="none" w:sz="0" w:space="0" w:color="auto"/>
      </w:divBdr>
    </w:div>
    <w:div w:id="1810900071">
      <w:bodyDiv w:val="1"/>
      <w:marLeft w:val="0"/>
      <w:marRight w:val="0"/>
      <w:marTop w:val="0"/>
      <w:marBottom w:val="0"/>
      <w:divBdr>
        <w:top w:val="none" w:sz="0" w:space="0" w:color="auto"/>
        <w:left w:val="none" w:sz="0" w:space="0" w:color="auto"/>
        <w:bottom w:val="none" w:sz="0" w:space="0" w:color="auto"/>
        <w:right w:val="none" w:sz="0" w:space="0" w:color="auto"/>
      </w:divBdr>
    </w:div>
    <w:div w:id="1864246639">
      <w:bodyDiv w:val="1"/>
      <w:marLeft w:val="0"/>
      <w:marRight w:val="0"/>
      <w:marTop w:val="0"/>
      <w:marBottom w:val="0"/>
      <w:divBdr>
        <w:top w:val="none" w:sz="0" w:space="0" w:color="auto"/>
        <w:left w:val="none" w:sz="0" w:space="0" w:color="auto"/>
        <w:bottom w:val="none" w:sz="0" w:space="0" w:color="auto"/>
        <w:right w:val="none" w:sz="0" w:space="0" w:color="auto"/>
      </w:divBdr>
    </w:div>
    <w:div w:id="1867255723">
      <w:bodyDiv w:val="1"/>
      <w:marLeft w:val="0"/>
      <w:marRight w:val="0"/>
      <w:marTop w:val="0"/>
      <w:marBottom w:val="0"/>
      <w:divBdr>
        <w:top w:val="none" w:sz="0" w:space="0" w:color="auto"/>
        <w:left w:val="none" w:sz="0" w:space="0" w:color="auto"/>
        <w:bottom w:val="none" w:sz="0" w:space="0" w:color="auto"/>
        <w:right w:val="none" w:sz="0" w:space="0" w:color="auto"/>
      </w:divBdr>
      <w:divsChild>
        <w:div w:id="2031908018">
          <w:marLeft w:val="0"/>
          <w:marRight w:val="0"/>
          <w:marTop w:val="0"/>
          <w:marBottom w:val="0"/>
          <w:divBdr>
            <w:top w:val="none" w:sz="0" w:space="0" w:color="auto"/>
            <w:left w:val="none" w:sz="0" w:space="0" w:color="auto"/>
            <w:bottom w:val="none" w:sz="0" w:space="0" w:color="auto"/>
            <w:right w:val="none" w:sz="0" w:space="0" w:color="auto"/>
          </w:divBdr>
          <w:divsChild>
            <w:div w:id="225069493">
              <w:marLeft w:val="75"/>
              <w:marRight w:val="0"/>
              <w:marTop w:val="0"/>
              <w:marBottom w:val="0"/>
              <w:divBdr>
                <w:top w:val="none" w:sz="0" w:space="0" w:color="auto"/>
                <w:left w:val="none" w:sz="0" w:space="0" w:color="auto"/>
                <w:bottom w:val="none" w:sz="0" w:space="0" w:color="auto"/>
                <w:right w:val="none" w:sz="0" w:space="0" w:color="auto"/>
              </w:divBdr>
            </w:div>
            <w:div w:id="9712549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04562370">
      <w:bodyDiv w:val="1"/>
      <w:marLeft w:val="0"/>
      <w:marRight w:val="0"/>
      <w:marTop w:val="0"/>
      <w:marBottom w:val="0"/>
      <w:divBdr>
        <w:top w:val="none" w:sz="0" w:space="0" w:color="auto"/>
        <w:left w:val="none" w:sz="0" w:space="0" w:color="auto"/>
        <w:bottom w:val="none" w:sz="0" w:space="0" w:color="auto"/>
        <w:right w:val="none" w:sz="0" w:space="0" w:color="auto"/>
      </w:divBdr>
    </w:div>
    <w:div w:id="1928074183">
      <w:bodyDiv w:val="1"/>
      <w:marLeft w:val="0"/>
      <w:marRight w:val="0"/>
      <w:marTop w:val="0"/>
      <w:marBottom w:val="0"/>
      <w:divBdr>
        <w:top w:val="none" w:sz="0" w:space="0" w:color="auto"/>
        <w:left w:val="none" w:sz="0" w:space="0" w:color="auto"/>
        <w:bottom w:val="none" w:sz="0" w:space="0" w:color="auto"/>
        <w:right w:val="none" w:sz="0" w:space="0" w:color="auto"/>
      </w:divBdr>
    </w:div>
    <w:div w:id="1997760416">
      <w:bodyDiv w:val="1"/>
      <w:marLeft w:val="0"/>
      <w:marRight w:val="0"/>
      <w:marTop w:val="0"/>
      <w:marBottom w:val="0"/>
      <w:divBdr>
        <w:top w:val="none" w:sz="0" w:space="0" w:color="auto"/>
        <w:left w:val="none" w:sz="0" w:space="0" w:color="auto"/>
        <w:bottom w:val="none" w:sz="0" w:space="0" w:color="auto"/>
        <w:right w:val="none" w:sz="0" w:space="0" w:color="auto"/>
      </w:divBdr>
    </w:div>
    <w:div w:id="201641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chart" Target="charts/chart1.xml"/><Relationship Id="rId14"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file:///C:\MIROSLAV\Licno\Strategija%20i%20AP\Pregled%20skg.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spPr>
            <a:solidFill>
              <a:srgbClr val="CC3300"/>
            </a:solidFill>
          </c:spPr>
          <c:dPt>
            <c:idx val="0"/>
            <c:spPr>
              <a:solidFill>
                <a:srgbClr val="00B050"/>
              </a:solidFill>
            </c:spPr>
            <c:extLst xmlns:c16r2="http://schemas.microsoft.com/office/drawing/2015/06/chart">
              <c:ext xmlns:c16="http://schemas.microsoft.com/office/drawing/2014/chart" uri="{C3380CC4-5D6E-409C-BE32-E72D297353CC}">
                <c16:uniqueId val="{00000001-23A9-49DC-A6EE-AB2796127478}"/>
              </c:ext>
            </c:extLst>
          </c:dPt>
          <c:dPt>
            <c:idx val="1"/>
            <c:spPr>
              <a:solidFill>
                <a:srgbClr val="0070C0"/>
              </a:solidFill>
            </c:spPr>
            <c:extLst xmlns:c16r2="http://schemas.microsoft.com/office/drawing/2015/06/chart">
              <c:ext xmlns:c16="http://schemas.microsoft.com/office/drawing/2014/chart" uri="{C3380CC4-5D6E-409C-BE32-E72D297353CC}">
                <c16:uniqueId val="{00000003-23A9-49DC-A6EE-AB2796127478}"/>
              </c:ext>
            </c:extLst>
          </c:dPt>
          <c:dLbls>
            <c:spPr>
              <a:solidFill>
                <a:schemeClr val="bg1"/>
              </a:solidFill>
            </c:spPr>
            <c:showVal val="1"/>
            <c:showPercent val="1"/>
            <c:separator>
</c:separator>
            <c:showLeaderLines val="1"/>
            <c:extLst xmlns:c16r2="http://schemas.microsoft.com/office/drawing/2015/06/chart">
              <c:ext xmlns:c15="http://schemas.microsoft.com/office/drawing/2012/chart" uri="{CE6537A1-D6FC-4f65-9D91-7224C49458BB}"/>
            </c:extLst>
          </c:dLbls>
          <c:cat>
            <c:strRef>
              <c:f>Sheet1!$M$1:$O$1</c:f>
              <c:strCache>
                <c:ptCount val="3"/>
                <c:pt idx="0">
                  <c:v>Спроведено  или континуирано се спроводи</c:v>
                </c:pt>
                <c:pt idx="1">
                  <c:v>Делимично спроведено</c:v>
                </c:pt>
                <c:pt idx="2">
                  <c:v>Неспроведено</c:v>
                </c:pt>
              </c:strCache>
            </c:strRef>
          </c:cat>
          <c:val>
            <c:numRef>
              <c:f>Sheet1!$M$2:$O$2</c:f>
              <c:numCache>
                <c:formatCode>General</c:formatCode>
                <c:ptCount val="3"/>
                <c:pt idx="0">
                  <c:v>87</c:v>
                </c:pt>
                <c:pt idx="1">
                  <c:v>12</c:v>
                </c:pt>
                <c:pt idx="2">
                  <c:v>10</c:v>
                </c:pt>
              </c:numCache>
            </c:numRef>
          </c:val>
          <c:extLst xmlns:c16r2="http://schemas.microsoft.com/office/drawing/2015/06/chart">
            <c:ext xmlns:c16="http://schemas.microsoft.com/office/drawing/2014/chart" uri="{C3380CC4-5D6E-409C-BE32-E72D297353CC}">
              <c16:uniqueId val="{00000004-23A9-49DC-A6EE-AB2796127478}"/>
            </c:ext>
          </c:extLst>
        </c:ser>
        <c:firstSliceAng val="0"/>
      </c:pieChart>
      <c:spPr>
        <a:noFill/>
        <a:ln w="25400">
          <a:noFill/>
        </a:ln>
      </c:spPr>
    </c:plotArea>
    <c:legend>
      <c:legendPos val="r"/>
    </c:legend>
    <c:plotVisOnly val="1"/>
    <c:dispBlanksAs val="zero"/>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2020-2024</PublishDate>
  <Abstract>за борбу против прања новца и финансирања тероризма за период 2020–2024. и Акциони план за период 2020–2022. године - ПРЕДЛОГ</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B49C53-4332-41BD-BF53-DD1FD0958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11968</Words>
  <Characters>68223</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СТРАТЕГИЈА</vt:lpstr>
    </vt:vector>
  </TitlesOfParts>
  <Company>Mic</Company>
  <LinksUpToDate>false</LinksUpToDate>
  <CharactersWithSpaces>80031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СТРАТЕГИЈА</dc:title>
  <dc:creator>Snezana Konjevic</dc:creator>
  <cp:lastModifiedBy>Катарина Павличић</cp:lastModifiedBy>
  <cp:revision>3</cp:revision>
  <cp:lastPrinted>2020-02-14T10:06:00Z</cp:lastPrinted>
  <dcterms:created xsi:type="dcterms:W3CDTF">2020-02-19T11:43:00Z</dcterms:created>
  <dcterms:modified xsi:type="dcterms:W3CDTF">2020-02-19T11:44:00Z</dcterms:modified>
</cp:coreProperties>
</file>