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18" w:rsidRPr="00E95BC4" w:rsidRDefault="00146E18" w:rsidP="00146E18">
      <w:pPr>
        <w:ind w:firstLine="720"/>
        <w:jc w:val="both"/>
        <w:rPr>
          <w:rFonts w:eastAsia="Times New Roman"/>
          <w:color w:val="auto"/>
          <w:kern w:val="0"/>
          <w:lang w:val="sr-Cyrl-CS"/>
        </w:rPr>
      </w:pPr>
      <w:r w:rsidRPr="00E95BC4">
        <w:rPr>
          <w:rFonts w:eastAsia="Times New Roman"/>
          <w:color w:val="auto"/>
          <w:kern w:val="0"/>
          <w:lang w:val="sr-Cyrl-CS"/>
        </w:rPr>
        <w:t xml:space="preserve">На основу </w:t>
      </w:r>
      <w:r w:rsidR="00A34DED" w:rsidRPr="00E95BC4">
        <w:rPr>
          <w:rFonts w:eastAsia="Times New Roman"/>
          <w:color w:val="auto"/>
          <w:kern w:val="0"/>
          <w:lang w:val="sr-Cyrl-CS"/>
        </w:rPr>
        <w:t>члана 38.</w:t>
      </w:r>
      <w:r w:rsidR="00603DAA" w:rsidRPr="00E95BC4">
        <w:rPr>
          <w:rFonts w:eastAsia="Times New Roman"/>
          <w:color w:val="auto"/>
          <w:kern w:val="0"/>
          <w:lang w:val="sr-Cyrl-CS"/>
        </w:rPr>
        <w:t xml:space="preserve"> став 1. Закона о планском систему Републике Србије („</w:t>
      </w:r>
      <w:r w:rsidR="00A34DED" w:rsidRPr="00E95BC4">
        <w:rPr>
          <w:rFonts w:eastAsia="Times New Roman"/>
          <w:color w:val="auto"/>
          <w:kern w:val="0"/>
          <w:lang w:val="sr-Cyrl-CS"/>
        </w:rPr>
        <w:t>Службени</w:t>
      </w:r>
      <w:r w:rsidR="0071229F" w:rsidRPr="00E95BC4">
        <w:rPr>
          <w:rFonts w:eastAsia="Times New Roman"/>
          <w:color w:val="auto"/>
          <w:kern w:val="0"/>
          <w:lang w:val="sr-Cyrl-CS"/>
        </w:rPr>
        <w:t xml:space="preserve"> гласник РС”</w:t>
      </w:r>
      <w:r w:rsidR="00A34DED" w:rsidRPr="00E95BC4">
        <w:rPr>
          <w:rFonts w:eastAsia="Times New Roman"/>
          <w:color w:val="auto"/>
          <w:kern w:val="0"/>
          <w:lang w:val="sr-Cyrl-CS"/>
        </w:rPr>
        <w:t>, број 30/18)</w:t>
      </w:r>
      <w:r w:rsidRPr="00E95BC4">
        <w:rPr>
          <w:rFonts w:eastAsia="Times New Roman"/>
          <w:color w:val="auto"/>
          <w:kern w:val="0"/>
          <w:lang w:val="sr-Cyrl-CS"/>
        </w:rPr>
        <w:t>,</w:t>
      </w:r>
    </w:p>
    <w:p w:rsidR="00093C87" w:rsidRPr="00E95BC4" w:rsidRDefault="00093C87" w:rsidP="00146E18">
      <w:pPr>
        <w:ind w:firstLine="720"/>
        <w:jc w:val="both"/>
        <w:rPr>
          <w:rFonts w:eastAsia="Times New Roman"/>
          <w:color w:val="auto"/>
          <w:kern w:val="0"/>
          <w:lang w:val="sr-Cyrl-CS"/>
        </w:rPr>
      </w:pPr>
    </w:p>
    <w:p w:rsidR="00146E18" w:rsidRPr="00E95BC4" w:rsidRDefault="00146E18" w:rsidP="00146E18">
      <w:pPr>
        <w:ind w:firstLine="720"/>
        <w:jc w:val="both"/>
        <w:rPr>
          <w:rFonts w:eastAsia="Times New Roman"/>
          <w:color w:val="auto"/>
          <w:kern w:val="0"/>
          <w:lang w:val="sr-Cyrl-CS"/>
        </w:rPr>
      </w:pPr>
      <w:r w:rsidRPr="00E95BC4">
        <w:rPr>
          <w:rFonts w:eastAsia="Times New Roman"/>
          <w:color w:val="auto"/>
          <w:kern w:val="0"/>
          <w:lang w:val="sr-Cyrl-CS"/>
        </w:rPr>
        <w:t>Влада доноси</w:t>
      </w:r>
    </w:p>
    <w:p w:rsidR="00146E18" w:rsidRPr="00E95BC4" w:rsidRDefault="00146E18" w:rsidP="00146E18">
      <w:pPr>
        <w:ind w:firstLine="720"/>
        <w:jc w:val="both"/>
        <w:rPr>
          <w:rFonts w:eastAsia="Times New Roman"/>
          <w:color w:val="auto"/>
          <w:kern w:val="0"/>
          <w:lang w:val="sr-Cyrl-CS"/>
        </w:rPr>
      </w:pPr>
    </w:p>
    <w:p w:rsidR="00146E18" w:rsidRPr="00E95BC4" w:rsidRDefault="00146E18" w:rsidP="00146E18">
      <w:pPr>
        <w:jc w:val="center"/>
        <w:rPr>
          <w:rFonts w:eastAsia="Times New Roman"/>
          <w:color w:val="auto"/>
          <w:kern w:val="0"/>
          <w:lang w:val="sr-Cyrl-CS"/>
        </w:rPr>
      </w:pPr>
      <w:r w:rsidRPr="00E95BC4">
        <w:rPr>
          <w:rFonts w:eastAsia="Times New Roman"/>
          <w:color w:val="auto"/>
          <w:kern w:val="0"/>
          <w:lang w:val="sr-Cyrl-CS"/>
        </w:rPr>
        <w:t>СТРАТЕГИЈУ</w:t>
      </w:r>
    </w:p>
    <w:p w:rsidR="00B94B2E" w:rsidRPr="00E95BC4" w:rsidRDefault="00603DAA" w:rsidP="00146E18">
      <w:pPr>
        <w:jc w:val="center"/>
        <w:rPr>
          <w:rFonts w:eastAsia="Times New Roman"/>
          <w:color w:val="auto"/>
          <w:kern w:val="0"/>
          <w:lang w:val="sr-Cyrl-CS"/>
        </w:rPr>
      </w:pPr>
      <w:r w:rsidRPr="00E95BC4">
        <w:rPr>
          <w:rFonts w:eastAsia="Times New Roman"/>
          <w:color w:val="auto"/>
          <w:kern w:val="0"/>
          <w:lang w:val="sr-Cyrl-CS"/>
        </w:rPr>
        <w:t>ЗА БОРБУ ПРОТИВ ПРАЊА НОВЦА И ФИНАНСИРАЊА ТЕРОРИЗМА</w:t>
      </w:r>
    </w:p>
    <w:p w:rsidR="00146E18" w:rsidRPr="0081731E" w:rsidRDefault="00603DAA" w:rsidP="00146E18">
      <w:pPr>
        <w:jc w:val="center"/>
        <w:rPr>
          <w:rFonts w:eastAsia="Times New Roman"/>
          <w:color w:val="auto"/>
          <w:kern w:val="0"/>
          <w:lang/>
        </w:rPr>
      </w:pPr>
      <w:r w:rsidRPr="00E95BC4">
        <w:rPr>
          <w:rFonts w:eastAsia="Times New Roman"/>
          <w:color w:val="auto"/>
          <w:kern w:val="0"/>
          <w:lang w:val="sr-Cyrl-CS"/>
        </w:rPr>
        <w:t xml:space="preserve"> ЗА ПЕРИОД 2020–2024.</w:t>
      </w:r>
      <w:r w:rsidR="0081731E">
        <w:rPr>
          <w:rFonts w:eastAsia="Times New Roman"/>
          <w:color w:val="auto"/>
          <w:kern w:val="0"/>
        </w:rPr>
        <w:t xml:space="preserve"> </w:t>
      </w:r>
      <w:r w:rsidR="0081731E">
        <w:rPr>
          <w:rFonts w:eastAsia="Times New Roman"/>
          <w:color w:val="auto"/>
          <w:kern w:val="0"/>
          <w:lang/>
        </w:rPr>
        <w:t>ГОДИНЕ</w:t>
      </w:r>
    </w:p>
    <w:p w:rsidR="00146E18" w:rsidRPr="00E95BC4" w:rsidRDefault="00146E18" w:rsidP="00285FD7">
      <w:pPr>
        <w:ind w:firstLine="720"/>
        <w:jc w:val="both"/>
        <w:rPr>
          <w:rFonts w:eastAsia="Times New Roman"/>
          <w:color w:val="auto"/>
          <w:kern w:val="0"/>
          <w:lang w:val="sr-Cyrl-CS"/>
        </w:rPr>
      </w:pPr>
    </w:p>
    <w:p w:rsidR="00146E18" w:rsidRPr="00E95BC4" w:rsidRDefault="00146E18" w:rsidP="00146E18">
      <w:pPr>
        <w:pStyle w:val="Heading1"/>
        <w:spacing w:before="0"/>
        <w:ind w:firstLine="720"/>
        <w:rPr>
          <w:rFonts w:ascii="Times New Roman" w:hAnsi="Times New Roman" w:cs="Times New Roman"/>
          <w:sz w:val="24"/>
          <w:szCs w:val="24"/>
          <w:lang w:val="sr-Cyrl-CS"/>
        </w:rPr>
      </w:pPr>
    </w:p>
    <w:p w:rsidR="00146E18" w:rsidRPr="00E95BC4" w:rsidRDefault="00146E18" w:rsidP="00146E18">
      <w:pPr>
        <w:pStyle w:val="Heading1"/>
        <w:spacing w:before="0"/>
        <w:ind w:firstLine="720"/>
        <w:rPr>
          <w:rFonts w:ascii="Times New Roman" w:hAnsi="Times New Roman" w:cs="Times New Roman"/>
          <w:color w:val="auto"/>
          <w:sz w:val="24"/>
          <w:szCs w:val="24"/>
          <w:lang w:val="sr-Cyrl-CS"/>
        </w:rPr>
      </w:pPr>
      <w:bookmarkStart w:id="0" w:name="_Toc32409891"/>
      <w:r w:rsidRPr="00E95BC4">
        <w:rPr>
          <w:rFonts w:ascii="Times New Roman" w:hAnsi="Times New Roman" w:cs="Times New Roman"/>
          <w:color w:val="auto"/>
          <w:sz w:val="24"/>
          <w:szCs w:val="24"/>
          <w:lang w:val="sr-Cyrl-CS"/>
        </w:rPr>
        <w:t>Увод</w:t>
      </w:r>
      <w:bookmarkEnd w:id="0"/>
    </w:p>
    <w:p w:rsidR="00146E18" w:rsidRPr="00E95BC4" w:rsidRDefault="00146E18" w:rsidP="00146E18">
      <w:pPr>
        <w:rPr>
          <w:lang w:val="sr-Cyrl-CS"/>
        </w:rPr>
      </w:pPr>
    </w:p>
    <w:p w:rsidR="002E5CC8" w:rsidRPr="00E95BC4" w:rsidRDefault="002E5CC8" w:rsidP="00285FD7">
      <w:pPr>
        <w:ind w:firstLine="720"/>
        <w:jc w:val="both"/>
        <w:rPr>
          <w:rFonts w:eastAsia="Times New Roman"/>
          <w:color w:val="auto"/>
          <w:kern w:val="0"/>
          <w:lang w:val="sr-Cyrl-CS"/>
        </w:rPr>
      </w:pPr>
      <w:r w:rsidRPr="00E95BC4">
        <w:rPr>
          <w:rFonts w:eastAsia="Times New Roman"/>
          <w:color w:val="auto"/>
          <w:kern w:val="0"/>
          <w:lang w:val="sr-Cyrl-CS"/>
        </w:rPr>
        <w:t>Прање новца представља процес прикривања имовине стечене криминалним активностима којим се криминалцима омогућава да такву имовину користе у регуларном привредном пословању. Корупција и организовани криминал, као што су трговина наркотицима, оружјем и људима, стварају велике количине нелегалне имовине, и прање такве имовине може нарушити привреду и угрозити интегритет финансијског система. Финансирање тероризма, тј. употреба средстава ради пружања подршке извршењу аката тероризма и терористичким групама,</w:t>
      </w:r>
      <w:r w:rsidR="00D96082" w:rsidRPr="00E95BC4">
        <w:rPr>
          <w:rFonts w:eastAsia="Times New Roman"/>
          <w:color w:val="auto"/>
          <w:kern w:val="0"/>
          <w:lang w:val="sr-Cyrl-CS"/>
        </w:rPr>
        <w:t xml:space="preserve"> неизоставан је део терористичке активности на глобалном нивоу, чиме се угрожава мир и напредак. Отуда је Република Србија посвећена изградњи делотворног система борбе против прња новац и финансирања тероризма кроз примену мера које предвиђа Радна група за финансијску акцију (у даљем тексту: ФАТФ)</w:t>
      </w:r>
      <w:r w:rsidR="00D96082" w:rsidRPr="00E95BC4">
        <w:rPr>
          <w:rStyle w:val="FootnoteReference"/>
          <w:rFonts w:eastAsia="Times New Roman"/>
          <w:color w:val="auto"/>
          <w:kern w:val="0"/>
          <w:lang w:val="sr-Cyrl-CS"/>
        </w:rPr>
        <w:footnoteReference w:id="1"/>
      </w:r>
      <w:r w:rsidR="00D96082" w:rsidRPr="00E95BC4">
        <w:rPr>
          <w:rFonts w:eastAsia="Times New Roman"/>
          <w:color w:val="auto"/>
          <w:kern w:val="0"/>
          <w:lang w:val="sr-Cyrl-CS"/>
        </w:rPr>
        <w:t>, међудржавно тело које на међународном нивоу поставља стандарде у овој области.</w:t>
      </w:r>
    </w:p>
    <w:p w:rsidR="00713C9A" w:rsidRPr="00E95BC4" w:rsidRDefault="00DB0EA6" w:rsidP="00285FD7">
      <w:pPr>
        <w:ind w:firstLine="720"/>
        <w:jc w:val="both"/>
        <w:rPr>
          <w:rFonts w:eastAsia="Times New Roman"/>
          <w:color w:val="auto"/>
          <w:kern w:val="0"/>
          <w:lang w:val="sr-Cyrl-CS"/>
        </w:rPr>
      </w:pPr>
      <w:r w:rsidRPr="00E95BC4">
        <w:rPr>
          <w:rFonts w:eastAsia="Times New Roman"/>
          <w:color w:val="auto"/>
          <w:kern w:val="0"/>
          <w:lang w:val="sr-Cyrl-CS"/>
        </w:rPr>
        <w:t xml:space="preserve">Прва национална стратегија (2008-2013) </w:t>
      </w:r>
      <w:r w:rsidR="007D61F7" w:rsidRPr="00E95BC4">
        <w:rPr>
          <w:rFonts w:eastAsia="Times New Roman"/>
          <w:color w:val="auto"/>
          <w:kern w:val="0"/>
          <w:lang w:val="sr-Cyrl-CS"/>
        </w:rPr>
        <w:t>донета</w:t>
      </w:r>
      <w:r w:rsidRPr="00E95BC4">
        <w:rPr>
          <w:rFonts w:eastAsia="Times New Roman"/>
          <w:color w:val="auto"/>
          <w:kern w:val="0"/>
          <w:lang w:val="sr-Cyrl-CS"/>
        </w:rPr>
        <w:t xml:space="preserve"> је са циљем </w:t>
      </w:r>
      <w:r w:rsidR="00D93CED" w:rsidRPr="00E95BC4">
        <w:rPr>
          <w:rFonts w:eastAsia="Times New Roman"/>
          <w:color w:val="auto"/>
          <w:kern w:val="0"/>
          <w:lang w:val="sr-Cyrl-CS"/>
        </w:rPr>
        <w:t xml:space="preserve">да се </w:t>
      </w:r>
      <w:r w:rsidRPr="00E95BC4">
        <w:rPr>
          <w:rFonts w:eastAsia="Times New Roman"/>
          <w:color w:val="auto"/>
          <w:kern w:val="0"/>
          <w:lang w:val="sr-Cyrl-CS"/>
        </w:rPr>
        <w:t xml:space="preserve">ефикасно успостави сложени и свеобухватан систем за борбу против прања новца и финансирања тероризма, а друга национална стратегија била је логичан наставак прве, и за циљ је имала унапређење делотворности система. </w:t>
      </w:r>
      <w:r w:rsidR="00713C9A" w:rsidRPr="00E95BC4">
        <w:rPr>
          <w:rFonts w:eastAsia="Times New Roman"/>
          <w:color w:val="auto"/>
          <w:kern w:val="0"/>
          <w:lang w:val="sr-Cyrl-CS"/>
        </w:rPr>
        <w:t xml:space="preserve">Влада је другу </w:t>
      </w:r>
      <w:r w:rsidR="00AD151C" w:rsidRPr="00E95BC4">
        <w:rPr>
          <w:rFonts w:eastAsia="Times New Roman"/>
          <w:color w:val="auto"/>
          <w:kern w:val="0"/>
          <w:lang w:val="sr-Cyrl-CS"/>
        </w:rPr>
        <w:t>н</w:t>
      </w:r>
      <w:r w:rsidR="00713C9A" w:rsidRPr="00E95BC4">
        <w:rPr>
          <w:rFonts w:eastAsia="Times New Roman"/>
          <w:color w:val="auto"/>
          <w:kern w:val="0"/>
          <w:lang w:val="sr-Cyrl-CS"/>
        </w:rPr>
        <w:t>ационалну стратегију за борбу против прања новца и финансирања терориз</w:t>
      </w:r>
      <w:r w:rsidR="00BD0633" w:rsidRPr="00E95BC4">
        <w:rPr>
          <w:rFonts w:eastAsia="Times New Roman"/>
          <w:color w:val="auto"/>
          <w:kern w:val="0"/>
          <w:lang w:val="sr-Cyrl-CS"/>
        </w:rPr>
        <w:t xml:space="preserve">ма </w:t>
      </w:r>
      <w:r w:rsidR="007D61F7" w:rsidRPr="00E95BC4">
        <w:rPr>
          <w:rFonts w:eastAsia="Times New Roman"/>
          <w:color w:val="auto"/>
          <w:kern w:val="0"/>
          <w:lang w:val="sr-Cyrl-CS"/>
        </w:rPr>
        <w:t>донела</w:t>
      </w:r>
      <w:r w:rsidR="00BD0633" w:rsidRPr="00E95BC4">
        <w:rPr>
          <w:rFonts w:eastAsia="Times New Roman"/>
          <w:color w:val="auto"/>
          <w:kern w:val="0"/>
          <w:lang w:val="sr-Cyrl-CS"/>
        </w:rPr>
        <w:t xml:space="preserve"> 31. децембра 2014</w:t>
      </w:r>
      <w:r w:rsidR="00820ACB">
        <w:rPr>
          <w:rFonts w:eastAsia="Times New Roman"/>
          <w:color w:val="auto"/>
          <w:kern w:val="0"/>
          <w:lang w:val="sr-Cyrl-CS"/>
        </w:rPr>
        <w:t>.</w:t>
      </w:r>
      <w:r w:rsidR="00820ACB" w:rsidRPr="00820ACB">
        <w:rPr>
          <w:rFonts w:eastAsia="Times New Roman"/>
          <w:color w:val="auto"/>
          <w:kern w:val="0"/>
          <w:lang w:val="sr-Cyrl-CS"/>
        </w:rPr>
        <w:t xml:space="preserve"> </w:t>
      </w:r>
      <w:r w:rsidR="00820ACB" w:rsidRPr="00E95BC4">
        <w:rPr>
          <w:rFonts w:eastAsia="Times New Roman"/>
          <w:color w:val="auto"/>
          <w:kern w:val="0"/>
          <w:lang w:val="sr-Cyrl-CS"/>
        </w:rPr>
        <w:t>године</w:t>
      </w:r>
      <w:r w:rsidR="00BD0633" w:rsidRPr="00E95BC4">
        <w:rPr>
          <w:rFonts w:eastAsia="Times New Roman"/>
          <w:color w:val="auto"/>
          <w:kern w:val="0"/>
          <w:lang w:val="sr-Cyrl-CS"/>
        </w:rPr>
        <w:t xml:space="preserve">, са роком примене до краја </w:t>
      </w:r>
      <w:r w:rsidR="00713C9A" w:rsidRPr="00E95BC4">
        <w:rPr>
          <w:rFonts w:eastAsia="Times New Roman"/>
          <w:color w:val="auto"/>
          <w:kern w:val="0"/>
          <w:lang w:val="sr-Cyrl-CS"/>
        </w:rPr>
        <w:t>2019. године.</w:t>
      </w:r>
    </w:p>
    <w:p w:rsidR="00713C9A" w:rsidRPr="00E95BC4" w:rsidRDefault="00BD0633" w:rsidP="00E041C8">
      <w:pPr>
        <w:ind w:firstLine="720"/>
        <w:jc w:val="both"/>
        <w:rPr>
          <w:rFonts w:eastAsia="Times New Roman"/>
          <w:color w:val="auto"/>
          <w:kern w:val="0"/>
          <w:lang w:val="sr-Cyrl-CS"/>
        </w:rPr>
      </w:pPr>
      <w:r w:rsidRPr="00E95BC4">
        <w:rPr>
          <w:rFonts w:eastAsia="Times New Roman"/>
          <w:color w:val="auto"/>
          <w:kern w:val="0"/>
          <w:lang w:val="sr-Cyrl-CS"/>
        </w:rPr>
        <w:t>Трећа стратегија</w:t>
      </w:r>
      <w:r w:rsidR="00DB0EA6" w:rsidRPr="00E95BC4">
        <w:rPr>
          <w:rFonts w:eastAsia="Times New Roman"/>
          <w:color w:val="auto"/>
          <w:kern w:val="0"/>
          <w:lang w:val="sr-Cyrl-CS"/>
        </w:rPr>
        <w:t xml:space="preserve"> за борбу против прања новца и финансирања тероризма (у даљем тексту: </w:t>
      </w:r>
      <w:r w:rsidR="00E041C8" w:rsidRPr="00E95BC4">
        <w:rPr>
          <w:rFonts w:eastAsia="Times New Roman"/>
          <w:color w:val="auto"/>
          <w:kern w:val="0"/>
          <w:lang w:val="sr-Cyrl-CS"/>
        </w:rPr>
        <w:t>С</w:t>
      </w:r>
      <w:r w:rsidR="00DB0EA6" w:rsidRPr="00E95BC4">
        <w:rPr>
          <w:rFonts w:eastAsia="Times New Roman"/>
          <w:color w:val="auto"/>
          <w:kern w:val="0"/>
          <w:lang w:val="sr-Cyrl-CS"/>
        </w:rPr>
        <w:t>тратегија)</w:t>
      </w:r>
      <w:r w:rsidRPr="00E95BC4">
        <w:rPr>
          <w:rFonts w:eastAsia="Times New Roman"/>
          <w:color w:val="auto"/>
          <w:kern w:val="0"/>
          <w:lang w:val="sr-Cyrl-CS"/>
        </w:rPr>
        <w:t>, која се доноси за период 2020-2024,</w:t>
      </w:r>
      <w:r w:rsidR="00E041C8" w:rsidRPr="00E95BC4">
        <w:rPr>
          <w:rFonts w:eastAsia="Times New Roman"/>
          <w:color w:val="auto"/>
          <w:kern w:val="0"/>
          <w:lang w:val="sr-Cyrl-CS"/>
        </w:rPr>
        <w:t xml:space="preserve"> по обухвату ће такође бити национална</w:t>
      </w:r>
      <w:r w:rsidR="002B23AB" w:rsidRPr="00E95BC4">
        <w:rPr>
          <w:rFonts w:eastAsia="Times New Roman"/>
          <w:color w:val="auto"/>
          <w:kern w:val="0"/>
          <w:lang w:val="sr-Cyrl-CS"/>
        </w:rPr>
        <w:t>, у складу са Законом о планском систему</w:t>
      </w:r>
      <w:r w:rsidR="00603DAA" w:rsidRPr="00E95BC4">
        <w:rPr>
          <w:rFonts w:eastAsia="Times New Roman"/>
          <w:color w:val="auto"/>
          <w:kern w:val="0"/>
          <w:lang w:val="sr-Cyrl-CS"/>
        </w:rPr>
        <w:t xml:space="preserve"> Републике Србије</w:t>
      </w:r>
      <w:r w:rsidR="00E041C8" w:rsidRPr="00E95BC4">
        <w:rPr>
          <w:rFonts w:eastAsia="Times New Roman"/>
          <w:color w:val="auto"/>
          <w:kern w:val="0"/>
          <w:lang w:val="sr-Cyrl-CS"/>
        </w:rPr>
        <w:t xml:space="preserve">. </w:t>
      </w:r>
      <w:r w:rsidR="00FB1798" w:rsidRPr="00E95BC4">
        <w:rPr>
          <w:rFonts w:eastAsia="Times New Roman"/>
          <w:color w:val="auto"/>
          <w:kern w:val="0"/>
          <w:lang w:val="sr-Cyrl-CS"/>
        </w:rPr>
        <w:t>С</w:t>
      </w:r>
      <w:r w:rsidR="00E041C8" w:rsidRPr="00E95BC4">
        <w:rPr>
          <w:rFonts w:eastAsia="Times New Roman"/>
          <w:color w:val="auto"/>
          <w:kern w:val="0"/>
          <w:lang w:val="sr-Cyrl-CS"/>
        </w:rPr>
        <w:t xml:space="preserve">тратегија се </w:t>
      </w:r>
      <w:r w:rsidR="00713C9A" w:rsidRPr="00E95BC4">
        <w:rPr>
          <w:rFonts w:eastAsia="Times New Roman"/>
          <w:color w:val="auto"/>
          <w:kern w:val="0"/>
          <w:lang w:val="sr-Cyrl-CS"/>
        </w:rPr>
        <w:t xml:space="preserve">надовезује на претходне </w:t>
      </w:r>
      <w:r w:rsidR="0004492D" w:rsidRPr="00E95BC4">
        <w:rPr>
          <w:rFonts w:eastAsia="Times New Roman"/>
          <w:color w:val="auto"/>
          <w:kern w:val="0"/>
          <w:lang w:val="sr-Cyrl-CS"/>
        </w:rPr>
        <w:t>две стратегије и и</w:t>
      </w:r>
      <w:r w:rsidR="00713C9A" w:rsidRPr="00E95BC4">
        <w:rPr>
          <w:rFonts w:eastAsia="Times New Roman"/>
          <w:color w:val="auto"/>
          <w:kern w:val="0"/>
          <w:lang w:val="sr-Cyrl-CS"/>
        </w:rPr>
        <w:t xml:space="preserve">ма за циљ да разради систем за борбу против прања новца и финансирања тероризма у Републици Србији ради </w:t>
      </w:r>
      <w:r w:rsidRPr="00E95BC4">
        <w:rPr>
          <w:rFonts w:eastAsia="Times New Roman"/>
          <w:color w:val="auto"/>
          <w:kern w:val="0"/>
          <w:lang w:val="sr-Cyrl-CS"/>
        </w:rPr>
        <w:t xml:space="preserve">успешног </w:t>
      </w:r>
      <w:r w:rsidR="00713C9A" w:rsidRPr="00E95BC4">
        <w:rPr>
          <w:rFonts w:eastAsia="Times New Roman"/>
          <w:color w:val="auto"/>
          <w:kern w:val="0"/>
          <w:lang w:val="sr-Cyrl-CS"/>
        </w:rPr>
        <w:t xml:space="preserve">суочавања са ризицима утврђеним </w:t>
      </w:r>
      <w:r w:rsidRPr="00E95BC4">
        <w:rPr>
          <w:rFonts w:eastAsia="Times New Roman"/>
          <w:color w:val="auto"/>
          <w:kern w:val="0"/>
          <w:lang w:val="sr-Cyrl-CS"/>
        </w:rPr>
        <w:t xml:space="preserve">2018. године </w:t>
      </w:r>
      <w:r w:rsidR="00713C9A" w:rsidRPr="00E95BC4">
        <w:rPr>
          <w:rFonts w:eastAsia="Times New Roman"/>
          <w:color w:val="auto"/>
          <w:kern w:val="0"/>
          <w:lang w:val="sr-Cyrl-CS"/>
        </w:rPr>
        <w:t xml:space="preserve">у </w:t>
      </w:r>
      <w:r w:rsidRPr="00E95BC4">
        <w:rPr>
          <w:rFonts w:eastAsia="Times New Roman"/>
          <w:color w:val="auto"/>
          <w:kern w:val="0"/>
          <w:lang w:val="sr-Cyrl-CS"/>
        </w:rPr>
        <w:t>П</w:t>
      </w:r>
      <w:r w:rsidR="00713C9A" w:rsidRPr="00E95BC4">
        <w:rPr>
          <w:rFonts w:eastAsia="Times New Roman"/>
          <w:color w:val="auto"/>
          <w:kern w:val="0"/>
          <w:lang w:val="sr-Cyrl-CS"/>
        </w:rPr>
        <w:t xml:space="preserve">роцени ризика од прања новца и </w:t>
      </w:r>
      <w:r w:rsidRPr="00E95BC4">
        <w:rPr>
          <w:rFonts w:eastAsia="Times New Roman"/>
          <w:color w:val="auto"/>
          <w:kern w:val="0"/>
          <w:lang w:val="sr-Cyrl-CS"/>
        </w:rPr>
        <w:t>П</w:t>
      </w:r>
      <w:r w:rsidR="00713C9A" w:rsidRPr="00E95BC4">
        <w:rPr>
          <w:rFonts w:eastAsia="Times New Roman"/>
          <w:color w:val="auto"/>
          <w:kern w:val="0"/>
          <w:lang w:val="sr-Cyrl-CS"/>
        </w:rPr>
        <w:t>роцени ризика</w:t>
      </w:r>
      <w:r w:rsidR="0004492D" w:rsidRPr="00E95BC4">
        <w:rPr>
          <w:rFonts w:eastAsia="Times New Roman"/>
          <w:color w:val="auto"/>
          <w:kern w:val="0"/>
          <w:lang w:val="sr-Cyrl-CS"/>
        </w:rPr>
        <w:t xml:space="preserve"> од финансир</w:t>
      </w:r>
      <w:r w:rsidR="00D93CED" w:rsidRPr="00E95BC4">
        <w:rPr>
          <w:rFonts w:eastAsia="Times New Roman"/>
          <w:color w:val="auto"/>
          <w:kern w:val="0"/>
          <w:lang w:val="sr-Cyrl-CS"/>
        </w:rPr>
        <w:t>а</w:t>
      </w:r>
      <w:r w:rsidR="0004492D" w:rsidRPr="00E95BC4">
        <w:rPr>
          <w:rFonts w:eastAsia="Times New Roman"/>
          <w:color w:val="auto"/>
          <w:kern w:val="0"/>
          <w:lang w:val="sr-Cyrl-CS"/>
        </w:rPr>
        <w:t>ња тероризма и ради усвајања мера</w:t>
      </w:r>
      <w:r w:rsidR="00713C9A" w:rsidRPr="00E95BC4">
        <w:rPr>
          <w:rFonts w:eastAsia="Times New Roman"/>
          <w:color w:val="auto"/>
          <w:kern w:val="0"/>
          <w:lang w:val="sr-Cyrl-CS"/>
        </w:rPr>
        <w:t xml:space="preserve"> које </w:t>
      </w:r>
      <w:r w:rsidR="003C2A92" w:rsidRPr="00E95BC4">
        <w:rPr>
          <w:rFonts w:eastAsia="Times New Roman"/>
          <w:color w:val="auto"/>
          <w:kern w:val="0"/>
          <w:lang w:val="sr-Cyrl-CS"/>
        </w:rPr>
        <w:t xml:space="preserve">ће бити у </w:t>
      </w:r>
      <w:r w:rsidR="00713C9A" w:rsidRPr="00E95BC4">
        <w:rPr>
          <w:rFonts w:eastAsia="Times New Roman"/>
          <w:color w:val="auto"/>
          <w:kern w:val="0"/>
          <w:lang w:val="sr-Cyrl-CS"/>
        </w:rPr>
        <w:t xml:space="preserve">складу са стандардима </w:t>
      </w:r>
      <w:r w:rsidR="00D96082" w:rsidRPr="00E95BC4">
        <w:rPr>
          <w:rFonts w:eastAsia="Times New Roman"/>
          <w:color w:val="auto"/>
          <w:kern w:val="0"/>
          <w:lang w:val="sr-Cyrl-CS"/>
        </w:rPr>
        <w:t>ФАТФ</w:t>
      </w:r>
      <w:r w:rsidR="003C2A92" w:rsidRPr="00E95BC4">
        <w:rPr>
          <w:rFonts w:eastAsia="Times New Roman"/>
          <w:color w:val="auto"/>
          <w:kern w:val="0"/>
          <w:lang w:val="sr-Cyrl-CS"/>
        </w:rPr>
        <w:t xml:space="preserve"> </w:t>
      </w:r>
      <w:r w:rsidRPr="00E95BC4">
        <w:rPr>
          <w:rFonts w:eastAsia="Times New Roman"/>
          <w:color w:val="auto"/>
          <w:kern w:val="0"/>
          <w:lang w:val="sr-Cyrl-CS"/>
        </w:rPr>
        <w:t>и које ће успешно доприносити постављеним циљевима</w:t>
      </w:r>
      <w:r w:rsidR="00713C9A" w:rsidRPr="00E95BC4">
        <w:rPr>
          <w:rFonts w:eastAsia="Times New Roman"/>
          <w:color w:val="auto"/>
          <w:kern w:val="0"/>
          <w:lang w:val="sr-Cyrl-CS"/>
        </w:rPr>
        <w:t xml:space="preserve"> у борби против прања новца и финансирања тероризма. </w:t>
      </w:r>
    </w:p>
    <w:p w:rsidR="006244CE" w:rsidRPr="00E95BC4" w:rsidRDefault="006244CE" w:rsidP="00285FD7">
      <w:pPr>
        <w:pStyle w:val="Heading1"/>
        <w:spacing w:before="0"/>
        <w:rPr>
          <w:rFonts w:ascii="Times New Roman" w:hAnsi="Times New Roman" w:cs="Times New Roman"/>
          <w:sz w:val="24"/>
          <w:szCs w:val="24"/>
          <w:lang w:val="sr-Cyrl-CS"/>
        </w:rPr>
      </w:pPr>
    </w:p>
    <w:p w:rsidR="00FD0484" w:rsidRPr="00E95BC4" w:rsidRDefault="00FD0484">
      <w:pPr>
        <w:rPr>
          <w:lang w:val="sr-Cyrl-CS"/>
        </w:rPr>
      </w:pPr>
      <w:r w:rsidRPr="00E95BC4">
        <w:rPr>
          <w:lang w:val="sr-Cyrl-CS"/>
        </w:rPr>
        <w:br w:type="page"/>
      </w:r>
    </w:p>
    <w:p w:rsidR="00713C9A" w:rsidRPr="00E95BC4" w:rsidRDefault="00713C9A" w:rsidP="00FD0484">
      <w:pPr>
        <w:pStyle w:val="Heading1"/>
        <w:spacing w:before="0"/>
        <w:ind w:firstLine="720"/>
        <w:rPr>
          <w:rFonts w:ascii="Times New Roman" w:hAnsi="Times New Roman" w:cs="Times New Roman"/>
          <w:color w:val="auto"/>
          <w:sz w:val="24"/>
          <w:szCs w:val="24"/>
          <w:lang w:val="sr-Cyrl-CS"/>
        </w:rPr>
      </w:pPr>
      <w:bookmarkStart w:id="1" w:name="_Toc32409892"/>
      <w:r w:rsidRPr="00E95BC4">
        <w:rPr>
          <w:rFonts w:ascii="Times New Roman" w:hAnsi="Times New Roman" w:cs="Times New Roman"/>
          <w:color w:val="auto"/>
          <w:sz w:val="24"/>
          <w:szCs w:val="24"/>
          <w:lang w:val="sr-Cyrl-CS"/>
        </w:rPr>
        <w:lastRenderedPageBreak/>
        <w:t>Плански документи и правни оквир релевантни за стратегију</w:t>
      </w:r>
      <w:bookmarkEnd w:id="1"/>
    </w:p>
    <w:p w:rsidR="00285FD7" w:rsidRPr="00E95BC4" w:rsidRDefault="00285FD7" w:rsidP="00285FD7">
      <w:pPr>
        <w:ind w:firstLine="720"/>
        <w:jc w:val="both"/>
        <w:rPr>
          <w:color w:val="auto"/>
          <w:lang w:val="sr-Cyrl-CS"/>
        </w:rPr>
      </w:pPr>
    </w:p>
    <w:p w:rsidR="00713C9A" w:rsidRPr="00E95BC4" w:rsidRDefault="00FF094C" w:rsidP="00285FD7">
      <w:pPr>
        <w:ind w:firstLine="720"/>
        <w:jc w:val="both"/>
        <w:rPr>
          <w:lang w:val="sr-Cyrl-CS"/>
        </w:rPr>
      </w:pPr>
      <w:r w:rsidRPr="00E95BC4">
        <w:rPr>
          <w:lang w:val="sr-Cyrl-CS"/>
        </w:rPr>
        <w:t xml:space="preserve">Већи број </w:t>
      </w:r>
      <w:r w:rsidR="00713C9A" w:rsidRPr="00E95BC4">
        <w:rPr>
          <w:lang w:val="sr-Cyrl-CS"/>
        </w:rPr>
        <w:t xml:space="preserve">закона, других прописа, општих и појединачних аката и других докумената јавне политике </w:t>
      </w:r>
      <w:r w:rsidRPr="00E95BC4">
        <w:rPr>
          <w:lang w:val="sr-Cyrl-CS"/>
        </w:rPr>
        <w:t>има</w:t>
      </w:r>
      <w:r w:rsidR="00713C9A" w:rsidRPr="00E95BC4">
        <w:rPr>
          <w:lang w:val="sr-Cyrl-CS"/>
        </w:rPr>
        <w:t xml:space="preserve"> директан утицај на област борбе против прања новца, финансирања тероризма и шир</w:t>
      </w:r>
      <w:r w:rsidR="0004492D" w:rsidRPr="00E95BC4">
        <w:rPr>
          <w:lang w:val="sr-Cyrl-CS"/>
        </w:rPr>
        <w:t>ења оружја за масовно уништење, а међу кључним законима су следећи</w:t>
      </w:r>
      <w:r w:rsidR="00713C9A" w:rsidRPr="00E95BC4">
        <w:rPr>
          <w:lang w:val="sr-Cyrl-CS"/>
        </w:rPr>
        <w:t>:</w:t>
      </w:r>
    </w:p>
    <w:p w:rsidR="00CC21F4" w:rsidRPr="00E95BC4" w:rsidRDefault="00934E82" w:rsidP="00745C54">
      <w:pPr>
        <w:ind w:firstLine="720"/>
        <w:jc w:val="both"/>
        <w:rPr>
          <w:noProof/>
          <w:color w:val="7030A0"/>
          <w:lang w:val="sr-Cyrl-CS"/>
        </w:rPr>
      </w:pPr>
      <w:r w:rsidRPr="00934E82">
        <w:rPr>
          <w:noProof/>
        </w:rPr>
        <w:pict>
          <v:shapetype id="_x0000_t202" coordsize="21600,21600" o:spt="202" path="m,l,21600r21600,l21600,xe">
            <v:stroke joinstyle="miter"/>
            <v:path gradientshapeok="t" o:connecttype="rect"/>
          </v:shapetype>
          <v:shape id="Text Box 13" o:spid="_x0000_s1026" type="#_x0000_t202" style="position:absolute;left:0;text-align:left;margin-left:-.7pt;margin-top:107.55pt;width:244.5pt;height:158.25pt;z-index:2516664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" fillcolor="#a5a5a5 [2092]" stroked="f" strokecolor="#f2f2f2 [3041]" strokeweight="3pt">
            <v:shadow color="#7f7f7f [1601]" opacity=".5" offset="1pt"/>
            <v:textbox>
              <w:txbxContent>
                <w:p w:rsidR="00E902D8" w:rsidRPr="00C21C2C" w:rsidRDefault="00E902D8" w:rsidP="00990F58">
                  <w:pPr>
                    <w:pStyle w:val="ListParagraph"/>
                    <w:numPr>
                      <w:ilvl w:val="0"/>
                      <w:numId w:val="9"/>
                    </w:numPr>
                    <w:ind w:left="284" w:hanging="284"/>
                    <w:rPr>
                      <w:color w:val="FFFFFF" w:themeColor="background1"/>
                      <w:sz w:val="20"/>
                      <w:szCs w:val="20"/>
                    </w:rPr>
                  </w:pPr>
                  <w:r w:rsidRPr="00C21C2C">
                    <w:rPr>
                      <w:b/>
                      <w:color w:val="FFFFFF" w:themeColor="background1"/>
                      <w:sz w:val="20"/>
                      <w:szCs w:val="20"/>
                    </w:rPr>
                    <w:t>Кривични законик</w:t>
                  </w:r>
                  <w:r w:rsidRPr="00C21C2C">
                    <w:rPr>
                      <w:color w:val="FFFFFF" w:themeColor="background1"/>
                      <w:sz w:val="20"/>
                      <w:szCs w:val="20"/>
                    </w:rPr>
                    <w:t xml:space="preserve"> („Службени гласник РС”, бр. 85/05, 88/05, 107/05, 72/09</w:t>
                  </w:r>
                  <w:r w:rsidRPr="00C21C2C">
                    <w:rPr>
                      <w:color w:val="FFFFFF" w:themeColor="background1"/>
                      <w:sz w:val="20"/>
                      <w:szCs w:val="20"/>
                      <w:lang/>
                    </w:rPr>
                    <w:t xml:space="preserve">, </w:t>
                  </w:r>
                  <w:r w:rsidRPr="00C21C2C">
                    <w:rPr>
                      <w:color w:val="FFFFFF" w:themeColor="background1"/>
                      <w:sz w:val="20"/>
                      <w:szCs w:val="20"/>
                    </w:rPr>
                    <w:t>111/09, 121/12, 104/13, 108/14, 94/16 и 35/19);</w:t>
                  </w:r>
                </w:p>
                <w:p w:rsidR="00E902D8" w:rsidRPr="00C21C2C" w:rsidRDefault="00E902D8" w:rsidP="00990F58">
                  <w:pPr>
                    <w:pStyle w:val="ListParagraph"/>
                    <w:numPr>
                      <w:ilvl w:val="0"/>
                      <w:numId w:val="9"/>
                    </w:numPr>
                    <w:ind w:left="284" w:hanging="284"/>
                    <w:rPr>
                      <w:color w:val="FFFFFF" w:themeColor="background1"/>
                      <w:sz w:val="20"/>
                      <w:szCs w:val="20"/>
                    </w:rPr>
                  </w:pPr>
                  <w:r>
                    <w:rPr>
                      <w:b/>
                      <w:color w:val="FFFFFF" w:themeColor="background1"/>
                      <w:sz w:val="20"/>
                      <w:szCs w:val="20"/>
                    </w:rPr>
                    <w:t>Закон</w:t>
                  </w:r>
                  <w:r w:rsidRPr="00C21C2C">
                    <w:rPr>
                      <w:b/>
                      <w:color w:val="FFFFFF" w:themeColor="background1"/>
                      <w:sz w:val="20"/>
                      <w:szCs w:val="20"/>
                    </w:rPr>
                    <w:t xml:space="preserve"> о кривичном поступку</w:t>
                  </w:r>
                  <w:r w:rsidRPr="00C21C2C">
                    <w:rPr>
                      <w:color w:val="FFFFFF" w:themeColor="background1"/>
                      <w:sz w:val="20"/>
                      <w:szCs w:val="20"/>
                    </w:rPr>
                    <w:t xml:space="preserve"> („Службени гласник РС”, бр. 72/11, 101/11, 121/12, 32/13, 45/13, 55/14 и 35/19);</w:t>
                  </w:r>
                </w:p>
                <w:p w:rsidR="00E902D8" w:rsidRPr="00C21C2C" w:rsidRDefault="00E902D8" w:rsidP="00990F58">
                  <w:pPr>
                    <w:pStyle w:val="ListParagraph"/>
                    <w:numPr>
                      <w:ilvl w:val="0"/>
                      <w:numId w:val="9"/>
                    </w:numPr>
                    <w:ind w:left="284" w:hanging="284"/>
                    <w:rPr>
                      <w:iCs/>
                      <w:color w:val="FFFFFF" w:themeColor="background1"/>
                      <w:sz w:val="20"/>
                      <w:szCs w:val="20"/>
                    </w:rPr>
                  </w:pPr>
                  <w:r w:rsidRPr="00C21C2C">
                    <w:rPr>
                      <w:b/>
                      <w:iCs/>
                      <w:color w:val="FFFFFF" w:themeColor="background1"/>
                      <w:sz w:val="20"/>
                      <w:szCs w:val="20"/>
                    </w:rPr>
                    <w:t>Закон о организацији и надлежности државних органа у сузбијању организованог криминала, тероризма и корупције</w:t>
                  </w:r>
                  <w:r w:rsidRPr="00C21C2C">
                    <w:rPr>
                      <w:iCs/>
                      <w:color w:val="FFFFFF" w:themeColor="background1"/>
                      <w:sz w:val="20"/>
                      <w:szCs w:val="20"/>
                    </w:rPr>
                    <w:t xml:space="preserve"> („Службени гласник РС</w:t>
                  </w:r>
                  <w:r w:rsidRPr="00C21C2C">
                    <w:rPr>
                      <w:color w:val="FFFFFF" w:themeColor="background1"/>
                      <w:sz w:val="20"/>
                      <w:szCs w:val="20"/>
                    </w:rPr>
                    <w:t>”</w:t>
                  </w:r>
                  <w:r w:rsidRPr="00C21C2C">
                    <w:rPr>
                      <w:iCs/>
                      <w:color w:val="FFFFFF" w:themeColor="background1"/>
                      <w:sz w:val="20"/>
                      <w:szCs w:val="20"/>
                    </w:rPr>
                    <w:t>, бр. 94/16 и 87/18 - др. закон);</w:t>
                  </w:r>
                </w:p>
                <w:p w:rsidR="00E902D8" w:rsidRPr="00C21C2C" w:rsidRDefault="00E902D8" w:rsidP="00990F58">
                  <w:pPr>
                    <w:pStyle w:val="ListParagraph"/>
                    <w:numPr>
                      <w:ilvl w:val="0"/>
                      <w:numId w:val="9"/>
                    </w:numPr>
                    <w:ind w:left="284" w:hanging="284"/>
                    <w:rPr>
                      <w:iCs/>
                      <w:color w:val="FFFFFF" w:themeColor="background1"/>
                      <w:sz w:val="20"/>
                      <w:szCs w:val="20"/>
                    </w:rPr>
                  </w:pPr>
                  <w:r w:rsidRPr="00C21C2C">
                    <w:rPr>
                      <w:b/>
                      <w:iCs/>
                      <w:color w:val="FFFFFF" w:themeColor="background1"/>
                      <w:sz w:val="20"/>
                      <w:szCs w:val="20"/>
                    </w:rPr>
                    <w:t>Закон о одузимању имовине проистекле из кривичног дела</w:t>
                  </w:r>
                  <w:r w:rsidRPr="00C21C2C">
                    <w:rPr>
                      <w:iCs/>
                      <w:color w:val="FFFFFF" w:themeColor="background1"/>
                      <w:sz w:val="20"/>
                      <w:szCs w:val="20"/>
                    </w:rPr>
                    <w:t xml:space="preserve"> („Службени гласник РС</w:t>
                  </w:r>
                  <w:r w:rsidRPr="00C21C2C">
                    <w:rPr>
                      <w:color w:val="FFFFFF" w:themeColor="background1"/>
                      <w:sz w:val="20"/>
                      <w:szCs w:val="20"/>
                    </w:rPr>
                    <w:t>”</w:t>
                  </w:r>
                  <w:r w:rsidRPr="00C21C2C">
                    <w:rPr>
                      <w:iCs/>
                      <w:color w:val="FFFFFF" w:themeColor="background1"/>
                      <w:sz w:val="20"/>
                      <w:szCs w:val="20"/>
                    </w:rPr>
                    <w:t xml:space="preserve">, бр. 32/13, 94/16 и </w:t>
                  </w:r>
                  <w:r>
                    <w:rPr>
                      <w:iCs/>
                      <w:color w:val="FFFFFF" w:themeColor="background1"/>
                      <w:sz w:val="20"/>
                      <w:szCs w:val="20"/>
                    </w:rPr>
                    <w:t>35/19)</w:t>
                  </w:r>
                  <w:r>
                    <w:rPr>
                      <w:iCs/>
                      <w:color w:val="FFFFFF" w:themeColor="background1"/>
                      <w:sz w:val="20"/>
                      <w:szCs w:val="20"/>
                      <w:lang/>
                    </w:rPr>
                    <w:t>;</w:t>
                  </w:r>
                </w:p>
                <w:p w:rsidR="00E902D8" w:rsidRPr="00990F58" w:rsidRDefault="00E902D8" w:rsidP="00990F58">
                  <w:pPr>
                    <w:ind w:left="284" w:hanging="284"/>
                    <w:rPr>
                      <w:color w:val="FFFFFF" w:themeColor="background1"/>
                      <w:sz w:val="12"/>
                      <w:szCs w:val="16"/>
                    </w:rPr>
                  </w:pPr>
                </w:p>
              </w:txbxContent>
            </v:textbox>
            <w10:wrap type="square" anchorx="margin" anchory="margin"/>
          </v:shape>
        </w:pict>
      </w:r>
      <w:r w:rsidR="00F21E30" w:rsidRPr="00E95BC4">
        <w:rPr>
          <w:b/>
          <w:lang w:val="sr-Cyrl-CS"/>
        </w:rPr>
        <w:t>Кривични законик</w:t>
      </w:r>
      <w:r w:rsidR="00F21E30" w:rsidRPr="00E95BC4">
        <w:rPr>
          <w:lang w:val="sr-Cyrl-CS"/>
        </w:rPr>
        <w:t xml:space="preserve"> инкриминише прање новца и финансирања </w:t>
      </w:r>
      <w:r w:rsidR="007F5C8D" w:rsidRPr="00E95BC4">
        <w:rPr>
          <w:lang w:val="sr-Cyrl-CS"/>
        </w:rPr>
        <w:t>тероризма</w:t>
      </w:r>
      <w:r w:rsidR="00E95BC4">
        <w:rPr>
          <w:lang w:val="sr-Cyrl-CS"/>
        </w:rPr>
        <w:t xml:space="preserve"> (члан</w:t>
      </w:r>
      <w:r w:rsidR="00F21E30" w:rsidRPr="00E95BC4">
        <w:rPr>
          <w:lang w:val="sr-Cyrl-CS"/>
        </w:rPr>
        <w:t xml:space="preserve"> 245 - прање новца и </w:t>
      </w:r>
      <w:r w:rsidR="00E95BC4">
        <w:rPr>
          <w:lang w:val="sr-Cyrl-CS"/>
        </w:rPr>
        <w:t xml:space="preserve">члан </w:t>
      </w:r>
      <w:r w:rsidR="00F21E30" w:rsidRPr="00E95BC4">
        <w:rPr>
          <w:lang w:val="sr-Cyrl-CS"/>
        </w:rPr>
        <w:t>393 - финансирање тероризма)</w:t>
      </w:r>
      <w:r w:rsidR="007F5C8D" w:rsidRPr="00E95BC4">
        <w:rPr>
          <w:lang w:val="sr-Cyrl-CS"/>
        </w:rPr>
        <w:t xml:space="preserve"> у складу са међународним стандардима. </w:t>
      </w:r>
    </w:p>
    <w:p w:rsidR="00CC21F4" w:rsidRPr="00E95BC4" w:rsidRDefault="004C76C3" w:rsidP="00CC21F4">
      <w:pPr>
        <w:ind w:firstLine="708"/>
        <w:jc w:val="both"/>
        <w:rPr>
          <w:lang w:val="sr-Cyrl-CS"/>
        </w:rPr>
      </w:pPr>
      <w:r w:rsidRPr="00E95BC4">
        <w:rPr>
          <w:lang w:val="sr-Cyrl-CS"/>
        </w:rPr>
        <w:t>В</w:t>
      </w:r>
      <w:r w:rsidR="00CC21F4" w:rsidRPr="00E95BC4">
        <w:rPr>
          <w:lang w:val="sr-Cyrl-CS"/>
        </w:rPr>
        <w:t xml:space="preserve">ећи степен делотворности система у погледу поступака и пресуда за прање новца у последње две године делимично </w:t>
      </w:r>
      <w:r w:rsidRPr="00E95BC4">
        <w:rPr>
          <w:lang w:val="sr-Cyrl-CS"/>
        </w:rPr>
        <w:t xml:space="preserve">је </w:t>
      </w:r>
      <w:r w:rsidR="00CC21F4" w:rsidRPr="00E95BC4">
        <w:rPr>
          <w:lang w:val="sr-Cyrl-CS"/>
        </w:rPr>
        <w:t>и последица измена Кривичног законика (</w:t>
      </w:r>
      <w:r w:rsidR="00603DAA" w:rsidRPr="00E95BC4">
        <w:rPr>
          <w:lang w:val="sr-Cyrl-CS"/>
        </w:rPr>
        <w:t>„</w:t>
      </w:r>
      <w:r w:rsidR="00CC21F4" w:rsidRPr="00E95BC4">
        <w:rPr>
          <w:lang w:val="sr-Cyrl-CS"/>
        </w:rPr>
        <w:t>Службени гласник РС</w:t>
      </w:r>
      <w:r w:rsidR="00603DAA" w:rsidRPr="00E95BC4">
        <w:rPr>
          <w:lang w:val="sr-Cyrl-CS"/>
        </w:rPr>
        <w:t>”,</w:t>
      </w:r>
      <w:r w:rsidR="00CC21F4" w:rsidRPr="00E95BC4">
        <w:rPr>
          <w:lang w:val="sr-Cyrl-CS"/>
        </w:rPr>
        <w:t xml:space="preserve"> број 94/16), ко</w:t>
      </w:r>
      <w:r w:rsidR="00465BE6" w:rsidRPr="00E95BC4">
        <w:rPr>
          <w:lang w:val="sr-Cyrl-CS"/>
        </w:rPr>
        <w:t xml:space="preserve">ји је почео да се примењује од </w:t>
      </w:r>
      <w:r w:rsidR="00CC21F4" w:rsidRPr="00E95BC4">
        <w:rPr>
          <w:lang w:val="sr-Cyrl-CS"/>
        </w:rPr>
        <w:t>1. марта 2018</w:t>
      </w:r>
      <w:r w:rsidR="00465BE6" w:rsidRPr="00E95BC4">
        <w:rPr>
          <w:lang w:val="sr-Cyrl-CS"/>
        </w:rPr>
        <w:t>.</w:t>
      </w:r>
      <w:r w:rsidR="00CC21F4" w:rsidRPr="00E95BC4">
        <w:rPr>
          <w:lang w:val="sr-Cyrl-CS"/>
        </w:rPr>
        <w:t xml:space="preserve"> године. </w:t>
      </w:r>
    </w:p>
    <w:p w:rsidR="00CC21F4" w:rsidRPr="00E95BC4" w:rsidRDefault="00CC21F4" w:rsidP="00CC21F4">
      <w:pPr>
        <w:ind w:firstLine="708"/>
        <w:jc w:val="both"/>
        <w:rPr>
          <w:noProof/>
          <w:lang w:val="sr-Cyrl-CS"/>
        </w:rPr>
      </w:pPr>
      <w:r w:rsidRPr="00E95BC4">
        <w:rPr>
          <w:lang w:val="sr-Cyrl-CS"/>
        </w:rPr>
        <w:t>Поменутим законом дошло је до измене одредбе члана 231</w:t>
      </w:r>
      <w:r w:rsidR="00603DAA" w:rsidRPr="00E95BC4">
        <w:rPr>
          <w:lang w:val="sr-Cyrl-CS"/>
        </w:rPr>
        <w:t>.</w:t>
      </w:r>
      <w:r w:rsidRPr="00E95BC4">
        <w:rPr>
          <w:lang w:val="sr-Cyrl-CS"/>
        </w:rPr>
        <w:t xml:space="preserve"> </w:t>
      </w:r>
      <w:r w:rsidR="00820ACB" w:rsidRPr="00E95BC4">
        <w:rPr>
          <w:lang w:val="sr-Cyrl-CS"/>
        </w:rPr>
        <w:t>Кривичног законика</w:t>
      </w:r>
      <w:r w:rsidRPr="00E95BC4">
        <w:rPr>
          <w:lang w:val="sr-Cyrl-CS"/>
        </w:rPr>
        <w:t xml:space="preserve"> (сада члан 245</w:t>
      </w:r>
      <w:r w:rsidR="00820ACB">
        <w:rPr>
          <w:lang w:val="sr-Cyrl-CS"/>
        </w:rPr>
        <w:t>.</w:t>
      </w:r>
      <w:r w:rsidRPr="00E95BC4">
        <w:rPr>
          <w:lang w:val="sr-Cyrl-CS"/>
        </w:rPr>
        <w:t xml:space="preserve">), која је прописивала кривично дело прање новца. Наиме, изменама Кривичног законика прописано је да имовина која је предмет прања новца не мора да потиче из предикатног </w:t>
      </w:r>
      <w:r w:rsidRPr="00E95BC4">
        <w:rPr>
          <w:i/>
          <w:lang w:val="sr-Cyrl-CS"/>
        </w:rPr>
        <w:t>кривичног дела</w:t>
      </w:r>
      <w:r w:rsidRPr="00E95BC4">
        <w:rPr>
          <w:lang w:val="sr-Cyrl-CS"/>
        </w:rPr>
        <w:t xml:space="preserve">. Закон је преузео решење из међународних конвенција које је потписала и </w:t>
      </w:r>
      <w:r w:rsidR="00820ACB">
        <w:rPr>
          <w:lang w:val="sr-Cyrl-CS"/>
        </w:rPr>
        <w:t>потврдила</w:t>
      </w:r>
      <w:r w:rsidRPr="00E95BC4">
        <w:rPr>
          <w:lang w:val="sr-Cyrl-CS"/>
        </w:rPr>
        <w:t xml:space="preserve"> Република Србиј</w:t>
      </w:r>
      <w:r w:rsidR="00820ACB">
        <w:rPr>
          <w:lang w:val="sr-Cyrl-CS"/>
        </w:rPr>
        <w:t>а</w:t>
      </w:r>
      <w:r w:rsidRPr="00E95BC4">
        <w:rPr>
          <w:lang w:val="sr-Cyrl-CS"/>
        </w:rPr>
        <w:t xml:space="preserve">, па је сада прописано да имовина која је предмет прања новца треба да потиче из </w:t>
      </w:r>
      <w:r w:rsidRPr="00E95BC4">
        <w:rPr>
          <w:i/>
          <w:lang w:val="sr-Cyrl-CS"/>
        </w:rPr>
        <w:t>криминалне делатности</w:t>
      </w:r>
      <w:r w:rsidRPr="00E95BC4">
        <w:rPr>
          <w:lang w:val="sr-Cyrl-CS"/>
        </w:rPr>
        <w:t>. Оваквим начином инкриминисања радњи извршења кривичног дела прања новца, проширен је простор његове примене и створена могућност кривичног гоњења без претходне осуде за предикатно кривично дело. Штавише, к</w:t>
      </w:r>
      <w:r w:rsidR="00603DAA" w:rsidRPr="00E95BC4">
        <w:rPr>
          <w:noProof/>
          <w:lang w:val="sr-Cyrl-CS"/>
        </w:rPr>
        <w:t>оришћење појма „</w:t>
      </w:r>
      <w:r w:rsidRPr="00E95BC4">
        <w:rPr>
          <w:noProof/>
          <w:lang w:val="sr-Cyrl-CS"/>
        </w:rPr>
        <w:t xml:space="preserve">криминална делатност” у законској дефиницији прања новца, као кривичног дела, дозвољава да претходно (предикатно) дело не мора бити појединачно утврђено, а још мање је потребно да претходно постоји правоснажна пресуда за то дело. Довољно је за потребе конкретног случаја утврдити да </w:t>
      </w:r>
      <w:r w:rsidR="00D93CED" w:rsidRPr="00E95BC4">
        <w:rPr>
          <w:noProof/>
          <w:lang w:val="sr-Cyrl-CS"/>
        </w:rPr>
        <w:t>су новац или имовина прибављени</w:t>
      </w:r>
      <w:r w:rsidRPr="00E95BC4">
        <w:rPr>
          <w:noProof/>
          <w:lang w:val="sr-Cyrl-CS"/>
        </w:rPr>
        <w:t xml:space="preserve"> таквом делатношћу</w:t>
      </w:r>
      <w:r w:rsidR="00D93CED" w:rsidRPr="00E95BC4">
        <w:rPr>
          <w:noProof/>
          <w:lang w:val="sr-Cyrl-CS"/>
        </w:rPr>
        <w:t>, а</w:t>
      </w:r>
      <w:r w:rsidRPr="00E95BC4">
        <w:rPr>
          <w:noProof/>
          <w:lang w:val="sr-Cyrl-CS"/>
        </w:rPr>
        <w:t xml:space="preserve"> чијим вршењем се остварује биће неког противправног дела. То се, као и свака друга чињеница, утврђује у току поступка, када се решава и питање постојања других битних елемената кривичног дела прања новца. Дакле, може се само за потребе конкретног случаја прања новца утврђивати да имовина потиче од криминалне делатности. При томе је ирелева</w:t>
      </w:r>
      <w:r w:rsidR="003A648B" w:rsidRPr="00E95BC4">
        <w:rPr>
          <w:noProof/>
          <w:lang w:val="sr-Cyrl-CS"/>
        </w:rPr>
        <w:t>нтно да ли је у питању кривично</w:t>
      </w:r>
      <w:r w:rsidRPr="00E95BC4">
        <w:rPr>
          <w:noProof/>
          <w:lang w:val="sr-Cyrl-CS"/>
        </w:rPr>
        <w:t xml:space="preserve"> дело, или је у питању неки други облик противправне активности.</w:t>
      </w:r>
    </w:p>
    <w:p w:rsidR="00745C54" w:rsidRPr="00E95BC4" w:rsidRDefault="00745C54" w:rsidP="002424EB">
      <w:pPr>
        <w:ind w:firstLine="708"/>
        <w:jc w:val="both"/>
        <w:rPr>
          <w:color w:val="000000" w:themeColor="text1"/>
          <w:lang w:val="sr-Cyrl-CS"/>
        </w:rPr>
      </w:pPr>
      <w:r w:rsidRPr="00E95BC4">
        <w:rPr>
          <w:color w:val="000000" w:themeColor="text1"/>
          <w:lang w:val="sr-Cyrl-CS"/>
        </w:rPr>
        <w:t xml:space="preserve">Република Србија је донела нови </w:t>
      </w:r>
      <w:r w:rsidRPr="00E95BC4">
        <w:rPr>
          <w:b/>
          <w:color w:val="000000" w:themeColor="text1"/>
          <w:lang w:val="sr-Cyrl-CS"/>
        </w:rPr>
        <w:t>Закон о организацији и надлежности државних органа у сузбијању организованог криминала, тероризма и корупције</w:t>
      </w:r>
      <w:r w:rsidRPr="00E95BC4">
        <w:rPr>
          <w:color w:val="000000" w:themeColor="text1"/>
          <w:lang w:val="sr-Cyrl-CS"/>
        </w:rPr>
        <w:t xml:space="preserve"> који се примењује од 1. марта 2018. године. Поменутим законом уређено је оснивање, организација, надлежност и овлашћења државних органа и посебних организационих јединица државних органа ради откривања, кривичног гоњења и суђења за одређена кривична дела међу којима је и кривично дело прање новца.</w:t>
      </w:r>
      <w:r w:rsidR="002424EB" w:rsidRPr="00E95BC4">
        <w:rPr>
          <w:color w:val="000000" w:themeColor="text1"/>
          <w:lang w:val="sr-Cyrl-CS"/>
        </w:rPr>
        <w:t xml:space="preserve"> </w:t>
      </w:r>
      <w:r w:rsidRPr="00E95BC4">
        <w:rPr>
          <w:color w:val="000000" w:themeColor="text1"/>
          <w:lang w:val="sr-Cyrl-CS"/>
        </w:rPr>
        <w:t>На тај начин је извршена специјализација</w:t>
      </w:r>
      <w:r w:rsidR="004313D4">
        <w:rPr>
          <w:color w:val="000000" w:themeColor="text1"/>
          <w:lang w:val="sr-Cyrl-CS"/>
        </w:rPr>
        <w:t>,</w:t>
      </w:r>
      <w:r w:rsidRPr="00E95BC4">
        <w:rPr>
          <w:color w:val="000000" w:themeColor="text1"/>
          <w:lang w:val="sr-Cyrl-CS"/>
        </w:rPr>
        <w:t xml:space="preserve"> а самим тим и концентрација стварне надлежности за откривање и вођење поступка због кривичног дела прање новца на државне органе надлежне за </w:t>
      </w:r>
      <w:r w:rsidRPr="00E95BC4">
        <w:rPr>
          <w:color w:val="000000" w:themeColor="text1"/>
          <w:lang w:val="sr-Cyrl-CS"/>
        </w:rPr>
        <w:lastRenderedPageBreak/>
        <w:t xml:space="preserve">поступање у предметима кривичних дела организованог криминала и државне органе надлежне за поступање у предметима корупције. </w:t>
      </w:r>
    </w:p>
    <w:p w:rsidR="00745C54" w:rsidRPr="00E95BC4" w:rsidRDefault="00745C54" w:rsidP="00FB1798">
      <w:pPr>
        <w:jc w:val="both"/>
        <w:rPr>
          <w:color w:val="000000" w:themeColor="text1"/>
          <w:lang w:val="sr-Cyrl-CS"/>
        </w:rPr>
      </w:pPr>
      <w:r w:rsidRPr="00E95BC4">
        <w:rPr>
          <w:color w:val="000000" w:themeColor="text1"/>
          <w:lang w:val="sr-Cyrl-CS"/>
        </w:rPr>
        <w:tab/>
        <w:t xml:space="preserve">У складу са решењем у поменутом закону, поступање против учинилаца кривичног дела </w:t>
      </w:r>
      <w:r w:rsidRPr="00E95BC4">
        <w:rPr>
          <w:i/>
          <w:color w:val="000000" w:themeColor="text1"/>
          <w:lang w:val="sr-Cyrl-CS"/>
        </w:rPr>
        <w:t>прање новца</w:t>
      </w:r>
      <w:r w:rsidRPr="00E95BC4">
        <w:rPr>
          <w:color w:val="000000" w:themeColor="text1"/>
          <w:lang w:val="sr-Cyrl-CS"/>
        </w:rPr>
        <w:t xml:space="preserve"> у надлежности је Тужилаштва за организовани криминал, Министарства унутрашњих послова</w:t>
      </w:r>
      <w:r w:rsidR="00DF3B3E">
        <w:rPr>
          <w:color w:val="000000" w:themeColor="text1"/>
          <w:lang w:val="sr-Cyrl-CS"/>
        </w:rPr>
        <w:t xml:space="preserve"> – </w:t>
      </w:r>
      <w:r w:rsidRPr="00E95BC4">
        <w:rPr>
          <w:color w:val="000000" w:themeColor="text1"/>
          <w:lang w:val="sr-Cyrl-CS"/>
        </w:rPr>
        <w:t>организационе јединице полиције надлежне за сузбијање организованог криминала, Посебног одељења Вишег суда у Београду за организовани криминал, Посебног одељења Апелационог суда у Београду за органи</w:t>
      </w:r>
      <w:r w:rsidR="007D61F7" w:rsidRPr="00E95BC4">
        <w:rPr>
          <w:color w:val="000000" w:themeColor="text1"/>
          <w:lang w:val="sr-Cyrl-CS"/>
        </w:rPr>
        <w:t>зовани криминал, у случају када</w:t>
      </w:r>
      <w:r w:rsidRPr="00E95BC4">
        <w:rPr>
          <w:color w:val="000000" w:themeColor="text1"/>
          <w:lang w:val="sr-Cyrl-CS"/>
        </w:rPr>
        <w:t xml:space="preserve"> имовина која је предмет прања новца потиче из кривичних дела oрганизованог криминала, кривичних дела против службене дужности (чл. 359, 366, 367. и 368. Кривичног законика), када је окривљени, односно лице којем се даје мито, службено или одговорно лице које врши јавну функцију на основу избора, именовања или постављења од стране Народне скупштине, председника Републике, Владе, опште седнице Врховног касационог суда, Високог савета судства или Државног већа тужилаца;</w:t>
      </w:r>
      <w:r w:rsidRPr="00E95BC4">
        <w:rPr>
          <w:rFonts w:eastAsia="Times New Roman"/>
          <w:color w:val="000000" w:themeColor="text1"/>
          <w:lang w:val="sr-Cyrl-CS"/>
        </w:rPr>
        <w:t xml:space="preserve"> </w:t>
      </w:r>
      <w:r w:rsidRPr="00E95BC4">
        <w:rPr>
          <w:color w:val="000000" w:themeColor="text1"/>
          <w:lang w:val="sr-Cyrl-CS"/>
        </w:rPr>
        <w:t xml:space="preserve">кривичних </w:t>
      </w:r>
      <w:r w:rsidR="00465BE6" w:rsidRPr="00E95BC4">
        <w:rPr>
          <w:color w:val="000000" w:themeColor="text1"/>
          <w:lang w:val="sr-Cyrl-CS"/>
        </w:rPr>
        <w:t xml:space="preserve">дела против привреде (чл. 223, 223а, </w:t>
      </w:r>
      <w:r w:rsidRPr="00E95BC4">
        <w:rPr>
          <w:color w:val="000000" w:themeColor="text1"/>
          <w:lang w:val="sr-Cyrl-CS"/>
        </w:rPr>
        <w:t>224, 224а, 227, 228, 228а, 229, 230, 231, 232, 232а, 233, члана 235. став 4, чл. 236. и 245. Кривичног законика),</w:t>
      </w:r>
      <w:r w:rsidRPr="00E95BC4">
        <w:rPr>
          <w:rFonts w:eastAsia="Calibri"/>
          <w:color w:val="000000" w:themeColor="text1"/>
          <w:lang w:val="sr-Cyrl-CS"/>
        </w:rPr>
        <w:t xml:space="preserve"> </w:t>
      </w:r>
      <w:r w:rsidRPr="00E95BC4">
        <w:rPr>
          <w:color w:val="000000" w:themeColor="text1"/>
          <w:lang w:val="sr-Cyrl-CS"/>
        </w:rPr>
        <w:t>ако вредност имовинске користи прелази 200.000.000 динара, односно ако вредност јавне наб</w:t>
      </w:r>
      <w:r w:rsidR="009B5569">
        <w:rPr>
          <w:color w:val="000000" w:themeColor="text1"/>
          <w:lang w:val="sr-Cyrl-CS"/>
        </w:rPr>
        <w:t>авке прелази 800.000.000 динара.</w:t>
      </w:r>
    </w:p>
    <w:p w:rsidR="00745C54" w:rsidRPr="00E95BC4" w:rsidRDefault="00745C54" w:rsidP="00745C54">
      <w:pPr>
        <w:jc w:val="both"/>
        <w:rPr>
          <w:color w:val="000000" w:themeColor="text1"/>
          <w:lang w:val="sr-Cyrl-CS"/>
        </w:rPr>
      </w:pPr>
      <w:r w:rsidRPr="00E95BC4">
        <w:rPr>
          <w:color w:val="000000" w:themeColor="text1"/>
          <w:lang w:val="sr-Cyrl-CS"/>
        </w:rPr>
        <w:tab/>
        <w:t xml:space="preserve">Сва остала кривична дела </w:t>
      </w:r>
      <w:r w:rsidRPr="00E95BC4">
        <w:rPr>
          <w:i/>
          <w:color w:val="000000" w:themeColor="text1"/>
          <w:lang w:val="sr-Cyrl-CS"/>
        </w:rPr>
        <w:t>прање новца</w:t>
      </w:r>
      <w:r w:rsidRPr="00E95BC4">
        <w:rPr>
          <w:color w:val="000000" w:themeColor="text1"/>
          <w:lang w:val="sr-Cyrl-CS"/>
        </w:rPr>
        <w:t xml:space="preserve"> су у стварној надлежности друге групе специјализованих државних органа и организационих јединица државних органа које чине: 4 посебна одељења виших јавних тужилаштава за сузбијање корупције у Вишим јавним тужилаштвима у Београду, Новом Саду, Нишу и Краљеву, </w:t>
      </w:r>
      <w:r w:rsidRPr="00E95BC4">
        <w:rPr>
          <w:bCs/>
          <w:color w:val="000000" w:themeColor="text1"/>
          <w:lang w:val="sr-Cyrl-CS"/>
        </w:rPr>
        <w:t xml:space="preserve">организациона јединица полиције надлежна за сузбијање </w:t>
      </w:r>
      <w:r w:rsidR="0044603F" w:rsidRPr="00E95BC4">
        <w:rPr>
          <w:color w:val="000000" w:themeColor="text1"/>
          <w:lang w:val="sr-Cyrl-CS"/>
        </w:rPr>
        <w:t xml:space="preserve">корупције </w:t>
      </w:r>
      <w:r w:rsidRPr="00E95BC4">
        <w:rPr>
          <w:color w:val="000000" w:themeColor="text1"/>
          <w:lang w:val="sr-Cyrl-CS"/>
        </w:rPr>
        <w:t xml:space="preserve">и </w:t>
      </w:r>
      <w:r w:rsidR="0074155A" w:rsidRPr="00E95BC4">
        <w:rPr>
          <w:color w:val="000000" w:themeColor="text1"/>
          <w:lang w:val="sr-Cyrl-CS"/>
        </w:rPr>
        <w:t>четири</w:t>
      </w:r>
      <w:r w:rsidRPr="00E95BC4">
        <w:rPr>
          <w:color w:val="000000" w:themeColor="text1"/>
          <w:lang w:val="sr-Cyrl-CS"/>
        </w:rPr>
        <w:t xml:space="preserve"> посебна одељења за сузбијањ</w:t>
      </w:r>
      <w:r w:rsidR="0044603F" w:rsidRPr="00E95BC4">
        <w:rPr>
          <w:color w:val="000000" w:themeColor="text1"/>
          <w:lang w:val="sr-Cyrl-CS"/>
        </w:rPr>
        <w:t xml:space="preserve">е корупције у Вишим судовима у </w:t>
      </w:r>
      <w:r w:rsidRPr="00E95BC4">
        <w:rPr>
          <w:color w:val="000000" w:themeColor="text1"/>
          <w:lang w:val="sr-Cyrl-CS"/>
        </w:rPr>
        <w:t>Београду, Новом Саду, Нишу и Краљеву, која су почела са радом 1.</w:t>
      </w:r>
      <w:r w:rsidR="00D93CED" w:rsidRPr="00E95BC4">
        <w:rPr>
          <w:color w:val="000000" w:themeColor="text1"/>
          <w:lang w:val="sr-Cyrl-CS"/>
        </w:rPr>
        <w:t xml:space="preserve"> </w:t>
      </w:r>
      <w:r w:rsidRPr="00E95BC4">
        <w:rPr>
          <w:color w:val="000000" w:themeColor="text1"/>
          <w:lang w:val="sr-Cyrl-CS"/>
        </w:rPr>
        <w:t>марта 2018.</w:t>
      </w:r>
      <w:r w:rsidR="009B5569">
        <w:rPr>
          <w:color w:val="000000" w:themeColor="text1"/>
          <w:lang w:val="sr-Cyrl-CS"/>
        </w:rPr>
        <w:t xml:space="preserve"> </w:t>
      </w:r>
      <w:r w:rsidRPr="00E95BC4">
        <w:rPr>
          <w:color w:val="000000" w:themeColor="text1"/>
          <w:lang w:val="sr-Cyrl-CS"/>
        </w:rPr>
        <w:t>године.</w:t>
      </w:r>
    </w:p>
    <w:p w:rsidR="003A648B" w:rsidRPr="00E95BC4" w:rsidRDefault="00745C54" w:rsidP="00745C54">
      <w:pPr>
        <w:jc w:val="both"/>
        <w:rPr>
          <w:color w:val="000000" w:themeColor="text1"/>
          <w:lang w:val="sr-Cyrl-CS"/>
        </w:rPr>
      </w:pPr>
      <w:r w:rsidRPr="00E95BC4">
        <w:rPr>
          <w:color w:val="000000" w:themeColor="text1"/>
          <w:lang w:val="sr-Cyrl-CS"/>
        </w:rPr>
        <w:tab/>
        <w:t>Оваквом организацијом државних органа, ка</w:t>
      </w:r>
      <w:r w:rsidR="0044603F" w:rsidRPr="00E95BC4">
        <w:rPr>
          <w:color w:val="000000" w:themeColor="text1"/>
          <w:lang w:val="sr-Cyrl-CS"/>
        </w:rPr>
        <w:t xml:space="preserve">да је реч о јавном тужилаштву, </w:t>
      </w:r>
      <w:r w:rsidRPr="00E95BC4">
        <w:rPr>
          <w:color w:val="000000" w:themeColor="text1"/>
          <w:lang w:val="sr-Cyrl-CS"/>
        </w:rPr>
        <w:t xml:space="preserve">гоњење за кривично дело прање новца концентрисано је у Тужилаштву за организовани криминал и </w:t>
      </w:r>
      <w:r w:rsidR="0074155A" w:rsidRPr="00E95BC4">
        <w:rPr>
          <w:color w:val="000000" w:themeColor="text1"/>
          <w:lang w:val="sr-Cyrl-CS"/>
        </w:rPr>
        <w:t>четири п</w:t>
      </w:r>
      <w:r w:rsidRPr="00E95BC4">
        <w:rPr>
          <w:color w:val="000000" w:themeColor="text1"/>
          <w:lang w:val="sr-Cyrl-CS"/>
        </w:rPr>
        <w:t>осебна одељења, за територију целокупне Републике Србије. При томе координацију рада посебних одељења виших јавних тужилаштава за сузбијање корупције врши Тужилац за орга</w:t>
      </w:r>
      <w:r w:rsidR="003A648B" w:rsidRPr="00E95BC4">
        <w:rPr>
          <w:color w:val="000000" w:themeColor="text1"/>
          <w:lang w:val="sr-Cyrl-CS"/>
        </w:rPr>
        <w:t xml:space="preserve">низовани криминал. </w:t>
      </w:r>
    </w:p>
    <w:p w:rsidR="00745C54" w:rsidRPr="00E95BC4" w:rsidRDefault="00745C54" w:rsidP="003A648B">
      <w:pPr>
        <w:ind w:firstLine="720"/>
        <w:jc w:val="both"/>
        <w:rPr>
          <w:color w:val="000000" w:themeColor="text1"/>
          <w:lang w:val="sr-Cyrl-CS"/>
        </w:rPr>
      </w:pPr>
      <w:r w:rsidRPr="00E95BC4">
        <w:rPr>
          <w:color w:val="000000" w:themeColor="text1"/>
          <w:lang w:val="sr-Cyrl-CS"/>
        </w:rPr>
        <w:t>У Тужилаштву за организовани криминала јавнотужилачку функцију, поред тужиоца, врши 20 заменика тужиоца, којима у раду помаже 20 тужилачких помоћника</w:t>
      </w:r>
      <w:r w:rsidR="009B5569">
        <w:rPr>
          <w:color w:val="000000" w:themeColor="text1"/>
          <w:lang w:val="sr-Cyrl-CS"/>
        </w:rPr>
        <w:t>.</w:t>
      </w:r>
      <w:r w:rsidRPr="00E95BC4">
        <w:rPr>
          <w:color w:val="000000" w:themeColor="text1"/>
          <w:lang w:val="sr-Cyrl-CS"/>
        </w:rPr>
        <w:t xml:space="preserve"> У посебним одељењима јавнотужилачке функције врши 46 заменика јавног тужиоца, запослено је 20 тужилачких помоћника. Са тужиоцима у чијој је надлежности кривично гоњење прања новца раде и </w:t>
      </w:r>
      <w:r w:rsidR="0074155A" w:rsidRPr="00E95BC4">
        <w:rPr>
          <w:color w:val="000000" w:themeColor="text1"/>
          <w:lang w:val="sr-Cyrl-CS"/>
        </w:rPr>
        <w:t>три</w:t>
      </w:r>
      <w:r w:rsidRPr="00E95BC4">
        <w:rPr>
          <w:color w:val="000000" w:themeColor="text1"/>
          <w:lang w:val="sr-Cyrl-CS"/>
        </w:rPr>
        <w:t xml:space="preserve"> фи</w:t>
      </w:r>
      <w:r w:rsidR="00D93CED" w:rsidRPr="00E95BC4">
        <w:rPr>
          <w:color w:val="000000" w:themeColor="text1"/>
          <w:lang w:val="sr-Cyrl-CS"/>
        </w:rPr>
        <w:t>нансијска форензичара стално за</w:t>
      </w:r>
      <w:r w:rsidRPr="00E95BC4">
        <w:rPr>
          <w:color w:val="000000" w:themeColor="text1"/>
          <w:lang w:val="sr-Cyrl-CS"/>
        </w:rPr>
        <w:t>послена у Тужилаштву за организовани криминал и Посебним одељењима Виших јавних тужилаштава у Београду и Новом Саду.</w:t>
      </w:r>
    </w:p>
    <w:p w:rsidR="00745C54" w:rsidRPr="00E95BC4" w:rsidRDefault="00745C54" w:rsidP="00745C54">
      <w:pPr>
        <w:jc w:val="both"/>
        <w:rPr>
          <w:color w:val="000000" w:themeColor="text1"/>
          <w:lang w:val="sr-Cyrl-CS"/>
        </w:rPr>
      </w:pPr>
      <w:r w:rsidRPr="00E95BC4">
        <w:rPr>
          <w:color w:val="000000" w:themeColor="text1"/>
          <w:lang w:val="sr-Cyrl-CS"/>
        </w:rPr>
        <w:t xml:space="preserve"> </w:t>
      </w:r>
      <w:r w:rsidRPr="00E95BC4">
        <w:rPr>
          <w:color w:val="000000" w:themeColor="text1"/>
          <w:lang w:val="sr-Cyrl-CS"/>
        </w:rPr>
        <w:tab/>
        <w:t xml:space="preserve">Слична ситуација је и у погледу организације судова јер у предметима прања новца поступају Посебно дељење за организовани криминал Вишег суда у Београду и Посебна одељења за сузбијање корупције основана у </w:t>
      </w:r>
      <w:r w:rsidR="0074155A" w:rsidRPr="00E95BC4">
        <w:rPr>
          <w:color w:val="000000" w:themeColor="text1"/>
          <w:lang w:val="sr-Cyrl-CS"/>
        </w:rPr>
        <w:t>четири</w:t>
      </w:r>
      <w:r w:rsidRPr="00E95BC4">
        <w:rPr>
          <w:color w:val="000000" w:themeColor="text1"/>
          <w:lang w:val="sr-Cyrl-CS"/>
        </w:rPr>
        <w:t xml:space="preserve"> </w:t>
      </w:r>
      <w:r w:rsidR="00D93CED" w:rsidRPr="00E95BC4">
        <w:rPr>
          <w:color w:val="000000" w:themeColor="text1"/>
          <w:lang w:val="sr-Cyrl-CS"/>
        </w:rPr>
        <w:t>в</w:t>
      </w:r>
      <w:r w:rsidRPr="00E95BC4">
        <w:rPr>
          <w:color w:val="000000" w:themeColor="text1"/>
          <w:lang w:val="sr-Cyrl-CS"/>
        </w:rPr>
        <w:t xml:space="preserve">иша суда у </w:t>
      </w:r>
      <w:r w:rsidR="0074155A" w:rsidRPr="00E95BC4">
        <w:rPr>
          <w:color w:val="000000" w:themeColor="text1"/>
          <w:lang w:val="sr-Cyrl-CS"/>
        </w:rPr>
        <w:t xml:space="preserve">Републици </w:t>
      </w:r>
      <w:r w:rsidRPr="00E95BC4">
        <w:rPr>
          <w:color w:val="000000" w:themeColor="text1"/>
          <w:lang w:val="sr-Cyrl-CS"/>
        </w:rPr>
        <w:t>Србији.</w:t>
      </w:r>
    </w:p>
    <w:p w:rsidR="00745C54" w:rsidRPr="00E95BC4" w:rsidRDefault="00745C54" w:rsidP="00745C54">
      <w:pPr>
        <w:jc w:val="both"/>
        <w:rPr>
          <w:rFonts w:eastAsia="Calibri"/>
          <w:color w:val="000000" w:themeColor="text1"/>
          <w:lang w:val="sr-Cyrl-CS"/>
        </w:rPr>
      </w:pPr>
      <w:r w:rsidRPr="00E95BC4">
        <w:rPr>
          <w:color w:val="000000" w:themeColor="text1"/>
          <w:lang w:val="sr-Cyrl-CS"/>
        </w:rPr>
        <w:tab/>
        <w:t>У надлежности посебних одељења за сузбијање корупције су, по</w:t>
      </w:r>
      <w:r w:rsidR="00465BE6" w:rsidRPr="00E95BC4">
        <w:rPr>
          <w:color w:val="000000" w:themeColor="text1"/>
          <w:lang w:val="sr-Cyrl-CS"/>
        </w:rPr>
        <w:t xml:space="preserve">ред кривичног дела прање новца </w:t>
      </w:r>
      <w:r w:rsidRPr="00E95BC4">
        <w:rPr>
          <w:color w:val="000000" w:themeColor="text1"/>
          <w:lang w:val="sr-Cyrl-CS"/>
        </w:rPr>
        <w:t>и друга кривична дела против привреде и службене дужности. Заправо,</w:t>
      </w:r>
      <w:r w:rsidRPr="00E95BC4">
        <w:rPr>
          <w:rFonts w:eastAsia="Calibri"/>
          <w:color w:val="000000" w:themeColor="text1"/>
          <w:lang w:val="sr-Cyrl-CS"/>
        </w:rPr>
        <w:t xml:space="preserve"> овим законом су поменута кривична дела одређена као кривична дела финансијског криминала и корупције. Доношење Закона представља реализацију циљева које </w:t>
      </w:r>
      <w:r w:rsidR="00CF1D1B">
        <w:rPr>
          <w:rFonts w:eastAsia="Calibri"/>
          <w:color w:val="000000" w:themeColor="text1"/>
          <w:lang w:val="sr-Cyrl-CS"/>
        </w:rPr>
        <w:t xml:space="preserve">је </w:t>
      </w:r>
      <w:r w:rsidRPr="00E95BC4">
        <w:rPr>
          <w:rFonts w:eastAsia="Calibri"/>
          <w:color w:val="000000" w:themeColor="text1"/>
          <w:lang w:val="sr-Cyrl-CS"/>
        </w:rPr>
        <w:t xml:space="preserve">поставила Стратегија истрага финансијског криминала Републике Србије. Она се темељи на четири стуба од којих је први делотворни репресивни органи, други обухвата унапређену сарадњу између различитих државних органа, трећи је увођење финансијске </w:t>
      </w:r>
      <w:r w:rsidRPr="00E95BC4">
        <w:rPr>
          <w:rFonts w:eastAsia="Calibri"/>
          <w:color w:val="000000" w:themeColor="text1"/>
          <w:lang w:val="sr-Cyrl-CS"/>
        </w:rPr>
        <w:lastRenderedPageBreak/>
        <w:t>форензике у тужилаштва</w:t>
      </w:r>
      <w:r w:rsidR="004313D4">
        <w:rPr>
          <w:rFonts w:eastAsia="Calibri"/>
          <w:color w:val="000000" w:themeColor="text1"/>
          <w:lang w:val="sr-Cyrl-CS"/>
        </w:rPr>
        <w:t>,</w:t>
      </w:r>
      <w:r w:rsidRPr="00E95BC4">
        <w:rPr>
          <w:rFonts w:eastAsia="Calibri"/>
          <w:color w:val="000000" w:themeColor="text1"/>
          <w:lang w:val="sr-Cyrl-CS"/>
        </w:rPr>
        <w:t xml:space="preserve"> а четврти перманентна едукација и обука полиције, јавних тужилаца и судија за вођење поступака за коруптивна кривична дела и кривична дела финансијског криминала.</w:t>
      </w:r>
    </w:p>
    <w:p w:rsidR="00745C54" w:rsidRPr="00E95BC4" w:rsidRDefault="00745C54" w:rsidP="00465BE6">
      <w:pPr>
        <w:ind w:firstLine="708"/>
        <w:jc w:val="both"/>
        <w:rPr>
          <w:lang w:val="sr-Cyrl-CS"/>
        </w:rPr>
      </w:pPr>
      <w:r w:rsidRPr="00E95BC4">
        <w:rPr>
          <w:lang w:val="sr-Cyrl-CS"/>
        </w:rPr>
        <w:t xml:space="preserve">Република Србија је свој први </w:t>
      </w:r>
      <w:r w:rsidRPr="00E95BC4">
        <w:rPr>
          <w:b/>
          <w:lang w:val="sr-Cyrl-CS"/>
        </w:rPr>
        <w:t>Закон о одузимању имовине проистекле из кривичног дела</w:t>
      </w:r>
      <w:r w:rsidRPr="00E95BC4">
        <w:rPr>
          <w:lang w:val="sr-Cyrl-CS"/>
        </w:rPr>
        <w:t xml:space="preserve"> донела 2008. године. Овим законом је у српски правни оквир по први пут </w:t>
      </w:r>
      <w:r w:rsidR="00465BE6" w:rsidRPr="00E95BC4">
        <w:rPr>
          <w:lang w:val="sr-Cyrl-CS"/>
        </w:rPr>
        <w:t xml:space="preserve">уведен институт тзв. проширеног </w:t>
      </w:r>
      <w:r w:rsidRPr="00E95BC4">
        <w:rPr>
          <w:lang w:val="sr-Cyrl-CS"/>
        </w:rPr>
        <w:t>одузимања имовине. Наиме, од учинилаца кривичних дела организованог криминала</w:t>
      </w:r>
      <w:r w:rsidR="00CF1D1B">
        <w:rPr>
          <w:lang w:val="sr-Cyrl-CS"/>
        </w:rPr>
        <w:t>,</w:t>
      </w:r>
      <w:r w:rsidRPr="00E95BC4">
        <w:rPr>
          <w:lang w:val="sr-Cyrl-CS"/>
        </w:rPr>
        <w:t xml:space="preserve"> као и од учинилаца најтежих кривичних дела која су таксативно наведена у члану 2. Закона, постоји могућност одузимања имовине која превазилази њихове законите приходе и за коју не могу доказати законитост порекла. Поменути </w:t>
      </w:r>
      <w:r w:rsidR="00CF1D1B" w:rsidRPr="00E95BC4">
        <w:rPr>
          <w:lang w:val="sr-Cyrl-CS"/>
        </w:rPr>
        <w:t>з</w:t>
      </w:r>
      <w:r w:rsidRPr="00E95BC4">
        <w:rPr>
          <w:lang w:val="sr-Cyrl-CS"/>
        </w:rPr>
        <w:t xml:space="preserve">акон је последњи пут измењен </w:t>
      </w:r>
      <w:r w:rsidR="00CF1D1B">
        <w:rPr>
          <w:lang w:val="sr-Cyrl-CS"/>
        </w:rPr>
        <w:t xml:space="preserve">у </w:t>
      </w:r>
      <w:r w:rsidRPr="00E95BC4">
        <w:rPr>
          <w:lang w:val="sr-Cyrl-CS"/>
        </w:rPr>
        <w:t>мај</w:t>
      </w:r>
      <w:r w:rsidR="00CF1D1B">
        <w:rPr>
          <w:lang w:val="sr-Cyrl-CS"/>
        </w:rPr>
        <w:t>у</w:t>
      </w:r>
      <w:r w:rsidRPr="00E95BC4">
        <w:rPr>
          <w:lang w:val="sr-Cyrl-CS"/>
        </w:rPr>
        <w:t xml:space="preserve"> 2019. године. Разлог за доношење Закона о изменама и допуни Закона о одузимању имовине проистекле из кривичног дела била је потреба усклађивања овог закон</w:t>
      </w:r>
      <w:r w:rsidR="00CF1D1B">
        <w:rPr>
          <w:lang w:val="sr-Cyrl-CS"/>
        </w:rPr>
        <w:t>а</w:t>
      </w:r>
      <w:r w:rsidRPr="00E95BC4">
        <w:rPr>
          <w:lang w:val="sr-Cyrl-CS"/>
        </w:rPr>
        <w:t xml:space="preserve"> са изменама и допунама Кривичног законика из 2016. године, којима је измењена систематика Главе ХХII тог закон</w:t>
      </w:r>
      <w:r w:rsidR="00CF1D1B">
        <w:rPr>
          <w:lang w:val="sr-Cyrl-CS"/>
        </w:rPr>
        <w:t>а</w:t>
      </w:r>
      <w:r w:rsidRPr="00E95BC4">
        <w:rPr>
          <w:lang w:val="sr-Cyrl-CS"/>
        </w:rPr>
        <w:t xml:space="preserve"> – Кривична дела против привреде. Овим изменама омогућена је примена Закон</w:t>
      </w:r>
      <w:r w:rsidR="00D93CED" w:rsidRPr="00E95BC4">
        <w:rPr>
          <w:lang w:val="sr-Cyrl-CS"/>
        </w:rPr>
        <w:t>а</w:t>
      </w:r>
      <w:r w:rsidRPr="00E95BC4">
        <w:rPr>
          <w:lang w:val="sr-Cyrl-CS"/>
        </w:rPr>
        <w:t xml:space="preserve"> о одузимању имовине проистекле из кривичног дела и на већину кривичних дела против привреде. Међу њима су и кривична дела злоупотреба положаја одговорног лица и пореска утаја, која су у Националној процени ризика од прања новца оцењена као дела са високим степеном претњи. Овом изменом примена Закона о одузимању имовине проистекле из кривичног дела проширена је и на већину кривичних дела која су у надлежности Посебних одељења за сузбијање корупције, основана Законом о организацији и надлежности државних органа за сузбијање организованог криминала, тероризма и корупције.</w:t>
      </w:r>
      <w:r w:rsidR="00863117" w:rsidRPr="00E95BC4">
        <w:rPr>
          <w:lang w:val="sr-Cyrl-CS"/>
        </w:rPr>
        <w:t xml:space="preserve"> Изменама и допунама Закона о одузимању имовине проистекле из кривичног дела</w:t>
      </w:r>
      <w:r w:rsidR="00C14CEB" w:rsidRPr="00E95BC4">
        <w:rPr>
          <w:lang w:val="sr-Cyrl-CS"/>
        </w:rPr>
        <w:t xml:space="preserve"> из 2016.</w:t>
      </w:r>
      <w:r w:rsidR="00863117" w:rsidRPr="00E95BC4">
        <w:rPr>
          <w:lang w:val="sr-Cyrl-CS"/>
        </w:rPr>
        <w:t xml:space="preserve"> образована је Канцеларија за повраћај одузете имовине.</w:t>
      </w:r>
    </w:p>
    <w:p w:rsidR="00745C54" w:rsidRPr="00E95BC4" w:rsidRDefault="00745C54" w:rsidP="00CC21F4">
      <w:pPr>
        <w:ind w:firstLine="708"/>
        <w:jc w:val="both"/>
        <w:rPr>
          <w:lang w:val="sr-Cyrl-CS"/>
        </w:rPr>
      </w:pPr>
    </w:p>
    <w:p w:rsidR="00962FA1" w:rsidRPr="00E95BC4" w:rsidRDefault="00934E82" w:rsidP="00596F2E">
      <w:pPr>
        <w:ind w:firstLine="708"/>
        <w:jc w:val="both"/>
        <w:rPr>
          <w:lang w:val="sr-Cyrl-CS"/>
        </w:rPr>
      </w:pPr>
      <w:r>
        <w:rPr>
          <w:noProof/>
        </w:rPr>
        <w:pict>
          <v:shape id="Text Box 14" o:spid="_x0000_s1027" type="#_x0000_t202" style="position:absolute;left:0;text-align:left;margin-left:-1.5pt;margin-top:3.55pt;width:219pt;height:43.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" fillcolor="#a5a5a5 [2092]" stroked="f" strokecolor="#f2f2f2 [3041]" strokeweight="3pt">
            <v:shadow color="#7f7f7f [1601]" opacity=".5" offset="1pt"/>
            <v:textbox>
              <w:txbxContent>
                <w:p w:rsidR="00E902D8" w:rsidRPr="00C21C2C" w:rsidRDefault="00E902D8" w:rsidP="00367ABB">
                  <w:pPr>
                    <w:pStyle w:val="ListParagraph"/>
                    <w:numPr>
                      <w:ilvl w:val="0"/>
                      <w:numId w:val="9"/>
                    </w:numPr>
                    <w:ind w:left="284" w:hanging="284"/>
                    <w:rPr>
                      <w:b/>
                      <w:iCs/>
                      <w:color w:val="FFFFFF" w:themeColor="background1"/>
                      <w:sz w:val="20"/>
                      <w:szCs w:val="20"/>
                    </w:rPr>
                  </w:pPr>
                  <w:r w:rsidRPr="00C21C2C">
                    <w:rPr>
                      <w:b/>
                      <w:iCs/>
                      <w:color w:val="FFFFFF" w:themeColor="background1"/>
                      <w:sz w:val="20"/>
                      <w:szCs w:val="20"/>
                    </w:rPr>
                    <w:t xml:space="preserve">Закон о спречавању прања новца и финансирања тероризма </w:t>
                  </w:r>
                  <w:r w:rsidRPr="00C21C2C">
                    <w:rPr>
                      <w:iCs/>
                      <w:color w:val="FFFFFF" w:themeColor="background1"/>
                      <w:sz w:val="20"/>
                      <w:szCs w:val="20"/>
                    </w:rPr>
                    <w:t xml:space="preserve">(„Службени гласник РС”, </w:t>
                  </w:r>
                  <w:r>
                    <w:rPr>
                      <w:iCs/>
                      <w:color w:val="FFFFFF" w:themeColor="background1"/>
                      <w:sz w:val="20"/>
                      <w:szCs w:val="20"/>
                      <w:lang/>
                    </w:rPr>
                    <w:t xml:space="preserve">бр. </w:t>
                  </w:r>
                  <w:r w:rsidRPr="00C21C2C">
                    <w:rPr>
                      <w:iCs/>
                      <w:color w:val="FFFFFF" w:themeColor="background1"/>
                      <w:sz w:val="20"/>
                      <w:szCs w:val="20"/>
                    </w:rPr>
                    <w:t>113/17 и 91/19);</w:t>
                  </w:r>
                </w:p>
                <w:p w:rsidR="00E902D8" w:rsidRPr="00990F58" w:rsidRDefault="00E902D8" w:rsidP="00367ABB">
                  <w:pPr>
                    <w:ind w:left="284" w:hanging="284"/>
                    <w:rPr>
                      <w:color w:val="FFFFFF" w:themeColor="background1"/>
                      <w:sz w:val="12"/>
                      <w:szCs w:val="16"/>
                    </w:rPr>
                  </w:pPr>
                </w:p>
              </w:txbxContent>
            </v:textbox>
            <w10:wrap type="square"/>
          </v:shape>
        </w:pict>
      </w:r>
      <w:r w:rsidR="00962FA1" w:rsidRPr="00E95BC4">
        <w:rPr>
          <w:lang w:val="sr-Cyrl-CS"/>
        </w:rPr>
        <w:t xml:space="preserve">Основни превентивни закон у области борбе против прања новца и финансирања тероризма јесте </w:t>
      </w:r>
      <w:r w:rsidR="00990F58" w:rsidRPr="00E95BC4">
        <w:rPr>
          <w:b/>
          <w:lang w:val="sr-Cyrl-CS"/>
        </w:rPr>
        <w:t>Закон о спречавању прања новца и финансирања тероризма</w:t>
      </w:r>
      <w:r w:rsidR="00367ABB" w:rsidRPr="00E95BC4">
        <w:rPr>
          <w:lang w:val="sr-Cyrl-CS"/>
        </w:rPr>
        <w:t>.</w:t>
      </w:r>
      <w:r w:rsidR="00990F58" w:rsidRPr="00E95BC4">
        <w:rPr>
          <w:lang w:val="sr-Cyrl-CS"/>
        </w:rPr>
        <w:t xml:space="preserve"> </w:t>
      </w:r>
      <w:r w:rsidR="00367ABB" w:rsidRPr="00E95BC4">
        <w:rPr>
          <w:lang w:val="sr-Cyrl-CS"/>
        </w:rPr>
        <w:t xml:space="preserve">Овим </w:t>
      </w:r>
      <w:r w:rsidR="00962FA1" w:rsidRPr="00E95BC4">
        <w:rPr>
          <w:lang w:val="sr-Cyrl-CS"/>
        </w:rPr>
        <w:t xml:space="preserve">законом се утврђују радње и мере познавања и праћења странке (тзв. </w:t>
      </w:r>
      <w:r w:rsidR="00962FA1" w:rsidRPr="00E95BC4">
        <w:rPr>
          <w:i/>
          <w:lang w:val="sr-Cyrl-CS"/>
        </w:rPr>
        <w:t>CDD – customer due diligence</w:t>
      </w:r>
      <w:r w:rsidR="00962FA1" w:rsidRPr="00E95BC4">
        <w:rPr>
          <w:lang w:val="sr-Cyrl-CS"/>
        </w:rPr>
        <w:t xml:space="preserve">) које су обвезници примене овог закона, који се такође законом утврђују, дужни да примењују приликом заснивања и </w:t>
      </w:r>
      <w:r w:rsidR="008E4671" w:rsidRPr="00E95BC4">
        <w:rPr>
          <w:lang w:val="sr-Cyrl-CS"/>
        </w:rPr>
        <w:t>трајања</w:t>
      </w:r>
      <w:r w:rsidR="00962FA1" w:rsidRPr="00E95BC4">
        <w:rPr>
          <w:lang w:val="sr-Cyrl-CS"/>
        </w:rPr>
        <w:t xml:space="preserve"> пословног односа. Такође се утврђују надлежности Управе за спречавање прања новца, као финансијскообавештајне службе Републике Србије, у откривању и спречавању прања новца и финансирања тероризма</w:t>
      </w:r>
      <w:r w:rsidR="007F5C8D" w:rsidRPr="00E95BC4">
        <w:rPr>
          <w:lang w:val="sr-Cyrl-CS"/>
        </w:rPr>
        <w:t>, као и других органа у примени овог закона</w:t>
      </w:r>
      <w:r w:rsidR="00962FA1" w:rsidRPr="00E95BC4">
        <w:rPr>
          <w:lang w:val="sr-Cyrl-CS"/>
        </w:rPr>
        <w:t xml:space="preserve">. </w:t>
      </w:r>
      <w:r w:rsidR="007F5C8D" w:rsidRPr="00E95BC4">
        <w:rPr>
          <w:lang w:val="sr-Cyrl-CS"/>
        </w:rPr>
        <w:t>Између осталог, у</w:t>
      </w:r>
      <w:r w:rsidR="00962FA1" w:rsidRPr="00E95BC4">
        <w:rPr>
          <w:lang w:val="sr-Cyrl-CS"/>
        </w:rPr>
        <w:t xml:space="preserve">тврђују се надзорни органи који </w:t>
      </w:r>
      <w:r w:rsidR="007F5C8D" w:rsidRPr="00E95BC4">
        <w:rPr>
          <w:lang w:val="sr-Cyrl-CS"/>
        </w:rPr>
        <w:t xml:space="preserve">врше надзор над применом </w:t>
      </w:r>
      <w:r w:rsidR="00962FA1" w:rsidRPr="00E95BC4">
        <w:rPr>
          <w:lang w:val="sr-Cyrl-CS"/>
        </w:rPr>
        <w:t xml:space="preserve">овог закона </w:t>
      </w:r>
      <w:r w:rsidR="007F5C8D" w:rsidRPr="00E95BC4">
        <w:rPr>
          <w:lang w:val="sr-Cyrl-CS"/>
        </w:rPr>
        <w:t xml:space="preserve">код </w:t>
      </w:r>
      <w:r w:rsidR="00962FA1" w:rsidRPr="00E95BC4">
        <w:rPr>
          <w:lang w:val="sr-Cyrl-CS"/>
        </w:rPr>
        <w:t>обвезника</w:t>
      </w:r>
      <w:r w:rsidR="00596F2E">
        <w:rPr>
          <w:lang w:val="sr-Cyrl-CS"/>
        </w:rPr>
        <w:t>,</w:t>
      </w:r>
      <w:r w:rsidR="00962FA1" w:rsidRPr="00E95BC4">
        <w:rPr>
          <w:lang w:val="sr-Cyrl-CS"/>
        </w:rPr>
        <w:t xml:space="preserve"> као и казнене одредбе за непоштовање одредаба овог закона.</w:t>
      </w:r>
    </w:p>
    <w:p w:rsidR="007F5C8D" w:rsidRPr="00E95BC4" w:rsidRDefault="00934E82" w:rsidP="0023679E">
      <w:pPr>
        <w:ind w:firstLine="720"/>
        <w:jc w:val="both"/>
        <w:rPr>
          <w:b/>
          <w:iCs/>
          <w:lang w:val="sr-Cyrl-CS"/>
        </w:rPr>
      </w:pPr>
      <w:r>
        <w:rPr>
          <w:b/>
          <w:iCs/>
          <w:noProof/>
        </w:rPr>
        <w:pict>
          <v:shape id="Text Box 15" o:spid="_x0000_s1028" type="#_x0000_t202" style="position:absolute;left:0;text-align:left;margin-left:-1.5pt;margin-top:10.1pt;width:165.75pt;height:121.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" fillcolor="#a5a5a5 [2092]" stroked="f" strokecolor="#f2f2f2 [3041]" strokeweight="3pt">
            <v:shadow color="#7f7f7f [1601]" opacity=".5" offset="1pt"/>
            <v:textbox>
              <w:txbxContent>
                <w:p w:rsidR="00E902D8" w:rsidRPr="00C21C2C" w:rsidRDefault="00E902D8" w:rsidP="00367ABB">
                  <w:pPr>
                    <w:pStyle w:val="ListParagraph"/>
                    <w:numPr>
                      <w:ilvl w:val="0"/>
                      <w:numId w:val="9"/>
                    </w:numPr>
                    <w:ind w:left="284" w:hanging="284"/>
                    <w:rPr>
                      <w:b/>
                      <w:iCs/>
                      <w:color w:val="FFFFFF" w:themeColor="background1"/>
                      <w:sz w:val="20"/>
                      <w:szCs w:val="20"/>
                    </w:rPr>
                  </w:pPr>
                  <w:r w:rsidRPr="00C21C2C">
                    <w:rPr>
                      <w:b/>
                      <w:iCs/>
                      <w:color w:val="FFFFFF" w:themeColor="background1"/>
                      <w:sz w:val="20"/>
                      <w:szCs w:val="20"/>
                    </w:rPr>
                    <w:t xml:space="preserve">Закон међународним мерама ограничавања </w:t>
                  </w:r>
                  <w:r w:rsidRPr="00C21C2C">
                    <w:rPr>
                      <w:iCs/>
                      <w:color w:val="FFFFFF" w:themeColor="background1"/>
                      <w:sz w:val="20"/>
                      <w:szCs w:val="20"/>
                    </w:rPr>
                    <w:t>(„Службени гласник РС”</w:t>
                  </w:r>
                  <w:r>
                    <w:rPr>
                      <w:iCs/>
                      <w:color w:val="FFFFFF" w:themeColor="background1"/>
                      <w:sz w:val="20"/>
                      <w:szCs w:val="20"/>
                      <w:lang/>
                    </w:rPr>
                    <w:t>,</w:t>
                  </w:r>
                  <w:r w:rsidRPr="00C21C2C">
                    <w:rPr>
                      <w:iCs/>
                      <w:color w:val="FFFFFF" w:themeColor="background1"/>
                      <w:sz w:val="20"/>
                      <w:szCs w:val="20"/>
                    </w:rPr>
                    <w:t xml:space="preserve"> број 10/16);</w:t>
                  </w:r>
                </w:p>
                <w:p w:rsidR="00E902D8" w:rsidRPr="00C21C2C" w:rsidRDefault="00E902D8" w:rsidP="00367ABB">
                  <w:pPr>
                    <w:pStyle w:val="ListParagraph"/>
                    <w:numPr>
                      <w:ilvl w:val="0"/>
                      <w:numId w:val="9"/>
                    </w:numPr>
                    <w:ind w:left="284" w:hanging="284"/>
                    <w:rPr>
                      <w:sz w:val="20"/>
                      <w:szCs w:val="20"/>
                    </w:rPr>
                  </w:pPr>
                  <w:r w:rsidRPr="00C21C2C">
                    <w:rPr>
                      <w:b/>
                      <w:iCs/>
                      <w:color w:val="FFFFFF" w:themeColor="background1"/>
                      <w:sz w:val="20"/>
                      <w:szCs w:val="20"/>
                    </w:rPr>
                    <w:t xml:space="preserve">Закон о ограничавању располагања имовином у циљу спречавања тероризма и ширења оружја за масовно уништење </w:t>
                  </w:r>
                  <w:r w:rsidRPr="00C21C2C">
                    <w:rPr>
                      <w:iCs/>
                      <w:color w:val="FFFFFF" w:themeColor="background1"/>
                      <w:sz w:val="20"/>
                      <w:szCs w:val="20"/>
                    </w:rPr>
                    <w:t>(„Службени гласник PC”, бр. 29/15, 113/17 и 41/18);</w:t>
                  </w:r>
                </w:p>
                <w:p w:rsidR="00E902D8" w:rsidRPr="00C21C2C" w:rsidRDefault="00E902D8" w:rsidP="00367ABB">
                  <w:pPr>
                    <w:ind w:left="284" w:hanging="284"/>
                    <w:rPr>
                      <w:color w:val="FFFFFF" w:themeColor="background1"/>
                      <w:sz w:val="20"/>
                      <w:szCs w:val="20"/>
                    </w:rPr>
                  </w:pPr>
                </w:p>
              </w:txbxContent>
            </v:textbox>
            <w10:wrap type="square"/>
          </v:shape>
        </w:pict>
      </w:r>
      <w:r w:rsidR="007F5C8D" w:rsidRPr="00E95BC4">
        <w:rPr>
          <w:b/>
          <w:iCs/>
          <w:lang w:val="sr-Cyrl-CS"/>
        </w:rPr>
        <w:t>Законом о међународним мерама ограничавања</w:t>
      </w:r>
      <w:r w:rsidR="007F5C8D" w:rsidRPr="00E95BC4">
        <w:rPr>
          <w:iCs/>
          <w:lang w:val="sr-Cyrl-CS"/>
        </w:rPr>
        <w:t xml:space="preserve"> </w:t>
      </w:r>
      <w:r w:rsidR="007F5C8D" w:rsidRPr="00E95BC4">
        <w:rPr>
          <w:lang w:val="sr-Cyrl-CS"/>
        </w:rPr>
        <w:t xml:space="preserve">прописује се поступак спровођења међународних мера ограничавања које Република Србија уводи, примењује или укида на основу правних аката донетих од стране Савета безбедности Уједињених нација, Организације за европску безбедност и сарадњу, других међународних организација чији је Република Србија члан, као и правних аката других међународних организација, када је то у спољнополитичком интересу Републике Србије. Чланом 2. овог закона прописано је </w:t>
      </w:r>
      <w:r w:rsidR="007F5C8D" w:rsidRPr="00E95BC4">
        <w:rPr>
          <w:lang w:val="sr-Cyrl-CS"/>
        </w:rPr>
        <w:lastRenderedPageBreak/>
        <w:t>да међународне мере ограничавања јесу мере које се примењују у циљу успостављања и очувања међународног мира и безбедности, поштовања међународног хуманитарног права, људских права и основних слобода и извршавања других међународних обавеза.</w:t>
      </w:r>
    </w:p>
    <w:p w:rsidR="007F5C8D" w:rsidRPr="00E95BC4" w:rsidRDefault="0064036A" w:rsidP="0064036A">
      <w:pPr>
        <w:pStyle w:val="Default"/>
        <w:ind w:firstLine="720"/>
        <w:jc w:val="both"/>
        <w:rPr>
          <w:rFonts w:ascii="Times New Roman" w:hAnsi="Times New Roman" w:cs="Times New Roman"/>
          <w:lang w:val="sr-Cyrl-CS"/>
        </w:rPr>
      </w:pPr>
      <w:r w:rsidRPr="00E95BC4">
        <w:rPr>
          <w:rFonts w:ascii="Times New Roman" w:hAnsi="Times New Roman" w:cs="Times New Roman"/>
          <w:b/>
          <w:iCs/>
          <w:lang w:val="sr-Cyrl-CS"/>
        </w:rPr>
        <w:t>Законом о ограничавању располагања имовином у циљу спречавања тероризма и ширења оружја за масовно уништење</w:t>
      </w:r>
      <w:r w:rsidRPr="00E95BC4">
        <w:rPr>
          <w:rFonts w:ascii="Times New Roman" w:hAnsi="Times New Roman" w:cs="Times New Roman"/>
          <w:b/>
          <w:iCs/>
          <w:color w:val="FFFFFF" w:themeColor="background1"/>
          <w:lang w:val="sr-Cyrl-CS"/>
        </w:rPr>
        <w:t xml:space="preserve"> </w:t>
      </w:r>
      <w:r w:rsidRPr="00E95BC4">
        <w:rPr>
          <w:rFonts w:ascii="Times New Roman" w:hAnsi="Times New Roman" w:cs="Times New Roman"/>
          <w:lang w:val="sr-Cyrl-CS"/>
        </w:rPr>
        <w:t>прописују</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се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у</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циљу</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спречавања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тероризма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ширења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оружја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за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масовно</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уништење</w:t>
      </w:r>
      <w:r w:rsidR="0023679E">
        <w:rPr>
          <w:rFonts w:ascii="Times New Roman" w:hAnsi="Times New Roman" w:cs="Times New Roman"/>
          <w:lang w:val="sr-Cyrl-CS"/>
        </w:rPr>
        <w:t>,</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радње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мере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за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ограничавање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располагања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имовином</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означених</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лица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надлежност</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државних</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органа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за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примену</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тих</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мера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као</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права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обавезе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физичких</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правних</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лица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у</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примени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одредаба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овог</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закона</w:t>
      </w:r>
      <w:r w:rsidR="009B6F9B" w:rsidRPr="00E95BC4">
        <w:rPr>
          <w:rFonts w:ascii="Times New Roman" w:hAnsi="Times New Roman" w:cs="Times New Roman"/>
          <w:lang w:val="sr-Cyrl-CS"/>
        </w:rPr>
        <w:t>. „</w:t>
      </w:r>
      <w:r w:rsidRPr="00E95BC4">
        <w:rPr>
          <w:rFonts w:ascii="Times New Roman" w:hAnsi="Times New Roman" w:cs="Times New Roman"/>
          <w:lang w:val="sr-Cyrl-CS"/>
        </w:rPr>
        <w:t>Ограничавање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располагања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имовином</w:t>
      </w:r>
      <w:r w:rsidR="009B6F9B" w:rsidRPr="00E95BC4">
        <w:rPr>
          <w:rFonts w:ascii="Times New Roman" w:hAnsi="Times New Roman" w:cs="Times New Roman"/>
          <w:lang w:val="sr-Cyrl-CS"/>
        </w:rPr>
        <w:t>”</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је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привремена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забрана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преноса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конверзије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располагања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премештања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имовине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или</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привремено</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управљање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том</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имовином</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на</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основу</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одлуке</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надлежног</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државног</w:t>
      </w:r>
      <w:r w:rsidR="007F5C8D" w:rsidRPr="00E95BC4">
        <w:rPr>
          <w:rFonts w:ascii="Times New Roman" w:hAnsi="Times New Roman" w:cs="Times New Roman"/>
          <w:lang w:val="sr-Cyrl-CS"/>
        </w:rPr>
        <w:t xml:space="preserve"> </w:t>
      </w:r>
      <w:r w:rsidRPr="00E95BC4">
        <w:rPr>
          <w:rFonts w:ascii="Times New Roman" w:hAnsi="Times New Roman" w:cs="Times New Roman"/>
          <w:lang w:val="sr-Cyrl-CS"/>
        </w:rPr>
        <w:t>органа</w:t>
      </w:r>
      <w:r w:rsidR="007F5C8D" w:rsidRPr="00E95BC4">
        <w:rPr>
          <w:rFonts w:ascii="Times New Roman" w:hAnsi="Times New Roman" w:cs="Times New Roman"/>
          <w:lang w:val="sr-Cyrl-CS"/>
        </w:rPr>
        <w:t>.</w:t>
      </w:r>
    </w:p>
    <w:p w:rsidR="007F5C8D" w:rsidRPr="00E95BC4" w:rsidRDefault="00934E82" w:rsidP="00236EB6">
      <w:pPr>
        <w:pStyle w:val="ListParagraph"/>
        <w:ind w:left="0" w:firstLine="720"/>
        <w:jc w:val="both"/>
        <w:rPr>
          <w:i/>
          <w:lang w:val="sr-Cyrl-CS"/>
        </w:rPr>
      </w:pPr>
      <w:r w:rsidRPr="00934E82">
        <w:rPr>
          <w:iCs/>
          <w:noProof/>
          <w:color w:val="auto"/>
        </w:rPr>
        <w:pict>
          <v:shape id="Text Box 17" o:spid="_x0000_s1029" type="#_x0000_t202" style="position:absolute;left:0;text-align:left;margin-left:1.85pt;margin-top:78pt;width:466.85pt;height:347.2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" fillcolor="#a5a5a5 [2092]" stroked="f" strokecolor="#f2f2f2 [3041]" strokeweight="3pt">
            <v:shadow color="#7f7f7f [1601]" opacity=".5" offset="1pt"/>
            <v:textbox>
              <w:txbxContent>
                <w:p w:rsidR="00E902D8" w:rsidRPr="00C21C2C" w:rsidRDefault="00E902D8" w:rsidP="001A18C8">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банкама („</w:t>
                  </w:r>
                  <w:r>
                    <w:rPr>
                      <w:iCs/>
                      <w:color w:val="FFFFFF" w:themeColor="background1"/>
                      <w:sz w:val="18"/>
                      <w:szCs w:val="18"/>
                    </w:rPr>
                    <w:t>Службени гласник РС”, бр. 107/05, 91/10 и 14/</w:t>
                  </w:r>
                  <w:r w:rsidRPr="00C21C2C">
                    <w:rPr>
                      <w:iCs/>
                      <w:color w:val="FFFFFF" w:themeColor="background1"/>
                      <w:sz w:val="18"/>
                      <w:szCs w:val="18"/>
                    </w:rPr>
                    <w:t>15);</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осигурању</w:t>
                  </w:r>
                  <w:r>
                    <w:rPr>
                      <w:iCs/>
                      <w:color w:val="FFFFFF" w:themeColor="background1"/>
                      <w:sz w:val="18"/>
                      <w:szCs w:val="18"/>
                    </w:rPr>
                    <w:t> („Службени гласник РС”, број 139/</w:t>
                  </w:r>
                  <w:r w:rsidRPr="00C21C2C">
                    <w:rPr>
                      <w:iCs/>
                      <w:color w:val="FFFFFF" w:themeColor="background1"/>
                      <w:sz w:val="18"/>
                      <w:szCs w:val="18"/>
                    </w:rPr>
                    <w:t>14);</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добровољним пензијским фондовима и пензијским плановима</w:t>
                  </w:r>
                  <w:r w:rsidRPr="00C21C2C">
                    <w:rPr>
                      <w:iCs/>
                      <w:color w:val="FFFFFF" w:themeColor="background1"/>
                      <w:sz w:val="18"/>
                      <w:szCs w:val="18"/>
                    </w:rPr>
                    <w:t xml:space="preserve"> („Службени гласни</w:t>
                  </w:r>
                  <w:r>
                    <w:rPr>
                      <w:iCs/>
                      <w:color w:val="FFFFFF" w:themeColor="background1"/>
                      <w:sz w:val="18"/>
                      <w:szCs w:val="18"/>
                    </w:rPr>
                    <w:t>к РС”, бр. 85/05, 31/</w:t>
                  </w:r>
                  <w:r w:rsidRPr="00C21C2C">
                    <w:rPr>
                      <w:iCs/>
                      <w:color w:val="FFFFFF" w:themeColor="background1"/>
                      <w:sz w:val="18"/>
                      <w:szCs w:val="18"/>
                    </w:rPr>
                    <w:t>11);</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финансијском лизингу</w:t>
                  </w:r>
                  <w:r w:rsidRPr="00C21C2C">
                    <w:rPr>
                      <w:color w:val="FFFFFF" w:themeColor="background1"/>
                      <w:sz w:val="18"/>
                      <w:szCs w:val="18"/>
                    </w:rPr>
                    <w:t xml:space="preserve"> </w:t>
                  </w:r>
                  <w:r w:rsidRPr="00C21C2C">
                    <w:rPr>
                      <w:iCs/>
                      <w:color w:val="FFFFFF" w:themeColor="background1"/>
                      <w:sz w:val="18"/>
                      <w:szCs w:val="18"/>
                    </w:rPr>
                    <w:t>(</w:t>
                  </w:r>
                  <w:r>
                    <w:rPr>
                      <w:iCs/>
                      <w:color w:val="FFFFFF" w:themeColor="background1"/>
                      <w:sz w:val="18"/>
                      <w:szCs w:val="18"/>
                    </w:rPr>
                    <w:t>„Службени гласник РС”, бр. 55/03, 61/05, 31/11, 99/11-др. закон и 99/11-</w:t>
                  </w:r>
                  <w:r w:rsidRPr="00C21C2C">
                    <w:rPr>
                      <w:iCs/>
                      <w:color w:val="FFFFFF" w:themeColor="background1"/>
                      <w:sz w:val="18"/>
                      <w:szCs w:val="18"/>
                    </w:rPr>
                    <w:t>др. закон);</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платним услугама</w:t>
                  </w:r>
                  <w:r w:rsidRPr="00C21C2C">
                    <w:rPr>
                      <w:iCs/>
                      <w:color w:val="FFFFFF" w:themeColor="background1"/>
                      <w:sz w:val="18"/>
                      <w:szCs w:val="18"/>
                    </w:rPr>
                    <w:t xml:space="preserve"> („</w:t>
                  </w:r>
                  <w:r>
                    <w:rPr>
                      <w:iCs/>
                      <w:color w:val="FFFFFF" w:themeColor="background1"/>
                      <w:sz w:val="18"/>
                      <w:szCs w:val="18"/>
                    </w:rPr>
                    <w:t>Службени гласник РС”, бр. 139/14 и 44/</w:t>
                  </w:r>
                  <w:r w:rsidRPr="00C21C2C">
                    <w:rPr>
                      <w:iCs/>
                      <w:color w:val="FFFFFF" w:themeColor="background1"/>
                      <w:sz w:val="18"/>
                      <w:szCs w:val="18"/>
                    </w:rPr>
                    <w:t>18);</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платном промету</w:t>
                  </w:r>
                  <w:r w:rsidRPr="00C21C2C">
                    <w:rPr>
                      <w:iCs/>
                      <w:color w:val="FFFFFF" w:themeColor="background1"/>
                      <w:sz w:val="18"/>
                      <w:szCs w:val="18"/>
                    </w:rPr>
                    <w:t xml:space="preserve"> </w:t>
                  </w:r>
                  <w:r>
                    <w:rPr>
                      <w:iCs/>
                      <w:color w:val="FFFFFF" w:themeColor="background1"/>
                      <w:sz w:val="18"/>
                      <w:szCs w:val="18"/>
                    </w:rPr>
                    <w:t>(„Службени лист СРЈ”, број 3/</w:t>
                  </w:r>
                  <w:r w:rsidRPr="00C21C2C">
                    <w:rPr>
                      <w:iCs/>
                      <w:color w:val="FFFFFF" w:themeColor="background1"/>
                      <w:sz w:val="18"/>
                      <w:szCs w:val="18"/>
                    </w:rPr>
                    <w:t>02,</w:t>
                  </w:r>
                  <w:r>
                    <w:rPr>
                      <w:iCs/>
                      <w:color w:val="FFFFFF" w:themeColor="background1"/>
                      <w:sz w:val="18"/>
                      <w:szCs w:val="18"/>
                    </w:rPr>
                    <w:t xml:space="preserve"> „Службени гласник РС”, бр. 5/03, 43/04, 62/06, 111/09 – др. закон, 31/11 и 139/</w:t>
                  </w:r>
                  <w:r w:rsidRPr="00C21C2C">
                    <w:rPr>
                      <w:iCs/>
                      <w:color w:val="FFFFFF" w:themeColor="background1"/>
                      <w:sz w:val="18"/>
                      <w:szCs w:val="18"/>
                    </w:rPr>
                    <w:t>14 – др. закон);</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девизном пословању</w:t>
                  </w:r>
                  <w:r w:rsidRPr="00C21C2C">
                    <w:rPr>
                      <w:iCs/>
                      <w:color w:val="FFFFFF" w:themeColor="background1"/>
                      <w:sz w:val="18"/>
                      <w:szCs w:val="18"/>
                    </w:rPr>
                    <w:t> (</w:t>
                  </w:r>
                  <w:r>
                    <w:rPr>
                      <w:iCs/>
                      <w:color w:val="FFFFFF" w:themeColor="background1"/>
                      <w:sz w:val="18"/>
                      <w:szCs w:val="18"/>
                    </w:rPr>
                    <w:t>„Службени гласник РС”, бр. 62/06, 31/11, 119/12, 139/14 и 30/</w:t>
                  </w:r>
                  <w:r w:rsidRPr="00C21C2C">
                    <w:rPr>
                      <w:iCs/>
                      <w:color w:val="FFFFFF" w:themeColor="background1"/>
                      <w:sz w:val="18"/>
                      <w:szCs w:val="18"/>
                    </w:rPr>
                    <w:t>18);</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рачуноводству</w:t>
                  </w:r>
                  <w:r w:rsidRPr="00C21C2C">
                    <w:rPr>
                      <w:iCs/>
                      <w:color w:val="FFFFFF" w:themeColor="background1"/>
                      <w:sz w:val="18"/>
                      <w:szCs w:val="18"/>
                    </w:rPr>
                    <w:t xml:space="preserve"> (</w:t>
                  </w:r>
                  <w:r>
                    <w:rPr>
                      <w:iCs/>
                      <w:color w:val="FFFFFF" w:themeColor="background1"/>
                      <w:sz w:val="18"/>
                      <w:szCs w:val="18"/>
                    </w:rPr>
                    <w:t>„Службени гласник РС”, број 73/</w:t>
                  </w:r>
                  <w:r w:rsidRPr="00C21C2C">
                    <w:rPr>
                      <w:iCs/>
                      <w:color w:val="FFFFFF" w:themeColor="background1"/>
                      <w:sz w:val="18"/>
                      <w:szCs w:val="18"/>
                    </w:rPr>
                    <w:t>19);</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ревизији</w:t>
                  </w:r>
                  <w:r>
                    <w:rPr>
                      <w:iCs/>
                      <w:color w:val="FFFFFF" w:themeColor="background1"/>
                      <w:sz w:val="18"/>
                      <w:szCs w:val="18"/>
                    </w:rPr>
                    <w:t>, („Службени гласник РС”, број</w:t>
                  </w:r>
                  <w:r>
                    <w:rPr>
                      <w:iCs/>
                      <w:color w:val="FFFFFF" w:themeColor="background1"/>
                      <w:sz w:val="18"/>
                      <w:szCs w:val="18"/>
                      <w:lang/>
                    </w:rPr>
                    <w:t xml:space="preserve"> </w:t>
                  </w:r>
                  <w:r>
                    <w:rPr>
                      <w:iCs/>
                      <w:color w:val="FFFFFF" w:themeColor="background1"/>
                      <w:sz w:val="18"/>
                      <w:szCs w:val="18"/>
                    </w:rPr>
                    <w:t>73/</w:t>
                  </w:r>
                  <w:r w:rsidRPr="00C21C2C">
                    <w:rPr>
                      <w:iCs/>
                      <w:color w:val="FFFFFF" w:themeColor="background1"/>
                      <w:sz w:val="18"/>
                      <w:szCs w:val="18"/>
                    </w:rPr>
                    <w:t>19);</w:t>
                  </w:r>
                </w:p>
                <w:p w:rsidR="00E902D8" w:rsidRPr="00C21C2C" w:rsidRDefault="00E902D8" w:rsidP="00FA5629">
                  <w:pPr>
                    <w:pStyle w:val="ListParagraph"/>
                    <w:numPr>
                      <w:ilvl w:val="0"/>
                      <w:numId w:val="9"/>
                    </w:numPr>
                    <w:ind w:left="284" w:hanging="284"/>
                    <w:rPr>
                      <w:iCs/>
                      <w:color w:val="FFFFFF" w:themeColor="background1"/>
                      <w:sz w:val="18"/>
                      <w:szCs w:val="18"/>
                    </w:rPr>
                  </w:pPr>
                  <w:r w:rsidRPr="005056EA">
                    <w:rPr>
                      <w:b/>
                      <w:iCs/>
                      <w:color w:val="FFFFFF" w:themeColor="background1"/>
                      <w:sz w:val="18"/>
                      <w:szCs w:val="18"/>
                    </w:rPr>
                    <w:t>Закон о играма на срећу</w:t>
                  </w:r>
                  <w:r>
                    <w:rPr>
                      <w:iCs/>
                      <w:color w:val="FFFFFF" w:themeColor="background1"/>
                      <w:sz w:val="18"/>
                      <w:szCs w:val="18"/>
                    </w:rPr>
                    <w:t xml:space="preserve"> („Службени гласник РС”, бр. 88/11, 93/12 - др. закон, 30/18, 95/18 и 91/</w:t>
                  </w:r>
                  <w:r w:rsidRPr="00C21C2C">
                    <w:rPr>
                      <w:iCs/>
                      <w:color w:val="FFFFFF" w:themeColor="background1"/>
                      <w:sz w:val="18"/>
                      <w:szCs w:val="18"/>
                    </w:rPr>
                    <w:t>19);</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тржишту капитала</w:t>
                  </w:r>
                  <w:r w:rsidRPr="00C21C2C">
                    <w:rPr>
                      <w:iCs/>
                      <w:color w:val="FFFFFF" w:themeColor="background1"/>
                      <w:sz w:val="18"/>
                      <w:szCs w:val="18"/>
                    </w:rPr>
                    <w:t xml:space="preserve"> („Службени гласник </w:t>
                  </w:r>
                  <w:r>
                    <w:rPr>
                      <w:iCs/>
                      <w:color w:val="FFFFFF" w:themeColor="background1"/>
                      <w:sz w:val="18"/>
                      <w:szCs w:val="18"/>
                    </w:rPr>
                    <w:t>РС”, бр. 31/11, 112/15, 108/16 и 9/</w:t>
                  </w:r>
                  <w:r w:rsidRPr="00C21C2C">
                    <w:rPr>
                      <w:iCs/>
                      <w:color w:val="FFFFFF" w:themeColor="background1"/>
                      <w:sz w:val="18"/>
                      <w:szCs w:val="18"/>
                    </w:rPr>
                    <w:t>20)</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iCs/>
                      <w:color w:val="FFFFFF" w:themeColor="background1"/>
                      <w:sz w:val="18"/>
                      <w:szCs w:val="18"/>
                    </w:rPr>
                    <w:t>За</w:t>
                  </w:r>
                  <w:r w:rsidRPr="00C21C2C">
                    <w:rPr>
                      <w:b/>
                      <w:iCs/>
                      <w:color w:val="FFFFFF" w:themeColor="background1"/>
                      <w:sz w:val="18"/>
                      <w:szCs w:val="18"/>
                    </w:rPr>
                    <w:t xml:space="preserve">кон о обављању плаћања правних лица, предузетника и физичких лица која не обављају делатност </w:t>
                  </w:r>
                  <w:r>
                    <w:rPr>
                      <w:iCs/>
                      <w:color w:val="FFFFFF" w:themeColor="background1"/>
                      <w:sz w:val="18"/>
                      <w:szCs w:val="18"/>
                    </w:rPr>
                    <w:t>(„Службени гласник РС”, број 68/</w:t>
                  </w:r>
                  <w:r w:rsidRPr="00C21C2C">
                    <w:rPr>
                      <w:iCs/>
                      <w:color w:val="FFFFFF" w:themeColor="background1"/>
                      <w:sz w:val="18"/>
                      <w:szCs w:val="18"/>
                    </w:rPr>
                    <w:t>15);</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преузимању акционарских друштава</w:t>
                  </w:r>
                  <w:r w:rsidRPr="00C21C2C">
                    <w:rPr>
                      <w:iCs/>
                      <w:color w:val="FFFFFF" w:themeColor="background1"/>
                      <w:sz w:val="18"/>
                      <w:szCs w:val="18"/>
                    </w:rPr>
                    <w:t xml:space="preserve"> (</w:t>
                  </w:r>
                  <w:r>
                    <w:rPr>
                      <w:iCs/>
                      <w:color w:val="FFFFFF" w:themeColor="background1"/>
                      <w:sz w:val="18"/>
                      <w:szCs w:val="18"/>
                    </w:rPr>
                    <w:t>„Службени гласник PC”, бр. 46/</w:t>
                  </w:r>
                  <w:r w:rsidRPr="00C21C2C">
                    <w:rPr>
                      <w:iCs/>
                      <w:color w:val="FFFFFF" w:themeColor="background1"/>
                      <w:sz w:val="18"/>
                      <w:szCs w:val="18"/>
                    </w:rPr>
                    <w:t>06</w:t>
                  </w:r>
                  <w:r>
                    <w:rPr>
                      <w:iCs/>
                      <w:color w:val="FFFFFF" w:themeColor="background1"/>
                      <w:sz w:val="18"/>
                      <w:szCs w:val="18"/>
                    </w:rPr>
                    <w:t>, 107/09, 99/11 и 108/</w:t>
                  </w:r>
                  <w:r w:rsidRPr="00C21C2C">
                    <w:rPr>
                      <w:iCs/>
                      <w:color w:val="FFFFFF" w:themeColor="background1"/>
                      <w:sz w:val="18"/>
                      <w:szCs w:val="18"/>
                    </w:rPr>
                    <w:t>16);</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инвестиционим фондовима</w:t>
                  </w:r>
                  <w:r w:rsidRPr="00C21C2C">
                    <w:rPr>
                      <w:iCs/>
                      <w:color w:val="FFFFFF" w:themeColor="background1"/>
                      <w:sz w:val="18"/>
                      <w:szCs w:val="18"/>
                    </w:rPr>
                    <w:t xml:space="preserve"> (</w:t>
                  </w:r>
                  <w:r>
                    <w:rPr>
                      <w:iCs/>
                      <w:color w:val="FFFFFF" w:themeColor="background1"/>
                      <w:sz w:val="18"/>
                      <w:szCs w:val="18"/>
                    </w:rPr>
                    <w:t>„Службени гласник PC”, бр. 46/06, 51/09, 31/11 и 115/</w:t>
                  </w:r>
                  <w:r w:rsidRPr="00C21C2C">
                    <w:rPr>
                      <w:iCs/>
                      <w:color w:val="FFFFFF" w:themeColor="background1"/>
                      <w:sz w:val="18"/>
                      <w:szCs w:val="18"/>
                    </w:rPr>
                    <w:t>14);</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алтернативним инвестиционим фондовима</w:t>
                  </w:r>
                  <w:r w:rsidRPr="00C21C2C">
                    <w:rPr>
                      <w:iCs/>
                      <w:color w:val="FFFFFF" w:themeColor="background1"/>
                      <w:sz w:val="18"/>
                      <w:szCs w:val="18"/>
                    </w:rPr>
                    <w:t xml:space="preserve"> („</w:t>
                  </w:r>
                  <w:r>
                    <w:rPr>
                      <w:iCs/>
                      <w:color w:val="FFFFFF" w:themeColor="background1"/>
                      <w:sz w:val="18"/>
                      <w:szCs w:val="18"/>
                    </w:rPr>
                    <w:t>Службени гласник РС”, број 73/</w:t>
                  </w:r>
                  <w:r w:rsidRPr="00C21C2C">
                    <w:rPr>
                      <w:iCs/>
                      <w:color w:val="FFFFFF" w:themeColor="background1"/>
                      <w:sz w:val="18"/>
                      <w:szCs w:val="18"/>
                    </w:rPr>
                    <w:t>19) у примени од априла 2020;</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отвореним инвестиционим фондовима са јавном понудом</w:t>
                  </w:r>
                  <w:r w:rsidRPr="00C21C2C">
                    <w:rPr>
                      <w:iCs/>
                      <w:color w:val="FFFFFF" w:themeColor="background1"/>
                      <w:sz w:val="18"/>
                      <w:szCs w:val="18"/>
                    </w:rPr>
                    <w:t xml:space="preserve"> (</w:t>
                  </w:r>
                  <w:r>
                    <w:rPr>
                      <w:iCs/>
                      <w:color w:val="FFFFFF" w:themeColor="background1"/>
                      <w:sz w:val="18"/>
                      <w:szCs w:val="18"/>
                    </w:rPr>
                    <w:t>„Службени гласник РС”, бр</w:t>
                  </w:r>
                  <w:r>
                    <w:rPr>
                      <w:iCs/>
                      <w:color w:val="FFFFFF" w:themeColor="background1"/>
                      <w:sz w:val="18"/>
                      <w:szCs w:val="18"/>
                      <w:lang/>
                    </w:rPr>
                    <w:t>ој</w:t>
                  </w:r>
                  <w:r>
                    <w:rPr>
                      <w:iCs/>
                      <w:color w:val="FFFFFF" w:themeColor="background1"/>
                      <w:sz w:val="18"/>
                      <w:szCs w:val="18"/>
                    </w:rPr>
                    <w:t xml:space="preserve"> 73/19)</w:t>
                  </w:r>
                  <w:r w:rsidRPr="00C21C2C">
                    <w:rPr>
                      <w:iCs/>
                      <w:color w:val="FFFFFF" w:themeColor="background1"/>
                      <w:sz w:val="18"/>
                      <w:szCs w:val="18"/>
                    </w:rPr>
                    <w:t xml:space="preserve"> у примени од априла 2020;</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пореском поступку и пореској администрацији</w:t>
                  </w:r>
                  <w:r w:rsidRPr="00C21C2C">
                    <w:rPr>
                      <w:iCs/>
                      <w:color w:val="FFFFFF" w:themeColor="background1"/>
                      <w:sz w:val="18"/>
                      <w:szCs w:val="18"/>
                    </w:rPr>
                    <w:t xml:space="preserve"> (</w:t>
                  </w:r>
                  <w:r>
                    <w:rPr>
                      <w:iCs/>
                      <w:color w:val="FFFFFF" w:themeColor="background1"/>
                      <w:sz w:val="18"/>
                      <w:szCs w:val="18"/>
                    </w:rPr>
                    <w:t>„Службени гласник РС”, бр. 80/02, 84/</w:t>
                  </w:r>
                  <w:r w:rsidRPr="00C21C2C">
                    <w:rPr>
                      <w:iCs/>
                      <w:color w:val="FFFFFF" w:themeColor="background1"/>
                      <w:sz w:val="18"/>
                      <w:szCs w:val="18"/>
                    </w:rPr>
                    <w:t>02</w:t>
                  </w:r>
                  <w:r>
                    <w:rPr>
                      <w:iCs/>
                      <w:color w:val="FFFFFF" w:themeColor="background1"/>
                      <w:sz w:val="18"/>
                      <w:szCs w:val="18"/>
                    </w:rPr>
                    <w:t xml:space="preserve"> - испр</w:t>
                  </w:r>
                  <w:r>
                    <w:rPr>
                      <w:iCs/>
                      <w:color w:val="FFFFFF" w:themeColor="background1"/>
                      <w:sz w:val="18"/>
                      <w:szCs w:val="18"/>
                      <w:lang/>
                    </w:rPr>
                    <w:t>авка</w:t>
                  </w:r>
                  <w:r>
                    <w:rPr>
                      <w:iCs/>
                      <w:color w:val="FFFFFF" w:themeColor="background1"/>
                      <w:sz w:val="18"/>
                      <w:szCs w:val="18"/>
                    </w:rPr>
                    <w:t>, 23/03 - испр</w:t>
                  </w:r>
                  <w:r>
                    <w:rPr>
                      <w:iCs/>
                      <w:color w:val="FFFFFF" w:themeColor="background1"/>
                      <w:sz w:val="18"/>
                      <w:szCs w:val="18"/>
                      <w:lang/>
                    </w:rPr>
                    <w:t>авка</w:t>
                  </w:r>
                  <w:r>
                    <w:rPr>
                      <w:iCs/>
                      <w:color w:val="FFFFFF" w:themeColor="background1"/>
                      <w:sz w:val="18"/>
                      <w:szCs w:val="18"/>
                    </w:rPr>
                    <w:t>, 70/03, 55/04, 61/05, 85/05 - др. закон, 62/06 - др. закон, 63/06 - испр</w:t>
                  </w:r>
                  <w:r>
                    <w:rPr>
                      <w:iCs/>
                      <w:color w:val="FFFFFF" w:themeColor="background1"/>
                      <w:sz w:val="18"/>
                      <w:szCs w:val="18"/>
                      <w:lang/>
                    </w:rPr>
                    <w:t>авка</w:t>
                  </w:r>
                  <w:r>
                    <w:rPr>
                      <w:iCs/>
                      <w:color w:val="FFFFFF" w:themeColor="background1"/>
                      <w:sz w:val="18"/>
                      <w:szCs w:val="18"/>
                    </w:rPr>
                    <w:t xml:space="preserve"> др. закона, 61/07, 20/09, 72/09 – др. закон, 53/10, 101/11, 2/12 - испр</w:t>
                  </w:r>
                  <w:r>
                    <w:rPr>
                      <w:iCs/>
                      <w:color w:val="FFFFFF" w:themeColor="background1"/>
                      <w:sz w:val="18"/>
                      <w:szCs w:val="18"/>
                      <w:lang/>
                    </w:rPr>
                    <w:t>авка</w:t>
                  </w:r>
                  <w:r>
                    <w:rPr>
                      <w:iCs/>
                      <w:color w:val="FFFFFF" w:themeColor="background1"/>
                      <w:sz w:val="18"/>
                      <w:szCs w:val="18"/>
                    </w:rPr>
                    <w:t>, 93/12, 47/13, 108/13, 68/14, 105/14, 91/15 – аутентично тумачење, 112/15, 15/16, 108/</w:t>
                  </w:r>
                  <w:r w:rsidRPr="00C21C2C">
                    <w:rPr>
                      <w:iCs/>
                      <w:color w:val="FFFFFF" w:themeColor="background1"/>
                      <w:sz w:val="18"/>
                      <w:szCs w:val="18"/>
                    </w:rPr>
                    <w:t>16, 3</w:t>
                  </w:r>
                  <w:r>
                    <w:rPr>
                      <w:iCs/>
                      <w:color w:val="FFFFFF" w:themeColor="background1"/>
                      <w:sz w:val="18"/>
                      <w:szCs w:val="18"/>
                    </w:rPr>
                    <w:t>0/18, 95/18 и 86/</w:t>
                  </w:r>
                  <w:r w:rsidRPr="00C21C2C">
                    <w:rPr>
                      <w:iCs/>
                      <w:color w:val="FFFFFF" w:themeColor="background1"/>
                      <w:sz w:val="18"/>
                      <w:szCs w:val="18"/>
                    </w:rPr>
                    <w:t>19);</w:t>
                  </w:r>
                </w:p>
                <w:p w:rsidR="00E902D8" w:rsidRPr="00C21C2C" w:rsidRDefault="00E902D8" w:rsidP="008E4671">
                  <w:pPr>
                    <w:pStyle w:val="ListParagraph"/>
                    <w:numPr>
                      <w:ilvl w:val="0"/>
                      <w:numId w:val="9"/>
                    </w:numPr>
                    <w:ind w:left="284" w:hanging="284"/>
                    <w:rPr>
                      <w:iCs/>
                      <w:color w:val="FFFFFF" w:themeColor="background1"/>
                      <w:sz w:val="18"/>
                      <w:szCs w:val="18"/>
                    </w:rPr>
                  </w:pPr>
                  <w:bookmarkStart w:id="2" w:name="_Hlk32242770"/>
                  <w:r w:rsidRPr="003D6E69">
                    <w:rPr>
                      <w:b/>
                      <w:iCs/>
                      <w:color w:val="FFFFFF" w:themeColor="background1"/>
                      <w:sz w:val="18"/>
                      <w:szCs w:val="18"/>
                    </w:rPr>
                    <w:t>Закон о поштанским услугама</w:t>
                  </w:r>
                  <w:r>
                    <w:rPr>
                      <w:iCs/>
                      <w:color w:val="FFFFFF" w:themeColor="background1"/>
                      <w:sz w:val="18"/>
                      <w:szCs w:val="18"/>
                    </w:rPr>
                    <w:t xml:space="preserve"> („Службени гласник РС”, број 77/</w:t>
                  </w:r>
                  <w:r w:rsidRPr="00C21C2C">
                    <w:rPr>
                      <w:iCs/>
                      <w:color w:val="FFFFFF" w:themeColor="background1"/>
                      <w:sz w:val="18"/>
                      <w:szCs w:val="18"/>
                    </w:rPr>
                    <w:t>19);</w:t>
                  </w:r>
                </w:p>
                <w:bookmarkEnd w:id="2"/>
                <w:p w:rsidR="00E902D8" w:rsidRPr="00C21C2C" w:rsidRDefault="00E902D8" w:rsidP="000B0BBF">
                  <w:pPr>
                    <w:pStyle w:val="ListParagraph"/>
                    <w:numPr>
                      <w:ilvl w:val="0"/>
                      <w:numId w:val="9"/>
                    </w:numPr>
                    <w:ind w:left="284" w:hanging="284"/>
                    <w:rPr>
                      <w:iCs/>
                      <w:color w:val="FFFFFF" w:themeColor="background1"/>
                      <w:sz w:val="18"/>
                      <w:szCs w:val="18"/>
                    </w:rPr>
                  </w:pPr>
                  <w:r w:rsidRPr="003D6E69">
                    <w:rPr>
                      <w:b/>
                      <w:iCs/>
                      <w:color w:val="FFFFFF" w:themeColor="background1"/>
                      <w:sz w:val="18"/>
                      <w:szCs w:val="18"/>
                    </w:rPr>
                    <w:t>Закон о посредовању у промету и закупу непокретности</w:t>
                  </w:r>
                  <w:r w:rsidRPr="00C21C2C">
                    <w:rPr>
                      <w:iCs/>
                      <w:color w:val="FFFFFF" w:themeColor="background1"/>
                      <w:sz w:val="18"/>
                      <w:szCs w:val="18"/>
                    </w:rPr>
                    <w:t xml:space="preserve"> („Службени гласник РС</w:t>
                  </w:r>
                  <w:r>
                    <w:rPr>
                      <w:iCs/>
                      <w:color w:val="FFFFFF" w:themeColor="background1"/>
                      <w:sz w:val="18"/>
                      <w:szCs w:val="18"/>
                    </w:rPr>
                    <w:t>”, бр.</w:t>
                  </w:r>
                  <w:r w:rsidRPr="00C21C2C">
                    <w:rPr>
                      <w:sz w:val="18"/>
                      <w:szCs w:val="18"/>
                    </w:rPr>
                    <w:t xml:space="preserve"> </w:t>
                  </w:r>
                  <w:r>
                    <w:rPr>
                      <w:iCs/>
                      <w:color w:val="FFFFFF" w:themeColor="background1"/>
                      <w:sz w:val="18"/>
                      <w:szCs w:val="18"/>
                    </w:rPr>
                    <w:t>95/13, 41/18 и 91/</w:t>
                  </w:r>
                  <w:r w:rsidRPr="00C21C2C">
                    <w:rPr>
                      <w:iCs/>
                      <w:color w:val="FFFFFF" w:themeColor="background1"/>
                      <w:sz w:val="18"/>
                      <w:szCs w:val="18"/>
                    </w:rPr>
                    <w:t>19);</w:t>
                  </w:r>
                </w:p>
                <w:p w:rsidR="00E902D8" w:rsidRPr="00C21C2C" w:rsidRDefault="00E902D8" w:rsidP="001A18C8">
                  <w:pPr>
                    <w:ind w:left="426" w:hanging="284"/>
                    <w:rPr>
                      <w:color w:val="FFFFFF" w:themeColor="background1"/>
                      <w:sz w:val="18"/>
                      <w:szCs w:val="18"/>
                    </w:rPr>
                  </w:pPr>
                </w:p>
              </w:txbxContent>
            </v:textbox>
            <w10:wrap type="square"/>
          </v:shape>
        </w:pict>
      </w:r>
      <w:r w:rsidR="001A18C8" w:rsidRPr="00E95BC4">
        <w:rPr>
          <w:lang w:val="sr-Cyrl-CS"/>
        </w:rPr>
        <w:t xml:space="preserve">У низу закона </w:t>
      </w:r>
      <w:r w:rsidR="00903B60" w:rsidRPr="00E95BC4">
        <w:rPr>
          <w:lang w:val="sr-Cyrl-CS"/>
        </w:rPr>
        <w:t xml:space="preserve">који се наводе у наставку </w:t>
      </w:r>
      <w:r w:rsidR="001A18C8" w:rsidRPr="00E95BC4">
        <w:rPr>
          <w:lang w:val="sr-Cyrl-CS"/>
        </w:rPr>
        <w:t>регулише се пословање обвезника по закону, било да су у финансијском или нефинансијском сектору и других субјеката. Нарочито, када је у питању, на пример, оснивање тих субјеката, ови закони и релевантни подзаконски акти, садрже одредбе о стандардима стручности и подобности</w:t>
      </w:r>
      <w:r w:rsidR="00903B60" w:rsidRPr="00E95BC4">
        <w:rPr>
          <w:lang w:val="sr-Cyrl-CS"/>
        </w:rPr>
        <w:t xml:space="preserve"> (енгл. </w:t>
      </w:r>
      <w:r w:rsidR="00903B60" w:rsidRPr="00E95BC4">
        <w:rPr>
          <w:i/>
          <w:lang w:val="sr-Cyrl-CS"/>
        </w:rPr>
        <w:t>fit and proper</w:t>
      </w:r>
      <w:r w:rsidR="00903B60" w:rsidRPr="00E95BC4">
        <w:rPr>
          <w:lang w:val="sr-Cyrl-CS"/>
        </w:rPr>
        <w:t>).</w:t>
      </w:r>
    </w:p>
    <w:p w:rsidR="0064036A" w:rsidRPr="00E95BC4" w:rsidRDefault="0064036A" w:rsidP="001A18C8">
      <w:pPr>
        <w:pStyle w:val="ListParagraph"/>
        <w:jc w:val="both"/>
        <w:rPr>
          <w:iCs/>
          <w:color w:val="auto"/>
          <w:lang w:val="sr-Cyrl-CS"/>
        </w:rPr>
      </w:pPr>
    </w:p>
    <w:p w:rsidR="00FA5629" w:rsidRPr="00E95BC4" w:rsidRDefault="00934E82" w:rsidP="00FA5629">
      <w:pPr>
        <w:ind w:firstLine="720"/>
        <w:jc w:val="both"/>
        <w:rPr>
          <w:color w:val="auto"/>
          <w:lang w:val="sr-Cyrl-CS"/>
        </w:rPr>
      </w:pPr>
      <w:r w:rsidRPr="00934E82">
        <w:rPr>
          <w:iCs/>
          <w:noProof/>
          <w:color w:val="auto"/>
        </w:rPr>
        <w:lastRenderedPageBreak/>
        <w:pict>
          <v:shape id="Text Box 16" o:spid="_x0000_s1030" type="#_x0000_t202" style="position:absolute;left:0;text-align:left;margin-left:1.85pt;margin-top:36.3pt;width:466.85pt;height:127.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" fillcolor="#a5a5a5 [2092]" stroked="f" strokecolor="#f2f2f2 [3041]" strokeweight="3pt">
            <v:shadow color="#7f7f7f [1601]" opacity=".5" offset="1pt"/>
            <v:textbox>
              <w:txbxContent>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инспекцијском надзору</w:t>
                  </w:r>
                  <w:r w:rsidRPr="00C21C2C">
                    <w:rPr>
                      <w:iCs/>
                      <w:color w:val="FFFFFF" w:themeColor="background1"/>
                      <w:sz w:val="18"/>
                      <w:szCs w:val="18"/>
                    </w:rPr>
                    <w:t xml:space="preserve"> („Службени гласник </w:t>
                  </w:r>
                  <w:r>
                    <w:rPr>
                      <w:iCs/>
                      <w:color w:val="FFFFFF" w:themeColor="background1"/>
                      <w:sz w:val="18"/>
                      <w:szCs w:val="18"/>
                    </w:rPr>
                    <w:t>РС</w:t>
                  </w:r>
                  <w:r w:rsidRPr="00C21C2C">
                    <w:rPr>
                      <w:color w:val="FFFFFF" w:themeColor="background1"/>
                      <w:kern w:val="0"/>
                      <w:sz w:val="18"/>
                      <w:szCs w:val="18"/>
                    </w:rPr>
                    <w:t>”</w:t>
                  </w:r>
                  <w:r>
                    <w:rPr>
                      <w:iCs/>
                      <w:color w:val="FFFFFF" w:themeColor="background1"/>
                      <w:sz w:val="18"/>
                      <w:szCs w:val="18"/>
                    </w:rPr>
                    <w:t xml:space="preserve"> бр. 36/15, 44/18 - др. закон и 95/</w:t>
                  </w:r>
                  <w:r w:rsidRPr="00C21C2C">
                    <w:rPr>
                      <w:iCs/>
                      <w:color w:val="FFFFFF" w:themeColor="background1"/>
                      <w:sz w:val="18"/>
                      <w:szCs w:val="18"/>
                    </w:rPr>
                    <w:t>18);</w:t>
                  </w:r>
                </w:p>
                <w:p w:rsidR="00E902D8" w:rsidRPr="00C21C2C" w:rsidRDefault="00E902D8" w:rsidP="00FA5629">
                  <w:pPr>
                    <w:pStyle w:val="ListParagraph"/>
                    <w:numPr>
                      <w:ilvl w:val="0"/>
                      <w:numId w:val="9"/>
                    </w:numPr>
                    <w:ind w:left="284" w:hanging="284"/>
                    <w:rPr>
                      <w:color w:val="FFFFFF" w:themeColor="background1"/>
                      <w:kern w:val="0"/>
                      <w:sz w:val="18"/>
                      <w:szCs w:val="18"/>
                    </w:rPr>
                  </w:pPr>
                  <w:r w:rsidRPr="00C21C2C">
                    <w:rPr>
                      <w:rFonts w:eastAsia="Times New Roman"/>
                      <w:b/>
                      <w:color w:val="FFFFFF" w:themeColor="background1"/>
                      <w:kern w:val="0"/>
                      <w:sz w:val="18"/>
                      <w:szCs w:val="18"/>
                    </w:rPr>
                    <w:t>Закон о Народној банци Србије</w:t>
                  </w:r>
                  <w:r w:rsidRPr="00C21C2C">
                    <w:rPr>
                      <w:rFonts w:eastAsia="Times New Roman"/>
                      <w:color w:val="FFFFFF" w:themeColor="background1"/>
                      <w:kern w:val="0"/>
                      <w:sz w:val="18"/>
                      <w:szCs w:val="18"/>
                    </w:rPr>
                    <w:t xml:space="preserve"> </w:t>
                  </w:r>
                  <w:r w:rsidRPr="00C21C2C">
                    <w:rPr>
                      <w:color w:val="FFFFFF" w:themeColor="background1"/>
                      <w:kern w:val="0"/>
                      <w:sz w:val="18"/>
                      <w:szCs w:val="18"/>
                    </w:rPr>
                    <w:t xml:space="preserve">(„Службени гласник PC”, бр. </w:t>
                  </w:r>
                  <w:r>
                    <w:rPr>
                      <w:bCs/>
                      <w:color w:val="FFFFFF" w:themeColor="background1"/>
                      <w:sz w:val="18"/>
                      <w:szCs w:val="18"/>
                    </w:rPr>
                    <w:t>72/03, 55/04, 85/05 - др. закон, 44/10, 76/12, 106/12, 14/15, 40/15</w:t>
                  </w:r>
                  <w:r>
                    <w:rPr>
                      <w:bCs/>
                      <w:color w:val="FFFFFF" w:themeColor="background1"/>
                      <w:sz w:val="18"/>
                      <w:szCs w:val="18"/>
                      <w:lang/>
                    </w:rPr>
                    <w:t xml:space="preserve"> </w:t>
                  </w:r>
                  <w:r>
                    <w:rPr>
                      <w:bCs/>
                      <w:color w:val="FFFFFF" w:themeColor="background1"/>
                      <w:sz w:val="18"/>
                      <w:szCs w:val="18"/>
                    </w:rPr>
                    <w:t>-</w:t>
                  </w:r>
                  <w:r>
                    <w:rPr>
                      <w:bCs/>
                      <w:color w:val="FFFFFF" w:themeColor="background1"/>
                      <w:sz w:val="18"/>
                      <w:szCs w:val="18"/>
                      <w:lang/>
                    </w:rPr>
                    <w:t xml:space="preserve"> </w:t>
                  </w:r>
                  <w:r>
                    <w:rPr>
                      <w:bCs/>
                      <w:color w:val="FFFFFF" w:themeColor="background1"/>
                      <w:sz w:val="18"/>
                      <w:szCs w:val="18"/>
                    </w:rPr>
                    <w:t>УС и 44/</w:t>
                  </w:r>
                  <w:r w:rsidRPr="00C21C2C">
                    <w:rPr>
                      <w:bCs/>
                      <w:color w:val="FFFFFF" w:themeColor="background1"/>
                      <w:sz w:val="18"/>
                      <w:szCs w:val="18"/>
                    </w:rPr>
                    <w:t>18</w:t>
                  </w:r>
                  <w:r w:rsidRPr="00C21C2C">
                    <w:rPr>
                      <w:color w:val="FFFFFF" w:themeColor="background1"/>
                      <w:kern w:val="0"/>
                      <w:sz w:val="18"/>
                      <w:szCs w:val="18"/>
                    </w:rPr>
                    <w:t>);</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Агенцији за борбу против корупције</w:t>
                  </w:r>
                  <w:r w:rsidRPr="00C21C2C">
                    <w:rPr>
                      <w:iCs/>
                      <w:color w:val="FFFFFF" w:themeColor="background1"/>
                      <w:sz w:val="18"/>
                      <w:szCs w:val="18"/>
                    </w:rPr>
                    <w:t xml:space="preserve"> (</w:t>
                  </w:r>
                  <w:r>
                    <w:rPr>
                      <w:iCs/>
                      <w:color w:val="FFFFFF" w:themeColor="background1"/>
                      <w:sz w:val="18"/>
                      <w:szCs w:val="18"/>
                    </w:rPr>
                    <w:t xml:space="preserve">„Службени гласник РС”, бр. 97/08, 53/10, 66/11 </w:t>
                  </w:r>
                  <w:r>
                    <w:rPr>
                      <w:iCs/>
                      <w:color w:val="FFFFFF" w:themeColor="background1"/>
                      <w:sz w:val="18"/>
                      <w:szCs w:val="18"/>
                      <w:lang/>
                    </w:rPr>
                    <w:t>-</w:t>
                  </w:r>
                  <w:r>
                    <w:rPr>
                      <w:iCs/>
                      <w:color w:val="FFFFFF" w:themeColor="background1"/>
                      <w:sz w:val="18"/>
                      <w:szCs w:val="18"/>
                    </w:rPr>
                    <w:t xml:space="preserve"> УС, 67/13 -</w:t>
                  </w:r>
                  <w:r>
                    <w:rPr>
                      <w:iCs/>
                      <w:color w:val="FFFFFF" w:themeColor="background1"/>
                      <w:sz w:val="18"/>
                      <w:szCs w:val="18"/>
                      <w:lang/>
                    </w:rPr>
                    <w:t xml:space="preserve"> </w:t>
                  </w:r>
                  <w:r>
                    <w:rPr>
                      <w:iCs/>
                      <w:color w:val="FFFFFF" w:themeColor="background1"/>
                      <w:sz w:val="18"/>
                      <w:szCs w:val="18"/>
                    </w:rPr>
                    <w:t>УС, 112/13 – аутентично тумачење и 8/15 –</w:t>
                  </w:r>
                  <w:r w:rsidRPr="00C21C2C">
                    <w:rPr>
                      <w:iCs/>
                      <w:color w:val="FFFFFF" w:themeColor="background1"/>
                      <w:sz w:val="18"/>
                      <w:szCs w:val="18"/>
                    </w:rPr>
                    <w:t>УС);</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спречавању корупције</w:t>
                  </w:r>
                  <w:r w:rsidRPr="00C21C2C">
                    <w:rPr>
                      <w:iCs/>
                      <w:color w:val="FFFFFF" w:themeColor="background1"/>
                      <w:sz w:val="18"/>
                      <w:szCs w:val="18"/>
                    </w:rPr>
                    <w:t xml:space="preserve"> („</w:t>
                  </w:r>
                  <w:r>
                    <w:rPr>
                      <w:iCs/>
                      <w:color w:val="FFFFFF" w:themeColor="background1"/>
                      <w:sz w:val="18"/>
                      <w:szCs w:val="18"/>
                    </w:rPr>
                    <w:t>Службени гласник РС</w:t>
                  </w:r>
                  <w:r w:rsidRPr="00C21C2C">
                    <w:rPr>
                      <w:color w:val="FFFFFF" w:themeColor="background1"/>
                      <w:kern w:val="0"/>
                      <w:sz w:val="18"/>
                      <w:szCs w:val="18"/>
                    </w:rPr>
                    <w:t>”</w:t>
                  </w:r>
                  <w:r>
                    <w:rPr>
                      <w:iCs/>
                      <w:color w:val="FFFFFF" w:themeColor="background1"/>
                      <w:sz w:val="18"/>
                      <w:szCs w:val="18"/>
                    </w:rPr>
                    <w:t>, број 35/</w:t>
                  </w:r>
                  <w:r w:rsidRPr="00C21C2C">
                    <w:rPr>
                      <w:iCs/>
                      <w:color w:val="FFFFFF" w:themeColor="background1"/>
                      <w:sz w:val="18"/>
                      <w:szCs w:val="18"/>
                    </w:rPr>
                    <w:t>19)</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удружењима</w:t>
                  </w:r>
                  <w:r w:rsidRPr="00C21C2C">
                    <w:rPr>
                      <w:iCs/>
                      <w:color w:val="FFFFFF" w:themeColor="background1"/>
                      <w:sz w:val="18"/>
                      <w:szCs w:val="18"/>
                    </w:rPr>
                    <w:t xml:space="preserve"> („Службени гласник РС</w:t>
                  </w:r>
                  <w:r>
                    <w:rPr>
                      <w:iCs/>
                      <w:color w:val="FFFFFF" w:themeColor="background1"/>
                      <w:sz w:val="18"/>
                      <w:szCs w:val="18"/>
                    </w:rPr>
                    <w:t>”</w:t>
                  </w:r>
                  <w:r w:rsidRPr="00C21C2C">
                    <w:rPr>
                      <w:iCs/>
                      <w:color w:val="FFFFFF" w:themeColor="background1"/>
                      <w:sz w:val="18"/>
                      <w:szCs w:val="18"/>
                    </w:rPr>
                    <w:t xml:space="preserve">, </w:t>
                  </w:r>
                  <w:r>
                    <w:rPr>
                      <w:iCs/>
                      <w:color w:val="FFFFFF" w:themeColor="background1"/>
                      <w:sz w:val="18"/>
                      <w:szCs w:val="18"/>
                    </w:rPr>
                    <w:t>бр. 51/09, 99/11 - др. закони и 44/</w:t>
                  </w:r>
                  <w:r w:rsidRPr="00C21C2C">
                    <w:rPr>
                      <w:iCs/>
                      <w:color w:val="FFFFFF" w:themeColor="background1"/>
                      <w:sz w:val="18"/>
                      <w:szCs w:val="18"/>
                    </w:rPr>
                    <w:t>18 - др. закон);</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задужбинама и фондацијама</w:t>
                  </w:r>
                  <w:r>
                    <w:rPr>
                      <w:iCs/>
                      <w:color w:val="FFFFFF" w:themeColor="background1"/>
                      <w:sz w:val="18"/>
                      <w:szCs w:val="18"/>
                    </w:rPr>
                    <w:t xml:space="preserve"> („Службени гласник РС”, бр. 88/10, 99/11 - др. закон и 44/</w:t>
                  </w:r>
                  <w:r w:rsidRPr="00C21C2C">
                    <w:rPr>
                      <w:iCs/>
                      <w:color w:val="FFFFFF" w:themeColor="background1"/>
                      <w:sz w:val="18"/>
                      <w:szCs w:val="18"/>
                    </w:rPr>
                    <w:t>18 - др. закон)</w:t>
                  </w:r>
                </w:p>
                <w:p w:rsidR="00E902D8" w:rsidRPr="00C21C2C" w:rsidRDefault="00E902D8" w:rsidP="00FA5629">
                  <w:pPr>
                    <w:pStyle w:val="ListParagraph"/>
                    <w:numPr>
                      <w:ilvl w:val="0"/>
                      <w:numId w:val="9"/>
                    </w:numPr>
                    <w:ind w:left="284" w:hanging="284"/>
                    <w:rPr>
                      <w:iCs/>
                      <w:color w:val="FFFFFF" w:themeColor="background1"/>
                      <w:sz w:val="18"/>
                      <w:szCs w:val="18"/>
                    </w:rPr>
                  </w:pPr>
                  <w:r w:rsidRPr="00C21C2C">
                    <w:rPr>
                      <w:b/>
                      <w:iCs/>
                      <w:color w:val="FFFFFF" w:themeColor="background1"/>
                      <w:sz w:val="18"/>
                      <w:szCs w:val="18"/>
                    </w:rPr>
                    <w:t>Закон о централној евиденцији стварних власника</w:t>
                  </w:r>
                  <w:r>
                    <w:rPr>
                      <w:iCs/>
                      <w:color w:val="FFFFFF" w:themeColor="background1"/>
                      <w:sz w:val="18"/>
                      <w:szCs w:val="18"/>
                    </w:rPr>
                    <w:t xml:space="preserve"> („Службени гласник РС”, бр.</w:t>
                  </w:r>
                  <w:r w:rsidRPr="00C21C2C">
                    <w:rPr>
                      <w:iCs/>
                      <w:color w:val="FFFFFF" w:themeColor="background1"/>
                      <w:sz w:val="18"/>
                      <w:szCs w:val="18"/>
                    </w:rPr>
                    <w:t xml:space="preserve"> 41/18 и 91/19).</w:t>
                  </w:r>
                </w:p>
                <w:p w:rsidR="00E902D8" w:rsidRPr="00C21C2C" w:rsidRDefault="00E902D8" w:rsidP="001A18C8">
                  <w:pPr>
                    <w:rPr>
                      <w:color w:val="FFFFFF" w:themeColor="background1"/>
                      <w:sz w:val="18"/>
                      <w:szCs w:val="18"/>
                    </w:rPr>
                  </w:pPr>
                </w:p>
              </w:txbxContent>
            </v:textbox>
            <w10:wrap type="square"/>
          </v:shape>
        </w:pict>
      </w:r>
      <w:r w:rsidR="00FA5629" w:rsidRPr="00E95BC4">
        <w:rPr>
          <w:color w:val="auto"/>
          <w:lang w:val="sr-Cyrl-CS"/>
        </w:rPr>
        <w:t>Такође, међу релевантним законима који су битни за рад надлежних институција и других учесника у систему борбе против прања новца и финансирања тероризма су и:</w:t>
      </w:r>
    </w:p>
    <w:p w:rsidR="001A18C8" w:rsidRPr="00E95BC4" w:rsidRDefault="001A18C8" w:rsidP="00285FD7">
      <w:pPr>
        <w:ind w:firstLine="720"/>
        <w:jc w:val="both"/>
        <w:rPr>
          <w:color w:val="auto"/>
          <w:lang w:val="sr-Cyrl-CS"/>
        </w:rPr>
      </w:pPr>
    </w:p>
    <w:p w:rsidR="00FA5629" w:rsidRPr="00E95BC4" w:rsidRDefault="00FA5629" w:rsidP="00285FD7">
      <w:pPr>
        <w:ind w:firstLine="720"/>
        <w:jc w:val="both"/>
        <w:rPr>
          <w:color w:val="auto"/>
          <w:lang w:val="sr-Cyrl-CS"/>
        </w:rPr>
      </w:pPr>
    </w:p>
    <w:p w:rsidR="00713C9A" w:rsidRPr="00E95BC4" w:rsidRDefault="00713C9A" w:rsidP="00285FD7">
      <w:pPr>
        <w:ind w:firstLine="720"/>
        <w:jc w:val="both"/>
        <w:rPr>
          <w:color w:val="auto"/>
          <w:lang w:val="sr-Cyrl-CS"/>
        </w:rPr>
      </w:pPr>
      <w:r w:rsidRPr="00E95BC4">
        <w:rPr>
          <w:color w:val="auto"/>
          <w:lang w:val="sr-Cyrl-CS"/>
        </w:rPr>
        <w:t>Напред наведени (отворени) списак закона разрађује се кроз бројна подзаконска акта, упутства, смернице, водиче и друга документа којима се операционализују мере и активности за борбу против прања новца, финансирања тероризма и ширења оружја за масовно уништење, а с друге стране доказује делотворност система.</w:t>
      </w:r>
    </w:p>
    <w:p w:rsidR="00F21E30" w:rsidRPr="00E95BC4" w:rsidRDefault="00F21E30" w:rsidP="00285FD7">
      <w:pPr>
        <w:ind w:firstLine="720"/>
        <w:jc w:val="both"/>
        <w:rPr>
          <w:color w:val="auto"/>
          <w:lang w:val="sr-Cyrl-CS"/>
        </w:rPr>
      </w:pPr>
    </w:p>
    <w:p w:rsidR="00713C9A" w:rsidRPr="00E95BC4" w:rsidRDefault="00713C9A" w:rsidP="00285FD7">
      <w:pPr>
        <w:ind w:firstLine="720"/>
        <w:jc w:val="both"/>
        <w:rPr>
          <w:color w:val="auto"/>
          <w:lang w:val="sr-Cyrl-CS"/>
        </w:rPr>
      </w:pPr>
      <w:r w:rsidRPr="00E95BC4">
        <w:rPr>
          <w:b/>
          <w:color w:val="auto"/>
          <w:lang w:val="sr-Cyrl-CS"/>
        </w:rPr>
        <w:t xml:space="preserve">Националне стратегије, акциони планови. </w:t>
      </w:r>
      <w:r w:rsidRPr="00E95BC4">
        <w:rPr>
          <w:color w:val="auto"/>
          <w:lang w:val="sr-Cyrl-CS"/>
        </w:rPr>
        <w:t>Постоји више докумената јавне политике у овој области, а најзначајнији су следећи:</w:t>
      </w:r>
    </w:p>
    <w:p w:rsidR="002219B5" w:rsidRPr="00E95BC4" w:rsidRDefault="002219B5" w:rsidP="002219B5">
      <w:pPr>
        <w:pStyle w:val="ListParagraph"/>
        <w:numPr>
          <w:ilvl w:val="0"/>
          <w:numId w:val="10"/>
        </w:numPr>
        <w:jc w:val="both"/>
        <w:rPr>
          <w:iCs/>
          <w:color w:val="auto"/>
          <w:lang w:val="sr-Cyrl-CS"/>
        </w:rPr>
      </w:pPr>
      <w:r w:rsidRPr="00E95BC4">
        <w:rPr>
          <w:iCs/>
          <w:color w:val="auto"/>
          <w:lang w:val="sr-Cyrl-CS"/>
        </w:rPr>
        <w:t>Стратегија националне безбедности Републике Србије („Службени гласник РС</w:t>
      </w:r>
      <w:r w:rsidR="003067CB" w:rsidRPr="00E95BC4">
        <w:rPr>
          <w:iCs/>
          <w:color w:val="auto"/>
          <w:lang w:val="sr-Cyrl-CS"/>
        </w:rPr>
        <w:t>”</w:t>
      </w:r>
      <w:r w:rsidRPr="00E95BC4">
        <w:rPr>
          <w:iCs/>
          <w:color w:val="auto"/>
          <w:lang w:val="sr-Cyrl-CS"/>
        </w:rPr>
        <w:t>, број 94/19),</w:t>
      </w:r>
    </w:p>
    <w:p w:rsidR="00713C9A" w:rsidRPr="00E95BC4" w:rsidRDefault="00713C9A" w:rsidP="00AC7277">
      <w:pPr>
        <w:pStyle w:val="ListParagraph"/>
        <w:numPr>
          <w:ilvl w:val="0"/>
          <w:numId w:val="10"/>
        </w:numPr>
        <w:jc w:val="both"/>
        <w:rPr>
          <w:iCs/>
          <w:color w:val="auto"/>
          <w:lang w:val="sr-Cyrl-CS"/>
        </w:rPr>
      </w:pPr>
      <w:r w:rsidRPr="00E95BC4">
        <w:rPr>
          <w:iCs/>
          <w:color w:val="auto"/>
          <w:lang w:val="sr-Cyrl-CS"/>
        </w:rPr>
        <w:t>Стратегија за за спречавање и борбу против тероризма за период 2017–202</w:t>
      </w:r>
      <w:r w:rsidR="0001093D" w:rsidRPr="00E95BC4">
        <w:rPr>
          <w:iCs/>
          <w:color w:val="auto"/>
          <w:lang w:val="sr-Cyrl-CS"/>
        </w:rPr>
        <w:t>1. годин</w:t>
      </w:r>
      <w:r w:rsidR="007C4E60">
        <w:rPr>
          <w:iCs/>
          <w:color w:val="auto"/>
          <w:lang w:val="sr-Cyrl-CS"/>
        </w:rPr>
        <w:t>е</w:t>
      </w:r>
      <w:r w:rsidR="0001093D" w:rsidRPr="00E95BC4">
        <w:rPr>
          <w:iCs/>
          <w:color w:val="auto"/>
          <w:lang w:val="sr-Cyrl-CS"/>
        </w:rPr>
        <w:t xml:space="preserve"> („Службени гласник РС”, број 94/</w:t>
      </w:r>
      <w:r w:rsidRPr="00E95BC4">
        <w:rPr>
          <w:iCs/>
          <w:color w:val="auto"/>
          <w:lang w:val="sr-Cyrl-CS"/>
        </w:rPr>
        <w:t>17)</w:t>
      </w:r>
      <w:r w:rsidR="00B02F59" w:rsidRPr="00E95BC4">
        <w:rPr>
          <w:iCs/>
          <w:color w:val="auto"/>
          <w:lang w:val="sr-Cyrl-CS"/>
        </w:rPr>
        <w:t>,</w:t>
      </w:r>
    </w:p>
    <w:p w:rsidR="00713C9A" w:rsidRPr="00E95BC4" w:rsidRDefault="00713C9A" w:rsidP="00AC7277">
      <w:pPr>
        <w:pStyle w:val="ListParagraph"/>
        <w:numPr>
          <w:ilvl w:val="0"/>
          <w:numId w:val="10"/>
        </w:numPr>
        <w:jc w:val="both"/>
        <w:rPr>
          <w:iCs/>
          <w:color w:val="auto"/>
          <w:lang w:val="sr-Cyrl-CS"/>
        </w:rPr>
      </w:pPr>
      <w:r w:rsidRPr="00E95BC4">
        <w:rPr>
          <w:iCs/>
          <w:color w:val="auto"/>
          <w:lang w:val="sr-Cyrl-CS"/>
        </w:rPr>
        <w:t>Национална стратегија за борбу против организованог криминала из 2009</w:t>
      </w:r>
      <w:r w:rsidR="0001093D" w:rsidRPr="00E95BC4">
        <w:rPr>
          <w:iCs/>
          <w:color w:val="auto"/>
          <w:lang w:val="sr-Cyrl-CS"/>
        </w:rPr>
        <w:t>. године</w:t>
      </w:r>
      <w:r w:rsidR="00B02F59" w:rsidRPr="00E95BC4">
        <w:rPr>
          <w:iCs/>
          <w:color w:val="auto"/>
          <w:lang w:val="sr-Cyrl-CS"/>
        </w:rPr>
        <w:t>,</w:t>
      </w:r>
    </w:p>
    <w:p w:rsidR="00713C9A" w:rsidRPr="00E95BC4" w:rsidRDefault="00713C9A" w:rsidP="00AC7277">
      <w:pPr>
        <w:pStyle w:val="ListParagraph"/>
        <w:numPr>
          <w:ilvl w:val="0"/>
          <w:numId w:val="10"/>
        </w:numPr>
        <w:jc w:val="both"/>
        <w:rPr>
          <w:iCs/>
          <w:color w:val="auto"/>
          <w:lang w:val="sr-Cyrl-CS"/>
        </w:rPr>
      </w:pPr>
      <w:r w:rsidRPr="00E95BC4">
        <w:rPr>
          <w:iCs/>
          <w:color w:val="auto"/>
          <w:lang w:val="sr-Cyrl-CS"/>
        </w:rPr>
        <w:t xml:space="preserve">Акциони план за </w:t>
      </w:r>
      <w:r w:rsidR="00C9286F" w:rsidRPr="00E95BC4">
        <w:rPr>
          <w:iCs/>
          <w:color w:val="auto"/>
          <w:lang w:val="sr-Cyrl-CS"/>
        </w:rPr>
        <w:t>П</w:t>
      </w:r>
      <w:r w:rsidRPr="00E95BC4">
        <w:rPr>
          <w:iCs/>
          <w:color w:val="auto"/>
          <w:lang w:val="sr-Cyrl-CS"/>
        </w:rPr>
        <w:t>реговарачко поглавље 24</w:t>
      </w:r>
      <w:r w:rsidR="007C4E60">
        <w:rPr>
          <w:iCs/>
          <w:color w:val="auto"/>
          <w:lang w:val="sr-Cyrl-CS"/>
        </w:rPr>
        <w:t>,</w:t>
      </w:r>
      <w:r w:rsidRPr="00E95BC4">
        <w:rPr>
          <w:iCs/>
          <w:color w:val="auto"/>
          <w:vertAlign w:val="superscript"/>
          <w:lang w:val="sr-Cyrl-CS"/>
        </w:rPr>
        <w:footnoteReference w:id="2"/>
      </w:r>
    </w:p>
    <w:p w:rsidR="002219B5" w:rsidRPr="00E95BC4" w:rsidRDefault="00713C9A" w:rsidP="002219B5">
      <w:pPr>
        <w:pStyle w:val="ListParagraph"/>
        <w:numPr>
          <w:ilvl w:val="0"/>
          <w:numId w:val="10"/>
        </w:numPr>
        <w:jc w:val="both"/>
        <w:rPr>
          <w:iCs/>
          <w:color w:val="auto"/>
          <w:lang w:val="sr-Cyrl-CS"/>
        </w:rPr>
      </w:pPr>
      <w:r w:rsidRPr="00E95BC4">
        <w:rPr>
          <w:iCs/>
          <w:color w:val="auto"/>
          <w:lang w:val="sr-Cyrl-CS"/>
        </w:rPr>
        <w:t xml:space="preserve">Акциони план за </w:t>
      </w:r>
      <w:r w:rsidR="00C9286F" w:rsidRPr="00E95BC4">
        <w:rPr>
          <w:iCs/>
          <w:color w:val="auto"/>
          <w:lang w:val="sr-Cyrl-CS"/>
        </w:rPr>
        <w:t>П</w:t>
      </w:r>
      <w:r w:rsidRPr="00E95BC4">
        <w:rPr>
          <w:iCs/>
          <w:color w:val="auto"/>
          <w:lang w:val="sr-Cyrl-CS"/>
        </w:rPr>
        <w:t>реговарачко поглавље</w:t>
      </w:r>
      <w:r w:rsidRPr="00E95BC4">
        <w:rPr>
          <w:color w:val="auto"/>
          <w:lang w:val="sr-Cyrl-CS"/>
        </w:rPr>
        <w:t xml:space="preserve"> 23</w:t>
      </w:r>
      <w:r w:rsidR="007C4E60">
        <w:rPr>
          <w:color w:val="auto"/>
          <w:lang w:val="sr-Cyrl-CS"/>
        </w:rPr>
        <w:t>,</w:t>
      </w:r>
      <w:r w:rsidRPr="00E95BC4">
        <w:rPr>
          <w:rStyle w:val="FootnoteReference"/>
          <w:color w:val="auto"/>
          <w:lang w:val="sr-Cyrl-CS"/>
        </w:rPr>
        <w:footnoteReference w:id="3"/>
      </w:r>
    </w:p>
    <w:p w:rsidR="00F172E0" w:rsidRPr="00E95BC4" w:rsidRDefault="00F172E0" w:rsidP="00F172E0">
      <w:pPr>
        <w:pStyle w:val="ListParagraph"/>
        <w:numPr>
          <w:ilvl w:val="0"/>
          <w:numId w:val="10"/>
        </w:numPr>
        <w:rPr>
          <w:color w:val="auto"/>
          <w:lang w:val="sr-Cyrl-CS"/>
        </w:rPr>
      </w:pPr>
      <w:r w:rsidRPr="00E95BC4">
        <w:rPr>
          <w:color w:val="auto"/>
          <w:lang w:val="sr-Cyrl-CS"/>
        </w:rPr>
        <w:t xml:space="preserve">Резултати досадашњих активности у </w:t>
      </w:r>
      <w:r w:rsidR="00C9286F" w:rsidRPr="00E95BC4">
        <w:rPr>
          <w:color w:val="auto"/>
          <w:lang w:val="sr-Cyrl-CS"/>
        </w:rPr>
        <w:t>П</w:t>
      </w:r>
      <w:r w:rsidRPr="00E95BC4">
        <w:rPr>
          <w:color w:val="auto"/>
          <w:lang w:val="sr-Cyrl-CS"/>
        </w:rPr>
        <w:t>реговарачком поглављу 4.</w:t>
      </w:r>
    </w:p>
    <w:p w:rsidR="00F21E30" w:rsidRPr="00E95BC4" w:rsidRDefault="00F21E30" w:rsidP="00F21E30">
      <w:pPr>
        <w:rPr>
          <w:color w:val="auto"/>
          <w:lang w:val="sr-Cyrl-CS"/>
        </w:rPr>
      </w:pPr>
    </w:p>
    <w:p w:rsidR="00A278FF" w:rsidRPr="00E95BC4" w:rsidRDefault="00A278FF" w:rsidP="00285FD7">
      <w:pPr>
        <w:pStyle w:val="Heading1"/>
        <w:spacing w:before="0"/>
        <w:ind w:firstLine="720"/>
        <w:rPr>
          <w:rFonts w:ascii="Times New Roman" w:hAnsi="Times New Roman" w:cs="Times New Roman"/>
          <w:color w:val="auto"/>
          <w:sz w:val="24"/>
          <w:szCs w:val="24"/>
          <w:lang w:val="sr-Cyrl-CS"/>
        </w:rPr>
      </w:pPr>
      <w:bookmarkStart w:id="3" w:name="_Toc32409893"/>
      <w:r w:rsidRPr="00E95BC4">
        <w:rPr>
          <w:rFonts w:ascii="Times New Roman" w:hAnsi="Times New Roman" w:cs="Times New Roman"/>
          <w:color w:val="auto"/>
          <w:sz w:val="24"/>
          <w:szCs w:val="24"/>
          <w:lang w:val="sr-Cyrl-CS"/>
        </w:rPr>
        <w:t>Опис постојећег стања</w:t>
      </w:r>
      <w:bookmarkEnd w:id="3"/>
      <w:r w:rsidRPr="00E95BC4">
        <w:rPr>
          <w:rFonts w:ascii="Times New Roman" w:hAnsi="Times New Roman" w:cs="Times New Roman"/>
          <w:color w:val="auto"/>
          <w:sz w:val="24"/>
          <w:szCs w:val="24"/>
          <w:lang w:val="sr-Cyrl-CS"/>
        </w:rPr>
        <w:t xml:space="preserve"> </w:t>
      </w:r>
    </w:p>
    <w:p w:rsidR="0004492D" w:rsidRPr="00E95BC4" w:rsidRDefault="0004492D" w:rsidP="00285FD7">
      <w:pPr>
        <w:ind w:firstLine="720"/>
        <w:rPr>
          <w:b/>
          <w:color w:val="auto"/>
          <w:lang w:val="sr-Cyrl-CS"/>
        </w:rPr>
      </w:pPr>
    </w:p>
    <w:p w:rsidR="00FC3049" w:rsidRPr="00E95BC4" w:rsidRDefault="004232FE" w:rsidP="00BD0633">
      <w:pPr>
        <w:ind w:firstLine="720"/>
        <w:jc w:val="both"/>
        <w:rPr>
          <w:color w:val="auto"/>
          <w:lang w:val="sr-Cyrl-CS"/>
        </w:rPr>
      </w:pPr>
      <w:r w:rsidRPr="00E95BC4">
        <w:rPr>
          <w:b/>
          <w:color w:val="auto"/>
          <w:lang w:val="sr-Cyrl-CS"/>
        </w:rPr>
        <w:t>Анализа постојећег стања</w:t>
      </w:r>
      <w:r w:rsidR="002F2585" w:rsidRPr="00E95BC4">
        <w:rPr>
          <w:b/>
          <w:color w:val="auto"/>
          <w:lang w:val="sr-Cyrl-CS"/>
        </w:rPr>
        <w:t xml:space="preserve">. </w:t>
      </w:r>
      <w:r w:rsidR="00FC3049" w:rsidRPr="00E95BC4">
        <w:rPr>
          <w:color w:val="auto"/>
          <w:lang w:val="sr-Cyrl-CS"/>
        </w:rPr>
        <w:t xml:space="preserve">Основни </w:t>
      </w:r>
      <w:r w:rsidR="00FC3049" w:rsidRPr="00E95BC4">
        <w:rPr>
          <w:i/>
          <w:color w:val="auto"/>
          <w:lang w:val="sr-Cyrl-CS"/>
        </w:rPr>
        <w:t>показатељи</w:t>
      </w:r>
      <w:r w:rsidR="00FC3049" w:rsidRPr="00E95BC4">
        <w:rPr>
          <w:color w:val="auto"/>
          <w:lang w:val="sr-Cyrl-CS"/>
        </w:rPr>
        <w:t xml:space="preserve"> стања у области борбе против прања новца и финансирања тероризма и ширења </w:t>
      </w:r>
      <w:r w:rsidR="00BD0633" w:rsidRPr="00E95BC4">
        <w:rPr>
          <w:color w:val="auto"/>
          <w:lang w:val="sr-Cyrl-CS"/>
        </w:rPr>
        <w:t>оружја за масовно уништење</w:t>
      </w:r>
      <w:r w:rsidR="00FC3049" w:rsidRPr="00E95BC4">
        <w:rPr>
          <w:color w:val="auto"/>
          <w:lang w:val="sr-Cyrl-CS"/>
        </w:rPr>
        <w:t xml:space="preserve"> дефинисани су методологијама за узајамну евалуацију</w:t>
      </w:r>
      <w:r w:rsidR="00FC3049" w:rsidRPr="00E95BC4">
        <w:rPr>
          <w:rStyle w:val="FootnoteReference"/>
          <w:color w:val="auto"/>
          <w:lang w:val="sr-Cyrl-CS"/>
        </w:rPr>
        <w:footnoteReference w:id="4"/>
      </w:r>
      <w:r w:rsidR="0096670D" w:rsidRPr="00E95BC4">
        <w:rPr>
          <w:color w:val="auto"/>
          <w:lang w:val="sr-Cyrl-CS"/>
        </w:rPr>
        <w:t xml:space="preserve"> и методологијама националне процене ризика</w:t>
      </w:r>
      <w:r w:rsidR="0096670D" w:rsidRPr="00E95BC4">
        <w:rPr>
          <w:rStyle w:val="FootnoteReference"/>
          <w:color w:val="auto"/>
          <w:lang w:val="sr-Cyrl-CS"/>
        </w:rPr>
        <w:footnoteReference w:id="5"/>
      </w:r>
      <w:r w:rsidR="0096670D" w:rsidRPr="00E95BC4">
        <w:rPr>
          <w:color w:val="auto"/>
          <w:lang w:val="sr-Cyrl-CS"/>
        </w:rPr>
        <w:t xml:space="preserve">, </w:t>
      </w:r>
      <w:r w:rsidR="0008634A">
        <w:rPr>
          <w:color w:val="auto"/>
          <w:lang w:val="sr-Cyrl-CS"/>
        </w:rPr>
        <w:t>као и неким другим показатељима</w:t>
      </w:r>
      <w:r w:rsidR="0096670D" w:rsidRPr="00E95BC4">
        <w:rPr>
          <w:rStyle w:val="FootnoteReference"/>
          <w:color w:val="auto"/>
          <w:lang w:val="sr-Cyrl-CS"/>
        </w:rPr>
        <w:footnoteReference w:id="6"/>
      </w:r>
      <w:r w:rsidR="0008634A">
        <w:rPr>
          <w:color w:val="auto"/>
        </w:rPr>
        <w:t>.</w:t>
      </w:r>
      <w:r w:rsidR="0096670D" w:rsidRPr="00E95BC4">
        <w:rPr>
          <w:color w:val="auto"/>
          <w:lang w:val="sr-Cyrl-CS"/>
        </w:rPr>
        <w:t xml:space="preserve"> Ови показатељи су изабрани и за потребе ове анализе јер су највалиднији за</w:t>
      </w:r>
      <w:r w:rsidR="00FC3049" w:rsidRPr="00E95BC4">
        <w:rPr>
          <w:color w:val="auto"/>
          <w:lang w:val="sr-Cyrl-CS"/>
        </w:rPr>
        <w:t xml:space="preserve"> оцену стања у </w:t>
      </w:r>
      <w:r w:rsidR="0096670D" w:rsidRPr="00E95BC4">
        <w:rPr>
          <w:color w:val="auto"/>
          <w:lang w:val="sr-Cyrl-CS"/>
        </w:rPr>
        <w:t>овој области.</w:t>
      </w:r>
      <w:r w:rsidR="000B0BBF" w:rsidRPr="00E95BC4">
        <w:rPr>
          <w:color w:val="auto"/>
          <w:lang w:val="sr-Cyrl-CS"/>
        </w:rPr>
        <w:t xml:space="preserve"> </w:t>
      </w:r>
    </w:p>
    <w:p w:rsidR="0034189E" w:rsidRPr="00E95BC4" w:rsidRDefault="0034189E" w:rsidP="00285FD7">
      <w:pPr>
        <w:ind w:firstLine="720"/>
        <w:jc w:val="both"/>
        <w:rPr>
          <w:color w:val="auto"/>
          <w:lang w:val="sr-Cyrl-CS"/>
        </w:rPr>
      </w:pPr>
      <w:r w:rsidRPr="00E95BC4">
        <w:rPr>
          <w:color w:val="auto"/>
          <w:lang w:val="sr-Cyrl-CS"/>
        </w:rPr>
        <w:t xml:space="preserve">Најбитнији </w:t>
      </w:r>
      <w:r w:rsidRPr="00E95BC4">
        <w:rPr>
          <w:i/>
          <w:color w:val="auto"/>
          <w:lang w:val="sr-Cyrl-CS"/>
        </w:rPr>
        <w:t>извори</w:t>
      </w:r>
      <w:r w:rsidRPr="00E95BC4">
        <w:rPr>
          <w:color w:val="auto"/>
          <w:lang w:val="sr-Cyrl-CS"/>
        </w:rPr>
        <w:t xml:space="preserve"> </w:t>
      </w:r>
      <w:r w:rsidR="0096670D" w:rsidRPr="00E95BC4">
        <w:rPr>
          <w:color w:val="auto"/>
          <w:lang w:val="sr-Cyrl-CS"/>
        </w:rPr>
        <w:t xml:space="preserve">показатеља и </w:t>
      </w:r>
      <w:r w:rsidRPr="00E95BC4">
        <w:rPr>
          <w:color w:val="auto"/>
          <w:lang w:val="sr-Cyrl-CS"/>
        </w:rPr>
        <w:t>информација о стању система за борбу против прања новца и финансирања тероризма у Републици Србији налазе се у следећим</w:t>
      </w:r>
      <w:r w:rsidR="002F2585" w:rsidRPr="00E95BC4">
        <w:rPr>
          <w:color w:val="auto"/>
          <w:lang w:val="sr-Cyrl-CS"/>
        </w:rPr>
        <w:t xml:space="preserve"> међународним и домаћим изворима</w:t>
      </w:r>
      <w:r w:rsidRPr="00E95BC4">
        <w:rPr>
          <w:color w:val="auto"/>
          <w:lang w:val="sr-Cyrl-CS"/>
        </w:rPr>
        <w:t>:</w:t>
      </w:r>
    </w:p>
    <w:p w:rsidR="00B02F59" w:rsidRPr="00E95BC4" w:rsidRDefault="00B02F59" w:rsidP="00285FD7">
      <w:pPr>
        <w:ind w:firstLine="720"/>
        <w:jc w:val="both"/>
        <w:rPr>
          <w:b/>
          <w:color w:val="auto"/>
          <w:lang w:val="sr-Cyrl-CS"/>
        </w:rPr>
      </w:pPr>
    </w:p>
    <w:p w:rsidR="002F2585" w:rsidRPr="00E95BC4" w:rsidRDefault="002F2585" w:rsidP="00285FD7">
      <w:pPr>
        <w:ind w:firstLine="720"/>
        <w:jc w:val="both"/>
        <w:rPr>
          <w:b/>
          <w:color w:val="auto"/>
          <w:lang w:val="sr-Cyrl-CS"/>
        </w:rPr>
      </w:pPr>
      <w:r w:rsidRPr="00E95BC4">
        <w:rPr>
          <w:b/>
          <w:color w:val="auto"/>
          <w:lang w:val="sr-Cyrl-CS"/>
        </w:rPr>
        <w:lastRenderedPageBreak/>
        <w:t>Међународни извори:</w:t>
      </w:r>
    </w:p>
    <w:p w:rsidR="000B0BBF" w:rsidRPr="00E95BC4" w:rsidRDefault="000B0BBF" w:rsidP="00285FD7">
      <w:pPr>
        <w:ind w:firstLine="720"/>
        <w:jc w:val="both"/>
        <w:rPr>
          <w:b/>
          <w:color w:val="auto"/>
          <w:lang w:val="sr-Cyrl-CS"/>
        </w:rPr>
      </w:pPr>
    </w:p>
    <w:p w:rsidR="0034189E" w:rsidRPr="00E95BC4" w:rsidRDefault="0034189E" w:rsidP="00285FD7">
      <w:pPr>
        <w:ind w:firstLine="720"/>
        <w:jc w:val="both"/>
        <w:rPr>
          <w:b/>
          <w:color w:val="auto"/>
          <w:lang w:val="sr-Cyrl-CS"/>
        </w:rPr>
      </w:pPr>
      <w:r w:rsidRPr="00E95BC4">
        <w:rPr>
          <w:b/>
          <w:color w:val="auto"/>
          <w:lang w:val="sr-Cyrl-CS"/>
        </w:rPr>
        <w:t>Комитет Савета Европе – Манивал</w:t>
      </w:r>
      <w:r w:rsidR="006C15FB" w:rsidRPr="00E95BC4">
        <w:rPr>
          <w:rStyle w:val="FootnoteReference"/>
          <w:b/>
          <w:color w:val="auto"/>
          <w:lang w:val="sr-Cyrl-CS"/>
        </w:rPr>
        <w:footnoteReference w:id="7"/>
      </w:r>
    </w:p>
    <w:p w:rsidR="0034189E" w:rsidRPr="00E95BC4" w:rsidRDefault="0034189E" w:rsidP="00285FD7">
      <w:pPr>
        <w:pStyle w:val="ListParagraph"/>
        <w:numPr>
          <w:ilvl w:val="0"/>
          <w:numId w:val="1"/>
        </w:numPr>
        <w:jc w:val="both"/>
        <w:rPr>
          <w:color w:val="auto"/>
          <w:lang w:val="sr-Cyrl-CS"/>
        </w:rPr>
      </w:pPr>
      <w:r w:rsidRPr="00E95BC4">
        <w:rPr>
          <w:color w:val="auto"/>
          <w:lang w:val="sr-Cyrl-CS"/>
        </w:rPr>
        <w:t xml:space="preserve">Извештај о узајамној евалуацији </w:t>
      </w:r>
      <w:r w:rsidR="006C15FB" w:rsidRPr="00E95BC4">
        <w:rPr>
          <w:color w:val="auto"/>
          <w:lang w:val="sr-Cyrl-CS"/>
        </w:rPr>
        <w:t xml:space="preserve">од 13. априла </w:t>
      </w:r>
      <w:r w:rsidRPr="00E95BC4">
        <w:rPr>
          <w:color w:val="auto"/>
          <w:lang w:val="sr-Cyrl-CS"/>
        </w:rPr>
        <w:t xml:space="preserve">2016. </w:t>
      </w:r>
      <w:r w:rsidR="007E03E4" w:rsidRPr="00E95BC4">
        <w:rPr>
          <w:color w:val="auto"/>
          <w:lang w:val="sr-Cyrl-CS"/>
        </w:rPr>
        <w:t>г</w:t>
      </w:r>
      <w:r w:rsidRPr="00E95BC4">
        <w:rPr>
          <w:color w:val="auto"/>
          <w:lang w:val="sr-Cyrl-CS"/>
        </w:rPr>
        <w:t>одине</w:t>
      </w:r>
      <w:r w:rsidR="007C4E60">
        <w:rPr>
          <w:color w:val="auto"/>
          <w:lang w:val="sr-Cyrl-CS"/>
        </w:rPr>
        <w:t>,</w:t>
      </w:r>
      <w:r w:rsidR="006C15FB" w:rsidRPr="00E95BC4">
        <w:rPr>
          <w:rStyle w:val="FootnoteReference"/>
          <w:color w:val="auto"/>
          <w:lang w:val="sr-Cyrl-CS"/>
        </w:rPr>
        <w:footnoteReference w:id="8"/>
      </w:r>
    </w:p>
    <w:p w:rsidR="000D4757" w:rsidRPr="00E95BC4" w:rsidRDefault="000D4757" w:rsidP="000D4757">
      <w:pPr>
        <w:pStyle w:val="ListParagraph"/>
        <w:numPr>
          <w:ilvl w:val="0"/>
          <w:numId w:val="1"/>
        </w:numPr>
        <w:rPr>
          <w:color w:val="auto"/>
          <w:lang w:val="sr-Cyrl-CS"/>
        </w:rPr>
      </w:pPr>
      <w:r w:rsidRPr="00E95BC4">
        <w:rPr>
          <w:color w:val="auto"/>
          <w:lang w:val="sr-Cyrl-CS"/>
        </w:rPr>
        <w:t>Први извештај о појачаном праћењу Републике Србије из децембра 2017.</w:t>
      </w:r>
      <w:r w:rsidR="007E03E4" w:rsidRPr="00E95BC4">
        <w:rPr>
          <w:color w:val="auto"/>
          <w:lang w:val="sr-Cyrl-CS"/>
        </w:rPr>
        <w:t xml:space="preserve"> године</w:t>
      </w:r>
      <w:r w:rsidR="007E03E4" w:rsidRPr="00E95BC4">
        <w:rPr>
          <w:rStyle w:val="FootnoteReference"/>
          <w:color w:val="auto"/>
          <w:lang w:val="sr-Cyrl-CS"/>
        </w:rPr>
        <w:t xml:space="preserve"> </w:t>
      </w:r>
      <w:r w:rsidR="007C4E60">
        <w:rPr>
          <w:color w:val="auto"/>
          <w:lang w:val="sr-Cyrl-CS"/>
        </w:rPr>
        <w:t>,</w:t>
      </w:r>
      <w:r w:rsidRPr="00E95BC4">
        <w:rPr>
          <w:rStyle w:val="FootnoteReference"/>
          <w:color w:val="auto"/>
          <w:lang w:val="sr-Cyrl-CS"/>
        </w:rPr>
        <w:footnoteReference w:id="9"/>
      </w:r>
    </w:p>
    <w:p w:rsidR="0034189E" w:rsidRPr="00E95BC4" w:rsidRDefault="0034189E" w:rsidP="00285FD7">
      <w:pPr>
        <w:pStyle w:val="ListParagraph"/>
        <w:numPr>
          <w:ilvl w:val="0"/>
          <w:numId w:val="1"/>
        </w:numPr>
        <w:rPr>
          <w:color w:val="auto"/>
          <w:lang w:val="sr-Cyrl-CS"/>
        </w:rPr>
      </w:pPr>
      <w:r w:rsidRPr="00E95BC4">
        <w:rPr>
          <w:color w:val="auto"/>
          <w:lang w:val="sr-Cyrl-CS"/>
        </w:rPr>
        <w:t>Други извештај о појачаном праћењу Републике Србије из</w:t>
      </w:r>
      <w:r w:rsidR="006C15FB" w:rsidRPr="00E95BC4">
        <w:rPr>
          <w:color w:val="auto"/>
          <w:lang w:val="sr-Cyrl-CS"/>
        </w:rPr>
        <w:t xml:space="preserve"> децембра</w:t>
      </w:r>
      <w:r w:rsidRPr="00E95BC4">
        <w:rPr>
          <w:color w:val="auto"/>
          <w:lang w:val="sr-Cyrl-CS"/>
        </w:rPr>
        <w:t xml:space="preserve"> 2018</w:t>
      </w:r>
      <w:r w:rsidR="006C15FB" w:rsidRPr="00E95BC4">
        <w:rPr>
          <w:color w:val="auto"/>
          <w:lang w:val="sr-Cyrl-CS"/>
        </w:rPr>
        <w:t>.</w:t>
      </w:r>
      <w:r w:rsidR="0008634A">
        <w:rPr>
          <w:color w:val="auto"/>
          <w:lang w:val="sr-Cyrl-CS"/>
        </w:rPr>
        <w:t xml:space="preserve"> године</w:t>
      </w:r>
      <w:r w:rsidR="007E03E4" w:rsidRPr="00E95BC4">
        <w:rPr>
          <w:rStyle w:val="FootnoteReference"/>
          <w:color w:val="auto"/>
          <w:lang w:val="sr-Cyrl-CS"/>
        </w:rPr>
        <w:t xml:space="preserve"> </w:t>
      </w:r>
      <w:r w:rsidR="007C4E60">
        <w:rPr>
          <w:color w:val="auto"/>
          <w:lang w:val="sr-Cyrl-CS"/>
        </w:rPr>
        <w:t>,</w:t>
      </w:r>
      <w:r w:rsidR="006C15FB" w:rsidRPr="00E95BC4">
        <w:rPr>
          <w:rStyle w:val="FootnoteReference"/>
          <w:color w:val="auto"/>
          <w:sz w:val="22"/>
          <w:szCs w:val="22"/>
          <w:lang w:val="sr-Cyrl-CS"/>
        </w:rPr>
        <w:footnoteReference w:id="10"/>
      </w:r>
    </w:p>
    <w:p w:rsidR="006C3281" w:rsidRPr="00E95BC4" w:rsidRDefault="006C3281" w:rsidP="00285FD7">
      <w:pPr>
        <w:pStyle w:val="ListParagraph"/>
        <w:numPr>
          <w:ilvl w:val="0"/>
          <w:numId w:val="1"/>
        </w:numPr>
        <w:jc w:val="both"/>
        <w:rPr>
          <w:lang w:val="sr-Cyrl-CS"/>
        </w:rPr>
      </w:pPr>
      <w:r w:rsidRPr="00E95BC4">
        <w:rPr>
          <w:lang w:val="sr-Cyrl-CS"/>
        </w:rPr>
        <w:t>Трећи извештај о појачаном пр</w:t>
      </w:r>
      <w:r w:rsidR="006C15FB" w:rsidRPr="00E95BC4">
        <w:rPr>
          <w:lang w:val="sr-Cyrl-CS"/>
        </w:rPr>
        <w:t>аћењу Републике Србије из децембра 2019.</w:t>
      </w:r>
      <w:r w:rsidR="007E03E4" w:rsidRPr="00E95BC4">
        <w:rPr>
          <w:lang w:val="sr-Cyrl-CS"/>
        </w:rPr>
        <w:t xml:space="preserve"> </w:t>
      </w:r>
      <w:r w:rsidR="0008634A">
        <w:rPr>
          <w:color w:val="auto"/>
          <w:lang w:val="sr-Cyrl-CS"/>
        </w:rPr>
        <w:t>године</w:t>
      </w:r>
      <w:r w:rsidR="007C4E60">
        <w:rPr>
          <w:color w:val="auto"/>
          <w:lang w:val="sr-Cyrl-CS"/>
        </w:rPr>
        <w:t>.</w:t>
      </w:r>
      <w:r w:rsidR="006C15FB" w:rsidRPr="00E95BC4">
        <w:rPr>
          <w:rStyle w:val="FootnoteReference"/>
          <w:lang w:val="sr-Cyrl-CS"/>
        </w:rPr>
        <w:footnoteReference w:id="11"/>
      </w:r>
    </w:p>
    <w:p w:rsidR="000B0BBF" w:rsidRPr="00E95BC4" w:rsidRDefault="000B0BBF" w:rsidP="007E03E4">
      <w:pPr>
        <w:jc w:val="both"/>
        <w:rPr>
          <w:b/>
          <w:lang w:val="sr-Cyrl-CS"/>
        </w:rPr>
      </w:pPr>
    </w:p>
    <w:p w:rsidR="002219B5" w:rsidRPr="00E95BC4" w:rsidRDefault="002219B5" w:rsidP="002219B5">
      <w:pPr>
        <w:ind w:firstLine="720"/>
        <w:jc w:val="both"/>
        <w:rPr>
          <w:b/>
          <w:lang w:val="sr-Cyrl-CS"/>
        </w:rPr>
      </w:pPr>
      <w:r w:rsidRPr="00E95BC4">
        <w:rPr>
          <w:b/>
          <w:lang w:val="sr-Cyrl-CS"/>
        </w:rPr>
        <w:t>Европска унија</w:t>
      </w:r>
    </w:p>
    <w:p w:rsidR="00320EA9" w:rsidRPr="00E95BC4" w:rsidRDefault="00320EA9" w:rsidP="00320EA9">
      <w:pPr>
        <w:pStyle w:val="ListParagraph"/>
        <w:numPr>
          <w:ilvl w:val="0"/>
          <w:numId w:val="2"/>
        </w:numPr>
        <w:jc w:val="both"/>
        <w:rPr>
          <w:lang w:val="sr-Cyrl-CS"/>
        </w:rPr>
      </w:pPr>
      <w:r w:rsidRPr="00E95BC4">
        <w:rPr>
          <w:lang w:val="sr-Cyrl-CS"/>
        </w:rPr>
        <w:t>Годишњи извештај за 2018</w:t>
      </w:r>
      <w:r w:rsidR="001E55D5" w:rsidRPr="00E95BC4">
        <w:rPr>
          <w:lang w:val="sr-Cyrl-CS"/>
        </w:rPr>
        <w:t>. годину</w:t>
      </w:r>
      <w:r w:rsidRPr="00E95BC4">
        <w:rPr>
          <w:rStyle w:val="FootnoteReference"/>
          <w:lang w:val="sr-Cyrl-CS"/>
        </w:rPr>
        <w:footnoteReference w:id="12"/>
      </w:r>
      <w:r w:rsidRPr="00E95BC4">
        <w:rPr>
          <w:lang w:val="sr-Cyrl-CS"/>
        </w:rPr>
        <w:t xml:space="preserve"> и други релевантни извештаји и информације у контексту придруживања Европској унији.</w:t>
      </w:r>
    </w:p>
    <w:p w:rsidR="00987594" w:rsidRPr="00E95BC4" w:rsidRDefault="00987594" w:rsidP="00987594">
      <w:pPr>
        <w:ind w:firstLine="720"/>
        <w:jc w:val="both"/>
        <w:rPr>
          <w:lang w:val="sr-Cyrl-CS"/>
        </w:rPr>
      </w:pPr>
    </w:p>
    <w:p w:rsidR="009A7DDB" w:rsidRPr="00E95BC4" w:rsidRDefault="002219B5" w:rsidP="00987594">
      <w:pPr>
        <w:ind w:firstLine="720"/>
        <w:jc w:val="both"/>
        <w:rPr>
          <w:lang w:val="sr-Cyrl-CS"/>
        </w:rPr>
      </w:pPr>
      <w:r w:rsidRPr="00E95BC4">
        <w:rPr>
          <w:lang w:val="sr-Cyrl-CS"/>
        </w:rPr>
        <w:t xml:space="preserve">Међу битним изворима су и извештаји у </w:t>
      </w:r>
      <w:r w:rsidR="00320EA9" w:rsidRPr="00E95BC4">
        <w:rPr>
          <w:lang w:val="sr-Cyrl-CS"/>
        </w:rPr>
        <w:t>контексту рада</w:t>
      </w:r>
      <w:r w:rsidRPr="00E95BC4">
        <w:rPr>
          <w:lang w:val="sr-Cyrl-CS"/>
        </w:rPr>
        <w:t xml:space="preserve"> Конференције</w:t>
      </w:r>
      <w:r w:rsidR="006C3281" w:rsidRPr="00E95BC4">
        <w:rPr>
          <w:lang w:val="sr-Cyrl-CS"/>
        </w:rPr>
        <w:t xml:space="preserve"> чланица Конвенције Савета Европе о прању, тражењу, привременом и трајном одузимању имовине стечене кривичним делом и о финансирању тероризма</w:t>
      </w:r>
      <w:r w:rsidR="006C15FB" w:rsidRPr="00E95BC4">
        <w:rPr>
          <w:rStyle w:val="FootnoteReference"/>
          <w:lang w:val="sr-Cyrl-CS"/>
        </w:rPr>
        <w:footnoteReference w:id="13"/>
      </w:r>
      <w:r w:rsidR="0008634A">
        <w:t>,</w:t>
      </w:r>
      <w:r w:rsidRPr="00E95BC4">
        <w:rPr>
          <w:lang w:val="sr-Cyrl-CS"/>
        </w:rPr>
        <w:t xml:space="preserve"> Радне</w:t>
      </w:r>
      <w:r w:rsidR="0034189E" w:rsidRPr="00E95BC4">
        <w:rPr>
          <w:lang w:val="sr-Cyrl-CS"/>
        </w:rPr>
        <w:t xml:space="preserve"> група за финансијску акцију (Financial Action Task Force)</w:t>
      </w:r>
      <w:r w:rsidR="00AD5F3C" w:rsidRPr="00E95BC4">
        <w:rPr>
          <w:lang w:val="sr-Cyrl-CS"/>
        </w:rPr>
        <w:t xml:space="preserve"> и</w:t>
      </w:r>
      <w:r w:rsidRPr="00E95BC4">
        <w:rPr>
          <w:lang w:val="sr-Cyrl-CS"/>
        </w:rPr>
        <w:t xml:space="preserve"> </w:t>
      </w:r>
      <w:r w:rsidR="00AD5F3C" w:rsidRPr="00E95BC4">
        <w:rPr>
          <w:lang w:val="sr-Cyrl-CS"/>
        </w:rPr>
        <w:t>Уједињених нација</w:t>
      </w:r>
      <w:r w:rsidR="00C0410C" w:rsidRPr="00E95BC4">
        <w:rPr>
          <w:lang w:val="sr-Cyrl-CS"/>
        </w:rPr>
        <w:t xml:space="preserve"> (Извршна дирекција</w:t>
      </w:r>
      <w:r w:rsidR="009A7DDB" w:rsidRPr="00E95BC4">
        <w:rPr>
          <w:lang w:val="sr-Cyrl-CS"/>
        </w:rPr>
        <w:t xml:space="preserve"> Комитета УН за борбу против тероризма (</w:t>
      </w:r>
      <w:r w:rsidR="009A7DDB" w:rsidRPr="00E95BC4">
        <w:rPr>
          <w:i/>
          <w:lang w:val="sr-Cyrl-CS"/>
        </w:rPr>
        <w:t>UN Counter-terrorism Committee Executive Directorate</w:t>
      </w:r>
      <w:r w:rsidR="0070378D">
        <w:rPr>
          <w:i/>
          <w:lang w:val="sr-Cyrl-CS"/>
        </w:rPr>
        <w:t xml:space="preserve"> –</w:t>
      </w:r>
      <w:r w:rsidR="009A7DDB" w:rsidRPr="00E95BC4">
        <w:rPr>
          <w:i/>
          <w:lang w:val="sr-Cyrl-CS"/>
        </w:rPr>
        <w:t xml:space="preserve"> </w:t>
      </w:r>
      <w:r w:rsidR="0070378D">
        <w:rPr>
          <w:i/>
          <w:lang w:val="sr-Cyrl-CS"/>
        </w:rPr>
        <w:t>CTED</w:t>
      </w:r>
      <w:r w:rsidR="009A7DDB" w:rsidRPr="00E95BC4">
        <w:rPr>
          <w:lang w:val="sr-Cyrl-CS"/>
        </w:rPr>
        <w:t>).</w:t>
      </w:r>
    </w:p>
    <w:p w:rsidR="0004492D" w:rsidRPr="00E95BC4" w:rsidRDefault="0004492D" w:rsidP="00285FD7">
      <w:pPr>
        <w:ind w:firstLine="720"/>
        <w:rPr>
          <w:b/>
          <w:lang w:val="sr-Cyrl-CS"/>
        </w:rPr>
      </w:pPr>
    </w:p>
    <w:p w:rsidR="009A7DDB" w:rsidRPr="00E95BC4" w:rsidRDefault="009A7DDB" w:rsidP="00285FD7">
      <w:pPr>
        <w:ind w:firstLine="720"/>
        <w:rPr>
          <w:b/>
          <w:lang w:val="sr-Cyrl-CS"/>
        </w:rPr>
      </w:pPr>
      <w:r w:rsidRPr="00E95BC4">
        <w:rPr>
          <w:b/>
          <w:lang w:val="sr-Cyrl-CS"/>
        </w:rPr>
        <w:t>Домаћи извори</w:t>
      </w:r>
      <w:r w:rsidR="002F2585" w:rsidRPr="00E95BC4">
        <w:rPr>
          <w:b/>
          <w:lang w:val="sr-Cyrl-CS"/>
        </w:rPr>
        <w:t>:</w:t>
      </w:r>
    </w:p>
    <w:p w:rsidR="009A7DDB" w:rsidRPr="00E95BC4" w:rsidRDefault="00BD0633" w:rsidP="00285FD7">
      <w:pPr>
        <w:pStyle w:val="ListParagraph"/>
        <w:numPr>
          <w:ilvl w:val="0"/>
          <w:numId w:val="6"/>
        </w:numPr>
        <w:jc w:val="both"/>
        <w:rPr>
          <w:lang w:val="sr-Cyrl-CS"/>
        </w:rPr>
      </w:pPr>
      <w:r w:rsidRPr="00E95BC4">
        <w:rPr>
          <w:lang w:val="sr-Cyrl-CS"/>
        </w:rPr>
        <w:t>П</w:t>
      </w:r>
      <w:r w:rsidR="009A7DDB" w:rsidRPr="00E95BC4">
        <w:rPr>
          <w:lang w:val="sr-Cyrl-CS"/>
        </w:rPr>
        <w:t xml:space="preserve">роцена ризика од прања новца и </w:t>
      </w:r>
      <w:r w:rsidRPr="00E95BC4">
        <w:rPr>
          <w:lang w:val="sr-Cyrl-CS"/>
        </w:rPr>
        <w:t>П</w:t>
      </w:r>
      <w:r w:rsidR="009A7DDB" w:rsidRPr="00E95BC4">
        <w:rPr>
          <w:lang w:val="sr-Cyrl-CS"/>
        </w:rPr>
        <w:t>роцена ризика од финансирања тероризма, оба документа из 2018. године</w:t>
      </w:r>
      <w:r w:rsidR="008A65BD" w:rsidRPr="00E95BC4">
        <w:rPr>
          <w:lang w:val="sr-Cyrl-CS"/>
        </w:rPr>
        <w:t>;</w:t>
      </w:r>
      <w:r w:rsidR="006A53F2" w:rsidRPr="00E95BC4">
        <w:rPr>
          <w:rStyle w:val="FootnoteReference"/>
          <w:lang w:val="sr-Cyrl-CS"/>
        </w:rPr>
        <w:footnoteReference w:id="14"/>
      </w:r>
    </w:p>
    <w:p w:rsidR="009A7DDB" w:rsidRPr="00E95BC4" w:rsidRDefault="009A7DDB" w:rsidP="00285FD7">
      <w:pPr>
        <w:pStyle w:val="ListParagraph"/>
        <w:numPr>
          <w:ilvl w:val="0"/>
          <w:numId w:val="6"/>
        </w:numPr>
        <w:jc w:val="both"/>
        <w:rPr>
          <w:lang w:val="sr-Cyrl-CS"/>
        </w:rPr>
      </w:pPr>
      <w:r w:rsidRPr="00E95BC4">
        <w:rPr>
          <w:lang w:val="sr-Cyrl-CS"/>
        </w:rPr>
        <w:t>Извештај о спровођењу Акционог плана уз процене ризика</w:t>
      </w:r>
      <w:r w:rsidR="000B0BBF" w:rsidRPr="00E95BC4">
        <w:rPr>
          <w:lang w:val="sr-Cyrl-CS"/>
        </w:rPr>
        <w:t xml:space="preserve"> од прања новца и финансирања тероризма</w:t>
      </w:r>
      <w:r w:rsidR="00B02F59" w:rsidRPr="00E95BC4">
        <w:rPr>
          <w:lang w:val="sr-Cyrl-CS"/>
        </w:rPr>
        <w:t>;</w:t>
      </w:r>
    </w:p>
    <w:p w:rsidR="009A7DDB" w:rsidRPr="00E95BC4" w:rsidRDefault="009A7DDB" w:rsidP="00285FD7">
      <w:pPr>
        <w:pStyle w:val="ListParagraph"/>
        <w:numPr>
          <w:ilvl w:val="0"/>
          <w:numId w:val="6"/>
        </w:numPr>
        <w:jc w:val="both"/>
        <w:rPr>
          <w:lang w:val="sr-Cyrl-CS"/>
        </w:rPr>
      </w:pPr>
      <w:r w:rsidRPr="00E95BC4">
        <w:rPr>
          <w:lang w:val="sr-Cyrl-CS"/>
        </w:rPr>
        <w:t>Налази експерата који су по појединим питањима ангажовани у оквиру Пројекта за б</w:t>
      </w:r>
      <w:r w:rsidR="00AB4856">
        <w:rPr>
          <w:lang w:val="sr-Cyrl-CS"/>
        </w:rPr>
        <w:t>орбу против прања новца и финан</w:t>
      </w:r>
      <w:r w:rsidRPr="00E95BC4">
        <w:rPr>
          <w:lang w:val="sr-Cyrl-CS"/>
        </w:rPr>
        <w:t>сирања тероризма у Србији (ИПА 2015) и Пројекта за борбу против корупције у Србији (ИПА 2013)</w:t>
      </w:r>
      <w:r w:rsidR="00B02F59" w:rsidRPr="00E95BC4">
        <w:rPr>
          <w:lang w:val="sr-Cyrl-CS"/>
        </w:rPr>
        <w:t>;</w:t>
      </w:r>
    </w:p>
    <w:p w:rsidR="002374BA" w:rsidRPr="00E95BC4" w:rsidRDefault="002374BA" w:rsidP="002374BA">
      <w:pPr>
        <w:pStyle w:val="ListParagraph"/>
        <w:numPr>
          <w:ilvl w:val="0"/>
          <w:numId w:val="6"/>
        </w:numPr>
        <w:jc w:val="both"/>
        <w:rPr>
          <w:lang w:val="sr-Cyrl-CS"/>
        </w:rPr>
      </w:pPr>
      <w:r w:rsidRPr="00E95BC4">
        <w:rPr>
          <w:lang w:val="sr-Cyrl-CS"/>
        </w:rPr>
        <w:t>Дискусије и записници са седница Координациног тела за спречавање прања новца и финансирања тероризма;</w:t>
      </w:r>
    </w:p>
    <w:p w:rsidR="002374BA" w:rsidRPr="00E95BC4" w:rsidRDefault="002374BA" w:rsidP="002374BA">
      <w:pPr>
        <w:pStyle w:val="ListParagraph"/>
        <w:numPr>
          <w:ilvl w:val="0"/>
          <w:numId w:val="6"/>
        </w:numPr>
        <w:jc w:val="both"/>
        <w:rPr>
          <w:lang w:val="sr-Cyrl-CS"/>
        </w:rPr>
      </w:pPr>
      <w:r w:rsidRPr="00E95BC4">
        <w:rPr>
          <w:lang w:val="sr-Cyrl-CS"/>
        </w:rPr>
        <w:t>Дискусије и записници са седница Националног координационог тела за спречавање и борбу против тероризма;</w:t>
      </w:r>
    </w:p>
    <w:p w:rsidR="002374BA" w:rsidRPr="00E95BC4" w:rsidRDefault="002374BA" w:rsidP="002374BA">
      <w:pPr>
        <w:pStyle w:val="ListParagraph"/>
        <w:numPr>
          <w:ilvl w:val="0"/>
          <w:numId w:val="6"/>
        </w:numPr>
        <w:jc w:val="both"/>
        <w:rPr>
          <w:lang w:val="sr-Cyrl-CS"/>
        </w:rPr>
      </w:pPr>
      <w:r w:rsidRPr="00E95BC4">
        <w:rPr>
          <w:lang w:val="sr-Cyrl-CS"/>
        </w:rPr>
        <w:t>Годишњи извештаји о раду органа који учествују у систему борбе против прања новца и финансирања тероризма;</w:t>
      </w:r>
    </w:p>
    <w:p w:rsidR="002374BA" w:rsidRPr="00E95BC4" w:rsidRDefault="002374BA" w:rsidP="002374BA">
      <w:pPr>
        <w:pStyle w:val="ListParagraph"/>
        <w:numPr>
          <w:ilvl w:val="0"/>
          <w:numId w:val="6"/>
        </w:numPr>
        <w:jc w:val="both"/>
        <w:rPr>
          <w:lang w:val="sr-Cyrl-CS"/>
        </w:rPr>
      </w:pPr>
      <w:r w:rsidRPr="00E95BC4">
        <w:rPr>
          <w:lang w:val="sr-Cyrl-CS"/>
        </w:rPr>
        <w:t>Дискусије и расправе различитих стручних тимова и радних група које је формирао председник Координационог тела за спречавање прања новца и финансирања тероризма и у оквиру међународне сарадње (нпр. ОЕБС, OPDAT)</w:t>
      </w:r>
      <w:r w:rsidR="0070378D">
        <w:rPr>
          <w:lang w:val="sr-Cyrl-CS"/>
        </w:rPr>
        <w:t>.</w:t>
      </w:r>
      <w:r w:rsidRPr="00E95BC4">
        <w:rPr>
          <w:lang w:val="sr-Cyrl-CS"/>
        </w:rPr>
        <w:t xml:space="preserve"> </w:t>
      </w:r>
    </w:p>
    <w:p w:rsidR="0004492D" w:rsidRPr="00E95BC4" w:rsidRDefault="0004492D" w:rsidP="00285FD7">
      <w:pPr>
        <w:ind w:firstLine="720"/>
        <w:jc w:val="both"/>
        <w:rPr>
          <w:b/>
          <w:lang w:val="sr-Cyrl-CS"/>
        </w:rPr>
      </w:pPr>
    </w:p>
    <w:p w:rsidR="006C3281" w:rsidRPr="00E95BC4" w:rsidRDefault="006A53F2" w:rsidP="00285FD7">
      <w:pPr>
        <w:ind w:firstLine="720"/>
        <w:jc w:val="both"/>
        <w:rPr>
          <w:lang w:val="sr-Cyrl-CS"/>
        </w:rPr>
      </w:pPr>
      <w:r w:rsidRPr="00E95BC4">
        <w:rPr>
          <w:b/>
          <w:lang w:val="sr-Cyrl-CS"/>
        </w:rPr>
        <w:lastRenderedPageBreak/>
        <w:t xml:space="preserve">Кључни извор 1: </w:t>
      </w:r>
      <w:r w:rsidR="0034189E" w:rsidRPr="00E95BC4">
        <w:rPr>
          <w:lang w:val="sr-Cyrl-CS"/>
        </w:rPr>
        <w:t xml:space="preserve">Најцеловитију анализу стања система за борбу против прања новца, финансирања тероризма и финансирања ширења оружја за масовно уништење у Републици Србији </w:t>
      </w:r>
      <w:r w:rsidR="006C3281" w:rsidRPr="00E95BC4">
        <w:rPr>
          <w:lang w:val="sr-Cyrl-CS"/>
        </w:rPr>
        <w:t xml:space="preserve">дат је у оквиру процеса </w:t>
      </w:r>
      <w:r w:rsidR="006C3281" w:rsidRPr="00E95BC4">
        <w:rPr>
          <w:b/>
          <w:lang w:val="sr-Cyrl-CS"/>
        </w:rPr>
        <w:t>узајамне евалуације</w:t>
      </w:r>
      <w:r w:rsidR="0034189E" w:rsidRPr="00E95BC4">
        <w:rPr>
          <w:b/>
          <w:lang w:val="sr-Cyrl-CS"/>
        </w:rPr>
        <w:t xml:space="preserve"> Републике Србије </w:t>
      </w:r>
      <w:r w:rsidR="006C3281" w:rsidRPr="00E95BC4">
        <w:rPr>
          <w:b/>
          <w:lang w:val="sr-Cyrl-CS"/>
        </w:rPr>
        <w:t>од стране Манивала</w:t>
      </w:r>
      <w:r w:rsidR="006C3281" w:rsidRPr="00E95BC4">
        <w:rPr>
          <w:lang w:val="sr-Cyrl-CS"/>
        </w:rPr>
        <w:t xml:space="preserve"> и то кроз Извештај о узајамној евалуацији и потоње извештаје о напретку на испуњавању препорука Манивала.</w:t>
      </w:r>
      <w:r w:rsidRPr="00E95BC4">
        <w:rPr>
          <w:lang w:val="sr-Cyrl-CS"/>
        </w:rPr>
        <w:t xml:space="preserve"> </w:t>
      </w:r>
      <w:r w:rsidR="006C3281" w:rsidRPr="00E95BC4">
        <w:rPr>
          <w:lang w:val="sr-Cyrl-CS"/>
        </w:rPr>
        <w:t>Манивал анализира стање и даје препоруке за унапређење стања на нивоу техничке усклађености (усклађеност са конкретним критеријумима свих 40 препорука ФАТФ) и на нивоу делотворности (ефективности) система, све у складу са Методологијом ФАТФ.</w:t>
      </w:r>
      <w:r w:rsidR="006C15FB" w:rsidRPr="00E95BC4">
        <w:rPr>
          <w:rStyle w:val="FootnoteReference"/>
          <w:lang w:val="sr-Cyrl-CS"/>
        </w:rPr>
        <w:footnoteReference w:id="15"/>
      </w:r>
    </w:p>
    <w:p w:rsidR="006C3281" w:rsidRPr="00E95BC4" w:rsidRDefault="006A53F2" w:rsidP="00285FD7">
      <w:pPr>
        <w:ind w:firstLine="720"/>
        <w:jc w:val="both"/>
        <w:rPr>
          <w:lang w:val="sr-Cyrl-CS"/>
        </w:rPr>
      </w:pPr>
      <w:r w:rsidRPr="00E95BC4">
        <w:rPr>
          <w:b/>
          <w:lang w:val="sr-Cyrl-CS"/>
        </w:rPr>
        <w:t xml:space="preserve">Кључни извор 2: </w:t>
      </w:r>
      <w:r w:rsidR="006C15FB" w:rsidRPr="00E95BC4">
        <w:rPr>
          <w:lang w:val="sr-Cyrl-CS"/>
        </w:rPr>
        <w:t>Други по значају процес (</w:t>
      </w:r>
      <w:r w:rsidR="00903B60" w:rsidRPr="00E95BC4">
        <w:rPr>
          <w:lang w:val="sr-Cyrl-CS"/>
        </w:rPr>
        <w:t xml:space="preserve">и </w:t>
      </w:r>
      <w:r w:rsidR="006C15FB" w:rsidRPr="00E95BC4">
        <w:rPr>
          <w:lang w:val="sr-Cyrl-CS"/>
        </w:rPr>
        <w:t xml:space="preserve">документ) који упућује на правце кретања система јесте </w:t>
      </w:r>
      <w:r w:rsidR="006C15FB" w:rsidRPr="00E95BC4">
        <w:rPr>
          <w:b/>
          <w:lang w:val="sr-Cyrl-CS"/>
        </w:rPr>
        <w:t>национална процена ризика</w:t>
      </w:r>
      <w:r w:rsidR="006C15FB" w:rsidRPr="00E95BC4">
        <w:rPr>
          <w:lang w:val="sr-Cyrl-CS"/>
        </w:rPr>
        <w:t>. У националној процени ризика се утврђују претње по систем и његове слабости (рањивост) на основу чега се извлаче закључци у погледу ризика за различите делове система.</w:t>
      </w:r>
      <w:r w:rsidR="006C15FB" w:rsidRPr="00E95BC4">
        <w:rPr>
          <w:rStyle w:val="FootnoteReference"/>
          <w:lang w:val="sr-Cyrl-CS"/>
        </w:rPr>
        <w:footnoteReference w:id="16"/>
      </w:r>
    </w:p>
    <w:p w:rsidR="006C15FB" w:rsidRPr="00E95BC4" w:rsidRDefault="002F2585" w:rsidP="00285FD7">
      <w:pPr>
        <w:ind w:firstLine="720"/>
        <w:jc w:val="both"/>
        <w:rPr>
          <w:lang w:val="sr-Cyrl-CS"/>
        </w:rPr>
      </w:pPr>
      <w:r w:rsidRPr="00E95BC4">
        <w:rPr>
          <w:b/>
          <w:lang w:val="sr-Cyrl-CS"/>
        </w:rPr>
        <w:t xml:space="preserve">Евалуација Манивала и </w:t>
      </w:r>
      <w:r w:rsidR="00BD0633" w:rsidRPr="00E95BC4">
        <w:rPr>
          <w:b/>
          <w:lang w:val="sr-Cyrl-CS"/>
        </w:rPr>
        <w:t>национална п</w:t>
      </w:r>
      <w:r w:rsidRPr="00E95BC4">
        <w:rPr>
          <w:b/>
          <w:lang w:val="sr-Cyrl-CS"/>
        </w:rPr>
        <w:t>роцена ризика</w:t>
      </w:r>
      <w:r w:rsidRPr="00E95BC4">
        <w:rPr>
          <w:lang w:val="sr-Cyrl-CS"/>
        </w:rPr>
        <w:t>. Пр</w:t>
      </w:r>
      <w:r w:rsidR="006C15FB" w:rsidRPr="00E95BC4">
        <w:rPr>
          <w:lang w:val="sr-Cyrl-CS"/>
        </w:rPr>
        <w:t xml:space="preserve">епоруке Манивала држави </w:t>
      </w:r>
      <w:r w:rsidRPr="00E95BC4">
        <w:rPr>
          <w:lang w:val="sr-Cyrl-CS"/>
        </w:rPr>
        <w:t>су битне због међународно преузетих обавеза кроз чланства у конвенцијама, Савету Европе, Уједињеним нацијама</w:t>
      </w:r>
      <w:r w:rsidR="0008634A">
        <w:t>,</w:t>
      </w:r>
      <w:r w:rsidRPr="00E95BC4">
        <w:rPr>
          <w:lang w:val="sr-Cyrl-CS"/>
        </w:rPr>
        <w:t xml:space="preserve"> а ради предузимања активности у циљу усклађивања </w:t>
      </w:r>
      <w:r w:rsidR="006C15FB" w:rsidRPr="00E95BC4">
        <w:rPr>
          <w:lang w:val="sr-Cyrl-CS"/>
        </w:rPr>
        <w:t>са међународним стандардима</w:t>
      </w:r>
      <w:r w:rsidRPr="00E95BC4">
        <w:rPr>
          <w:lang w:val="sr-Cyrl-CS"/>
        </w:rPr>
        <w:t xml:space="preserve"> у овој области. П</w:t>
      </w:r>
      <w:r w:rsidR="006C15FB" w:rsidRPr="00E95BC4">
        <w:rPr>
          <w:lang w:val="sr-Cyrl-CS"/>
        </w:rPr>
        <w:t xml:space="preserve">репоруке до којих се дође у оквиру процеса националне процене ризика </w:t>
      </w:r>
      <w:r w:rsidR="006A53F2" w:rsidRPr="00E95BC4">
        <w:rPr>
          <w:lang w:val="sr-Cyrl-CS"/>
        </w:rPr>
        <w:t xml:space="preserve">битне </w:t>
      </w:r>
      <w:r w:rsidRPr="00E95BC4">
        <w:rPr>
          <w:lang w:val="sr-Cyrl-CS"/>
        </w:rPr>
        <w:t xml:space="preserve">су, условно речено, на локалном нивоу тј. </w:t>
      </w:r>
      <w:r w:rsidR="006C15FB" w:rsidRPr="00E95BC4">
        <w:rPr>
          <w:lang w:val="sr-Cyrl-CS"/>
        </w:rPr>
        <w:t xml:space="preserve">за </w:t>
      </w:r>
      <w:r w:rsidR="006A53F2" w:rsidRPr="00E95BC4">
        <w:rPr>
          <w:lang w:val="sr-Cyrl-CS"/>
        </w:rPr>
        <w:t>успешан одговор самих органа који учествују у борби</w:t>
      </w:r>
      <w:r w:rsidR="006C15FB" w:rsidRPr="00E95BC4">
        <w:rPr>
          <w:lang w:val="sr-Cyrl-CS"/>
        </w:rPr>
        <w:t xml:space="preserve"> против прања новца и финансирања тероризма </w:t>
      </w:r>
      <w:r w:rsidR="006A53F2" w:rsidRPr="00E95BC4">
        <w:rPr>
          <w:lang w:val="sr-Cyrl-CS"/>
        </w:rPr>
        <w:t xml:space="preserve">на конкретне претње и рањивости </w:t>
      </w:r>
      <w:r w:rsidRPr="00E95BC4">
        <w:rPr>
          <w:lang w:val="sr-Cyrl-CS"/>
        </w:rPr>
        <w:t xml:space="preserve">које су препознате у држави, а </w:t>
      </w:r>
      <w:r w:rsidR="006C15FB" w:rsidRPr="00E95BC4">
        <w:rPr>
          <w:lang w:val="sr-Cyrl-CS"/>
        </w:rPr>
        <w:t>кроз предузимање мера за уб</w:t>
      </w:r>
      <w:r w:rsidRPr="00E95BC4">
        <w:rPr>
          <w:lang w:val="sr-Cyrl-CS"/>
        </w:rPr>
        <w:t>лажавање уочених ризика. Иначе, спровођење националне процене ризика представља и један од међународних стандарда (тј. препорука) у овој области.</w:t>
      </w:r>
    </w:p>
    <w:p w:rsidR="00281A15" w:rsidRPr="00E95BC4" w:rsidRDefault="00EF185F" w:rsidP="00285FD7">
      <w:pPr>
        <w:ind w:firstLine="720"/>
        <w:jc w:val="both"/>
        <w:rPr>
          <w:lang w:val="sr-Cyrl-CS"/>
        </w:rPr>
      </w:pPr>
      <w:r w:rsidRPr="00E95BC4">
        <w:rPr>
          <w:b/>
          <w:lang w:val="sr-Cyrl-CS"/>
        </w:rPr>
        <w:t xml:space="preserve">Стање усклађености на техничком нивоу. </w:t>
      </w:r>
      <w:r w:rsidR="00281A15" w:rsidRPr="00E95BC4">
        <w:rPr>
          <w:lang w:val="sr-Cyrl-CS"/>
        </w:rPr>
        <w:t xml:space="preserve">Манивал је у свом извештају идентификовао препоруке за унапређење стања на нивоу </w:t>
      </w:r>
      <w:r w:rsidR="00BD0633" w:rsidRPr="00E95BC4">
        <w:rPr>
          <w:lang w:val="sr-Cyrl-CS"/>
        </w:rPr>
        <w:t xml:space="preserve">техничке усклађености </w:t>
      </w:r>
      <w:r w:rsidR="00281A15" w:rsidRPr="00E95BC4">
        <w:rPr>
          <w:lang w:val="sr-Cyrl-CS"/>
        </w:rPr>
        <w:t>и на нивоу делотворности. Што се тиче техничке усклађености, према правилима, по истеку 3. године од усвајања извештаја о узајамној евалуацији, д</w:t>
      </w:r>
      <w:r w:rsidR="00986E93" w:rsidRPr="00E95BC4">
        <w:rPr>
          <w:lang w:val="sr-Cyrl-CS"/>
        </w:rPr>
        <w:t>ржава мора да буде (као минимум</w:t>
      </w:r>
      <w:r w:rsidR="00281A15" w:rsidRPr="00E95BC4">
        <w:rPr>
          <w:lang w:val="sr-Cyrl-CS"/>
        </w:rPr>
        <w:t xml:space="preserve"> у великој мери) усклађена са </w:t>
      </w:r>
      <w:r w:rsidR="00281A15" w:rsidRPr="00E95BC4">
        <w:rPr>
          <w:i/>
          <w:lang w:val="sr-Cyrl-CS"/>
        </w:rPr>
        <w:t>већином, ако не и свим</w:t>
      </w:r>
      <w:r w:rsidR="00281A15" w:rsidRPr="00E95BC4">
        <w:rPr>
          <w:lang w:val="sr-Cyrl-CS"/>
        </w:rPr>
        <w:t xml:space="preserve">, препорукама ФАТФ. У Другом извештају о појачаном праћењу </w:t>
      </w:r>
      <w:r w:rsidR="003067CB" w:rsidRPr="00E95BC4">
        <w:rPr>
          <w:lang w:val="sr-Cyrl-CS"/>
        </w:rPr>
        <w:t xml:space="preserve">Републике </w:t>
      </w:r>
      <w:r w:rsidR="00281A15" w:rsidRPr="00E95BC4">
        <w:rPr>
          <w:lang w:val="sr-Cyrl-CS"/>
        </w:rPr>
        <w:t>Србије из децембра 2018</w:t>
      </w:r>
      <w:r w:rsidR="0070378D" w:rsidRPr="00E95BC4">
        <w:rPr>
          <w:lang w:val="sr-Cyrl-CS"/>
        </w:rPr>
        <w:t>. године</w:t>
      </w:r>
      <w:r w:rsidR="00281A15" w:rsidRPr="00E95BC4">
        <w:rPr>
          <w:lang w:val="sr-Cyrl-CS"/>
        </w:rPr>
        <w:t>, Манивал је констатовао да је</w:t>
      </w:r>
      <w:r w:rsidR="004A6FEC" w:rsidRPr="00E95BC4">
        <w:rPr>
          <w:lang w:val="sr-Cyrl-CS"/>
        </w:rPr>
        <w:t xml:space="preserve"> Република</w:t>
      </w:r>
      <w:r w:rsidR="00281A15" w:rsidRPr="00E95BC4">
        <w:rPr>
          <w:lang w:val="sr-Cyrl-CS"/>
        </w:rPr>
        <w:t xml:space="preserve"> Србија напредовала у техничкој усклађености и повећао оцене </w:t>
      </w:r>
      <w:r w:rsidR="00986E93" w:rsidRPr="00E95BC4">
        <w:rPr>
          <w:lang w:val="sr-Cyrl-CS"/>
        </w:rPr>
        <w:t xml:space="preserve">у односу </w:t>
      </w:r>
      <w:r w:rsidR="00281A15" w:rsidRPr="00E95BC4">
        <w:rPr>
          <w:lang w:val="sr-Cyrl-CS"/>
        </w:rPr>
        <w:t>на 10 од 17 препорука ФАТФ које су у Извешта</w:t>
      </w:r>
      <w:r w:rsidR="007400BE">
        <w:rPr>
          <w:lang w:val="sr-Cyrl-CS"/>
        </w:rPr>
        <w:t>ју о узајамној евалуацији 2016.</w:t>
      </w:r>
      <w:r w:rsidR="007400BE" w:rsidRPr="00E95BC4">
        <w:rPr>
          <w:lang w:val="sr-Cyrl-CS"/>
        </w:rPr>
        <w:t xml:space="preserve"> године </w:t>
      </w:r>
      <w:r w:rsidR="00281A15" w:rsidRPr="00E95BC4">
        <w:rPr>
          <w:lang w:val="sr-Cyrl-CS"/>
        </w:rPr>
        <w:t xml:space="preserve">биле оцењене оценом </w:t>
      </w:r>
      <w:r w:rsidR="00281A15" w:rsidRPr="00E95BC4">
        <w:rPr>
          <w:i/>
          <w:lang w:val="sr-Cyrl-CS"/>
        </w:rPr>
        <w:t>не</w:t>
      </w:r>
      <w:r w:rsidR="00D80C14">
        <w:rPr>
          <w:i/>
          <w:lang w:val="sr-Cyrl-CS"/>
        </w:rPr>
        <w:t>ус</w:t>
      </w:r>
      <w:r w:rsidR="00281A15" w:rsidRPr="00E95BC4">
        <w:rPr>
          <w:i/>
          <w:lang w:val="sr-Cyrl-CS"/>
        </w:rPr>
        <w:t xml:space="preserve">клађен </w:t>
      </w:r>
      <w:r w:rsidR="00281A15" w:rsidRPr="00E95BC4">
        <w:rPr>
          <w:lang w:val="sr-Cyrl-CS"/>
        </w:rPr>
        <w:t xml:space="preserve">или </w:t>
      </w:r>
      <w:r w:rsidR="00281A15" w:rsidRPr="00E95BC4">
        <w:rPr>
          <w:i/>
          <w:lang w:val="sr-Cyrl-CS"/>
        </w:rPr>
        <w:t xml:space="preserve">делимично усклађен. </w:t>
      </w:r>
      <w:r w:rsidR="00281A15" w:rsidRPr="00E95BC4">
        <w:rPr>
          <w:lang w:val="sr-Cyrl-CS"/>
        </w:rPr>
        <w:t xml:space="preserve">У децембру 2019. године, Манивал је на бази достављених информација о напретку, повећао оцене </w:t>
      </w:r>
      <w:r w:rsidR="00986E93" w:rsidRPr="00E95BC4">
        <w:rPr>
          <w:lang w:val="sr-Cyrl-CS"/>
        </w:rPr>
        <w:t>у односу на</w:t>
      </w:r>
      <w:r w:rsidR="00281A15" w:rsidRPr="00E95BC4">
        <w:rPr>
          <w:lang w:val="sr-Cyrl-CS"/>
        </w:rPr>
        <w:t xml:space="preserve"> још три препоруке </w:t>
      </w:r>
      <w:r w:rsidR="00986E93" w:rsidRPr="00E95BC4">
        <w:rPr>
          <w:lang w:val="sr-Cyrl-CS"/>
        </w:rPr>
        <w:t>ФАТФ</w:t>
      </w:r>
      <w:r w:rsidR="00281A15" w:rsidRPr="00E95BC4">
        <w:rPr>
          <w:lang w:val="sr-Cyrl-CS"/>
        </w:rPr>
        <w:t xml:space="preserve">. Од свих замерки </w:t>
      </w:r>
      <w:r w:rsidR="00986E93" w:rsidRPr="00E95BC4">
        <w:rPr>
          <w:lang w:val="sr-Cyrl-CS"/>
        </w:rPr>
        <w:t>које се односе на усклађеност</w:t>
      </w:r>
      <w:r w:rsidR="00281A15" w:rsidRPr="00E95BC4">
        <w:rPr>
          <w:lang w:val="sr-Cyrl-CS"/>
        </w:rPr>
        <w:t xml:space="preserve"> </w:t>
      </w:r>
      <w:r w:rsidR="00986E93" w:rsidRPr="00E95BC4">
        <w:rPr>
          <w:lang w:val="sr-Cyrl-CS"/>
        </w:rPr>
        <w:t xml:space="preserve">на техничком нивоу </w:t>
      </w:r>
      <w:r w:rsidR="00281A15" w:rsidRPr="00E95BC4">
        <w:rPr>
          <w:lang w:val="sr-Cyrl-CS"/>
        </w:rPr>
        <w:t xml:space="preserve">из 2016. године, са стањем из децембра 2019. године, </w:t>
      </w:r>
      <w:r w:rsidR="00AC11E9" w:rsidRPr="00E95BC4">
        <w:rPr>
          <w:lang w:val="sr-Cyrl-CS"/>
        </w:rPr>
        <w:t>Манивал треба да верификује напредак Републике Србије</w:t>
      </w:r>
      <w:r w:rsidR="00281A15" w:rsidRPr="00E95BC4">
        <w:rPr>
          <w:lang w:val="sr-Cyrl-CS"/>
        </w:rPr>
        <w:t xml:space="preserve"> </w:t>
      </w:r>
      <w:r w:rsidR="00AC11E9" w:rsidRPr="00E95BC4">
        <w:rPr>
          <w:lang w:val="sr-Cyrl-CS"/>
        </w:rPr>
        <w:t xml:space="preserve">у погледу усклађености </w:t>
      </w:r>
      <w:r w:rsidR="00281A15" w:rsidRPr="00E95BC4">
        <w:rPr>
          <w:lang w:val="sr-Cyrl-CS"/>
        </w:rPr>
        <w:t xml:space="preserve">са преостале четири препоруке ФАТФ. Те четири препоруке се односе на одредбе које се тичу обавеза примене Закона о спречавању прања новца и финансирања тероризма од стране адвоката и јавних бележника (препоруке 22 и 23 ФАТФ), одредбе о правилима </w:t>
      </w:r>
      <w:r w:rsidR="00281A15" w:rsidRPr="00E95BC4">
        <w:rPr>
          <w:i/>
          <w:lang w:val="sr-Cyrl-CS"/>
        </w:rPr>
        <w:t>стручности и подобности</w:t>
      </w:r>
      <w:r w:rsidR="00350767" w:rsidRPr="00E95BC4">
        <w:rPr>
          <w:i/>
          <w:lang w:val="sr-Cyrl-CS"/>
        </w:rPr>
        <w:t xml:space="preserve"> у нефинансијском сектору</w:t>
      </w:r>
      <w:r w:rsidR="00281A15" w:rsidRPr="00E95BC4">
        <w:rPr>
          <w:lang w:val="sr-Cyrl-CS"/>
        </w:rPr>
        <w:t xml:space="preserve"> (</w:t>
      </w:r>
      <w:r w:rsidR="00281A15" w:rsidRPr="00E95BC4">
        <w:rPr>
          <w:i/>
          <w:lang w:val="sr-Cyrl-CS"/>
        </w:rPr>
        <w:t>fit and proper</w:t>
      </w:r>
      <w:r w:rsidR="00281A15" w:rsidRPr="00E95BC4">
        <w:rPr>
          <w:lang w:val="sr-Cyrl-CS"/>
        </w:rPr>
        <w:t xml:space="preserve">) у више секторских закона </w:t>
      </w:r>
      <w:r w:rsidR="00271782" w:rsidRPr="00E95BC4">
        <w:rPr>
          <w:lang w:val="sr-Cyrl-CS"/>
        </w:rPr>
        <w:t xml:space="preserve">(о играма на срећу, посредовању у промету непокретности, рачуноводству), као и одредбе о овлашћењима надзорних органа по Закону о спречавању прања новца и финансирања тероризма у међународној сарадњи и размени информација. </w:t>
      </w:r>
    </w:p>
    <w:p w:rsidR="002458E9" w:rsidRPr="00E95BC4" w:rsidRDefault="002458E9" w:rsidP="00285FD7">
      <w:pPr>
        <w:ind w:firstLine="720"/>
        <w:jc w:val="both"/>
        <w:rPr>
          <w:lang w:val="sr-Cyrl-CS"/>
        </w:rPr>
      </w:pPr>
    </w:p>
    <w:p w:rsidR="0004492D" w:rsidRPr="00E95BC4" w:rsidRDefault="0004492D" w:rsidP="00285FD7">
      <w:pPr>
        <w:ind w:firstLine="720"/>
        <w:jc w:val="both"/>
        <w:rPr>
          <w:lang w:val="sr-Cyrl-CS"/>
        </w:rPr>
      </w:pP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tblPr>
      <w:tblGrid>
        <w:gridCol w:w="4395"/>
        <w:gridCol w:w="283"/>
        <w:gridCol w:w="4536"/>
      </w:tblGrid>
      <w:tr w:rsidR="0020533F" w:rsidRPr="00E95BC4" w:rsidTr="00EF185F">
        <w:tc>
          <w:tcPr>
            <w:tcW w:w="4395" w:type="dxa"/>
          </w:tcPr>
          <w:p w:rsidR="0020533F" w:rsidRPr="00E95BC4" w:rsidRDefault="0020533F" w:rsidP="00285FD7">
            <w:pPr>
              <w:jc w:val="center"/>
              <w:rPr>
                <w:b/>
                <w:lang w:val="sr-Cyrl-CS"/>
              </w:rPr>
            </w:pPr>
            <w:r w:rsidRPr="00E95BC4">
              <w:rPr>
                <w:b/>
                <w:lang w:val="sr-Cyrl-CS"/>
              </w:rPr>
              <w:lastRenderedPageBreak/>
              <w:t>Препорука ФАТФ</w:t>
            </w:r>
          </w:p>
        </w:tc>
        <w:tc>
          <w:tcPr>
            <w:tcW w:w="283" w:type="dxa"/>
          </w:tcPr>
          <w:p w:rsidR="0020533F" w:rsidRPr="00E95BC4" w:rsidRDefault="0020533F" w:rsidP="00285FD7">
            <w:pPr>
              <w:jc w:val="center"/>
              <w:rPr>
                <w:b/>
                <w:lang w:val="sr-Cyrl-CS"/>
              </w:rPr>
            </w:pPr>
          </w:p>
        </w:tc>
        <w:tc>
          <w:tcPr>
            <w:tcW w:w="4536" w:type="dxa"/>
          </w:tcPr>
          <w:p w:rsidR="0020533F" w:rsidRPr="00E95BC4" w:rsidRDefault="0020533F" w:rsidP="00285FD7">
            <w:pPr>
              <w:jc w:val="center"/>
              <w:rPr>
                <w:b/>
                <w:lang w:val="sr-Cyrl-CS"/>
              </w:rPr>
            </w:pPr>
            <w:r w:rsidRPr="00E95BC4">
              <w:rPr>
                <w:b/>
                <w:lang w:val="sr-Cyrl-CS"/>
              </w:rPr>
              <w:t>Констатоване замерке</w:t>
            </w:r>
          </w:p>
        </w:tc>
      </w:tr>
      <w:tr w:rsidR="0020533F" w:rsidRPr="00E95BC4" w:rsidTr="00EF185F">
        <w:tc>
          <w:tcPr>
            <w:tcW w:w="4395" w:type="dxa"/>
          </w:tcPr>
          <w:p w:rsidR="0020533F" w:rsidRPr="00E95BC4" w:rsidRDefault="0020533F" w:rsidP="00285FD7">
            <w:pPr>
              <w:rPr>
                <w:lang w:val="sr-Cyrl-CS"/>
              </w:rPr>
            </w:pPr>
            <w:r w:rsidRPr="00E95BC4">
              <w:rPr>
                <w:b/>
                <w:lang w:val="sr-Cyrl-CS"/>
              </w:rPr>
              <w:t>Препорука 22:</w:t>
            </w:r>
            <w:r w:rsidRPr="00E95BC4">
              <w:rPr>
                <w:lang w:val="sr-Cyrl-CS"/>
              </w:rPr>
              <w:t xml:space="preserve"> Одређена правна и физичка лица ван финансијског сектора (DNFBPs): Радње и мере познавања и праћења странке</w:t>
            </w:r>
          </w:p>
        </w:tc>
        <w:tc>
          <w:tcPr>
            <w:tcW w:w="283" w:type="dxa"/>
          </w:tcPr>
          <w:p w:rsidR="0020533F" w:rsidRPr="00E95BC4" w:rsidRDefault="0020533F" w:rsidP="00285FD7">
            <w:pPr>
              <w:rPr>
                <w:lang w:val="sr-Cyrl-CS"/>
              </w:rPr>
            </w:pPr>
          </w:p>
        </w:tc>
        <w:tc>
          <w:tcPr>
            <w:tcW w:w="4536" w:type="dxa"/>
          </w:tcPr>
          <w:p w:rsidR="0020533F" w:rsidRPr="00E95BC4" w:rsidRDefault="0020533F" w:rsidP="00285FD7">
            <w:pPr>
              <w:rPr>
                <w:lang w:val="sr-Cyrl-CS"/>
              </w:rPr>
            </w:pPr>
            <w:r w:rsidRPr="00E95BC4">
              <w:rPr>
                <w:lang w:val="sr-Cyrl-CS"/>
              </w:rPr>
              <w:t xml:space="preserve">Недостаци констатовани у оквиру препорука 10, 11, 12, 15 и 17 се односе на усклађеност са Препоруком 22. </w:t>
            </w:r>
          </w:p>
        </w:tc>
      </w:tr>
      <w:tr w:rsidR="0020533F" w:rsidRPr="00E95BC4" w:rsidTr="00EF185F">
        <w:tc>
          <w:tcPr>
            <w:tcW w:w="4395" w:type="dxa"/>
          </w:tcPr>
          <w:p w:rsidR="0020533F" w:rsidRPr="00E95BC4" w:rsidRDefault="0020533F" w:rsidP="00285FD7">
            <w:pPr>
              <w:rPr>
                <w:lang w:val="sr-Cyrl-CS"/>
              </w:rPr>
            </w:pPr>
            <w:r w:rsidRPr="00E95BC4">
              <w:rPr>
                <w:b/>
                <w:lang w:val="sr-Cyrl-CS"/>
              </w:rPr>
              <w:t>Препорука 23</w:t>
            </w:r>
            <w:r w:rsidR="00EF185F" w:rsidRPr="00E95BC4">
              <w:rPr>
                <w:b/>
                <w:lang w:val="sr-Cyrl-CS"/>
              </w:rPr>
              <w:t>:</w:t>
            </w:r>
            <w:r w:rsidRPr="00E95BC4">
              <w:rPr>
                <w:lang w:val="sr-Cyrl-CS"/>
              </w:rPr>
              <w:t xml:space="preserve"> Одређена правна и физичка лица ван финансијског сектора (DNFBPs): Друге мере</w:t>
            </w:r>
          </w:p>
        </w:tc>
        <w:tc>
          <w:tcPr>
            <w:tcW w:w="283" w:type="dxa"/>
          </w:tcPr>
          <w:p w:rsidR="0020533F" w:rsidRPr="00E95BC4" w:rsidRDefault="0020533F" w:rsidP="00285FD7">
            <w:pPr>
              <w:rPr>
                <w:lang w:val="sr-Cyrl-CS"/>
              </w:rPr>
            </w:pPr>
          </w:p>
        </w:tc>
        <w:tc>
          <w:tcPr>
            <w:tcW w:w="4536" w:type="dxa"/>
          </w:tcPr>
          <w:p w:rsidR="0020533F" w:rsidRPr="00E95BC4" w:rsidRDefault="0020533F" w:rsidP="00285FD7">
            <w:pPr>
              <w:rPr>
                <w:lang w:val="sr-Cyrl-CS"/>
              </w:rPr>
            </w:pPr>
            <w:r w:rsidRPr="00E95BC4">
              <w:rPr>
                <w:lang w:val="sr-Cyrl-CS"/>
              </w:rPr>
              <w:t>Недостаци констатовани у оквиру препорука 18 и 19 се односе и на усклађеност са Препоруком 23.</w:t>
            </w:r>
          </w:p>
        </w:tc>
      </w:tr>
      <w:tr w:rsidR="0020533F" w:rsidRPr="00E95BC4" w:rsidTr="00EF185F">
        <w:tc>
          <w:tcPr>
            <w:tcW w:w="4395" w:type="dxa"/>
          </w:tcPr>
          <w:p w:rsidR="0020533F" w:rsidRPr="00E95BC4" w:rsidRDefault="0020533F" w:rsidP="00285FD7">
            <w:pPr>
              <w:rPr>
                <w:lang w:val="sr-Cyrl-CS"/>
              </w:rPr>
            </w:pPr>
            <w:r w:rsidRPr="00E95BC4">
              <w:rPr>
                <w:b/>
                <w:lang w:val="sr-Cyrl-CS"/>
              </w:rPr>
              <w:t>Препорука 2</w:t>
            </w:r>
            <w:r w:rsidR="00EF185F" w:rsidRPr="00E95BC4">
              <w:rPr>
                <w:b/>
                <w:lang w:val="sr-Cyrl-CS"/>
              </w:rPr>
              <w:t>8:</w:t>
            </w:r>
            <w:r w:rsidR="00EF185F" w:rsidRPr="00E95BC4">
              <w:rPr>
                <w:lang w:val="sr-Cyrl-CS"/>
              </w:rPr>
              <w:t xml:space="preserve"> </w:t>
            </w:r>
            <w:r w:rsidRPr="00E95BC4">
              <w:rPr>
                <w:lang w:val="sr-Cyrl-CS"/>
              </w:rPr>
              <w:t xml:space="preserve">Регулација и надзор над одређеним правним и физичким лицима ван финансијског сектора </w:t>
            </w:r>
          </w:p>
        </w:tc>
        <w:tc>
          <w:tcPr>
            <w:tcW w:w="283" w:type="dxa"/>
          </w:tcPr>
          <w:p w:rsidR="0020533F" w:rsidRPr="00E95BC4" w:rsidRDefault="0020533F" w:rsidP="00285FD7">
            <w:pPr>
              <w:rPr>
                <w:lang w:val="sr-Cyrl-CS"/>
              </w:rPr>
            </w:pPr>
          </w:p>
        </w:tc>
        <w:tc>
          <w:tcPr>
            <w:tcW w:w="4536" w:type="dxa"/>
          </w:tcPr>
          <w:p w:rsidR="0020533F" w:rsidRPr="00E95BC4" w:rsidRDefault="0020533F" w:rsidP="00285FD7">
            <w:pPr>
              <w:rPr>
                <w:lang w:val="sr-Cyrl-CS"/>
              </w:rPr>
            </w:pPr>
            <w:r w:rsidRPr="00E95BC4">
              <w:rPr>
                <w:lang w:val="sr-Cyrl-CS"/>
              </w:rPr>
              <w:t xml:space="preserve">Не постоји обавеза лиценцирања рачуновођа; </w:t>
            </w:r>
          </w:p>
          <w:p w:rsidR="0020533F" w:rsidRPr="00E95BC4" w:rsidRDefault="0020533F" w:rsidP="00285FD7">
            <w:pPr>
              <w:rPr>
                <w:lang w:val="sr-Cyrl-CS"/>
              </w:rPr>
            </w:pPr>
            <w:r w:rsidRPr="00E95BC4">
              <w:rPr>
                <w:lang w:val="sr-Cyrl-CS"/>
              </w:rPr>
              <w:t xml:space="preserve">Нејасноће у погледу овлашћења Адвокатске коморе </w:t>
            </w:r>
            <w:r w:rsidR="00851393">
              <w:rPr>
                <w:lang w:val="sr-Cyrl-CS"/>
              </w:rPr>
              <w:t xml:space="preserve">Србије </w:t>
            </w:r>
            <w:r w:rsidRPr="00E95BC4">
              <w:rPr>
                <w:lang w:val="sr-Cyrl-CS"/>
              </w:rPr>
              <w:t>да у пр</w:t>
            </w:r>
            <w:r w:rsidR="00851393">
              <w:rPr>
                <w:lang w:val="sr-Cyrl-CS"/>
              </w:rPr>
              <w:t>акси врши надзор над адвокатима</w:t>
            </w:r>
            <w:r w:rsidR="008A65BD" w:rsidRPr="00E95BC4">
              <w:rPr>
                <w:lang w:val="sr-Cyrl-CS"/>
              </w:rPr>
              <w:t>;</w:t>
            </w:r>
          </w:p>
          <w:p w:rsidR="0020533F" w:rsidRPr="00E95BC4" w:rsidRDefault="0020533F" w:rsidP="00285FD7">
            <w:pPr>
              <w:rPr>
                <w:lang w:val="sr-Cyrl-CS"/>
              </w:rPr>
            </w:pPr>
            <w:r w:rsidRPr="00E95BC4">
              <w:rPr>
                <w:lang w:val="sr-Cyrl-CS"/>
              </w:rPr>
              <w:t>Не постоје мере за спр</w:t>
            </w:r>
            <w:r w:rsidR="00854A41">
              <w:rPr>
                <w:lang w:val="sr-Cyrl-CS"/>
              </w:rPr>
              <w:t>еч</w:t>
            </w:r>
            <w:r w:rsidRPr="00E95BC4">
              <w:rPr>
                <w:lang w:val="sr-Cyrl-CS"/>
              </w:rPr>
              <w:t>авање криминалаца да контролишу агенције за промет некретнина и рачуновође</w:t>
            </w:r>
            <w:r w:rsidR="008A65BD" w:rsidRPr="00E95BC4">
              <w:rPr>
                <w:lang w:val="sr-Cyrl-CS"/>
              </w:rPr>
              <w:t>;</w:t>
            </w:r>
          </w:p>
          <w:p w:rsidR="0020533F" w:rsidRPr="00E95BC4" w:rsidRDefault="0020533F" w:rsidP="00285FD7">
            <w:pPr>
              <w:rPr>
                <w:lang w:val="sr-Cyrl-CS"/>
              </w:rPr>
            </w:pPr>
            <w:r w:rsidRPr="00E95BC4">
              <w:rPr>
                <w:lang w:val="sr-Cyrl-CS"/>
              </w:rPr>
              <w:t>Мере којима се спречавају криминалци да контролишу казина, ревизоре и адвокате ужег су дејства од оног које тражи ФАТФ</w:t>
            </w:r>
            <w:r w:rsidR="008A65BD" w:rsidRPr="00E95BC4">
              <w:rPr>
                <w:lang w:val="sr-Cyrl-CS"/>
              </w:rPr>
              <w:t>.</w:t>
            </w:r>
          </w:p>
        </w:tc>
      </w:tr>
      <w:tr w:rsidR="0020533F" w:rsidRPr="00E95BC4" w:rsidTr="00EF185F">
        <w:tc>
          <w:tcPr>
            <w:tcW w:w="4395" w:type="dxa"/>
          </w:tcPr>
          <w:p w:rsidR="0020533F" w:rsidRPr="00E95BC4" w:rsidRDefault="00EF185F" w:rsidP="00285FD7">
            <w:pPr>
              <w:rPr>
                <w:lang w:val="sr-Cyrl-CS"/>
              </w:rPr>
            </w:pPr>
            <w:r w:rsidRPr="00E95BC4">
              <w:rPr>
                <w:b/>
                <w:lang w:val="sr-Cyrl-CS"/>
              </w:rPr>
              <w:t>Препорука 40:</w:t>
            </w:r>
            <w:r w:rsidRPr="00E95BC4">
              <w:rPr>
                <w:lang w:val="sr-Cyrl-CS"/>
              </w:rPr>
              <w:t xml:space="preserve"> Други видови међународне сарадње</w:t>
            </w:r>
          </w:p>
        </w:tc>
        <w:tc>
          <w:tcPr>
            <w:tcW w:w="283" w:type="dxa"/>
          </w:tcPr>
          <w:p w:rsidR="0020533F" w:rsidRPr="00E95BC4" w:rsidRDefault="0020533F" w:rsidP="00285FD7">
            <w:pPr>
              <w:rPr>
                <w:lang w:val="sr-Cyrl-CS"/>
              </w:rPr>
            </w:pPr>
          </w:p>
        </w:tc>
        <w:tc>
          <w:tcPr>
            <w:tcW w:w="4536" w:type="dxa"/>
          </w:tcPr>
          <w:p w:rsidR="00EF185F" w:rsidRPr="00E95BC4" w:rsidRDefault="00EF185F" w:rsidP="00285FD7">
            <w:pPr>
              <w:rPr>
                <w:lang w:val="sr-Cyrl-CS"/>
              </w:rPr>
            </w:pPr>
            <w:r w:rsidRPr="00E95BC4">
              <w:rPr>
                <w:lang w:val="sr-Cyrl-CS"/>
              </w:rPr>
              <w:t xml:space="preserve">Недовољно јасне одредбе о овлашћењима других надзорних органа (осим НБС и КХоВ) за сарадњу са еквивалентним службама других држава; </w:t>
            </w:r>
          </w:p>
          <w:p w:rsidR="00EF185F" w:rsidRPr="00E95BC4" w:rsidRDefault="00EF185F" w:rsidP="00285FD7">
            <w:pPr>
              <w:rPr>
                <w:lang w:val="sr-Cyrl-CS"/>
              </w:rPr>
            </w:pPr>
            <w:r w:rsidRPr="00E95BC4">
              <w:rPr>
                <w:lang w:val="sr-Cyrl-CS"/>
              </w:rPr>
              <w:t xml:space="preserve">Недовољно јасне одредбе у погледу заштитних механизама и захтева у погледу поверљивости података које се односе на информације које размењују органи, осим Управе, полиције, КХоВ и НБС (само у погледу надзора над банкама). </w:t>
            </w:r>
          </w:p>
          <w:p w:rsidR="0020533F" w:rsidRPr="00E95BC4" w:rsidRDefault="0020533F" w:rsidP="00285FD7">
            <w:pPr>
              <w:rPr>
                <w:lang w:val="sr-Cyrl-CS"/>
              </w:rPr>
            </w:pPr>
          </w:p>
        </w:tc>
      </w:tr>
    </w:tbl>
    <w:p w:rsidR="00271782" w:rsidRPr="00E95BC4" w:rsidRDefault="00AC11E9" w:rsidP="00285FD7">
      <w:pPr>
        <w:ind w:firstLine="720"/>
        <w:jc w:val="both"/>
        <w:rPr>
          <w:lang w:val="sr-Cyrl-CS"/>
        </w:rPr>
      </w:pPr>
      <w:r w:rsidRPr="00E95BC4">
        <w:rPr>
          <w:lang w:val="sr-Cyrl-CS"/>
        </w:rPr>
        <w:t>С</w:t>
      </w:r>
      <w:r w:rsidR="00271782" w:rsidRPr="00E95BC4">
        <w:rPr>
          <w:lang w:val="sr-Cyrl-CS"/>
        </w:rPr>
        <w:t xml:space="preserve">ве наведене замерке решене </w:t>
      </w:r>
      <w:r w:rsidRPr="00E95BC4">
        <w:rPr>
          <w:lang w:val="sr-Cyrl-CS"/>
        </w:rPr>
        <w:t xml:space="preserve">су </w:t>
      </w:r>
      <w:r w:rsidR="00271782" w:rsidRPr="00E95BC4">
        <w:rPr>
          <w:lang w:val="sr-Cyrl-CS"/>
        </w:rPr>
        <w:t>измена</w:t>
      </w:r>
      <w:r w:rsidR="00424D8F" w:rsidRPr="00E95BC4">
        <w:rPr>
          <w:lang w:val="sr-Cyrl-CS"/>
        </w:rPr>
        <w:t>ма</w:t>
      </w:r>
      <w:r w:rsidR="00271782" w:rsidRPr="00E95BC4">
        <w:rPr>
          <w:lang w:val="sr-Cyrl-CS"/>
        </w:rPr>
        <w:t xml:space="preserve"> и допуна</w:t>
      </w:r>
      <w:r w:rsidR="00424D8F" w:rsidRPr="00E95BC4">
        <w:rPr>
          <w:lang w:val="sr-Cyrl-CS"/>
        </w:rPr>
        <w:t>ма</w:t>
      </w:r>
      <w:r w:rsidR="00271782" w:rsidRPr="00E95BC4">
        <w:rPr>
          <w:lang w:val="sr-Cyrl-CS"/>
        </w:rPr>
        <w:t xml:space="preserve"> </w:t>
      </w:r>
      <w:r w:rsidR="00424D8F" w:rsidRPr="00E95BC4">
        <w:rPr>
          <w:lang w:val="sr-Cyrl-CS"/>
        </w:rPr>
        <w:t xml:space="preserve">релевантних </w:t>
      </w:r>
      <w:r w:rsidR="00271782" w:rsidRPr="00E95BC4">
        <w:rPr>
          <w:lang w:val="sr-Cyrl-CS"/>
        </w:rPr>
        <w:t>закона</w:t>
      </w:r>
      <w:r w:rsidRPr="00E95BC4">
        <w:rPr>
          <w:lang w:val="sr-Cyrl-CS"/>
        </w:rPr>
        <w:t xml:space="preserve">, </w:t>
      </w:r>
      <w:r w:rsidR="00864EB1" w:rsidRPr="00E95BC4">
        <w:rPr>
          <w:lang w:val="sr-Cyrl-CS"/>
        </w:rPr>
        <w:t>међу којима је и Закон</w:t>
      </w:r>
      <w:r w:rsidRPr="00E95BC4">
        <w:rPr>
          <w:lang w:val="sr-Cyrl-CS"/>
        </w:rPr>
        <w:t xml:space="preserve"> о спречавању прања новца и финансирања </w:t>
      </w:r>
      <w:r w:rsidR="00864EB1" w:rsidRPr="00E95BC4">
        <w:rPr>
          <w:lang w:val="sr-Cyrl-CS"/>
        </w:rPr>
        <w:t>тероризма</w:t>
      </w:r>
      <w:r w:rsidRPr="00E95BC4">
        <w:rPr>
          <w:lang w:val="sr-Cyrl-CS"/>
        </w:rPr>
        <w:t>,</w:t>
      </w:r>
      <w:r w:rsidR="00271782" w:rsidRPr="00E95BC4">
        <w:rPr>
          <w:lang w:val="sr-Cyrl-CS"/>
        </w:rPr>
        <w:t xml:space="preserve"> </w:t>
      </w:r>
      <w:r w:rsidRPr="00E95BC4">
        <w:rPr>
          <w:lang w:val="sr-Cyrl-CS"/>
        </w:rPr>
        <w:t xml:space="preserve">закључно са децембром </w:t>
      </w:r>
      <w:r w:rsidR="00271782" w:rsidRPr="00E95BC4">
        <w:rPr>
          <w:lang w:val="sr-Cyrl-CS"/>
        </w:rPr>
        <w:t>2019. године</w:t>
      </w:r>
      <w:r w:rsidRPr="00E95BC4">
        <w:rPr>
          <w:lang w:val="sr-Cyrl-CS"/>
        </w:rPr>
        <w:t>.</w:t>
      </w:r>
      <w:r w:rsidR="00271782" w:rsidRPr="00E95BC4">
        <w:rPr>
          <w:rStyle w:val="FootnoteReference"/>
          <w:lang w:val="sr-Cyrl-CS"/>
        </w:rPr>
        <w:footnoteReference w:id="17"/>
      </w:r>
      <w:r w:rsidRPr="00E95BC4">
        <w:rPr>
          <w:lang w:val="sr-Cyrl-CS"/>
        </w:rPr>
        <w:t xml:space="preserve"> Очекује се да ће Манивал и формално верификовати напредак у том смислу на</w:t>
      </w:r>
      <w:r w:rsidR="00864EB1" w:rsidRPr="00E95BC4">
        <w:rPr>
          <w:lang w:val="sr-Cyrl-CS"/>
        </w:rPr>
        <w:t xml:space="preserve"> првом</w:t>
      </w:r>
      <w:r w:rsidRPr="00E95BC4">
        <w:rPr>
          <w:lang w:val="sr-Cyrl-CS"/>
        </w:rPr>
        <w:t xml:space="preserve"> пленарном заседању </w:t>
      </w:r>
      <w:r w:rsidR="00864EB1" w:rsidRPr="00E95BC4">
        <w:rPr>
          <w:lang w:val="sr-Cyrl-CS"/>
        </w:rPr>
        <w:t>тог комитета у 2021</w:t>
      </w:r>
      <w:r w:rsidRPr="00E95BC4">
        <w:rPr>
          <w:lang w:val="sr-Cyrl-CS"/>
        </w:rPr>
        <w:t>.</w:t>
      </w:r>
      <w:r w:rsidR="00864EB1" w:rsidRPr="00E95BC4">
        <w:rPr>
          <w:lang w:val="sr-Cyrl-CS"/>
        </w:rPr>
        <w:t xml:space="preserve"> години,</w:t>
      </w:r>
      <w:r w:rsidR="008A65BD" w:rsidRPr="00E95BC4">
        <w:rPr>
          <w:lang w:val="sr-Cyrl-CS"/>
        </w:rPr>
        <w:t xml:space="preserve"> у складу са одлуком Манивала из децембра 2019</w:t>
      </w:r>
      <w:r w:rsidR="001E55D5" w:rsidRPr="00E95BC4">
        <w:rPr>
          <w:lang w:val="sr-Cyrl-CS"/>
        </w:rPr>
        <w:t>. године</w:t>
      </w:r>
      <w:r w:rsidR="008A65BD" w:rsidRPr="00E95BC4">
        <w:rPr>
          <w:lang w:val="sr-Cyrl-CS"/>
        </w:rPr>
        <w:t>,</w:t>
      </w:r>
      <w:r w:rsidR="00864EB1" w:rsidRPr="00E95BC4">
        <w:rPr>
          <w:lang w:val="sr-Cyrl-CS"/>
        </w:rPr>
        <w:t xml:space="preserve"> а не на пленарном заседању у децембру 2020</w:t>
      </w:r>
      <w:r w:rsidR="001E55D5" w:rsidRPr="00E95BC4">
        <w:rPr>
          <w:lang w:val="sr-Cyrl-CS"/>
        </w:rPr>
        <w:t>. године</w:t>
      </w:r>
      <w:r w:rsidR="008A65BD" w:rsidRPr="00E95BC4">
        <w:rPr>
          <w:lang w:val="sr-Cyrl-CS"/>
        </w:rPr>
        <w:t>.</w:t>
      </w:r>
    </w:p>
    <w:p w:rsidR="002F2585" w:rsidRPr="00E95BC4" w:rsidRDefault="002F2585" w:rsidP="00285FD7">
      <w:pPr>
        <w:jc w:val="both"/>
        <w:rPr>
          <w:lang w:val="sr-Cyrl-CS"/>
        </w:rPr>
      </w:pPr>
      <w:r w:rsidRPr="00E95BC4">
        <w:rPr>
          <w:lang w:val="sr-Cyrl-CS"/>
        </w:rPr>
        <w:tab/>
        <w:t xml:space="preserve">Неопходно је активно пратити рад на измени међународних стандарда будући да се приликом извештавања о испуњавању </w:t>
      </w:r>
      <w:r w:rsidR="00AC11E9" w:rsidRPr="00E95BC4">
        <w:rPr>
          <w:lang w:val="sr-Cyrl-CS"/>
        </w:rPr>
        <w:t>примедаба</w:t>
      </w:r>
      <w:r w:rsidRPr="00E95BC4">
        <w:rPr>
          <w:lang w:val="sr-Cyrl-CS"/>
        </w:rPr>
        <w:t xml:space="preserve"> Манивала </w:t>
      </w:r>
      <w:r w:rsidR="00AC11E9" w:rsidRPr="00E95BC4">
        <w:rPr>
          <w:lang w:val="sr-Cyrl-CS"/>
        </w:rPr>
        <w:t>које се односе на конкретне препоруке</w:t>
      </w:r>
      <w:r w:rsidRPr="00E95BC4">
        <w:rPr>
          <w:lang w:val="sr-Cyrl-CS"/>
        </w:rPr>
        <w:t xml:space="preserve"> ФАТФ, такође проверава да ли је и на који начин држава усклађена и са свим препорукама ФАТФ које су евентуално у међувремену измењене или допуњене.</w:t>
      </w:r>
    </w:p>
    <w:p w:rsidR="004E3E05" w:rsidRPr="00E95BC4" w:rsidRDefault="00EF185F" w:rsidP="00285FD7">
      <w:pPr>
        <w:ind w:firstLine="720"/>
        <w:jc w:val="both"/>
        <w:rPr>
          <w:lang w:val="sr-Cyrl-CS"/>
        </w:rPr>
      </w:pPr>
      <w:r w:rsidRPr="00E95BC4">
        <w:rPr>
          <w:b/>
          <w:lang w:val="sr-Cyrl-CS"/>
        </w:rPr>
        <w:t xml:space="preserve">Стање у погледу </w:t>
      </w:r>
      <w:r w:rsidR="004E3E05" w:rsidRPr="00E95BC4">
        <w:rPr>
          <w:b/>
          <w:lang w:val="sr-Cyrl-CS"/>
        </w:rPr>
        <w:t>делотворности</w:t>
      </w:r>
      <w:r w:rsidR="007400BE">
        <w:rPr>
          <w:lang w:val="sr-Cyrl-CS"/>
        </w:rPr>
        <w:t>.</w:t>
      </w:r>
      <w:r w:rsidR="004A6FEC" w:rsidRPr="00E95BC4">
        <w:rPr>
          <w:lang w:val="sr-Cyrl-CS"/>
        </w:rPr>
        <w:t xml:space="preserve"> Република</w:t>
      </w:r>
      <w:r w:rsidR="004E3E05" w:rsidRPr="00E95BC4">
        <w:rPr>
          <w:lang w:val="sr-Cyrl-CS"/>
        </w:rPr>
        <w:t xml:space="preserve"> Србија је остварила позитиван и осетан напредак у више области идентификованих у Извештају о узајамној процени, </w:t>
      </w:r>
      <w:r w:rsidR="004E3E05" w:rsidRPr="00E95BC4">
        <w:rPr>
          <w:lang w:val="sr-Cyrl-CS"/>
        </w:rPr>
        <w:lastRenderedPageBreak/>
        <w:t xml:space="preserve">нарочито онима које </w:t>
      </w:r>
      <w:r w:rsidR="002F2585" w:rsidRPr="00E95BC4">
        <w:rPr>
          <w:lang w:val="sr-Cyrl-CS"/>
        </w:rPr>
        <w:t>је ФАТФ означио</w:t>
      </w:r>
      <w:r w:rsidR="004E3E05" w:rsidRPr="00E95BC4">
        <w:rPr>
          <w:lang w:val="sr-Cyrl-CS"/>
        </w:rPr>
        <w:t xml:space="preserve"> као стратешки важне и које су биле саставни део Акционог плана ФАТФ</w:t>
      </w:r>
      <w:r w:rsidR="001E55D5" w:rsidRPr="00E95BC4">
        <w:rPr>
          <w:lang w:val="sr-Cyrl-CS"/>
        </w:rPr>
        <w:t xml:space="preserve"> за Србију (фебруар 2018 - јун</w:t>
      </w:r>
      <w:r w:rsidR="002F2585" w:rsidRPr="00E95BC4">
        <w:rPr>
          <w:lang w:val="sr-Cyrl-CS"/>
        </w:rPr>
        <w:t xml:space="preserve"> 2019</w:t>
      </w:r>
      <w:r w:rsidR="001E55D5" w:rsidRPr="00E95BC4">
        <w:rPr>
          <w:lang w:val="sr-Cyrl-CS"/>
        </w:rPr>
        <w:t>. године</w:t>
      </w:r>
      <w:r w:rsidR="002F2585" w:rsidRPr="00E95BC4">
        <w:rPr>
          <w:lang w:val="sr-Cyrl-CS"/>
        </w:rPr>
        <w:t>)</w:t>
      </w:r>
      <w:r w:rsidR="004E3E05" w:rsidRPr="00E95BC4">
        <w:rPr>
          <w:lang w:val="sr-Cyrl-CS"/>
        </w:rPr>
        <w:t xml:space="preserve">. Ради се о областима националне </w:t>
      </w:r>
      <w:r w:rsidR="00040297" w:rsidRPr="00E95BC4">
        <w:rPr>
          <w:lang w:val="sr-Cyrl-CS"/>
        </w:rPr>
        <w:t xml:space="preserve">процене ризика (тзв. непосредни </w:t>
      </w:r>
      <w:r w:rsidR="000C7714" w:rsidRPr="00E95BC4">
        <w:rPr>
          <w:lang w:val="sr-Cyrl-CS"/>
        </w:rPr>
        <w:t>исход</w:t>
      </w:r>
      <w:r w:rsidR="00040297" w:rsidRPr="00E95BC4">
        <w:rPr>
          <w:lang w:val="sr-Cyrl-CS"/>
        </w:rPr>
        <w:t xml:space="preserve"> 1), надзора (непосредни </w:t>
      </w:r>
      <w:r w:rsidR="000C7714" w:rsidRPr="00E95BC4">
        <w:rPr>
          <w:lang w:val="sr-Cyrl-CS"/>
        </w:rPr>
        <w:t>исход</w:t>
      </w:r>
      <w:r w:rsidR="00040297" w:rsidRPr="00E95BC4">
        <w:rPr>
          <w:lang w:val="sr-Cyrl-CS"/>
        </w:rPr>
        <w:t xml:space="preserve"> 3), радњи и мера познавања и праћења странке (непосредни </w:t>
      </w:r>
      <w:r w:rsidR="000C7714" w:rsidRPr="00E95BC4">
        <w:rPr>
          <w:lang w:val="sr-Cyrl-CS"/>
        </w:rPr>
        <w:t>исход</w:t>
      </w:r>
      <w:r w:rsidR="00040297" w:rsidRPr="00E95BC4">
        <w:rPr>
          <w:lang w:val="sr-Cyrl-CS"/>
        </w:rPr>
        <w:t xml:space="preserve"> 4), транспарентности правних лица (непосредни </w:t>
      </w:r>
      <w:r w:rsidR="000C7714" w:rsidRPr="00E95BC4">
        <w:rPr>
          <w:lang w:val="sr-Cyrl-CS"/>
        </w:rPr>
        <w:t>исход</w:t>
      </w:r>
      <w:r w:rsidR="00040297" w:rsidRPr="00E95BC4">
        <w:rPr>
          <w:lang w:val="sr-Cyrl-CS"/>
        </w:rPr>
        <w:t xml:space="preserve"> 5), истрага, поступака и пресуда за прање новца (непосредни </w:t>
      </w:r>
      <w:r w:rsidR="000C7714" w:rsidRPr="00E95BC4">
        <w:rPr>
          <w:lang w:val="sr-Cyrl-CS"/>
        </w:rPr>
        <w:t>исход</w:t>
      </w:r>
      <w:r w:rsidR="00040297" w:rsidRPr="00E95BC4">
        <w:rPr>
          <w:lang w:val="sr-Cyrl-CS"/>
        </w:rPr>
        <w:t xml:space="preserve"> 7) као и циљаних финансијских санкција за тероризам и ширење оружја за масовно уништење и надзора над непрофитним сектором са становишта могуће злоупотребе за финансирање тероризма (непосредни </w:t>
      </w:r>
      <w:r w:rsidR="000C7714" w:rsidRPr="00E95BC4">
        <w:rPr>
          <w:lang w:val="sr-Cyrl-CS"/>
        </w:rPr>
        <w:t>исходи</w:t>
      </w:r>
      <w:r w:rsidR="00040297" w:rsidRPr="00E95BC4">
        <w:rPr>
          <w:lang w:val="sr-Cyrl-CS"/>
        </w:rPr>
        <w:t xml:space="preserve"> 10 и 11).</w:t>
      </w:r>
      <w:r w:rsidR="00425B43" w:rsidRPr="00E95BC4">
        <w:rPr>
          <w:lang w:val="sr-Cyrl-CS"/>
        </w:rPr>
        <w:t xml:space="preserve"> Конкретније, </w:t>
      </w:r>
      <w:r w:rsidR="004A6FEC" w:rsidRPr="00E95BC4">
        <w:rPr>
          <w:lang w:val="sr-Cyrl-CS"/>
        </w:rPr>
        <w:t xml:space="preserve">Република </w:t>
      </w:r>
      <w:r w:rsidR="00425B43" w:rsidRPr="00E95BC4">
        <w:rPr>
          <w:lang w:val="sr-Cyrl-CS"/>
        </w:rPr>
        <w:t>Србија је спровела националну процену ризика</w:t>
      </w:r>
      <w:r w:rsidR="00156D4E" w:rsidRPr="00E95BC4">
        <w:rPr>
          <w:lang w:val="sr-Cyrl-CS"/>
        </w:rPr>
        <w:t xml:space="preserve"> (НИ1)</w:t>
      </w:r>
      <w:r w:rsidR="00425B43" w:rsidRPr="00E95BC4">
        <w:rPr>
          <w:lang w:val="sr-Cyrl-CS"/>
        </w:rPr>
        <w:t>, ојачала надзор над адвокатима и јавним бележницима и капацитете надзорних органа</w:t>
      </w:r>
      <w:r w:rsidR="00156D4E" w:rsidRPr="00E95BC4">
        <w:rPr>
          <w:lang w:val="sr-Cyrl-CS"/>
        </w:rPr>
        <w:t xml:space="preserve"> (НИ3)</w:t>
      </w:r>
      <w:r w:rsidR="00425B43" w:rsidRPr="00E95BC4">
        <w:rPr>
          <w:lang w:val="sr-Cyrl-CS"/>
        </w:rPr>
        <w:t>, увела је Централну евиденцију стварних власника</w:t>
      </w:r>
      <w:r w:rsidR="00156D4E" w:rsidRPr="00E95BC4">
        <w:rPr>
          <w:lang w:val="sr-Cyrl-CS"/>
        </w:rPr>
        <w:t xml:space="preserve"> (НИ5)</w:t>
      </w:r>
      <w:r w:rsidR="00425B43" w:rsidRPr="00E95BC4">
        <w:rPr>
          <w:lang w:val="sr-Cyrl-CS"/>
        </w:rPr>
        <w:t>, повећала број истрага, поступака и пресуда за прање новца за трећа лица и самостално прање новца</w:t>
      </w:r>
      <w:r w:rsidR="00156D4E" w:rsidRPr="00E95BC4">
        <w:rPr>
          <w:lang w:val="sr-Cyrl-CS"/>
        </w:rPr>
        <w:t xml:space="preserve"> (НИ7)</w:t>
      </w:r>
      <w:r w:rsidR="00425B43" w:rsidRPr="00E95BC4">
        <w:rPr>
          <w:lang w:val="sr-Cyrl-CS"/>
        </w:rPr>
        <w:t>, проширила могућност примене циљаних финансијских санкција на област ширења оружја за масовно униште</w:t>
      </w:r>
      <w:r w:rsidR="008A65BD" w:rsidRPr="00E95BC4">
        <w:rPr>
          <w:lang w:val="sr-Cyrl-CS"/>
        </w:rPr>
        <w:t>ње и увела надзор над непрофитним сектором</w:t>
      </w:r>
      <w:r w:rsidR="00425B43" w:rsidRPr="00E95BC4">
        <w:rPr>
          <w:lang w:val="sr-Cyrl-CS"/>
        </w:rPr>
        <w:t xml:space="preserve"> са становишта могућности злоупотребе за финансирањ</w:t>
      </w:r>
      <w:r w:rsidR="008A65BD" w:rsidRPr="00E95BC4">
        <w:rPr>
          <w:lang w:val="sr-Cyrl-CS"/>
        </w:rPr>
        <w:t>е</w:t>
      </w:r>
      <w:r w:rsidR="00425B43" w:rsidRPr="00E95BC4">
        <w:rPr>
          <w:lang w:val="sr-Cyrl-CS"/>
        </w:rPr>
        <w:t xml:space="preserve"> тероризма</w:t>
      </w:r>
      <w:r w:rsidR="00156D4E" w:rsidRPr="00E95BC4">
        <w:rPr>
          <w:lang w:val="sr-Cyrl-CS"/>
        </w:rPr>
        <w:t xml:space="preserve"> (НИ10 и НИ11)</w:t>
      </w:r>
      <w:r w:rsidR="00425B43" w:rsidRPr="00E95BC4">
        <w:rPr>
          <w:lang w:val="sr-Cyrl-CS"/>
        </w:rPr>
        <w:t>.</w:t>
      </w:r>
    </w:p>
    <w:p w:rsidR="00040297" w:rsidRPr="00E95BC4" w:rsidRDefault="004A6FEC" w:rsidP="00285FD7">
      <w:pPr>
        <w:ind w:firstLine="720"/>
        <w:jc w:val="both"/>
        <w:rPr>
          <w:lang w:val="sr-Cyrl-CS"/>
        </w:rPr>
      </w:pPr>
      <w:r w:rsidRPr="00E95BC4">
        <w:rPr>
          <w:lang w:val="sr-Cyrl-CS"/>
        </w:rPr>
        <w:t xml:space="preserve">Република </w:t>
      </w:r>
      <w:r w:rsidR="0088138E" w:rsidRPr="00E95BC4">
        <w:rPr>
          <w:lang w:val="sr-Cyrl-CS"/>
        </w:rPr>
        <w:t xml:space="preserve">Србија се за потребе Трећег извештаја о појачаном праћењу од стране Манивала изјашњавала о напретку у погледу </w:t>
      </w:r>
      <w:r w:rsidR="0088138E" w:rsidRPr="00E95BC4">
        <w:rPr>
          <w:i/>
          <w:lang w:val="sr-Cyrl-CS"/>
        </w:rPr>
        <w:t>дел</w:t>
      </w:r>
      <w:r w:rsidR="0048239B">
        <w:rPr>
          <w:i/>
          <w:lang w:val="sr-Cyrl-CS"/>
        </w:rPr>
        <w:t>от</w:t>
      </w:r>
      <w:r w:rsidR="0088138E" w:rsidRPr="00E95BC4">
        <w:rPr>
          <w:i/>
          <w:lang w:val="sr-Cyrl-CS"/>
        </w:rPr>
        <w:t>ворности</w:t>
      </w:r>
      <w:r w:rsidR="0088138E" w:rsidRPr="00E95BC4">
        <w:rPr>
          <w:lang w:val="sr-Cyrl-CS"/>
        </w:rPr>
        <w:t xml:space="preserve"> у односу на 56 препорука Манивала које су подељене по непосредним </w:t>
      </w:r>
      <w:r w:rsidR="000C7714" w:rsidRPr="00E95BC4">
        <w:rPr>
          <w:lang w:val="sr-Cyrl-CS"/>
        </w:rPr>
        <w:t>исходима</w:t>
      </w:r>
      <w:r w:rsidR="0088138E" w:rsidRPr="00E95BC4">
        <w:rPr>
          <w:lang w:val="sr-Cyrl-CS"/>
        </w:rPr>
        <w:t xml:space="preserve"> на следећи начин:</w:t>
      </w:r>
    </w:p>
    <w:p w:rsidR="0004492D" w:rsidRPr="00E95BC4" w:rsidRDefault="0004492D" w:rsidP="00285FD7">
      <w:pPr>
        <w:ind w:firstLine="720"/>
        <w:jc w:val="both"/>
        <w:rPr>
          <w:lang w:val="sr-Cyrl-CS"/>
        </w:rPr>
      </w:pPr>
    </w:p>
    <w:tbl>
      <w:tblPr>
        <w:tblStyle w:val="TableGrid"/>
        <w:tblW w:w="0" w:type="auto"/>
        <w:tblInd w:w="10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tblPr>
      <w:tblGrid>
        <w:gridCol w:w="7371"/>
        <w:gridCol w:w="284"/>
        <w:gridCol w:w="1559"/>
      </w:tblGrid>
      <w:tr w:rsidR="0088138E" w:rsidRPr="00E95BC4" w:rsidTr="00286710">
        <w:tc>
          <w:tcPr>
            <w:tcW w:w="7371" w:type="dxa"/>
          </w:tcPr>
          <w:p w:rsidR="0088138E" w:rsidRPr="00E95BC4" w:rsidRDefault="0088138E" w:rsidP="00285FD7">
            <w:pPr>
              <w:jc w:val="center"/>
              <w:rPr>
                <w:b/>
                <w:lang w:val="sr-Cyrl-CS"/>
              </w:rPr>
            </w:pPr>
            <w:r w:rsidRPr="00E95BC4">
              <w:rPr>
                <w:b/>
                <w:lang w:val="sr-Cyrl-CS"/>
              </w:rPr>
              <w:t xml:space="preserve">Непосредни </w:t>
            </w:r>
            <w:r w:rsidR="000C7714" w:rsidRPr="00E95BC4">
              <w:rPr>
                <w:b/>
                <w:lang w:val="sr-Cyrl-CS"/>
              </w:rPr>
              <w:t>исход</w:t>
            </w:r>
          </w:p>
        </w:tc>
        <w:tc>
          <w:tcPr>
            <w:tcW w:w="284" w:type="dxa"/>
          </w:tcPr>
          <w:p w:rsidR="0088138E" w:rsidRPr="00E95BC4" w:rsidRDefault="0088138E" w:rsidP="00285FD7">
            <w:pPr>
              <w:jc w:val="center"/>
              <w:rPr>
                <w:b/>
                <w:lang w:val="sr-Cyrl-CS"/>
              </w:rPr>
            </w:pPr>
          </w:p>
        </w:tc>
        <w:tc>
          <w:tcPr>
            <w:tcW w:w="1559" w:type="dxa"/>
          </w:tcPr>
          <w:p w:rsidR="0088138E" w:rsidRPr="00E95BC4" w:rsidRDefault="0088138E" w:rsidP="00285FD7">
            <w:pPr>
              <w:jc w:val="center"/>
              <w:rPr>
                <w:b/>
                <w:lang w:val="sr-Cyrl-CS"/>
              </w:rPr>
            </w:pPr>
            <w:r w:rsidRPr="00E95BC4">
              <w:rPr>
                <w:b/>
                <w:lang w:val="sr-Cyrl-CS"/>
              </w:rPr>
              <w:t>Број препорука</w:t>
            </w:r>
          </w:p>
        </w:tc>
      </w:tr>
      <w:tr w:rsidR="0088138E" w:rsidRPr="00E95BC4" w:rsidTr="00286710">
        <w:tc>
          <w:tcPr>
            <w:tcW w:w="7371" w:type="dxa"/>
          </w:tcPr>
          <w:p w:rsidR="0088138E" w:rsidRPr="00E95BC4" w:rsidRDefault="0088138E" w:rsidP="00285FD7">
            <w:pPr>
              <w:rPr>
                <w:lang w:val="sr-Cyrl-CS"/>
              </w:rPr>
            </w:pPr>
            <w:r w:rsidRPr="00E95BC4">
              <w:rPr>
                <w:lang w:val="sr-Cyrl-CS"/>
              </w:rPr>
              <w:t xml:space="preserve">НР 1 </w:t>
            </w:r>
            <w:r w:rsidR="00816358" w:rsidRPr="00E95BC4">
              <w:rPr>
                <w:lang w:val="sr-Cyrl-CS"/>
              </w:rPr>
              <w:t>–</w:t>
            </w:r>
            <w:r w:rsidRPr="00E95BC4">
              <w:rPr>
                <w:lang w:val="sr-Cyrl-CS"/>
              </w:rPr>
              <w:t xml:space="preserve"> Ризик, политика, координација</w:t>
            </w:r>
          </w:p>
        </w:tc>
        <w:tc>
          <w:tcPr>
            <w:tcW w:w="284" w:type="dxa"/>
          </w:tcPr>
          <w:p w:rsidR="0088138E" w:rsidRPr="00E95BC4" w:rsidRDefault="0088138E" w:rsidP="00285FD7">
            <w:pPr>
              <w:rPr>
                <w:lang w:val="sr-Cyrl-CS"/>
              </w:rPr>
            </w:pPr>
          </w:p>
        </w:tc>
        <w:tc>
          <w:tcPr>
            <w:tcW w:w="1559" w:type="dxa"/>
          </w:tcPr>
          <w:p w:rsidR="0088138E" w:rsidRPr="00E95BC4" w:rsidRDefault="00816358" w:rsidP="00285FD7">
            <w:pPr>
              <w:rPr>
                <w:lang w:val="sr-Cyrl-CS"/>
              </w:rPr>
            </w:pPr>
            <w:r w:rsidRPr="00E95BC4">
              <w:rPr>
                <w:lang w:val="sr-Cyrl-CS"/>
              </w:rPr>
              <w:t>6</w:t>
            </w:r>
          </w:p>
        </w:tc>
      </w:tr>
      <w:tr w:rsidR="0088138E" w:rsidRPr="00E95BC4" w:rsidTr="00286710">
        <w:tc>
          <w:tcPr>
            <w:tcW w:w="7371" w:type="dxa"/>
          </w:tcPr>
          <w:p w:rsidR="0088138E" w:rsidRPr="00E95BC4" w:rsidRDefault="00816358" w:rsidP="00285FD7">
            <w:pPr>
              <w:rPr>
                <w:lang w:val="sr-Cyrl-CS"/>
              </w:rPr>
            </w:pPr>
            <w:r w:rsidRPr="00E95BC4">
              <w:rPr>
                <w:lang w:val="sr-Cyrl-CS"/>
              </w:rPr>
              <w:t xml:space="preserve">НР 2 – </w:t>
            </w:r>
            <w:r w:rsidR="0088138E" w:rsidRPr="00E95BC4">
              <w:rPr>
                <w:lang w:val="sr-Cyrl-CS"/>
              </w:rPr>
              <w:t>Међународна сарадња</w:t>
            </w:r>
          </w:p>
        </w:tc>
        <w:tc>
          <w:tcPr>
            <w:tcW w:w="284" w:type="dxa"/>
          </w:tcPr>
          <w:p w:rsidR="0088138E" w:rsidRPr="00E95BC4" w:rsidRDefault="0088138E" w:rsidP="00285FD7">
            <w:pPr>
              <w:rPr>
                <w:lang w:val="sr-Cyrl-CS"/>
              </w:rPr>
            </w:pPr>
          </w:p>
        </w:tc>
        <w:tc>
          <w:tcPr>
            <w:tcW w:w="1559" w:type="dxa"/>
          </w:tcPr>
          <w:p w:rsidR="0088138E" w:rsidRPr="00E95BC4" w:rsidRDefault="00816358" w:rsidP="00285FD7">
            <w:pPr>
              <w:rPr>
                <w:lang w:val="sr-Cyrl-CS"/>
              </w:rPr>
            </w:pPr>
            <w:r w:rsidRPr="00E95BC4">
              <w:rPr>
                <w:lang w:val="sr-Cyrl-CS"/>
              </w:rPr>
              <w:t>5</w:t>
            </w:r>
          </w:p>
        </w:tc>
      </w:tr>
      <w:tr w:rsidR="00816358" w:rsidRPr="00E95BC4" w:rsidTr="00286710">
        <w:tc>
          <w:tcPr>
            <w:tcW w:w="7371" w:type="dxa"/>
          </w:tcPr>
          <w:p w:rsidR="00816358" w:rsidRPr="00E95BC4" w:rsidRDefault="00816358" w:rsidP="00285FD7">
            <w:pPr>
              <w:rPr>
                <w:lang w:val="sr-Cyrl-CS"/>
              </w:rPr>
            </w:pPr>
            <w:r w:rsidRPr="00E95BC4">
              <w:rPr>
                <w:lang w:val="sr-Cyrl-CS"/>
              </w:rPr>
              <w:t>НР 3 – Надзор</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7</w:t>
            </w:r>
          </w:p>
        </w:tc>
      </w:tr>
      <w:tr w:rsidR="00816358" w:rsidRPr="00E95BC4" w:rsidTr="00286710">
        <w:tc>
          <w:tcPr>
            <w:tcW w:w="7371" w:type="dxa"/>
          </w:tcPr>
          <w:p w:rsidR="00816358" w:rsidRPr="00E95BC4" w:rsidRDefault="00816358" w:rsidP="00285FD7">
            <w:pPr>
              <w:rPr>
                <w:lang w:val="sr-Cyrl-CS"/>
              </w:rPr>
            </w:pPr>
            <w:r w:rsidRPr="00E95BC4">
              <w:rPr>
                <w:lang w:val="sr-Cyrl-CS"/>
              </w:rPr>
              <w:t>НР 4 – Превентивне мере</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4</w:t>
            </w:r>
          </w:p>
        </w:tc>
      </w:tr>
      <w:tr w:rsidR="00816358" w:rsidRPr="00E95BC4" w:rsidTr="00286710">
        <w:tc>
          <w:tcPr>
            <w:tcW w:w="7371" w:type="dxa"/>
          </w:tcPr>
          <w:p w:rsidR="00816358" w:rsidRPr="00E95BC4" w:rsidRDefault="00816358" w:rsidP="00285FD7">
            <w:pPr>
              <w:rPr>
                <w:lang w:val="sr-Cyrl-CS"/>
              </w:rPr>
            </w:pPr>
            <w:r w:rsidRPr="00E95BC4">
              <w:rPr>
                <w:lang w:val="sr-Cyrl-CS"/>
              </w:rPr>
              <w:t>НР 5 – Правна лица и лица страног права</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4</w:t>
            </w:r>
          </w:p>
        </w:tc>
      </w:tr>
      <w:tr w:rsidR="00816358" w:rsidRPr="00E95BC4" w:rsidTr="00286710">
        <w:tc>
          <w:tcPr>
            <w:tcW w:w="7371" w:type="dxa"/>
          </w:tcPr>
          <w:p w:rsidR="00816358" w:rsidRPr="00E95BC4" w:rsidRDefault="00816358" w:rsidP="00285FD7">
            <w:pPr>
              <w:rPr>
                <w:lang w:val="sr-Cyrl-CS"/>
              </w:rPr>
            </w:pPr>
            <w:r w:rsidRPr="00E95BC4">
              <w:rPr>
                <w:lang w:val="sr-Cyrl-CS"/>
              </w:rPr>
              <w:t>НР 6 – Финансијскообавештајни подаци</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6</w:t>
            </w:r>
          </w:p>
        </w:tc>
      </w:tr>
      <w:tr w:rsidR="00816358" w:rsidRPr="00E95BC4" w:rsidTr="00286710">
        <w:tc>
          <w:tcPr>
            <w:tcW w:w="7371" w:type="dxa"/>
          </w:tcPr>
          <w:p w:rsidR="00816358" w:rsidRPr="00E95BC4" w:rsidRDefault="00816358" w:rsidP="00285FD7">
            <w:pPr>
              <w:rPr>
                <w:lang w:val="sr-Cyrl-CS"/>
              </w:rPr>
            </w:pPr>
            <w:r w:rsidRPr="00E95BC4">
              <w:rPr>
                <w:lang w:val="sr-Cyrl-CS"/>
              </w:rPr>
              <w:t>НР 7 – Истраге и поступци за прање новца</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4</w:t>
            </w:r>
          </w:p>
        </w:tc>
      </w:tr>
      <w:tr w:rsidR="00816358" w:rsidRPr="00E95BC4" w:rsidTr="00286710">
        <w:tc>
          <w:tcPr>
            <w:tcW w:w="7371" w:type="dxa"/>
          </w:tcPr>
          <w:p w:rsidR="00816358" w:rsidRPr="00E95BC4" w:rsidRDefault="00816358" w:rsidP="00285FD7">
            <w:pPr>
              <w:rPr>
                <w:lang w:val="sr-Cyrl-CS"/>
              </w:rPr>
            </w:pPr>
            <w:r w:rsidRPr="00E95BC4">
              <w:rPr>
                <w:lang w:val="sr-Cyrl-CS"/>
              </w:rPr>
              <w:t>НР 8 - Трајно одузимање имовине</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7</w:t>
            </w:r>
          </w:p>
        </w:tc>
      </w:tr>
      <w:tr w:rsidR="00816358" w:rsidRPr="00E95BC4" w:rsidTr="00286710">
        <w:tc>
          <w:tcPr>
            <w:tcW w:w="7371" w:type="dxa"/>
          </w:tcPr>
          <w:p w:rsidR="00816358" w:rsidRPr="00E95BC4" w:rsidRDefault="00286710" w:rsidP="00285FD7">
            <w:pPr>
              <w:rPr>
                <w:lang w:val="sr-Cyrl-CS"/>
              </w:rPr>
            </w:pPr>
            <w:r w:rsidRPr="00E95BC4">
              <w:rPr>
                <w:lang w:val="sr-Cyrl-CS"/>
              </w:rPr>
              <w:t xml:space="preserve">НР 9 – </w:t>
            </w:r>
            <w:r w:rsidR="00816358" w:rsidRPr="00E95BC4">
              <w:rPr>
                <w:lang w:val="sr-Cyrl-CS"/>
              </w:rPr>
              <w:t>Истраге и поступци за финансирање тероризма</w:t>
            </w:r>
          </w:p>
        </w:tc>
        <w:tc>
          <w:tcPr>
            <w:tcW w:w="284" w:type="dxa"/>
          </w:tcPr>
          <w:p w:rsidR="00816358" w:rsidRPr="00E95BC4" w:rsidRDefault="00816358" w:rsidP="00285FD7">
            <w:pPr>
              <w:rPr>
                <w:lang w:val="sr-Cyrl-CS"/>
              </w:rPr>
            </w:pPr>
          </w:p>
        </w:tc>
        <w:tc>
          <w:tcPr>
            <w:tcW w:w="1559" w:type="dxa"/>
          </w:tcPr>
          <w:p w:rsidR="00816358" w:rsidRPr="00E95BC4" w:rsidRDefault="00286710" w:rsidP="00285FD7">
            <w:pPr>
              <w:rPr>
                <w:lang w:val="sr-Cyrl-CS"/>
              </w:rPr>
            </w:pPr>
            <w:r w:rsidRPr="00E95BC4">
              <w:rPr>
                <w:lang w:val="sr-Cyrl-CS"/>
              </w:rPr>
              <w:t>4</w:t>
            </w:r>
          </w:p>
        </w:tc>
      </w:tr>
      <w:tr w:rsidR="00816358" w:rsidRPr="00E95BC4" w:rsidTr="00286710">
        <w:tc>
          <w:tcPr>
            <w:tcW w:w="7371" w:type="dxa"/>
          </w:tcPr>
          <w:p w:rsidR="00816358" w:rsidRPr="00E95BC4" w:rsidRDefault="00286710" w:rsidP="00285FD7">
            <w:pPr>
              <w:rPr>
                <w:lang w:val="sr-Cyrl-CS"/>
              </w:rPr>
            </w:pPr>
            <w:r w:rsidRPr="00E95BC4">
              <w:rPr>
                <w:lang w:val="sr-Cyrl-CS"/>
              </w:rPr>
              <w:t xml:space="preserve">НР 10 – </w:t>
            </w:r>
            <w:r w:rsidR="00816358" w:rsidRPr="00E95BC4">
              <w:rPr>
                <w:lang w:val="sr-Cyrl-CS"/>
              </w:rPr>
              <w:t>Превентивне мере и финансијске санкције за финансирање тероризма</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8</w:t>
            </w:r>
          </w:p>
        </w:tc>
      </w:tr>
      <w:tr w:rsidR="00816358" w:rsidRPr="00E95BC4" w:rsidTr="00286710">
        <w:tc>
          <w:tcPr>
            <w:tcW w:w="7371" w:type="dxa"/>
          </w:tcPr>
          <w:p w:rsidR="00816358" w:rsidRPr="00E95BC4" w:rsidRDefault="00286710" w:rsidP="00285FD7">
            <w:pPr>
              <w:rPr>
                <w:lang w:val="sr-Cyrl-CS"/>
              </w:rPr>
            </w:pPr>
            <w:r w:rsidRPr="00E95BC4">
              <w:rPr>
                <w:lang w:val="sr-Cyrl-CS"/>
              </w:rPr>
              <w:t xml:space="preserve">НР 11 – </w:t>
            </w:r>
            <w:r w:rsidR="00816358" w:rsidRPr="00E95BC4">
              <w:rPr>
                <w:lang w:val="sr-Cyrl-CS"/>
              </w:rPr>
              <w:t>Финансијске санкције за ширење оружја за масовно уништење</w:t>
            </w:r>
          </w:p>
        </w:tc>
        <w:tc>
          <w:tcPr>
            <w:tcW w:w="284" w:type="dxa"/>
          </w:tcPr>
          <w:p w:rsidR="00816358" w:rsidRPr="00E95BC4" w:rsidRDefault="00816358" w:rsidP="00285FD7">
            <w:pPr>
              <w:rPr>
                <w:lang w:val="sr-Cyrl-CS"/>
              </w:rPr>
            </w:pPr>
          </w:p>
        </w:tc>
        <w:tc>
          <w:tcPr>
            <w:tcW w:w="1559" w:type="dxa"/>
          </w:tcPr>
          <w:p w:rsidR="00816358" w:rsidRPr="00E95BC4" w:rsidRDefault="00816358" w:rsidP="00285FD7">
            <w:pPr>
              <w:rPr>
                <w:lang w:val="sr-Cyrl-CS"/>
              </w:rPr>
            </w:pPr>
            <w:r w:rsidRPr="00E95BC4">
              <w:rPr>
                <w:lang w:val="sr-Cyrl-CS"/>
              </w:rPr>
              <w:t>1</w:t>
            </w:r>
          </w:p>
        </w:tc>
      </w:tr>
    </w:tbl>
    <w:p w:rsidR="0088138E" w:rsidRPr="00E95BC4" w:rsidRDefault="0088138E" w:rsidP="00285FD7">
      <w:pPr>
        <w:rPr>
          <w:lang w:val="sr-Cyrl-CS"/>
        </w:rPr>
      </w:pPr>
    </w:p>
    <w:p w:rsidR="0088138E" w:rsidRPr="00E95BC4" w:rsidRDefault="00EF185F" w:rsidP="00285FD7">
      <w:pPr>
        <w:ind w:firstLine="720"/>
        <w:jc w:val="both"/>
        <w:rPr>
          <w:lang w:val="sr-Cyrl-CS"/>
        </w:rPr>
      </w:pPr>
      <w:r w:rsidRPr="00E95BC4">
        <w:rPr>
          <w:lang w:val="sr-Cyrl-CS"/>
        </w:rPr>
        <w:t xml:space="preserve">За већи број горе наведених препоручених мера, Република Србија је доставила информације Манивалу којима </w:t>
      </w:r>
      <w:r w:rsidR="00BF68B6" w:rsidRPr="00E95BC4">
        <w:rPr>
          <w:lang w:val="sr-Cyrl-CS"/>
        </w:rPr>
        <w:t>надлежни органи доказују</w:t>
      </w:r>
      <w:r w:rsidRPr="00E95BC4">
        <w:rPr>
          <w:lang w:val="sr-Cyrl-CS"/>
        </w:rPr>
        <w:t xml:space="preserve"> успешну примену предложених мера. Манивал ће до 2021. године у оквиру појачаног (или евентуално редовног) праћења </w:t>
      </w:r>
      <w:r w:rsidR="00370282" w:rsidRPr="00E95BC4">
        <w:rPr>
          <w:lang w:val="sr-Cyrl-CS"/>
        </w:rPr>
        <w:t xml:space="preserve">Републике </w:t>
      </w:r>
      <w:r w:rsidRPr="00E95BC4">
        <w:rPr>
          <w:lang w:val="sr-Cyrl-CS"/>
        </w:rPr>
        <w:t>Србије пратити напредак на испуњавању ових препорука када ће упутити експертску мисију у Србију како би на лицу места констатовао стање у погледу спроведености утврђених мера.</w:t>
      </w:r>
      <w:r w:rsidR="00BF68B6" w:rsidRPr="00E95BC4">
        <w:rPr>
          <w:lang w:val="sr-Cyrl-CS"/>
        </w:rPr>
        <w:t xml:space="preserve"> Извештај те експертске мисије биће извор верификације спровођења препорука Манивала на нивоу делотворности система.</w:t>
      </w:r>
    </w:p>
    <w:p w:rsidR="00847FC1" w:rsidRPr="00E95BC4" w:rsidRDefault="00BF68B6" w:rsidP="00285FD7">
      <w:pPr>
        <w:ind w:firstLine="720"/>
        <w:jc w:val="both"/>
        <w:rPr>
          <w:lang w:val="sr-Cyrl-CS"/>
        </w:rPr>
      </w:pPr>
      <w:r w:rsidRPr="00E95BC4">
        <w:rPr>
          <w:lang w:val="sr-Cyrl-CS"/>
        </w:rPr>
        <w:t xml:space="preserve">Што се тиче </w:t>
      </w:r>
      <w:r w:rsidRPr="00E95BC4">
        <w:rPr>
          <w:b/>
          <w:lang w:val="sr-Cyrl-CS"/>
        </w:rPr>
        <w:t>мера и активности које су предвиђене Акционим планом</w:t>
      </w:r>
      <w:r w:rsidR="00D9541E" w:rsidRPr="00E95BC4">
        <w:rPr>
          <w:lang w:val="sr-Cyrl-CS"/>
        </w:rPr>
        <w:t xml:space="preserve"> уз </w:t>
      </w:r>
      <w:r w:rsidR="00424D8F" w:rsidRPr="00E95BC4">
        <w:rPr>
          <w:lang w:val="sr-Cyrl-CS"/>
        </w:rPr>
        <w:t xml:space="preserve">процене </w:t>
      </w:r>
      <w:r w:rsidR="00847FC1" w:rsidRPr="00E95BC4">
        <w:rPr>
          <w:lang w:val="sr-Cyrl-CS"/>
        </w:rPr>
        <w:t>ризика</w:t>
      </w:r>
      <w:r w:rsidR="00847FC1" w:rsidRPr="00E95BC4">
        <w:rPr>
          <w:rStyle w:val="FootnoteReference"/>
          <w:lang w:val="sr-Cyrl-CS"/>
        </w:rPr>
        <w:footnoteReference w:id="18"/>
      </w:r>
      <w:r w:rsidR="00847FC1" w:rsidRPr="00E95BC4">
        <w:rPr>
          <w:lang w:val="sr-Cyrl-CS"/>
        </w:rPr>
        <w:t xml:space="preserve">, </w:t>
      </w:r>
      <w:r w:rsidR="00D9541E" w:rsidRPr="00E95BC4">
        <w:rPr>
          <w:lang w:val="sr-Cyrl-CS"/>
        </w:rPr>
        <w:t>може се рећи да је спроведено око 90% свих предвиђених мера</w:t>
      </w:r>
      <w:r w:rsidRPr="00E95BC4">
        <w:rPr>
          <w:lang w:val="sr-Cyrl-CS"/>
        </w:rPr>
        <w:t xml:space="preserve">. Као што </w:t>
      </w:r>
      <w:r w:rsidRPr="00E95BC4">
        <w:rPr>
          <w:lang w:val="sr-Cyrl-CS"/>
        </w:rPr>
        <w:lastRenderedPageBreak/>
        <w:t>је речено, сврха интервенција предвиђених у овом акционом плану јесте ублажавање ризика кроз отклањање и смањење рањивости/слабости</w:t>
      </w:r>
      <w:r w:rsidR="000F7156">
        <w:rPr>
          <w:lang w:val="sr-Cyrl-CS"/>
        </w:rPr>
        <w:t>,</w:t>
      </w:r>
      <w:r w:rsidRPr="00E95BC4">
        <w:rPr>
          <w:lang w:val="sr-Cyrl-CS"/>
        </w:rPr>
        <w:t xml:space="preserve"> односно претњи</w:t>
      </w:r>
      <w:r w:rsidR="00D9541E" w:rsidRPr="00E95BC4">
        <w:rPr>
          <w:lang w:val="sr-Cyrl-CS"/>
        </w:rPr>
        <w:t>.</w:t>
      </w:r>
    </w:p>
    <w:p w:rsidR="00D9541E" w:rsidRPr="00E95BC4" w:rsidRDefault="00D9541E" w:rsidP="00285FD7">
      <w:pPr>
        <w:ind w:firstLine="720"/>
        <w:jc w:val="both"/>
        <w:rPr>
          <w:lang w:val="sr-Cyrl-CS"/>
        </w:rPr>
      </w:pPr>
      <w:r w:rsidRPr="00E95BC4">
        <w:rPr>
          <w:lang w:val="sr-Cyrl-CS"/>
        </w:rPr>
        <w:t>Анализом степена реализације предвиђених мера уочав</w:t>
      </w:r>
      <w:r w:rsidR="00424D8F" w:rsidRPr="00E95BC4">
        <w:rPr>
          <w:lang w:val="sr-Cyrl-CS"/>
        </w:rPr>
        <w:t>ају се одређени извори претњи и</w:t>
      </w:r>
      <w:r w:rsidRPr="00E95BC4">
        <w:rPr>
          <w:lang w:val="sr-Cyrl-CS"/>
        </w:rPr>
        <w:t xml:space="preserve"> рањивости на које је </w:t>
      </w:r>
      <w:r w:rsidR="00BF68B6" w:rsidRPr="00E95BC4">
        <w:rPr>
          <w:lang w:val="sr-Cyrl-CS"/>
        </w:rPr>
        <w:t xml:space="preserve">и даље </w:t>
      </w:r>
      <w:r w:rsidRPr="00E95BC4">
        <w:rPr>
          <w:lang w:val="sr-Cyrl-CS"/>
        </w:rPr>
        <w:t xml:space="preserve">потребно </w:t>
      </w:r>
      <w:r w:rsidR="00BF68B6" w:rsidRPr="00E95BC4">
        <w:rPr>
          <w:lang w:val="sr-Cyrl-CS"/>
        </w:rPr>
        <w:t xml:space="preserve">посветити </w:t>
      </w:r>
      <w:r w:rsidRPr="00E95BC4">
        <w:rPr>
          <w:lang w:val="sr-Cyrl-CS"/>
        </w:rPr>
        <w:t>пажњу у наредном периоду</w:t>
      </w:r>
      <w:r w:rsidRPr="00E95BC4">
        <w:rPr>
          <w:rStyle w:val="FootnoteReference"/>
          <w:lang w:val="sr-Cyrl-CS"/>
        </w:rPr>
        <w:footnoteReference w:id="19"/>
      </w:r>
      <w:r w:rsidRPr="00E95BC4">
        <w:rPr>
          <w:lang w:val="sr-Cyrl-CS"/>
        </w:rPr>
        <w:t>, као и одређене активности које је неопходно континуирано спроводити</w:t>
      </w:r>
      <w:r w:rsidRPr="00E95BC4">
        <w:rPr>
          <w:rStyle w:val="FootnoteReference"/>
          <w:lang w:val="sr-Cyrl-CS"/>
        </w:rPr>
        <w:footnoteReference w:id="20"/>
      </w:r>
      <w:r w:rsidRPr="00E95BC4">
        <w:rPr>
          <w:lang w:val="sr-Cyrl-CS"/>
        </w:rPr>
        <w:t xml:space="preserve">. </w:t>
      </w:r>
    </w:p>
    <w:p w:rsidR="00A278FF" w:rsidRPr="00E95BC4" w:rsidRDefault="00BF68B6" w:rsidP="00156D4E">
      <w:pPr>
        <w:pStyle w:val="FATF-TEXTE1115"/>
        <w:spacing w:after="0" w:line="240" w:lineRule="auto"/>
        <w:rPr>
          <w:rFonts w:ascii="Times New Roman" w:hAnsi="Times New Roman"/>
          <w:color w:val="262626" w:themeColor="text1" w:themeTint="D9"/>
          <w:sz w:val="24"/>
          <w:szCs w:val="24"/>
          <w:lang w:val="sr-Cyrl-CS"/>
        </w:rPr>
      </w:pPr>
      <w:r w:rsidRPr="00E95BC4">
        <w:rPr>
          <w:rFonts w:ascii="Times New Roman" w:hAnsi="Times New Roman"/>
          <w:b/>
          <w:sz w:val="24"/>
          <w:szCs w:val="24"/>
          <w:lang w:val="sr-Cyrl-CS"/>
        </w:rPr>
        <w:tab/>
      </w:r>
      <w:r w:rsidR="00A278FF" w:rsidRPr="00E95BC4">
        <w:rPr>
          <w:rFonts w:ascii="Times New Roman" w:hAnsi="Times New Roman"/>
          <w:b/>
          <w:sz w:val="24"/>
          <w:szCs w:val="24"/>
          <w:lang w:val="sr-Cyrl-CS"/>
        </w:rPr>
        <w:t>Резултати спровођења Националне стратегије 2014-2019</w:t>
      </w:r>
      <w:r w:rsidR="001E55D5" w:rsidRPr="00E95BC4">
        <w:rPr>
          <w:rFonts w:ascii="Times New Roman" w:hAnsi="Times New Roman"/>
          <w:b/>
          <w:sz w:val="24"/>
          <w:szCs w:val="24"/>
          <w:lang w:val="sr-Cyrl-CS"/>
        </w:rPr>
        <w:t>.</w:t>
      </w:r>
      <w:r w:rsidR="00A278FF" w:rsidRPr="00E95BC4">
        <w:rPr>
          <w:rFonts w:ascii="Times New Roman" w:hAnsi="Times New Roman"/>
          <w:sz w:val="24"/>
          <w:szCs w:val="24"/>
          <w:lang w:val="sr-Cyrl-CS"/>
        </w:rPr>
        <w:t xml:space="preserve"> </w:t>
      </w:r>
      <w:r w:rsidR="00A278FF" w:rsidRPr="00E95BC4">
        <w:rPr>
          <w:rFonts w:ascii="Times New Roman" w:hAnsi="Times New Roman"/>
          <w:color w:val="262626" w:themeColor="text1" w:themeTint="D9"/>
          <w:sz w:val="24"/>
          <w:szCs w:val="24"/>
          <w:lang w:val="sr-Cyrl-CS"/>
        </w:rPr>
        <w:t xml:space="preserve">У оцени степена испуњености Националне стратегије треба имати у виду активности у оквиру других иницијатива, процеса и планова државних органа, као и објективним околностима – као што су убрзано испуњавање препорука Манивала, хитно испуњавање Акционог плана FATF и Акционог плана уз </w:t>
      </w:r>
      <w:r w:rsidR="00424D8F" w:rsidRPr="00E95BC4">
        <w:rPr>
          <w:rFonts w:ascii="Times New Roman" w:hAnsi="Times New Roman"/>
          <w:color w:val="262626" w:themeColor="text1" w:themeTint="D9"/>
          <w:sz w:val="24"/>
          <w:szCs w:val="24"/>
          <w:lang w:val="sr-Cyrl-CS"/>
        </w:rPr>
        <w:t>П</w:t>
      </w:r>
      <w:r w:rsidR="00A278FF" w:rsidRPr="00E95BC4">
        <w:rPr>
          <w:rFonts w:ascii="Times New Roman" w:hAnsi="Times New Roman"/>
          <w:color w:val="262626" w:themeColor="text1" w:themeTint="D9"/>
          <w:sz w:val="24"/>
          <w:szCs w:val="24"/>
          <w:lang w:val="sr-Cyrl-CS"/>
        </w:rPr>
        <w:t xml:space="preserve">роцену ризика од прања новца и </w:t>
      </w:r>
      <w:r w:rsidR="00424D8F" w:rsidRPr="00E95BC4">
        <w:rPr>
          <w:rFonts w:ascii="Times New Roman" w:hAnsi="Times New Roman"/>
          <w:color w:val="262626" w:themeColor="text1" w:themeTint="D9"/>
          <w:sz w:val="24"/>
          <w:szCs w:val="24"/>
          <w:lang w:val="sr-Cyrl-CS"/>
        </w:rPr>
        <w:t xml:space="preserve">Процену ризика од </w:t>
      </w:r>
      <w:r w:rsidR="00A278FF" w:rsidRPr="00E95BC4">
        <w:rPr>
          <w:rFonts w:ascii="Times New Roman" w:hAnsi="Times New Roman"/>
          <w:color w:val="262626" w:themeColor="text1" w:themeTint="D9"/>
          <w:sz w:val="24"/>
          <w:szCs w:val="24"/>
          <w:lang w:val="sr-Cyrl-CS"/>
        </w:rPr>
        <w:t xml:space="preserve">финансирања тероризма. </w:t>
      </w:r>
    </w:p>
    <w:p w:rsidR="00A278FF" w:rsidRPr="00E95BC4" w:rsidRDefault="00A278FF" w:rsidP="00285FD7">
      <w:pPr>
        <w:ind w:firstLine="720"/>
        <w:jc w:val="both"/>
        <w:rPr>
          <w:noProof/>
          <w:color w:val="262626" w:themeColor="text1" w:themeTint="D9"/>
          <w:lang w:val="sr-Cyrl-CS"/>
        </w:rPr>
      </w:pPr>
      <w:r w:rsidRPr="00E95BC4">
        <w:rPr>
          <w:color w:val="262626" w:themeColor="text1" w:themeTint="D9"/>
          <w:lang w:val="sr-Cyrl-CS"/>
        </w:rPr>
        <w:t>У</w:t>
      </w:r>
      <w:r w:rsidR="00B02F59" w:rsidRPr="00E95BC4">
        <w:rPr>
          <w:color w:val="262626" w:themeColor="text1" w:themeTint="D9"/>
          <w:lang w:val="sr-Cyrl-CS"/>
        </w:rPr>
        <w:t xml:space="preserve"> </w:t>
      </w:r>
      <w:r w:rsidRPr="00E95BC4">
        <w:rPr>
          <w:color w:val="262626" w:themeColor="text1" w:themeTint="D9"/>
          <w:lang w:val="sr-Cyrl-CS"/>
        </w:rPr>
        <w:t>већини случајева, дакле, иницијатори/носиоци активности били су чланови бивше Сталне ко</w:t>
      </w:r>
      <w:r w:rsidR="00F83CCF" w:rsidRPr="00E95BC4">
        <w:rPr>
          <w:color w:val="262626" w:themeColor="text1" w:themeTint="D9"/>
          <w:lang w:val="sr-Cyrl-CS"/>
        </w:rPr>
        <w:t>о</w:t>
      </w:r>
      <w:r w:rsidRPr="00E95BC4">
        <w:rPr>
          <w:color w:val="262626" w:themeColor="text1" w:themeTint="D9"/>
          <w:lang w:val="sr-Cyrl-CS"/>
        </w:rPr>
        <w:t>рдинационе групе, односно садашњег Координационог тела</w:t>
      </w:r>
      <w:r w:rsidR="00E517D0" w:rsidRPr="00E95BC4">
        <w:rPr>
          <w:color w:val="262626" w:themeColor="text1" w:themeTint="D9"/>
          <w:lang w:val="sr-Cyrl-CS"/>
        </w:rPr>
        <w:t xml:space="preserve"> за спречавање прања новца и финансирања тероризма (у даљем тексту: Координационо тело)</w:t>
      </w:r>
      <w:r w:rsidRPr="00E95BC4">
        <w:rPr>
          <w:color w:val="262626" w:themeColor="text1" w:themeTint="D9"/>
          <w:lang w:val="sr-Cyrl-CS"/>
        </w:rPr>
        <w:t xml:space="preserve">. Код неких активности, међутим, за иницијаторе су одређени државни органи </w:t>
      </w:r>
      <w:r w:rsidR="00E517D0" w:rsidRPr="00E95BC4">
        <w:rPr>
          <w:color w:val="262626" w:themeColor="text1" w:themeTint="D9"/>
          <w:lang w:val="sr-Cyrl-CS"/>
        </w:rPr>
        <w:t>или субјекти који нису чланови К</w:t>
      </w:r>
      <w:r w:rsidRPr="00E95BC4">
        <w:rPr>
          <w:color w:val="262626" w:themeColor="text1" w:themeTint="D9"/>
          <w:lang w:val="sr-Cyrl-CS"/>
        </w:rPr>
        <w:t>оординационог тела, што може да представља изазов када је у питању координација и извештавање.</w:t>
      </w:r>
      <w:r w:rsidRPr="00E95BC4">
        <w:rPr>
          <w:rStyle w:val="FootnoteReference"/>
          <w:color w:val="262626" w:themeColor="text1" w:themeTint="D9"/>
          <w:lang w:val="sr-Cyrl-CS"/>
        </w:rPr>
        <w:footnoteReference w:id="21"/>
      </w:r>
      <w:r w:rsidR="00D12FC8" w:rsidRPr="00E95BC4">
        <w:rPr>
          <w:color w:val="262626" w:themeColor="text1" w:themeTint="D9"/>
          <w:lang w:val="sr-Cyrl-CS"/>
        </w:rPr>
        <w:t xml:space="preserve"> Ти изазови су узети у обзир приликом израде нове стратегије, а Координационо тело ће наставити да их прати.</w:t>
      </w:r>
      <w:r w:rsidRPr="00E95BC4">
        <w:rPr>
          <w:color w:val="262626" w:themeColor="text1" w:themeTint="D9"/>
          <w:lang w:val="sr-Cyrl-CS"/>
        </w:rPr>
        <w:t xml:space="preserve"> Такође је потребно утврдити најадекватнији начин за иницирање и спровођење активности за које је надлежна Влада (нпр. код питања проширења институционалних капацитета, додатног запошљавања или буџета).</w:t>
      </w:r>
      <w:r w:rsidRPr="00E95BC4">
        <w:rPr>
          <w:noProof/>
          <w:color w:val="262626" w:themeColor="text1" w:themeTint="D9"/>
          <w:lang w:val="sr-Cyrl-CS"/>
        </w:rPr>
        <w:t xml:space="preserve"> </w:t>
      </w:r>
      <w:r w:rsidR="00156D4E" w:rsidRPr="00E95BC4">
        <w:rPr>
          <w:noProof/>
          <w:color w:val="262626" w:themeColor="text1" w:themeTint="D9"/>
          <w:lang w:val="sr-Cyrl-CS"/>
        </w:rPr>
        <w:t>Ова питања су решена јачањем и организацијом механизма координације (Координационог тела).</w:t>
      </w:r>
    </w:p>
    <w:p w:rsidR="00A278FF" w:rsidRPr="00E95BC4" w:rsidRDefault="00A278FF" w:rsidP="00285FD7">
      <w:pPr>
        <w:ind w:firstLine="720"/>
        <w:jc w:val="both"/>
        <w:rPr>
          <w:color w:val="262626" w:themeColor="text1" w:themeTint="D9"/>
          <w:lang w:val="sr-Cyrl-CS"/>
        </w:rPr>
      </w:pPr>
      <w:r w:rsidRPr="00E95BC4">
        <w:rPr>
          <w:color w:val="262626" w:themeColor="text1" w:themeTint="D9"/>
          <w:lang w:val="sr-Cyrl-CS"/>
        </w:rPr>
        <w:t>На основу прибављених података</w:t>
      </w:r>
      <w:r w:rsidRPr="00E95BC4">
        <w:rPr>
          <w:rStyle w:val="FootnoteReference"/>
          <w:color w:val="262626" w:themeColor="text1" w:themeTint="D9"/>
          <w:lang w:val="sr-Cyrl-CS"/>
        </w:rPr>
        <w:footnoteReference w:id="22"/>
      </w:r>
      <w:r w:rsidRPr="00E95BC4">
        <w:rPr>
          <w:color w:val="262626" w:themeColor="text1" w:themeTint="D9"/>
          <w:lang w:val="sr-Cyrl-CS"/>
        </w:rPr>
        <w:t xml:space="preserve"> о степену спровођења активности из Националне стратегије</w:t>
      </w:r>
      <w:r w:rsidR="00AD151C" w:rsidRPr="00E95BC4">
        <w:rPr>
          <w:color w:val="262626" w:themeColor="text1" w:themeTint="D9"/>
          <w:lang w:val="sr-Cyrl-CS"/>
        </w:rPr>
        <w:t xml:space="preserve"> 2014-2019</w:t>
      </w:r>
      <w:r w:rsidRPr="00E95BC4">
        <w:rPr>
          <w:color w:val="262626" w:themeColor="text1" w:themeTint="D9"/>
          <w:lang w:val="sr-Cyrl-CS"/>
        </w:rPr>
        <w:t>, од укупно 109 активности, које су различитог нивоа општости – од доношења прописа до израде збирки текстова – у потпуности je испуњено</w:t>
      </w:r>
      <w:r w:rsidR="0073479B" w:rsidRPr="00E95BC4">
        <w:rPr>
          <w:color w:val="262626" w:themeColor="text1" w:themeTint="D9"/>
          <w:lang w:val="sr-Cyrl-CS"/>
        </w:rPr>
        <w:t>,</w:t>
      </w:r>
      <w:r w:rsidRPr="00E95BC4">
        <w:rPr>
          <w:color w:val="262626" w:themeColor="text1" w:themeTint="D9"/>
          <w:lang w:val="sr-Cyrl-CS"/>
        </w:rPr>
        <w:t xml:space="preserve"> </w:t>
      </w:r>
      <w:r w:rsidRPr="00E95BC4">
        <w:rPr>
          <w:color w:val="262626" w:themeColor="text1" w:themeTint="D9"/>
          <w:lang w:val="sr-Cyrl-CS"/>
        </w:rPr>
        <w:lastRenderedPageBreak/>
        <w:t>односно континуирано се спроводи 87 (80%), делимично је испуњено 12 (11%) активности, а неиспуњених 10 (9%).</w:t>
      </w:r>
    </w:p>
    <w:p w:rsidR="00A278FF" w:rsidRPr="00E95BC4" w:rsidRDefault="00A278FF" w:rsidP="00285FD7">
      <w:pPr>
        <w:rPr>
          <w:color w:val="262626" w:themeColor="text1" w:themeTint="D9"/>
          <w:lang w:val="sr-Cyrl-CS"/>
        </w:rPr>
      </w:pPr>
    </w:p>
    <w:p w:rsidR="00A278FF" w:rsidRPr="00E95BC4" w:rsidRDefault="00A278FF" w:rsidP="00285FD7">
      <w:pPr>
        <w:jc w:val="center"/>
        <w:rPr>
          <w:noProof/>
          <w:color w:val="262626" w:themeColor="text1" w:themeTint="D9"/>
          <w:lang w:val="sr-Cyrl-CS"/>
        </w:rPr>
      </w:pPr>
      <w:r w:rsidRPr="00E95BC4">
        <w:rPr>
          <w:noProof/>
          <w:color w:val="262626" w:themeColor="text1" w:themeTint="D9"/>
        </w:rPr>
        <w:drawing>
          <wp:inline distT="0" distB="0" distL="0" distR="0">
            <wp:extent cx="3564031" cy="2514600"/>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78FF" w:rsidRPr="00E95BC4" w:rsidRDefault="00A278FF" w:rsidP="00285FD7">
      <w:pPr>
        <w:ind w:firstLine="720"/>
        <w:jc w:val="both"/>
        <w:rPr>
          <w:color w:val="262626" w:themeColor="text1" w:themeTint="D9"/>
          <w:lang w:val="sr-Cyrl-CS"/>
        </w:rPr>
      </w:pPr>
      <w:r w:rsidRPr="00E95BC4">
        <w:rPr>
          <w:color w:val="262626" w:themeColor="text1" w:themeTint="D9"/>
          <w:lang w:val="sr-Cyrl-CS"/>
        </w:rPr>
        <w:t>Развој система нарочито од почетка 2018.</w:t>
      </w:r>
      <w:r w:rsidR="001E55D5" w:rsidRPr="00E95BC4">
        <w:rPr>
          <w:color w:val="262626" w:themeColor="text1" w:themeTint="D9"/>
          <w:lang w:val="sr-Cyrl-CS"/>
        </w:rPr>
        <w:t xml:space="preserve"> године</w:t>
      </w:r>
      <w:r w:rsidRPr="00E95BC4">
        <w:rPr>
          <w:color w:val="262626" w:themeColor="text1" w:themeTint="D9"/>
          <w:lang w:val="sr-Cyrl-CS"/>
        </w:rPr>
        <w:t xml:space="preserve"> (почетак четврте године имплементације Националне стратегије</w:t>
      </w:r>
      <w:r w:rsidR="001B2820" w:rsidRPr="00E95BC4">
        <w:rPr>
          <w:color w:val="262626" w:themeColor="text1" w:themeTint="D9"/>
          <w:lang w:val="sr-Cyrl-CS"/>
        </w:rPr>
        <w:t xml:space="preserve"> 2014-2019</w:t>
      </w:r>
      <w:r w:rsidRPr="00E95BC4">
        <w:rPr>
          <w:color w:val="262626" w:themeColor="text1" w:themeTint="D9"/>
          <w:lang w:val="sr-Cyrl-CS"/>
        </w:rPr>
        <w:t xml:space="preserve">) ишао је убрзаним корацима и у многим областима </w:t>
      </w:r>
      <w:r w:rsidR="00864EB1" w:rsidRPr="00E95BC4">
        <w:rPr>
          <w:color w:val="262626" w:themeColor="text1" w:themeTint="D9"/>
          <w:lang w:val="sr-Cyrl-CS"/>
        </w:rPr>
        <w:t xml:space="preserve">постигао више него што су то предвиђале мере </w:t>
      </w:r>
      <w:r w:rsidRPr="00E95BC4">
        <w:rPr>
          <w:color w:val="262626" w:themeColor="text1" w:themeTint="D9"/>
          <w:lang w:val="sr-Cyrl-CS"/>
        </w:rPr>
        <w:t>Националне стратегије</w:t>
      </w:r>
      <w:r w:rsidR="00864EB1" w:rsidRPr="00E95BC4">
        <w:rPr>
          <w:color w:val="262626" w:themeColor="text1" w:themeTint="D9"/>
          <w:lang w:val="sr-Cyrl-CS"/>
        </w:rPr>
        <w:t xml:space="preserve"> и био у функцији остварења општег циља и тема те стратегије</w:t>
      </w:r>
      <w:r w:rsidRPr="00E95BC4">
        <w:rPr>
          <w:color w:val="262626" w:themeColor="text1" w:themeTint="D9"/>
          <w:lang w:val="sr-Cyrl-CS"/>
        </w:rPr>
        <w:t xml:space="preserve"> (на пример, доношењем новог Закона</w:t>
      </w:r>
      <w:r w:rsidR="00F83CCF" w:rsidRPr="00E95BC4">
        <w:rPr>
          <w:color w:val="262626" w:themeColor="text1" w:themeTint="D9"/>
          <w:lang w:val="sr-Cyrl-CS"/>
        </w:rPr>
        <w:t xml:space="preserve"> </w:t>
      </w:r>
      <w:r w:rsidRPr="00E95BC4">
        <w:rPr>
          <w:color w:val="262626" w:themeColor="text1" w:themeTint="D9"/>
          <w:lang w:val="sr-Cyrl-CS"/>
        </w:rPr>
        <w:t>о спречавању прања новца и финансирања тероризма, почетком примене Закона о организацији и надлежности</w:t>
      </w:r>
      <w:r w:rsidR="001B2820" w:rsidRPr="00E95BC4">
        <w:rPr>
          <w:color w:val="262626" w:themeColor="text1" w:themeTint="D9"/>
          <w:lang w:val="sr-Cyrl-CS"/>
        </w:rPr>
        <w:t xml:space="preserve"> државних органа у сузбијању организованог криминала, тероризма и корупције</w:t>
      </w:r>
      <w:r w:rsidRPr="00E95BC4">
        <w:rPr>
          <w:color w:val="262626" w:themeColor="text1" w:themeTint="D9"/>
          <w:lang w:val="sr-Cyrl-CS"/>
        </w:rPr>
        <w:t xml:space="preserve">; спровођењем мера из Акционог плана уз </w:t>
      </w:r>
      <w:r w:rsidR="001B2820" w:rsidRPr="00E95BC4">
        <w:rPr>
          <w:color w:val="262626" w:themeColor="text1" w:themeTint="D9"/>
          <w:lang w:val="sr-Cyrl-CS"/>
        </w:rPr>
        <w:t xml:space="preserve">Процену ризика од прања новца и Процену ризика од финансирања тероризма (2018) </w:t>
      </w:r>
      <w:r w:rsidRPr="00E95BC4">
        <w:rPr>
          <w:color w:val="262626" w:themeColor="text1" w:themeTint="D9"/>
          <w:lang w:val="sr-Cyrl-CS"/>
        </w:rPr>
        <w:t>као што је доношење смерница за статистичко извештавање и праћење предмета прања новца</w:t>
      </w:r>
      <w:r w:rsidR="00BF5470">
        <w:rPr>
          <w:color w:val="262626" w:themeColor="text1" w:themeTint="D9"/>
          <w:lang w:val="sr-Cyrl-CS"/>
        </w:rPr>
        <w:t xml:space="preserve"> и финансирања тероризма, итд.).</w:t>
      </w:r>
      <w:r w:rsidRPr="00E95BC4">
        <w:rPr>
          <w:color w:val="262626" w:themeColor="text1" w:themeTint="D9"/>
          <w:lang w:val="sr-Cyrl-CS"/>
        </w:rPr>
        <w:t xml:space="preserve"> </w:t>
      </w:r>
    </w:p>
    <w:p w:rsidR="00A278FF" w:rsidRPr="00E95BC4" w:rsidRDefault="00A278FF" w:rsidP="00285FD7">
      <w:pPr>
        <w:ind w:firstLine="720"/>
        <w:jc w:val="both"/>
        <w:rPr>
          <w:color w:val="262626" w:themeColor="text1" w:themeTint="D9"/>
          <w:lang w:val="sr-Cyrl-CS"/>
        </w:rPr>
      </w:pPr>
      <w:r w:rsidRPr="00E95BC4">
        <w:rPr>
          <w:color w:val="262626" w:themeColor="text1" w:themeTint="D9"/>
          <w:lang w:val="sr-Cyrl-CS"/>
        </w:rPr>
        <w:t>Такође, Национална стратегија за неке области није предвидела ниједну активност, на пример по питању циљаних финансијских санкција и надзора над непрофитним сектором – а та пи</w:t>
      </w:r>
      <w:r w:rsidR="00F83CCF" w:rsidRPr="00E95BC4">
        <w:rPr>
          <w:color w:val="262626" w:themeColor="text1" w:themeTint="D9"/>
          <w:lang w:val="sr-Cyrl-CS"/>
        </w:rPr>
        <w:t>тања су у великој мери заокупи</w:t>
      </w:r>
      <w:r w:rsidRPr="00E95BC4">
        <w:rPr>
          <w:color w:val="262626" w:themeColor="text1" w:themeTint="D9"/>
          <w:lang w:val="sr-Cyrl-CS"/>
        </w:rPr>
        <w:t xml:space="preserve">ла пажњу читавог система за борбу против прања новца и финансирања тероризма, пре свега у циљу испуњавања међународних стандарда. И што је изузетно значајно, те области – ради се о тзв. непосредним </w:t>
      </w:r>
      <w:r w:rsidR="000C7714" w:rsidRPr="00E95BC4">
        <w:rPr>
          <w:color w:val="262626" w:themeColor="text1" w:themeTint="D9"/>
          <w:lang w:val="sr-Cyrl-CS"/>
        </w:rPr>
        <w:t>исходима</w:t>
      </w:r>
      <w:r w:rsidRPr="00E95BC4">
        <w:rPr>
          <w:color w:val="262626" w:themeColor="text1" w:themeTint="D9"/>
          <w:lang w:val="sr-Cyrl-CS"/>
        </w:rPr>
        <w:t xml:space="preserve"> 10 и 11 из Методологије ФАТФ</w:t>
      </w:r>
      <w:r w:rsidRPr="00E95BC4">
        <w:rPr>
          <w:rStyle w:val="FootnoteReference"/>
          <w:color w:val="262626" w:themeColor="text1" w:themeTint="D9"/>
          <w:lang w:val="sr-Cyrl-CS"/>
        </w:rPr>
        <w:footnoteReference w:id="23"/>
      </w:r>
      <w:r w:rsidRPr="00E95BC4">
        <w:rPr>
          <w:color w:val="262626" w:themeColor="text1" w:themeTint="D9"/>
          <w:lang w:val="sr-Cyrl-CS"/>
        </w:rPr>
        <w:t xml:space="preserve"> - оцењене су у међународном контексту као изузетно позитивно решене са становишта испуњености међународних стандарда и што је најважније са становишта делотворности система (примене прописа).</w:t>
      </w:r>
    </w:p>
    <w:p w:rsidR="00A278FF" w:rsidRPr="00E95BC4" w:rsidRDefault="00A278FF" w:rsidP="00285FD7">
      <w:pPr>
        <w:ind w:firstLine="720"/>
        <w:jc w:val="both"/>
        <w:rPr>
          <w:color w:val="262626" w:themeColor="text1" w:themeTint="D9"/>
          <w:lang w:val="sr-Cyrl-CS"/>
        </w:rPr>
      </w:pPr>
      <w:r w:rsidRPr="00E95BC4">
        <w:rPr>
          <w:color w:val="262626" w:themeColor="text1" w:themeTint="D9"/>
          <w:lang w:val="sr-Cyrl-CS"/>
        </w:rPr>
        <w:t>Отуда и напред приказани статистички преглед испуњених, делимично испуњених и неиспуњених активности треба сагледавати у контексту укупних реформи и предузетих мера у систему</w:t>
      </w:r>
      <w:r w:rsidRPr="00E95BC4">
        <w:rPr>
          <w:rStyle w:val="FootnoteReference"/>
          <w:color w:val="262626" w:themeColor="text1" w:themeTint="D9"/>
          <w:lang w:val="sr-Cyrl-CS"/>
        </w:rPr>
        <w:footnoteReference w:id="24"/>
      </w:r>
      <w:r w:rsidRPr="00E95BC4">
        <w:rPr>
          <w:color w:val="262626" w:themeColor="text1" w:themeTint="D9"/>
          <w:lang w:val="sr-Cyrl-CS"/>
        </w:rPr>
        <w:t xml:space="preserve"> </w:t>
      </w:r>
      <w:r w:rsidR="00E517D0" w:rsidRPr="00E95BC4">
        <w:rPr>
          <w:color w:val="262626" w:themeColor="text1" w:themeTint="D9"/>
          <w:lang w:val="sr-Cyrl-CS"/>
        </w:rPr>
        <w:t xml:space="preserve">и </w:t>
      </w:r>
      <w:r w:rsidRPr="00E95BC4">
        <w:rPr>
          <w:color w:val="262626" w:themeColor="text1" w:themeTint="D9"/>
          <w:lang w:val="sr-Cyrl-CS"/>
        </w:rPr>
        <w:t xml:space="preserve">у погледу усклађености са стандардима </w:t>
      </w:r>
      <w:r w:rsidR="00E517D0" w:rsidRPr="00E95BC4">
        <w:rPr>
          <w:color w:val="262626" w:themeColor="text1" w:themeTint="D9"/>
          <w:lang w:val="sr-Cyrl-CS"/>
        </w:rPr>
        <w:t xml:space="preserve">на техничком нивоу </w:t>
      </w:r>
      <w:r w:rsidRPr="00E95BC4">
        <w:rPr>
          <w:color w:val="262626" w:themeColor="text1" w:themeTint="D9"/>
          <w:lang w:val="sr-Cyrl-CS"/>
        </w:rPr>
        <w:t xml:space="preserve">и у погледу унапређења делотворности система (нпр. ефекти надзора над спровођењем Закона </w:t>
      </w:r>
      <w:r w:rsidRPr="00E95BC4">
        <w:rPr>
          <w:color w:val="262626" w:themeColor="text1" w:themeTint="D9"/>
          <w:lang w:val="sr-Cyrl-CS"/>
        </w:rPr>
        <w:lastRenderedPageBreak/>
        <w:t>о спречавању прања новца и финансирања тероризма, процесуирања кривичног дела прања новца и финансирања тероризма као и примене циљаних финансијских санкција).</w:t>
      </w:r>
    </w:p>
    <w:p w:rsidR="00A278FF" w:rsidRPr="00E95BC4" w:rsidRDefault="00A278FF" w:rsidP="00285FD7">
      <w:pPr>
        <w:ind w:firstLine="720"/>
        <w:jc w:val="both"/>
        <w:rPr>
          <w:color w:val="262626" w:themeColor="text1" w:themeTint="D9"/>
          <w:lang w:val="sr-Cyrl-CS"/>
        </w:rPr>
      </w:pPr>
      <w:r w:rsidRPr="00E95BC4">
        <w:rPr>
          <w:color w:val="262626" w:themeColor="text1" w:themeTint="D9"/>
          <w:lang w:val="sr-Cyrl-CS"/>
        </w:rPr>
        <w:t>Неке неспроведене активности, међутим, могу бити актуелне и у овом тренутку, нарочито оне које се тичу кадровског попуњавања неких органа као и обуке и изградње капацитета.</w:t>
      </w:r>
    </w:p>
    <w:p w:rsidR="00A278FF" w:rsidRPr="00E95BC4" w:rsidRDefault="00A278FF" w:rsidP="00285FD7">
      <w:pPr>
        <w:ind w:firstLine="720"/>
        <w:jc w:val="both"/>
        <w:rPr>
          <w:lang w:val="sr-Cyrl-CS"/>
        </w:rPr>
      </w:pPr>
      <w:r w:rsidRPr="00E95BC4">
        <w:rPr>
          <w:b/>
          <w:lang w:val="sr-Cyrl-CS"/>
        </w:rPr>
        <w:t>Упоредна међународна пракса</w:t>
      </w:r>
      <w:r w:rsidR="003A2212" w:rsidRPr="00E95BC4">
        <w:rPr>
          <w:b/>
          <w:lang w:val="sr-Cyrl-CS"/>
        </w:rPr>
        <w:t>.</w:t>
      </w:r>
      <w:r w:rsidRPr="00E95BC4">
        <w:rPr>
          <w:rStyle w:val="FootnoteReference"/>
          <w:lang w:val="sr-Cyrl-CS"/>
        </w:rPr>
        <w:footnoteReference w:id="25"/>
      </w:r>
      <w:r w:rsidRPr="00E95BC4">
        <w:rPr>
          <w:lang w:val="sr-Cyrl-CS"/>
        </w:rPr>
        <w:t xml:space="preserve"> ФАТФ даје упоредни преглед степена усклађености чланица глобалног система за борбу против прања новца и финансирања тероризма како у погледу техничке усклађености тако и у погледу делотворности. Ранг листа држава у смислу конкурентности званично не постоји б</w:t>
      </w:r>
      <w:r w:rsidR="00E517D0" w:rsidRPr="00E95BC4">
        <w:rPr>
          <w:lang w:val="sr-Cyrl-CS"/>
        </w:rPr>
        <w:t xml:space="preserve">удући да се стање учестало мења, између осталог и због промене </w:t>
      </w:r>
      <w:r w:rsidRPr="00E95BC4">
        <w:rPr>
          <w:lang w:val="sr-Cyrl-CS"/>
        </w:rPr>
        <w:t>међународни</w:t>
      </w:r>
      <w:r w:rsidR="00E517D0" w:rsidRPr="00E95BC4">
        <w:rPr>
          <w:lang w:val="sr-Cyrl-CS"/>
        </w:rPr>
        <w:t>х стандарда</w:t>
      </w:r>
      <w:r w:rsidRPr="00E95BC4">
        <w:rPr>
          <w:lang w:val="sr-Cyrl-CS"/>
        </w:rPr>
        <w:t xml:space="preserve"> које треба испунити. Применом мера из овог документа јавне политике </w:t>
      </w:r>
      <w:r w:rsidR="00E517D0" w:rsidRPr="00E95BC4">
        <w:rPr>
          <w:lang w:val="sr-Cyrl-CS"/>
        </w:rPr>
        <w:t>допринеће се</w:t>
      </w:r>
      <w:r w:rsidRPr="00E95BC4">
        <w:rPr>
          <w:lang w:val="sr-Cyrl-CS"/>
        </w:rPr>
        <w:t xml:space="preserve">, условно речено, </w:t>
      </w:r>
      <w:r w:rsidRPr="00E95BC4">
        <w:rPr>
          <w:i/>
          <w:lang w:val="sr-Cyrl-CS"/>
        </w:rPr>
        <w:t xml:space="preserve">рангирању </w:t>
      </w:r>
      <w:r w:rsidRPr="00E95BC4">
        <w:rPr>
          <w:lang w:val="sr-Cyrl-CS"/>
        </w:rPr>
        <w:t>Републике Србије у овој области</w:t>
      </w:r>
      <w:r w:rsidR="00CC3736" w:rsidRPr="00E95BC4">
        <w:rPr>
          <w:lang w:val="sr-Cyrl-CS"/>
        </w:rPr>
        <w:t xml:space="preserve"> и спречити поновно стављање Србије под појачано праћење од стране међународних организација (нпр. FATF ICRG)</w:t>
      </w:r>
      <w:r w:rsidRPr="00E95BC4">
        <w:rPr>
          <w:lang w:val="sr-Cyrl-CS"/>
        </w:rPr>
        <w:t xml:space="preserve"> што ће имати позитиван ефекат и на друге процесе (</w:t>
      </w:r>
      <w:r w:rsidR="008A65BD" w:rsidRPr="00E95BC4">
        <w:rPr>
          <w:lang w:val="sr-Cyrl-CS"/>
        </w:rPr>
        <w:t>нпр.</w:t>
      </w:r>
      <w:r w:rsidRPr="00E95BC4">
        <w:rPr>
          <w:lang w:val="sr-Cyrl-CS"/>
        </w:rPr>
        <w:t xml:space="preserve"> </w:t>
      </w:r>
      <w:r w:rsidR="00CC3736" w:rsidRPr="00E95BC4">
        <w:rPr>
          <w:lang w:val="sr-Cyrl-CS"/>
        </w:rPr>
        <w:t xml:space="preserve">у вези са </w:t>
      </w:r>
      <w:r w:rsidRPr="00E95BC4">
        <w:rPr>
          <w:lang w:val="sr-Cyrl-CS"/>
        </w:rPr>
        <w:t xml:space="preserve">битним аранжманима које </w:t>
      </w:r>
      <w:r w:rsidR="004A6FEC" w:rsidRPr="00E95BC4">
        <w:rPr>
          <w:lang w:val="sr-Cyrl-CS"/>
        </w:rPr>
        <w:t xml:space="preserve">Република </w:t>
      </w:r>
      <w:r w:rsidRPr="00E95BC4">
        <w:rPr>
          <w:lang w:val="sr-Cyrl-CS"/>
        </w:rPr>
        <w:t>Србија остварује са међународним финансијским институцијама као што је ММФ).</w:t>
      </w:r>
    </w:p>
    <w:p w:rsidR="00B150CA" w:rsidRPr="00E95BC4" w:rsidRDefault="000E7324" w:rsidP="000E7324">
      <w:pPr>
        <w:ind w:firstLine="720"/>
        <w:jc w:val="both"/>
        <w:rPr>
          <w:lang w:val="sr-Cyrl-CS"/>
        </w:rPr>
      </w:pPr>
      <w:r w:rsidRPr="00E95BC4">
        <w:rPr>
          <w:b/>
          <w:lang w:val="sr-Cyrl-CS"/>
        </w:rPr>
        <w:t xml:space="preserve">Анализа проблема. </w:t>
      </w:r>
      <w:r w:rsidR="004E07FF" w:rsidRPr="00E95BC4">
        <w:rPr>
          <w:lang w:val="sr-Cyrl-CS"/>
        </w:rPr>
        <w:t xml:space="preserve">На основу свих напред наведених анализа, пре свега анализе Манивала и анализе извршене у оквиру националне процене ризика али и </w:t>
      </w:r>
      <w:r w:rsidRPr="00E95BC4">
        <w:rPr>
          <w:lang w:val="sr-Cyrl-CS"/>
        </w:rPr>
        <w:t>континуираног праћења и оцене ефективности система за борбу против прања новца и финансирања тероризма у складу са Законом о спречавању прања новца, идентификовани су следећи кључни проблеми</w:t>
      </w:r>
      <w:r w:rsidR="004769B3" w:rsidRPr="00E95BC4">
        <w:rPr>
          <w:lang w:val="sr-Cyrl-CS"/>
        </w:rPr>
        <w:t xml:space="preserve"> (обим, природа, узроци, последице)</w:t>
      </w:r>
      <w:r w:rsidRPr="00E95BC4">
        <w:rPr>
          <w:lang w:val="sr-Cyrl-CS"/>
        </w:rPr>
        <w:t>:</w:t>
      </w:r>
    </w:p>
    <w:p w:rsidR="001A655F" w:rsidRPr="00E95BC4" w:rsidRDefault="00F65C28" w:rsidP="00F83CCF">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sidRPr="00E95BC4">
        <w:rPr>
          <w:rFonts w:ascii="Times New Roman" w:hAnsi="Times New Roman"/>
          <w:b/>
          <w:sz w:val="24"/>
          <w:szCs w:val="24"/>
          <w:lang w:val="sr-Cyrl-CS"/>
        </w:rPr>
        <w:t>Проблем 1</w:t>
      </w:r>
      <w:r w:rsidR="00C55991" w:rsidRPr="00E95BC4">
        <w:rPr>
          <w:rFonts w:ascii="Times New Roman" w:hAnsi="Times New Roman"/>
          <w:b/>
          <w:sz w:val="24"/>
          <w:szCs w:val="24"/>
          <w:lang w:val="sr-Cyrl-CS"/>
        </w:rPr>
        <w:t xml:space="preserve"> – Ризик, координација, интерресорна и међународна сарадња</w:t>
      </w:r>
      <w:r w:rsidR="00BE282A" w:rsidRPr="00E95BC4">
        <w:rPr>
          <w:rFonts w:ascii="Times New Roman" w:hAnsi="Times New Roman"/>
          <w:b/>
          <w:sz w:val="24"/>
          <w:szCs w:val="24"/>
          <w:lang w:val="sr-Cyrl-CS"/>
        </w:rPr>
        <w:t xml:space="preserve">. </w:t>
      </w:r>
      <w:r w:rsidR="004769B3" w:rsidRPr="00E95BC4">
        <w:rPr>
          <w:rFonts w:ascii="Times New Roman" w:hAnsi="Times New Roman"/>
          <w:sz w:val="24"/>
          <w:szCs w:val="24"/>
          <w:lang w:val="sr-Cyrl-CS"/>
        </w:rPr>
        <w:t>К</w:t>
      </w:r>
      <w:r w:rsidRPr="00E95BC4">
        <w:rPr>
          <w:rFonts w:ascii="Times New Roman" w:hAnsi="Times New Roman"/>
          <w:sz w:val="24"/>
          <w:szCs w:val="24"/>
          <w:lang w:val="sr-Cyrl-CS"/>
        </w:rPr>
        <w:t xml:space="preserve">ада су </w:t>
      </w:r>
      <w:r w:rsidR="00FE659C" w:rsidRPr="00E95BC4">
        <w:rPr>
          <w:rFonts w:ascii="Times New Roman" w:hAnsi="Times New Roman"/>
          <w:sz w:val="24"/>
          <w:szCs w:val="24"/>
          <w:lang w:val="sr-Cyrl-CS"/>
        </w:rPr>
        <w:t xml:space="preserve">у питању смањење ризика, координација, интерресорна </w:t>
      </w:r>
      <w:r w:rsidRPr="00E95BC4">
        <w:rPr>
          <w:rFonts w:ascii="Times New Roman" w:hAnsi="Times New Roman"/>
          <w:sz w:val="24"/>
          <w:szCs w:val="24"/>
          <w:lang w:val="sr-Cyrl-CS"/>
        </w:rPr>
        <w:t xml:space="preserve">и међународна сарадња, проблем у овом тренутку није изражен с обзиром на то да је </w:t>
      </w:r>
      <w:r w:rsidR="00C55991" w:rsidRPr="00E95BC4">
        <w:rPr>
          <w:rFonts w:ascii="Times New Roman" w:hAnsi="Times New Roman"/>
          <w:sz w:val="24"/>
          <w:szCs w:val="24"/>
          <w:lang w:val="sr-Cyrl-CS"/>
        </w:rPr>
        <w:t>држава спровела националну процену ризика 2018. године и да је оформила ново Координационо тело које се редовно састаје</w:t>
      </w:r>
      <w:r w:rsidR="004769B3" w:rsidRPr="00E95BC4">
        <w:rPr>
          <w:rFonts w:ascii="Times New Roman" w:hAnsi="Times New Roman"/>
          <w:sz w:val="24"/>
          <w:szCs w:val="24"/>
          <w:lang w:val="sr-Cyrl-CS"/>
        </w:rPr>
        <w:t xml:space="preserve"> и довољно је снажно да утиче на промене у систему</w:t>
      </w:r>
      <w:r w:rsidR="00C55991" w:rsidRPr="00E95BC4">
        <w:rPr>
          <w:rFonts w:ascii="Times New Roman" w:hAnsi="Times New Roman"/>
          <w:sz w:val="24"/>
          <w:szCs w:val="24"/>
          <w:lang w:val="sr-Cyrl-CS"/>
        </w:rPr>
        <w:t>. Такође, постоје и адекватна решења за интерресорну сарадњу коју пружају различити закони, попут Закона о организацији и надлежности</w:t>
      </w:r>
      <w:r w:rsidR="00F83CCF" w:rsidRPr="00E95BC4">
        <w:rPr>
          <w:rFonts w:ascii="Times New Roman" w:hAnsi="Times New Roman"/>
          <w:sz w:val="24"/>
          <w:szCs w:val="24"/>
          <w:lang w:val="sr-Cyrl-CS"/>
        </w:rPr>
        <w:t xml:space="preserve"> државних органа у сузбијању организованог криминала, тероризма и корупције</w:t>
      </w:r>
      <w:r w:rsidR="00C55991" w:rsidRPr="00E95BC4">
        <w:rPr>
          <w:rFonts w:ascii="Times New Roman" w:hAnsi="Times New Roman"/>
          <w:sz w:val="24"/>
          <w:szCs w:val="24"/>
          <w:lang w:val="sr-Cyrl-CS"/>
        </w:rPr>
        <w:t>, Закон о спречавању прања новца и финансирања тероризма, Закон о кривичном поступку, Закон о ограничавању располагања имовином у циљу спречавања тероризма</w:t>
      </w:r>
      <w:r w:rsidR="00F83CCF" w:rsidRPr="00E95BC4">
        <w:rPr>
          <w:rFonts w:ascii="Times New Roman" w:hAnsi="Times New Roman"/>
          <w:sz w:val="24"/>
          <w:szCs w:val="24"/>
          <w:lang w:val="sr-Cyrl-CS"/>
        </w:rPr>
        <w:t xml:space="preserve"> и ширења оружја за масовно уништење</w:t>
      </w:r>
      <w:r w:rsidR="00C55991" w:rsidRPr="00E95BC4">
        <w:rPr>
          <w:rFonts w:ascii="Times New Roman" w:hAnsi="Times New Roman"/>
          <w:sz w:val="24"/>
          <w:szCs w:val="24"/>
          <w:lang w:val="sr-Cyrl-CS"/>
        </w:rPr>
        <w:t>, Закон о инсп</w:t>
      </w:r>
      <w:r w:rsidR="004769B3" w:rsidRPr="00E95BC4">
        <w:rPr>
          <w:rFonts w:ascii="Times New Roman" w:hAnsi="Times New Roman"/>
          <w:sz w:val="24"/>
          <w:szCs w:val="24"/>
          <w:lang w:val="sr-Cyrl-CS"/>
        </w:rPr>
        <w:t>е</w:t>
      </w:r>
      <w:r w:rsidR="00C55991" w:rsidRPr="00E95BC4">
        <w:rPr>
          <w:rFonts w:ascii="Times New Roman" w:hAnsi="Times New Roman"/>
          <w:sz w:val="24"/>
          <w:szCs w:val="24"/>
          <w:lang w:val="sr-Cyrl-CS"/>
        </w:rPr>
        <w:t>кцијском надзору итд</w:t>
      </w:r>
      <w:r w:rsidRPr="00E95BC4">
        <w:rPr>
          <w:rFonts w:ascii="Times New Roman" w:hAnsi="Times New Roman"/>
          <w:sz w:val="24"/>
          <w:szCs w:val="24"/>
          <w:lang w:val="sr-Cyrl-CS"/>
        </w:rPr>
        <w:t xml:space="preserve">. Питање националне процене ризика почива у великој мери на </w:t>
      </w:r>
      <w:r w:rsidR="00C55991" w:rsidRPr="00E95BC4">
        <w:rPr>
          <w:rFonts w:ascii="Times New Roman" w:hAnsi="Times New Roman"/>
          <w:sz w:val="24"/>
          <w:szCs w:val="24"/>
          <w:lang w:val="sr-Cyrl-CS"/>
        </w:rPr>
        <w:t xml:space="preserve">добром планирању и </w:t>
      </w:r>
      <w:r w:rsidRPr="00E95BC4">
        <w:rPr>
          <w:rFonts w:ascii="Times New Roman" w:hAnsi="Times New Roman"/>
          <w:sz w:val="24"/>
          <w:szCs w:val="24"/>
          <w:lang w:val="sr-Cyrl-CS"/>
        </w:rPr>
        <w:t xml:space="preserve">преданости надлежних органа </w:t>
      </w:r>
      <w:r w:rsidR="00C55991" w:rsidRPr="00E95BC4">
        <w:rPr>
          <w:rFonts w:ascii="Times New Roman" w:hAnsi="Times New Roman"/>
          <w:sz w:val="24"/>
          <w:szCs w:val="24"/>
          <w:lang w:val="sr-Cyrl-CS"/>
        </w:rPr>
        <w:t xml:space="preserve">као </w:t>
      </w:r>
      <w:r w:rsidRPr="00E95BC4">
        <w:rPr>
          <w:rFonts w:ascii="Times New Roman" w:hAnsi="Times New Roman"/>
          <w:sz w:val="24"/>
          <w:szCs w:val="24"/>
          <w:lang w:val="sr-Cyrl-CS"/>
        </w:rPr>
        <w:t xml:space="preserve">и постојању одговарајућих квалитативних и квантитативних извора информација како би се претње, рањивости и ризици </w:t>
      </w:r>
      <w:r w:rsidR="00F83CCF" w:rsidRPr="00E95BC4">
        <w:rPr>
          <w:rFonts w:ascii="Times New Roman" w:hAnsi="Times New Roman"/>
          <w:sz w:val="24"/>
          <w:szCs w:val="24"/>
          <w:lang w:val="sr-Cyrl-CS"/>
        </w:rPr>
        <w:t xml:space="preserve">адекватно </w:t>
      </w:r>
      <w:r w:rsidRPr="00E95BC4">
        <w:rPr>
          <w:rFonts w:ascii="Times New Roman" w:hAnsi="Times New Roman"/>
          <w:sz w:val="24"/>
          <w:szCs w:val="24"/>
          <w:lang w:val="sr-Cyrl-CS"/>
        </w:rPr>
        <w:t xml:space="preserve">препознали. У том смислу битан </w:t>
      </w:r>
      <w:r w:rsidR="00C55991" w:rsidRPr="00E95BC4">
        <w:rPr>
          <w:rFonts w:ascii="Times New Roman" w:hAnsi="Times New Roman"/>
          <w:sz w:val="24"/>
          <w:szCs w:val="24"/>
          <w:lang w:val="sr-Cyrl-CS"/>
        </w:rPr>
        <w:t xml:space="preserve">проблем јесте </w:t>
      </w:r>
      <w:r w:rsidRPr="00E95BC4">
        <w:rPr>
          <w:rFonts w:ascii="Times New Roman" w:hAnsi="Times New Roman"/>
          <w:sz w:val="24"/>
          <w:szCs w:val="24"/>
          <w:lang w:val="sr-Cyrl-CS"/>
        </w:rPr>
        <w:t xml:space="preserve">и избор методологије за израду </w:t>
      </w:r>
      <w:r w:rsidR="00F53066" w:rsidRPr="00E95BC4">
        <w:rPr>
          <w:rFonts w:ascii="Times New Roman" w:hAnsi="Times New Roman"/>
          <w:sz w:val="24"/>
          <w:szCs w:val="24"/>
          <w:lang w:val="sr-Cyrl-CS"/>
        </w:rPr>
        <w:t>националне процене ризика</w:t>
      </w:r>
      <w:r w:rsidRPr="00E95BC4">
        <w:rPr>
          <w:rFonts w:ascii="Times New Roman" w:hAnsi="Times New Roman"/>
          <w:sz w:val="24"/>
          <w:szCs w:val="24"/>
          <w:lang w:val="sr-Cyrl-CS"/>
        </w:rPr>
        <w:t>. Отуда ће и задатак надлежних органа бити и да се определе у погледу методологије на начин да сагледавање ризика буде конзистентно и ефикасно. У оба наврата (2013</w:t>
      </w:r>
      <w:r w:rsidR="00077845">
        <w:rPr>
          <w:rFonts w:ascii="Times New Roman" w:hAnsi="Times New Roman"/>
          <w:sz w:val="24"/>
          <w:szCs w:val="24"/>
          <w:lang w:val="sr-Cyrl-CS"/>
        </w:rPr>
        <w:t>.</w:t>
      </w:r>
      <w:r w:rsidRPr="00E95BC4">
        <w:rPr>
          <w:rFonts w:ascii="Times New Roman" w:hAnsi="Times New Roman"/>
          <w:sz w:val="24"/>
          <w:szCs w:val="24"/>
          <w:lang w:val="sr-Cyrl-CS"/>
        </w:rPr>
        <w:t xml:space="preserve"> и 2018</w:t>
      </w:r>
      <w:r w:rsidR="00077845">
        <w:rPr>
          <w:rFonts w:ascii="Times New Roman" w:hAnsi="Times New Roman"/>
          <w:sz w:val="24"/>
          <w:szCs w:val="24"/>
          <w:lang w:val="sr-Cyrl-CS"/>
        </w:rPr>
        <w:t>.</w:t>
      </w:r>
      <w:r w:rsidRPr="00E95BC4">
        <w:rPr>
          <w:rFonts w:ascii="Times New Roman" w:hAnsi="Times New Roman"/>
          <w:sz w:val="24"/>
          <w:szCs w:val="24"/>
          <w:lang w:val="sr-Cyrl-CS"/>
        </w:rPr>
        <w:t>) Република Србиј</w:t>
      </w:r>
      <w:r w:rsidR="001A655F" w:rsidRPr="00E95BC4">
        <w:rPr>
          <w:rFonts w:ascii="Times New Roman" w:hAnsi="Times New Roman"/>
          <w:sz w:val="24"/>
          <w:szCs w:val="24"/>
          <w:lang w:val="sr-Cyrl-CS"/>
        </w:rPr>
        <w:t>а је користила м</w:t>
      </w:r>
      <w:r w:rsidRPr="00E95BC4">
        <w:rPr>
          <w:rFonts w:ascii="Times New Roman" w:hAnsi="Times New Roman"/>
          <w:sz w:val="24"/>
          <w:szCs w:val="24"/>
          <w:lang w:val="sr-Cyrl-CS"/>
        </w:rPr>
        <w:t xml:space="preserve">етодологију Светске банке, а на државним органима је да оцене да ли ту методологију користити и даље или је треба мењати. </w:t>
      </w:r>
      <w:r w:rsidR="001A655F" w:rsidRPr="00E95BC4">
        <w:rPr>
          <w:rFonts w:ascii="Times New Roman" w:hAnsi="Times New Roman"/>
          <w:sz w:val="24"/>
          <w:szCs w:val="24"/>
          <w:lang w:val="sr-Cyrl-CS"/>
        </w:rPr>
        <w:t>Општа оцена је да је методологија за израду национа</w:t>
      </w:r>
      <w:r w:rsidR="008663F2" w:rsidRPr="00E95BC4">
        <w:rPr>
          <w:rFonts w:ascii="Times New Roman" w:hAnsi="Times New Roman"/>
          <w:sz w:val="24"/>
          <w:szCs w:val="24"/>
          <w:lang w:val="sr-Cyrl-CS"/>
        </w:rPr>
        <w:t>лне процене ризика свеобухватна и квалитетна, а акциони план који је проистекао на бази препознатих рањивости, претњи</w:t>
      </w:r>
      <w:r w:rsidR="000F7156">
        <w:rPr>
          <w:rFonts w:ascii="Times New Roman" w:hAnsi="Times New Roman"/>
          <w:sz w:val="24"/>
          <w:szCs w:val="24"/>
          <w:lang w:val="sr-Cyrl-CS"/>
        </w:rPr>
        <w:t>,</w:t>
      </w:r>
      <w:r w:rsidR="008663F2" w:rsidRPr="00E95BC4">
        <w:rPr>
          <w:rFonts w:ascii="Times New Roman" w:hAnsi="Times New Roman"/>
          <w:sz w:val="24"/>
          <w:szCs w:val="24"/>
          <w:lang w:val="sr-Cyrl-CS"/>
        </w:rPr>
        <w:t xml:space="preserve"> односно ризика, имплементиран је са великим степеном успеха (преко 90%, у задатим роковима).</w:t>
      </w:r>
    </w:p>
    <w:p w:rsidR="004769B3" w:rsidRPr="00E95BC4" w:rsidRDefault="00F65C28" w:rsidP="00F83CCF">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sidRPr="00E95BC4">
        <w:rPr>
          <w:rFonts w:ascii="Times New Roman" w:hAnsi="Times New Roman"/>
          <w:sz w:val="24"/>
          <w:szCs w:val="24"/>
          <w:lang w:val="sr-Cyrl-CS"/>
        </w:rPr>
        <w:t xml:space="preserve">Што </w:t>
      </w:r>
      <w:r w:rsidR="00F83CCF" w:rsidRPr="00E95BC4">
        <w:rPr>
          <w:rFonts w:ascii="Times New Roman" w:hAnsi="Times New Roman"/>
          <w:sz w:val="24"/>
          <w:szCs w:val="24"/>
          <w:lang w:val="sr-Cyrl-CS"/>
        </w:rPr>
        <w:t>се тиче координације, најбитнија питања су сталност, редовно састајање, стабилност чланства и постојање јаког стручног</w:t>
      </w:r>
      <w:r w:rsidRPr="00E95BC4">
        <w:rPr>
          <w:rFonts w:ascii="Times New Roman" w:hAnsi="Times New Roman"/>
          <w:sz w:val="24"/>
          <w:szCs w:val="24"/>
          <w:lang w:val="sr-Cyrl-CS"/>
        </w:rPr>
        <w:t xml:space="preserve"> секретаријата Координационог тела </w:t>
      </w:r>
      <w:r w:rsidR="00F83CCF" w:rsidRPr="00E95BC4">
        <w:rPr>
          <w:rFonts w:ascii="Times New Roman" w:hAnsi="Times New Roman"/>
          <w:sz w:val="24"/>
          <w:szCs w:val="24"/>
          <w:lang w:val="sr-Cyrl-CS"/>
        </w:rPr>
        <w:t xml:space="preserve">уз помоћ кога ће </w:t>
      </w:r>
      <w:r w:rsidRPr="00E95BC4">
        <w:rPr>
          <w:rFonts w:ascii="Times New Roman" w:hAnsi="Times New Roman"/>
          <w:sz w:val="24"/>
          <w:szCs w:val="24"/>
          <w:lang w:val="sr-Cyrl-CS"/>
        </w:rPr>
        <w:t xml:space="preserve">Координационо тело </w:t>
      </w:r>
      <w:r w:rsidR="00F83CCF" w:rsidRPr="00E95BC4">
        <w:rPr>
          <w:rFonts w:ascii="Times New Roman" w:hAnsi="Times New Roman"/>
          <w:sz w:val="24"/>
          <w:szCs w:val="24"/>
          <w:lang w:val="sr-Cyrl-CS"/>
        </w:rPr>
        <w:t xml:space="preserve">моћи да доноси утемељене одлуке и </w:t>
      </w:r>
      <w:r w:rsidR="008A65BD" w:rsidRPr="00E95BC4">
        <w:rPr>
          <w:rFonts w:ascii="Times New Roman" w:hAnsi="Times New Roman"/>
          <w:sz w:val="24"/>
          <w:szCs w:val="24"/>
          <w:lang w:val="sr-Cyrl-CS"/>
        </w:rPr>
        <w:t xml:space="preserve">бити у стању </w:t>
      </w:r>
      <w:r w:rsidR="00F83CCF" w:rsidRPr="00E95BC4">
        <w:rPr>
          <w:rFonts w:ascii="Times New Roman" w:hAnsi="Times New Roman"/>
          <w:sz w:val="24"/>
          <w:szCs w:val="24"/>
          <w:lang w:val="sr-Cyrl-CS"/>
        </w:rPr>
        <w:t xml:space="preserve">да </w:t>
      </w:r>
      <w:r w:rsidR="00F83CCF" w:rsidRPr="00E95BC4">
        <w:rPr>
          <w:rFonts w:ascii="Times New Roman" w:hAnsi="Times New Roman"/>
          <w:sz w:val="24"/>
          <w:szCs w:val="24"/>
          <w:lang w:val="sr-Cyrl-CS"/>
        </w:rPr>
        <w:lastRenderedPageBreak/>
        <w:t>их спроводи</w:t>
      </w:r>
      <w:r w:rsidRPr="00E95BC4">
        <w:rPr>
          <w:rFonts w:ascii="Times New Roman" w:hAnsi="Times New Roman"/>
          <w:sz w:val="24"/>
          <w:szCs w:val="24"/>
          <w:lang w:val="sr-Cyrl-CS"/>
        </w:rPr>
        <w:t xml:space="preserve"> у пракси, на пример кроз иницијативе за измене прописа, увођење нових механизама домаће и међународне сарадње и слично. У том смислу битна је подршка свих министарстава и служби Владе.</w:t>
      </w:r>
      <w:r w:rsidR="00C55991" w:rsidRPr="00E95BC4">
        <w:rPr>
          <w:rFonts w:ascii="Times New Roman" w:hAnsi="Times New Roman"/>
          <w:sz w:val="24"/>
          <w:szCs w:val="24"/>
          <w:lang w:val="sr-Cyrl-CS"/>
        </w:rPr>
        <w:t xml:space="preserve"> Питања националне процене ризика и координације у систему у ранијем периоду била су израженија као проблем и битно је одржавати постигнути степен опредељености и озбиљности државних органа у приступу том проблему како не би дошло до урушавања него до унапређења ефективности.</w:t>
      </w:r>
      <w:r w:rsidR="004769B3" w:rsidRPr="00E95BC4">
        <w:rPr>
          <w:rFonts w:ascii="Times New Roman" w:hAnsi="Times New Roman"/>
          <w:sz w:val="24"/>
          <w:szCs w:val="24"/>
          <w:lang w:val="sr-Cyrl-CS"/>
        </w:rPr>
        <w:t xml:space="preserve"> </w:t>
      </w:r>
    </w:p>
    <w:p w:rsidR="00C55991" w:rsidRPr="00E95BC4" w:rsidRDefault="004769B3" w:rsidP="004769B3">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sidRPr="00E95BC4">
        <w:rPr>
          <w:rFonts w:ascii="Times New Roman" w:hAnsi="Times New Roman"/>
          <w:sz w:val="24"/>
          <w:szCs w:val="24"/>
          <w:lang w:val="sr-Cyrl-CS"/>
        </w:rPr>
        <w:t>Што се тиче међународне сарадње, неопходно је додатно појаснити овлашћења надзорних орган</w:t>
      </w:r>
      <w:r w:rsidR="001A655F" w:rsidRPr="00E95BC4">
        <w:rPr>
          <w:rFonts w:ascii="Times New Roman" w:hAnsi="Times New Roman"/>
          <w:sz w:val="24"/>
          <w:szCs w:val="24"/>
          <w:lang w:val="sr-Cyrl-CS"/>
        </w:rPr>
        <w:t xml:space="preserve">а у међународној сарадњи (основ дат у </w:t>
      </w:r>
      <w:r w:rsidRPr="00E95BC4">
        <w:rPr>
          <w:rFonts w:ascii="Times New Roman" w:hAnsi="Times New Roman"/>
          <w:sz w:val="24"/>
          <w:szCs w:val="24"/>
          <w:lang w:val="sr-Cyrl-CS"/>
        </w:rPr>
        <w:t>изменама и допунама Закона о спречавању прања новца и финансирања тероризма), унапредити коришћење механизама међународне сарадње у размени информација у вези са одузимањем имовине, размене информација у вези са финансирањем тероризма. Такође, у погледу пружања међународне правне помоћи, неопходно је отклонити замерке које је констатовао Манивал.</w:t>
      </w:r>
    </w:p>
    <w:p w:rsidR="004769B3" w:rsidRPr="00E95BC4" w:rsidRDefault="00C55991" w:rsidP="00C55991">
      <w:pPr>
        <w:ind w:firstLine="720"/>
        <w:jc w:val="both"/>
        <w:rPr>
          <w:lang w:val="sr-Cyrl-CS"/>
        </w:rPr>
      </w:pPr>
      <w:r w:rsidRPr="00E95BC4">
        <w:rPr>
          <w:lang w:val="sr-Cyrl-CS"/>
        </w:rPr>
        <w:t xml:space="preserve">У постизању својих изворних надлежности, постоји </w:t>
      </w:r>
      <w:r w:rsidR="004769B3" w:rsidRPr="00E95BC4">
        <w:rPr>
          <w:lang w:val="sr-Cyrl-CS"/>
        </w:rPr>
        <w:t>ризик</w:t>
      </w:r>
      <w:r w:rsidRPr="00E95BC4">
        <w:rPr>
          <w:lang w:val="sr-Cyrl-CS"/>
        </w:rPr>
        <w:t xml:space="preserve"> да државни органи</w:t>
      </w:r>
      <w:r w:rsidR="004769B3" w:rsidRPr="00E95BC4">
        <w:rPr>
          <w:lang w:val="sr-Cyrl-CS"/>
        </w:rPr>
        <w:t>,</w:t>
      </w:r>
      <w:r w:rsidRPr="00E95BC4">
        <w:rPr>
          <w:lang w:val="sr-Cyrl-CS"/>
        </w:rPr>
        <w:t xml:space="preserve"> због ограничених ресурса</w:t>
      </w:r>
      <w:r w:rsidR="004769B3" w:rsidRPr="00E95BC4">
        <w:rPr>
          <w:lang w:val="sr-Cyrl-CS"/>
        </w:rPr>
        <w:t>,</w:t>
      </w:r>
      <w:r w:rsidRPr="00E95BC4">
        <w:rPr>
          <w:lang w:val="sr-Cyrl-CS"/>
        </w:rPr>
        <w:t xml:space="preserve"> занемаре значај </w:t>
      </w:r>
      <w:r w:rsidR="004769B3" w:rsidRPr="00E95BC4">
        <w:rPr>
          <w:lang w:val="sr-Cyrl-CS"/>
        </w:rPr>
        <w:t>напред навед</w:t>
      </w:r>
      <w:r w:rsidR="0072265E">
        <w:rPr>
          <w:lang w:val="sr-Cyrl-CS"/>
        </w:rPr>
        <w:t>е</w:t>
      </w:r>
      <w:r w:rsidR="004769B3" w:rsidRPr="00E95BC4">
        <w:rPr>
          <w:lang w:val="sr-Cyrl-CS"/>
        </w:rPr>
        <w:t>них питања</w:t>
      </w:r>
      <w:r w:rsidRPr="00E95BC4">
        <w:rPr>
          <w:lang w:val="sr-Cyrl-CS"/>
        </w:rPr>
        <w:t xml:space="preserve"> и своје ресурсе определе ка испуњењу </w:t>
      </w:r>
      <w:r w:rsidR="004769B3" w:rsidRPr="00E95BC4">
        <w:rPr>
          <w:lang w:val="sr-Cyrl-CS"/>
        </w:rPr>
        <w:t xml:space="preserve">основних </w:t>
      </w:r>
      <w:r w:rsidRPr="00E95BC4">
        <w:rPr>
          <w:lang w:val="sr-Cyrl-CS"/>
        </w:rPr>
        <w:t>надлежности</w:t>
      </w:r>
      <w:r w:rsidR="004769B3" w:rsidRPr="00E95BC4">
        <w:rPr>
          <w:lang w:val="sr-Cyrl-CS"/>
        </w:rPr>
        <w:t xml:space="preserve">, не уважавајући то </w:t>
      </w:r>
      <w:r w:rsidRPr="00E95BC4">
        <w:rPr>
          <w:lang w:val="sr-Cyrl-CS"/>
        </w:rPr>
        <w:t>да је организација рада у складу са процењеним ризицима ефектнија и ефикаснија.</w:t>
      </w:r>
      <w:r w:rsidR="004769B3" w:rsidRPr="00E95BC4">
        <w:rPr>
          <w:lang w:val="sr-Cyrl-CS"/>
        </w:rPr>
        <w:t xml:space="preserve"> Отуда је рад са свим органима и ширење свести о неопходности примене приступа заснованог на анализи и процени ризика од изузетне важности.</w:t>
      </w:r>
    </w:p>
    <w:p w:rsidR="00D1117C" w:rsidRPr="00E95BC4" w:rsidRDefault="00CC3736" w:rsidP="00C55991">
      <w:pPr>
        <w:ind w:firstLine="720"/>
        <w:jc w:val="both"/>
        <w:rPr>
          <w:lang w:val="sr-Cyrl-CS"/>
        </w:rPr>
      </w:pPr>
      <w:r w:rsidRPr="00E95BC4">
        <w:rPr>
          <w:lang w:val="sr-Cyrl-CS"/>
        </w:rPr>
        <w:t>Ако се</w:t>
      </w:r>
      <w:r w:rsidRPr="00E95BC4">
        <w:rPr>
          <w:b/>
          <w:lang w:val="sr-Cyrl-CS"/>
        </w:rPr>
        <w:t xml:space="preserve"> ризици</w:t>
      </w:r>
      <w:r w:rsidRPr="00E95BC4">
        <w:rPr>
          <w:lang w:val="sr-Cyrl-CS"/>
        </w:rPr>
        <w:t xml:space="preserve"> од прања новца и финансирања тероризма не </w:t>
      </w:r>
      <w:r w:rsidR="008F6CF9" w:rsidRPr="00E95BC4">
        <w:rPr>
          <w:lang w:val="sr-Cyrl-CS"/>
        </w:rPr>
        <w:t>узимају</w:t>
      </w:r>
      <w:r w:rsidRPr="00E95BC4">
        <w:rPr>
          <w:lang w:val="sr-Cyrl-CS"/>
        </w:rPr>
        <w:t xml:space="preserve"> у обзир</w:t>
      </w:r>
      <w:r w:rsidR="008F6CF9" w:rsidRPr="00E95BC4">
        <w:rPr>
          <w:lang w:val="sr-Cyrl-CS"/>
        </w:rPr>
        <w:t xml:space="preserve"> у довољној мери</w:t>
      </w:r>
      <w:r w:rsidRPr="00E95BC4">
        <w:rPr>
          <w:lang w:val="sr-Cyrl-CS"/>
        </w:rPr>
        <w:t xml:space="preserve">, </w:t>
      </w:r>
      <w:r w:rsidR="008F6CF9" w:rsidRPr="00E95BC4">
        <w:rPr>
          <w:lang w:val="sr-Cyrl-CS"/>
        </w:rPr>
        <w:t>држава ће теже наћи одговор</w:t>
      </w:r>
      <w:r w:rsidR="00F65C28" w:rsidRPr="00E95BC4">
        <w:rPr>
          <w:lang w:val="sr-Cyrl-CS"/>
        </w:rPr>
        <w:t xml:space="preserve"> на </w:t>
      </w:r>
      <w:r w:rsidR="00F65C28" w:rsidRPr="00E95BC4">
        <w:rPr>
          <w:b/>
          <w:lang w:val="sr-Cyrl-CS"/>
        </w:rPr>
        <w:t>претње</w:t>
      </w:r>
      <w:r w:rsidR="00F65C28" w:rsidRPr="00E95BC4">
        <w:rPr>
          <w:lang w:val="sr-Cyrl-CS"/>
        </w:rPr>
        <w:t xml:space="preserve"> и </w:t>
      </w:r>
      <w:r w:rsidR="00F65C28" w:rsidRPr="00E95BC4">
        <w:rPr>
          <w:b/>
          <w:lang w:val="sr-Cyrl-CS"/>
        </w:rPr>
        <w:t>рањивости</w:t>
      </w:r>
      <w:r w:rsidR="00F65C28" w:rsidRPr="00E95BC4">
        <w:rPr>
          <w:lang w:val="sr-Cyrl-CS"/>
        </w:rPr>
        <w:t xml:space="preserve"> са којима се суочава. Уколико се ресурси и активности надлежних државних органа</w:t>
      </w:r>
      <w:r w:rsidR="004769B3" w:rsidRPr="00E95BC4">
        <w:rPr>
          <w:lang w:val="sr-Cyrl-CS"/>
        </w:rPr>
        <w:t xml:space="preserve"> и других учесника у систему</w:t>
      </w:r>
      <w:r w:rsidR="00F65C28" w:rsidRPr="00E95BC4">
        <w:rPr>
          <w:lang w:val="sr-Cyrl-CS"/>
        </w:rPr>
        <w:t xml:space="preserve"> не прерасподељују у складу са уоченим ризицима, ефекти рада </w:t>
      </w:r>
      <w:r w:rsidR="004769B3" w:rsidRPr="00E95BC4">
        <w:rPr>
          <w:lang w:val="sr-Cyrl-CS"/>
        </w:rPr>
        <w:t xml:space="preserve">тих различитих делова система </w:t>
      </w:r>
      <w:r w:rsidR="00F65C28" w:rsidRPr="00E95BC4">
        <w:rPr>
          <w:lang w:val="sr-Cyrl-CS"/>
        </w:rPr>
        <w:t xml:space="preserve">биће битно мањи уз исти трошак, </w:t>
      </w:r>
      <w:r w:rsidR="004769B3" w:rsidRPr="00E95BC4">
        <w:rPr>
          <w:lang w:val="sr-Cyrl-CS"/>
        </w:rPr>
        <w:t xml:space="preserve">при чему је могуће да трошкови по грађане буду још </w:t>
      </w:r>
      <w:r w:rsidR="00F65C28" w:rsidRPr="00E95BC4">
        <w:rPr>
          <w:lang w:val="sr-Cyrl-CS"/>
        </w:rPr>
        <w:t>виши. Уколико се рањивости (слабости) не идентификују на време и на време не отклоне, опасност од реализације претње постаје виша и држава</w:t>
      </w:r>
      <w:r w:rsidR="00E338C9">
        <w:rPr>
          <w:lang w:val="sr-Cyrl-CS"/>
        </w:rPr>
        <w:t>,</w:t>
      </w:r>
      <w:r w:rsidR="00F65C28" w:rsidRPr="00E95BC4">
        <w:rPr>
          <w:lang w:val="sr-Cyrl-CS"/>
        </w:rPr>
        <w:t xml:space="preserve"> као и поједини сектори излажу се већем ризику да буду злоупотребљени за прање новца или финансирање тероризма.</w:t>
      </w:r>
      <w:r w:rsidR="00D1117C" w:rsidRPr="00E95BC4">
        <w:rPr>
          <w:lang w:val="sr-Cyrl-CS"/>
        </w:rPr>
        <w:t xml:space="preserve"> Тиме се угрожава и статус државе у међународним организацијама које врше евалуацију мера и радњи које држава предузима.</w:t>
      </w:r>
      <w:r w:rsidR="00F65C28" w:rsidRPr="00E95BC4">
        <w:rPr>
          <w:lang w:val="sr-Cyrl-CS"/>
        </w:rPr>
        <w:t xml:space="preserve"> </w:t>
      </w:r>
    </w:p>
    <w:p w:rsidR="000A7CC4" w:rsidRPr="00E95BC4" w:rsidRDefault="00F65C28" w:rsidP="00FF62B7">
      <w:pPr>
        <w:ind w:firstLine="720"/>
        <w:jc w:val="both"/>
        <w:rPr>
          <w:lang w:val="sr-Cyrl-CS"/>
        </w:rPr>
      </w:pPr>
      <w:r w:rsidRPr="00E95BC4">
        <w:rPr>
          <w:lang w:val="sr-Cyrl-CS"/>
        </w:rPr>
        <w:t>У том сми</w:t>
      </w:r>
      <w:r w:rsidR="00D1117C" w:rsidRPr="00E95BC4">
        <w:rPr>
          <w:lang w:val="sr-Cyrl-CS"/>
        </w:rPr>
        <w:t>с</w:t>
      </w:r>
      <w:r w:rsidRPr="00E95BC4">
        <w:rPr>
          <w:lang w:val="sr-Cyrl-CS"/>
        </w:rPr>
        <w:t xml:space="preserve">лу, неопходна је унутрашња сарадња, тј. </w:t>
      </w:r>
      <w:r w:rsidRPr="00E95BC4">
        <w:rPr>
          <w:b/>
          <w:lang w:val="sr-Cyrl-CS"/>
        </w:rPr>
        <w:t>интерна координација</w:t>
      </w:r>
      <w:r w:rsidRPr="00E95BC4">
        <w:rPr>
          <w:lang w:val="sr-Cyrl-CS"/>
        </w:rPr>
        <w:t xml:space="preserve"> и </w:t>
      </w:r>
      <w:r w:rsidRPr="00E95BC4">
        <w:rPr>
          <w:b/>
          <w:lang w:val="sr-Cyrl-CS"/>
        </w:rPr>
        <w:t>међуресорна сарадња</w:t>
      </w:r>
      <w:r w:rsidRPr="00E95BC4">
        <w:rPr>
          <w:lang w:val="sr-Cyrl-CS"/>
        </w:rPr>
        <w:t xml:space="preserve">. Уколико се координација и сарадња не одвијају адекватно на националном нивоу, може доћи до опасности да одговор државе на ризике и претње буде парцијалан, неусклађен и у крајњој линији без </w:t>
      </w:r>
      <w:r w:rsidR="00D1117C" w:rsidRPr="00E95BC4">
        <w:rPr>
          <w:lang w:val="sr-Cyrl-CS"/>
        </w:rPr>
        <w:t xml:space="preserve">битнијих </w:t>
      </w:r>
      <w:r w:rsidRPr="00E95BC4">
        <w:rPr>
          <w:lang w:val="sr-Cyrl-CS"/>
        </w:rPr>
        <w:t xml:space="preserve">ефеката. </w:t>
      </w:r>
      <w:r w:rsidR="008A65BD" w:rsidRPr="00E95BC4">
        <w:rPr>
          <w:lang w:val="sr-Cyrl-CS"/>
        </w:rPr>
        <w:t>Једнако важна је и</w:t>
      </w:r>
      <w:r w:rsidRPr="00E95BC4">
        <w:rPr>
          <w:lang w:val="sr-Cyrl-CS"/>
        </w:rPr>
        <w:t xml:space="preserve"> </w:t>
      </w:r>
      <w:r w:rsidRPr="00E95BC4">
        <w:rPr>
          <w:b/>
          <w:lang w:val="sr-Cyrl-CS"/>
        </w:rPr>
        <w:t>међународна сарадња</w:t>
      </w:r>
      <w:r w:rsidRPr="00E95BC4">
        <w:rPr>
          <w:lang w:val="sr-Cyrl-CS"/>
        </w:rPr>
        <w:t xml:space="preserve"> јер се тим путем долази до одговарајућих информација, финансијскообавештајних података и доказа, и самим тим </w:t>
      </w:r>
      <w:r w:rsidR="008A65BD" w:rsidRPr="00E95BC4">
        <w:rPr>
          <w:lang w:val="sr-Cyrl-CS"/>
        </w:rPr>
        <w:t>омогућава</w:t>
      </w:r>
      <w:r w:rsidRPr="00E95BC4">
        <w:rPr>
          <w:lang w:val="sr-Cyrl-CS"/>
        </w:rPr>
        <w:t xml:space="preserve"> поступање у односу на извршиоце кривичних дела и њихову имовину</w:t>
      </w:r>
      <w:r w:rsidR="00D1117C" w:rsidRPr="00E95BC4">
        <w:rPr>
          <w:lang w:val="sr-Cyrl-CS"/>
        </w:rPr>
        <w:t>, а надлежни државни органи се, у обрнутом смислу, сматрају поузданим партнерима у међународној сарадњи и размени информација.</w:t>
      </w:r>
    </w:p>
    <w:p w:rsidR="0099638C" w:rsidRPr="00E95BC4" w:rsidRDefault="00C55991" w:rsidP="00BE282A">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sz w:val="24"/>
          <w:szCs w:val="24"/>
          <w:lang w:val="sr-Cyrl-CS"/>
        </w:rPr>
      </w:pPr>
      <w:r w:rsidRPr="00E95BC4">
        <w:rPr>
          <w:rFonts w:ascii="Times New Roman" w:hAnsi="Times New Roman"/>
          <w:b/>
          <w:sz w:val="24"/>
          <w:szCs w:val="24"/>
          <w:lang w:val="sr-Cyrl-CS"/>
        </w:rPr>
        <w:t>Проблем 2</w:t>
      </w:r>
      <w:r w:rsidR="00E338C9">
        <w:rPr>
          <w:rFonts w:ascii="Times New Roman" w:hAnsi="Times New Roman"/>
          <w:b/>
          <w:sz w:val="24"/>
          <w:szCs w:val="24"/>
          <w:lang w:val="sr-Cyrl-CS"/>
        </w:rPr>
        <w:t xml:space="preserve"> –</w:t>
      </w:r>
      <w:r w:rsidR="00AA6D60" w:rsidRPr="00E95BC4">
        <w:rPr>
          <w:rFonts w:ascii="Times New Roman" w:hAnsi="Times New Roman"/>
          <w:b/>
          <w:sz w:val="24"/>
          <w:szCs w:val="24"/>
          <w:lang w:val="sr-Cyrl-CS"/>
        </w:rPr>
        <w:t xml:space="preserve"> Превентивне мере, надзор</w:t>
      </w:r>
      <w:r w:rsidR="00BE282A" w:rsidRPr="00E95BC4">
        <w:rPr>
          <w:rFonts w:ascii="Times New Roman" w:hAnsi="Times New Roman"/>
          <w:b/>
          <w:sz w:val="24"/>
          <w:szCs w:val="24"/>
          <w:lang w:val="sr-Cyrl-CS"/>
        </w:rPr>
        <w:t xml:space="preserve">. </w:t>
      </w:r>
      <w:r w:rsidR="00156D4E" w:rsidRPr="00E95BC4">
        <w:rPr>
          <w:rFonts w:ascii="Times New Roman" w:hAnsi="Times New Roman"/>
          <w:sz w:val="24"/>
          <w:szCs w:val="24"/>
          <w:lang w:val="sr-Cyrl-CS"/>
        </w:rPr>
        <w:t>М</w:t>
      </w:r>
      <w:r w:rsidR="0099638C" w:rsidRPr="00E95BC4">
        <w:rPr>
          <w:rFonts w:ascii="Times New Roman" w:hAnsi="Times New Roman"/>
          <w:sz w:val="24"/>
          <w:szCs w:val="24"/>
          <w:lang w:val="sr-Cyrl-CS"/>
        </w:rPr>
        <w:t>асивно</w:t>
      </w:r>
      <w:r w:rsidR="001B65B2" w:rsidRPr="00E95BC4">
        <w:rPr>
          <w:rFonts w:ascii="Times New Roman" w:hAnsi="Times New Roman"/>
          <w:sz w:val="24"/>
          <w:szCs w:val="24"/>
          <w:lang w:val="sr-Cyrl-CS"/>
        </w:rPr>
        <w:t xml:space="preserve"> и либерализо</w:t>
      </w:r>
      <w:r w:rsidR="0099638C" w:rsidRPr="00E95BC4">
        <w:rPr>
          <w:rFonts w:ascii="Times New Roman" w:hAnsi="Times New Roman"/>
          <w:sz w:val="24"/>
          <w:szCs w:val="24"/>
          <w:lang w:val="sr-Cyrl-CS"/>
        </w:rPr>
        <w:t>вано кретање</w:t>
      </w:r>
      <w:r w:rsidR="001B65B2" w:rsidRPr="00E95BC4">
        <w:rPr>
          <w:rFonts w:ascii="Times New Roman" w:hAnsi="Times New Roman"/>
          <w:sz w:val="24"/>
          <w:szCs w:val="24"/>
          <w:lang w:val="sr-Cyrl-CS"/>
        </w:rPr>
        <w:t xml:space="preserve"> капитала </w:t>
      </w:r>
      <w:r w:rsidR="0099638C" w:rsidRPr="00E95BC4">
        <w:rPr>
          <w:rFonts w:ascii="Times New Roman" w:hAnsi="Times New Roman"/>
          <w:sz w:val="24"/>
          <w:szCs w:val="24"/>
          <w:lang w:val="sr-Cyrl-CS"/>
        </w:rPr>
        <w:t xml:space="preserve">пружа могућности и за </w:t>
      </w:r>
      <w:r w:rsidR="00D1117C" w:rsidRPr="00E95BC4">
        <w:rPr>
          <w:rFonts w:ascii="Times New Roman" w:hAnsi="Times New Roman"/>
          <w:sz w:val="24"/>
          <w:szCs w:val="24"/>
          <w:lang w:val="sr-Cyrl-CS"/>
        </w:rPr>
        <w:t>различите преваре</w:t>
      </w:r>
      <w:r w:rsidR="001B65B2" w:rsidRPr="00E95BC4">
        <w:rPr>
          <w:rFonts w:ascii="Times New Roman" w:hAnsi="Times New Roman"/>
          <w:sz w:val="24"/>
          <w:szCs w:val="24"/>
          <w:lang w:val="sr-Cyrl-CS"/>
        </w:rPr>
        <w:t xml:space="preserve"> на међународном нивоу и прање новца. </w:t>
      </w:r>
      <w:r w:rsidR="00C37424" w:rsidRPr="00E95BC4">
        <w:rPr>
          <w:rFonts w:ascii="Times New Roman" w:hAnsi="Times New Roman"/>
          <w:sz w:val="24"/>
          <w:szCs w:val="24"/>
          <w:lang w:val="sr-Cyrl-CS"/>
        </w:rPr>
        <w:t>Отуда је неопходно имати систем контроле, односно превентивни систем који ће омогућити о</w:t>
      </w:r>
      <w:r w:rsidR="001B65B2" w:rsidRPr="00E95BC4">
        <w:rPr>
          <w:rFonts w:ascii="Times New Roman" w:hAnsi="Times New Roman"/>
          <w:sz w:val="24"/>
          <w:szCs w:val="24"/>
          <w:lang w:val="sr-Cyrl-CS"/>
        </w:rPr>
        <w:t>ткривање</w:t>
      </w:r>
      <w:r w:rsidR="0099638C" w:rsidRPr="00E95BC4">
        <w:rPr>
          <w:rFonts w:ascii="Times New Roman" w:hAnsi="Times New Roman"/>
          <w:sz w:val="24"/>
          <w:szCs w:val="24"/>
          <w:lang w:val="sr-Cyrl-CS"/>
        </w:rPr>
        <w:t xml:space="preserve"> и спречавање</w:t>
      </w:r>
      <w:r w:rsidR="00C37424" w:rsidRPr="00E95BC4">
        <w:rPr>
          <w:rFonts w:ascii="Times New Roman" w:hAnsi="Times New Roman"/>
          <w:sz w:val="24"/>
          <w:szCs w:val="24"/>
          <w:lang w:val="sr-Cyrl-CS"/>
        </w:rPr>
        <w:t xml:space="preserve"> тих активности, што јесте један од кључних циљева политике </w:t>
      </w:r>
      <w:r w:rsidR="001B65B2" w:rsidRPr="00E95BC4">
        <w:rPr>
          <w:rFonts w:ascii="Times New Roman" w:hAnsi="Times New Roman"/>
          <w:sz w:val="24"/>
          <w:szCs w:val="24"/>
          <w:lang w:val="sr-Cyrl-CS"/>
        </w:rPr>
        <w:t>у овој области.</w:t>
      </w:r>
      <w:r w:rsidR="00D1117C" w:rsidRPr="00E95BC4">
        <w:rPr>
          <w:rStyle w:val="FootnoteReference"/>
          <w:rFonts w:ascii="Times New Roman" w:hAnsi="Times New Roman"/>
          <w:sz w:val="24"/>
          <w:szCs w:val="24"/>
          <w:lang w:val="sr-Cyrl-CS"/>
        </w:rPr>
        <w:footnoteReference w:id="26"/>
      </w:r>
      <w:r w:rsidR="00765B7E" w:rsidRPr="00E95BC4">
        <w:rPr>
          <w:rFonts w:ascii="Times New Roman" w:hAnsi="Times New Roman"/>
          <w:sz w:val="24"/>
          <w:szCs w:val="24"/>
          <w:lang w:val="sr-Cyrl-CS"/>
        </w:rPr>
        <w:t xml:space="preserve"> У оквиру Националне процене ризика из 2018. године утврђено </w:t>
      </w:r>
      <w:r w:rsidR="00765B7E" w:rsidRPr="00E95BC4">
        <w:rPr>
          <w:rFonts w:ascii="Times New Roman" w:hAnsi="Times New Roman"/>
          <w:sz w:val="24"/>
          <w:szCs w:val="24"/>
          <w:lang w:val="sr-Cyrl-CS"/>
        </w:rPr>
        <w:lastRenderedPageBreak/>
        <w:t xml:space="preserve">је да укупни ризик </w:t>
      </w:r>
      <w:r w:rsidR="001E55D5" w:rsidRPr="00E95BC4">
        <w:rPr>
          <w:rFonts w:ascii="Times New Roman" w:hAnsi="Times New Roman"/>
          <w:sz w:val="24"/>
          <w:szCs w:val="24"/>
          <w:lang w:val="sr-Cyrl-CS"/>
        </w:rPr>
        <w:t>од прања новца у</w:t>
      </w:r>
      <w:r w:rsidR="00E902D8" w:rsidRPr="00E902D8">
        <w:rPr>
          <w:lang w:val="sr-Cyrl-CS"/>
        </w:rPr>
        <w:t xml:space="preserve"> </w:t>
      </w:r>
      <w:r w:rsidR="00E902D8" w:rsidRPr="00D22AD2">
        <w:rPr>
          <w:sz w:val="24"/>
          <w:szCs w:val="24"/>
          <w:lang w:val="sr-Cyrl-CS"/>
        </w:rPr>
        <w:t>Републици</w:t>
      </w:r>
      <w:r w:rsidR="001E55D5" w:rsidRPr="00E95BC4">
        <w:rPr>
          <w:rFonts w:ascii="Times New Roman" w:hAnsi="Times New Roman"/>
          <w:sz w:val="24"/>
          <w:szCs w:val="24"/>
          <w:lang w:val="sr-Cyrl-CS"/>
        </w:rPr>
        <w:t xml:space="preserve"> Србији „средњи”</w:t>
      </w:r>
      <w:r w:rsidR="00765B7E" w:rsidRPr="00E95BC4">
        <w:rPr>
          <w:rFonts w:ascii="Times New Roman" w:hAnsi="Times New Roman"/>
          <w:sz w:val="24"/>
          <w:szCs w:val="24"/>
          <w:lang w:val="sr-Cyrl-CS"/>
        </w:rPr>
        <w:t>. Међутим, утврђено је да су неки сектори и привредне делатности рањиви</w:t>
      </w:r>
      <w:r w:rsidR="000F7156">
        <w:rPr>
          <w:rFonts w:ascii="Times New Roman" w:hAnsi="Times New Roman"/>
          <w:sz w:val="24"/>
          <w:szCs w:val="24"/>
          <w:lang w:val="sr-Cyrl-CS"/>
        </w:rPr>
        <w:t>,</w:t>
      </w:r>
      <w:r w:rsidR="008A65BD" w:rsidRPr="00E95BC4">
        <w:rPr>
          <w:rFonts w:ascii="Times New Roman" w:hAnsi="Times New Roman"/>
          <w:sz w:val="24"/>
          <w:szCs w:val="24"/>
          <w:lang w:val="sr-Cyrl-CS"/>
        </w:rPr>
        <w:t xml:space="preserve"> односно ризични</w:t>
      </w:r>
      <w:r w:rsidR="00765B7E" w:rsidRPr="00E95BC4">
        <w:rPr>
          <w:rFonts w:ascii="Times New Roman" w:hAnsi="Times New Roman"/>
          <w:sz w:val="24"/>
          <w:szCs w:val="24"/>
          <w:lang w:val="sr-Cyrl-CS"/>
        </w:rPr>
        <w:t xml:space="preserve">, </w:t>
      </w:r>
      <w:r w:rsidR="008A65BD" w:rsidRPr="00E95BC4">
        <w:rPr>
          <w:rFonts w:ascii="Times New Roman" w:hAnsi="Times New Roman"/>
          <w:sz w:val="24"/>
          <w:szCs w:val="24"/>
          <w:lang w:val="sr-Cyrl-CS"/>
        </w:rPr>
        <w:t xml:space="preserve">попут </w:t>
      </w:r>
      <w:r w:rsidR="00765B7E" w:rsidRPr="00E95BC4">
        <w:rPr>
          <w:rFonts w:ascii="Times New Roman" w:hAnsi="Times New Roman"/>
          <w:sz w:val="24"/>
          <w:szCs w:val="24"/>
          <w:lang w:val="sr-Cyrl-CS"/>
        </w:rPr>
        <w:t>сектор</w:t>
      </w:r>
      <w:r w:rsidR="008A65BD" w:rsidRPr="00E95BC4">
        <w:rPr>
          <w:rFonts w:ascii="Times New Roman" w:hAnsi="Times New Roman"/>
          <w:sz w:val="24"/>
          <w:szCs w:val="24"/>
          <w:lang w:val="sr-Cyrl-CS"/>
        </w:rPr>
        <w:t>а</w:t>
      </w:r>
      <w:r w:rsidR="00765B7E" w:rsidRPr="00E95BC4">
        <w:rPr>
          <w:rFonts w:ascii="Times New Roman" w:hAnsi="Times New Roman"/>
          <w:sz w:val="24"/>
          <w:szCs w:val="24"/>
          <w:lang w:val="sr-Cyrl-CS"/>
        </w:rPr>
        <w:t xml:space="preserve"> промета и закупа непокретности, игара на срећу </w:t>
      </w:r>
      <w:r w:rsidR="008A65BD" w:rsidRPr="00E95BC4">
        <w:rPr>
          <w:rFonts w:ascii="Times New Roman" w:hAnsi="Times New Roman"/>
          <w:sz w:val="24"/>
          <w:szCs w:val="24"/>
          <w:lang w:val="sr-Cyrl-CS"/>
        </w:rPr>
        <w:t>и банкарски сектор, затим мењачки послови, казина и рачуновође</w:t>
      </w:r>
      <w:r w:rsidR="00765B7E" w:rsidRPr="00E95BC4">
        <w:rPr>
          <w:rFonts w:ascii="Times New Roman" w:hAnsi="Times New Roman"/>
          <w:sz w:val="24"/>
          <w:szCs w:val="24"/>
          <w:lang w:val="sr-Cyrl-CS"/>
        </w:rPr>
        <w:t>. Ова стратегија ће се и даље бавити, на основу Акци</w:t>
      </w:r>
      <w:r w:rsidR="002D1889" w:rsidRPr="00E95BC4">
        <w:rPr>
          <w:rFonts w:ascii="Times New Roman" w:hAnsi="Times New Roman"/>
          <w:sz w:val="24"/>
          <w:szCs w:val="24"/>
          <w:lang w:val="sr-Cyrl-CS"/>
        </w:rPr>
        <w:t>о</w:t>
      </w:r>
      <w:r w:rsidR="00765B7E" w:rsidRPr="00E95BC4">
        <w:rPr>
          <w:rFonts w:ascii="Times New Roman" w:hAnsi="Times New Roman"/>
          <w:sz w:val="24"/>
          <w:szCs w:val="24"/>
          <w:lang w:val="sr-Cyrl-CS"/>
        </w:rPr>
        <w:t>ног плана уз Националну процену ризика из 2018, тим рањивостима тако што ће сви сектори бити у потпуности покривени превентивним мерама у области прања новца и финансирања тероризма и тако што ће постојати одговарајући нивои надзора.</w:t>
      </w:r>
    </w:p>
    <w:p w:rsidR="0099638C" w:rsidRPr="00E95BC4" w:rsidRDefault="0099638C" w:rsidP="0099638C">
      <w:pPr>
        <w:ind w:firstLine="720"/>
        <w:jc w:val="both"/>
        <w:rPr>
          <w:rFonts w:eastAsia="SimSun"/>
          <w:color w:val="auto"/>
          <w:kern w:val="0"/>
          <w:lang w:val="sr-Cyrl-CS" w:eastAsia="zh-CN"/>
        </w:rPr>
      </w:pPr>
      <w:r w:rsidRPr="00E95BC4">
        <w:rPr>
          <w:rFonts w:eastAsia="SimSun"/>
          <w:color w:val="auto"/>
          <w:kern w:val="0"/>
          <w:lang w:val="sr-Cyrl-CS" w:eastAsia="zh-CN"/>
        </w:rPr>
        <w:t>Превентивни систем у Републици Србији утврђен је доношењем Закона о спречавању прања новца 2002. године и грађен тако да прати развој међународних стандарда и ситуацију на терену. Систем је утврђен у Закону о спречавању прања новца и фина</w:t>
      </w:r>
      <w:r w:rsidR="00EE102D">
        <w:rPr>
          <w:rFonts w:eastAsia="SimSun"/>
          <w:color w:val="auto"/>
          <w:kern w:val="0"/>
          <w:lang w:val="sr-Cyrl-CS" w:eastAsia="zh-CN"/>
        </w:rPr>
        <w:t>н</w:t>
      </w:r>
      <w:r w:rsidRPr="00E95BC4">
        <w:rPr>
          <w:rFonts w:eastAsia="SimSun"/>
          <w:color w:val="auto"/>
          <w:kern w:val="0"/>
          <w:lang w:val="sr-Cyrl-CS" w:eastAsia="zh-CN"/>
        </w:rPr>
        <w:t>сирања теро</w:t>
      </w:r>
      <w:r w:rsidR="00F2688F" w:rsidRPr="00E95BC4">
        <w:rPr>
          <w:rFonts w:eastAsia="SimSun"/>
          <w:color w:val="auto"/>
          <w:kern w:val="0"/>
          <w:lang w:val="sr-Cyrl-CS" w:eastAsia="zh-CN"/>
        </w:rPr>
        <w:t xml:space="preserve">ризма и у низу секторских закона. Њима се </w:t>
      </w:r>
      <w:r w:rsidR="005A6DC3" w:rsidRPr="00E95BC4">
        <w:rPr>
          <w:rFonts w:eastAsia="SimSun"/>
          <w:color w:val="auto"/>
          <w:kern w:val="0"/>
          <w:lang w:val="sr-Cyrl-CS" w:eastAsia="zh-CN"/>
        </w:rPr>
        <w:t>одређују</w:t>
      </w:r>
      <w:r w:rsidR="00F2688F" w:rsidRPr="00E95BC4">
        <w:rPr>
          <w:rFonts w:eastAsia="SimSun"/>
          <w:color w:val="auto"/>
          <w:kern w:val="0"/>
          <w:lang w:val="sr-Cyrl-CS" w:eastAsia="zh-CN"/>
        </w:rPr>
        <w:t xml:space="preserve"> обвезници, обавезе обвезника, обавезе контроле стручности и подобности лица која су власници или контролишу субјекте надзора, регулише се питање транспарентности правних лица, одређују се надзорни органи и успоставља систем санкционисања за непоштовање прописаних обавеза у складу са међународним стандардима.</w:t>
      </w:r>
    </w:p>
    <w:p w:rsidR="00F2688F" w:rsidRPr="00E95BC4" w:rsidRDefault="00F2688F" w:rsidP="00F2688F">
      <w:pPr>
        <w:ind w:firstLine="720"/>
        <w:jc w:val="both"/>
        <w:rPr>
          <w:lang w:val="sr-Cyrl-CS"/>
        </w:rPr>
      </w:pPr>
      <w:r w:rsidRPr="00E95BC4">
        <w:rPr>
          <w:lang w:val="sr-Cyrl-CS"/>
        </w:rPr>
        <w:t>Имајући у виду све наведено, не</w:t>
      </w:r>
      <w:r w:rsidR="00A1499B" w:rsidRPr="00E95BC4">
        <w:rPr>
          <w:lang w:val="sr-Cyrl-CS"/>
        </w:rPr>
        <w:t>о</w:t>
      </w:r>
      <w:r w:rsidRPr="00E95BC4">
        <w:rPr>
          <w:lang w:val="sr-Cyrl-CS"/>
        </w:rPr>
        <w:t>пходно је пратити стање у погледу слабости</w:t>
      </w:r>
      <w:r w:rsidR="005A6DC3" w:rsidRPr="00E95BC4">
        <w:rPr>
          <w:lang w:val="sr-Cyrl-CS"/>
        </w:rPr>
        <w:t xml:space="preserve"> у систему</w:t>
      </w:r>
      <w:r w:rsidRPr="00E95BC4">
        <w:rPr>
          <w:lang w:val="sr-Cyrl-CS"/>
        </w:rPr>
        <w:t xml:space="preserve"> и </w:t>
      </w:r>
      <w:r w:rsidR="00D1117C" w:rsidRPr="00E95BC4">
        <w:rPr>
          <w:lang w:val="sr-Cyrl-CS"/>
        </w:rPr>
        <w:t xml:space="preserve">испуњености </w:t>
      </w:r>
      <w:r w:rsidRPr="00E95BC4">
        <w:rPr>
          <w:lang w:val="sr-Cyrl-CS"/>
        </w:rPr>
        <w:t>међународ</w:t>
      </w:r>
      <w:r w:rsidR="00D1117C" w:rsidRPr="00E95BC4">
        <w:rPr>
          <w:lang w:val="sr-Cyrl-CS"/>
        </w:rPr>
        <w:t xml:space="preserve">них стандарда, </w:t>
      </w:r>
      <w:r w:rsidRPr="00E95BC4">
        <w:rPr>
          <w:lang w:val="sr-Cyrl-CS"/>
        </w:rPr>
        <w:t xml:space="preserve">уподобљавати регулативу у складу са </w:t>
      </w:r>
      <w:r w:rsidR="00D1117C" w:rsidRPr="00E95BC4">
        <w:rPr>
          <w:lang w:val="sr-Cyrl-CS"/>
        </w:rPr>
        <w:t xml:space="preserve">уоченим </w:t>
      </w:r>
      <w:r w:rsidRPr="00E95BC4">
        <w:rPr>
          <w:lang w:val="sr-Cyrl-CS"/>
        </w:rPr>
        <w:t xml:space="preserve">променама и вршити адекватан надзор. Такође, надзорни органи треба да унапређују активности у надзору, прате и регулишу рад финансијских институција и одређених правних и физичких лица ван финансијског сектора у погледу њихове усклађености са обавезама у области борбе против прања новца и финансирања тероризма, </w:t>
      </w:r>
      <w:r w:rsidR="00D1117C" w:rsidRPr="00E95BC4">
        <w:rPr>
          <w:lang w:val="sr-Cyrl-CS"/>
        </w:rPr>
        <w:t>све</w:t>
      </w:r>
      <w:r w:rsidRPr="00E95BC4">
        <w:rPr>
          <w:lang w:val="sr-Cyrl-CS"/>
        </w:rPr>
        <w:t xml:space="preserve"> у складу са ризицима којима су ти сектори изложени. Финансијске институције и одређена правна и физичка лица ван финансијског сектора треба адекватно да примењују превентивне мере у области </w:t>
      </w:r>
      <w:r w:rsidR="00A1499B" w:rsidRPr="00E95BC4">
        <w:rPr>
          <w:lang w:val="sr-Cyrl-CS"/>
        </w:rPr>
        <w:t xml:space="preserve">борбе </w:t>
      </w:r>
      <w:r w:rsidRPr="00E95BC4">
        <w:rPr>
          <w:lang w:val="sr-Cyrl-CS"/>
        </w:rPr>
        <w:t>против прања новца и финансирања тероризма сразмерно ризицима којима су изложени</w:t>
      </w:r>
      <w:r w:rsidR="002E071E" w:rsidRPr="00E95BC4">
        <w:rPr>
          <w:lang w:val="sr-Cyrl-CS"/>
        </w:rPr>
        <w:t>. Такође, потребно је и да</w:t>
      </w:r>
      <w:r w:rsidRPr="00E95BC4">
        <w:rPr>
          <w:lang w:val="sr-Cyrl-CS"/>
        </w:rPr>
        <w:t xml:space="preserve"> пријављују сумњиве </w:t>
      </w:r>
      <w:r w:rsidR="006D3236" w:rsidRPr="00E95BC4">
        <w:rPr>
          <w:lang w:val="sr-Cyrl-CS"/>
        </w:rPr>
        <w:t xml:space="preserve">активности </w:t>
      </w:r>
      <w:r w:rsidRPr="00E95BC4">
        <w:rPr>
          <w:lang w:val="sr-Cyrl-CS"/>
        </w:rPr>
        <w:t>Управи за спречавање прања новца што је од пресудног значаја за ефективност рада Управе за спречавање прања новца</w:t>
      </w:r>
      <w:r w:rsidR="002E071E" w:rsidRPr="00E95BC4">
        <w:rPr>
          <w:lang w:val="sr-Cyrl-CS"/>
        </w:rPr>
        <w:t xml:space="preserve"> будући да је циљ квалитетних пријава да </w:t>
      </w:r>
      <w:r w:rsidR="00BF57D9" w:rsidRPr="00E95BC4">
        <w:rPr>
          <w:lang w:val="sr-Cyrl-CS"/>
        </w:rPr>
        <w:t xml:space="preserve">надлежни органи </w:t>
      </w:r>
      <w:r w:rsidR="002E071E" w:rsidRPr="00E95BC4">
        <w:rPr>
          <w:lang w:val="sr-Cyrl-CS"/>
        </w:rPr>
        <w:t>ф</w:t>
      </w:r>
      <w:r w:rsidR="00BF57D9" w:rsidRPr="00E95BC4">
        <w:rPr>
          <w:lang w:val="sr-Cyrl-CS"/>
        </w:rPr>
        <w:t>инансијскообавештајне податке</w:t>
      </w:r>
      <w:r w:rsidR="002E071E" w:rsidRPr="00E95BC4">
        <w:rPr>
          <w:lang w:val="sr-Cyrl-CS"/>
        </w:rPr>
        <w:t xml:space="preserve"> и друге релевантне информације адекватно користе у истрагама прања новца</w:t>
      </w:r>
      <w:r w:rsidR="006D3236" w:rsidRPr="00E95BC4">
        <w:rPr>
          <w:lang w:val="sr-Cyrl-CS"/>
        </w:rPr>
        <w:t xml:space="preserve"> или финансирања тероризма</w:t>
      </w:r>
      <w:r w:rsidR="002E071E" w:rsidRPr="00E95BC4">
        <w:rPr>
          <w:lang w:val="sr-Cyrl-CS"/>
        </w:rPr>
        <w:t xml:space="preserve"> и финансијским истрагама. Добар превентивни систем такође спречава </w:t>
      </w:r>
      <w:r w:rsidR="00A1499B" w:rsidRPr="00E95BC4">
        <w:rPr>
          <w:lang w:val="sr-Cyrl-CS"/>
        </w:rPr>
        <w:t>злоупотребу</w:t>
      </w:r>
      <w:r w:rsidRPr="00E95BC4">
        <w:rPr>
          <w:lang w:val="sr-Cyrl-CS"/>
        </w:rPr>
        <w:t xml:space="preserve"> правних лица и </w:t>
      </w:r>
      <w:r w:rsidR="002E071E" w:rsidRPr="00E95BC4">
        <w:rPr>
          <w:lang w:val="sr-Cyrl-CS"/>
        </w:rPr>
        <w:t>лица страног права (нпр. трастови</w:t>
      </w:r>
      <w:r w:rsidRPr="00E95BC4">
        <w:rPr>
          <w:lang w:val="sr-Cyrl-CS"/>
        </w:rPr>
        <w:t xml:space="preserve">) за сврхе прања новца или финансирања тероризма, а информације о њиховом стварном власништву су доступне надлежним органима без препрека. </w:t>
      </w:r>
    </w:p>
    <w:p w:rsidR="0099638C" w:rsidRPr="00E95BC4" w:rsidRDefault="0099638C" w:rsidP="00AA6D60">
      <w:pPr>
        <w:ind w:firstLine="720"/>
        <w:jc w:val="both"/>
        <w:rPr>
          <w:lang w:val="sr-Cyrl-CS"/>
        </w:rPr>
      </w:pPr>
      <w:r w:rsidRPr="00E95BC4">
        <w:rPr>
          <w:lang w:val="sr-Cyrl-CS"/>
        </w:rPr>
        <w:t xml:space="preserve">Окружење у ком се приватни капитал брзо креће пружа могућности и за </w:t>
      </w:r>
      <w:r w:rsidR="0087616A" w:rsidRPr="00E95BC4">
        <w:rPr>
          <w:lang w:val="sr-Cyrl-CS"/>
        </w:rPr>
        <w:t>вршење</w:t>
      </w:r>
      <w:r w:rsidRPr="00E95BC4">
        <w:rPr>
          <w:lang w:val="sr-Cyrl-CS"/>
        </w:rPr>
        <w:t xml:space="preserve"> трансакција које су преварне</w:t>
      </w:r>
      <w:r w:rsidR="00806E9B" w:rsidRPr="00E95BC4">
        <w:rPr>
          <w:lang w:val="sr-Cyrl-CS"/>
        </w:rPr>
        <w:t xml:space="preserve"> </w:t>
      </w:r>
      <w:r w:rsidR="0087616A" w:rsidRPr="00E95BC4">
        <w:rPr>
          <w:lang w:val="sr-Cyrl-CS"/>
        </w:rPr>
        <w:t xml:space="preserve">по природи </w:t>
      </w:r>
      <w:r w:rsidR="00806E9B" w:rsidRPr="00E95BC4">
        <w:rPr>
          <w:lang w:val="sr-Cyrl-CS"/>
        </w:rPr>
        <w:t>или представљају прање новца. То</w:t>
      </w:r>
      <w:r w:rsidRPr="00E95BC4">
        <w:rPr>
          <w:lang w:val="sr-Cyrl-CS"/>
        </w:rPr>
        <w:t xml:space="preserve"> додатно компликују све софистициранији финансијски производи, често коришћење офшор центара и нове технологије. Непостојање адекватних превентивних система омогућава извршиоцима кривичних дела да </w:t>
      </w:r>
      <w:r w:rsidR="00806E9B" w:rsidRPr="00E95BC4">
        <w:rPr>
          <w:lang w:val="sr-Cyrl-CS"/>
        </w:rPr>
        <w:t>се развијају</w:t>
      </w:r>
      <w:r w:rsidRPr="00E95BC4">
        <w:rPr>
          <w:lang w:val="sr-Cyrl-CS"/>
        </w:rPr>
        <w:t xml:space="preserve"> и наносе додатну штету,</w:t>
      </w:r>
      <w:r w:rsidR="004F598D" w:rsidRPr="00E95BC4">
        <w:rPr>
          <w:lang w:val="sr-Cyrl-CS"/>
        </w:rPr>
        <w:t xml:space="preserve"> што</w:t>
      </w:r>
      <w:r w:rsidRPr="00E95BC4">
        <w:rPr>
          <w:lang w:val="sr-Cyrl-CS"/>
        </w:rPr>
        <w:t xml:space="preserve"> је најочигледније у случајевима финансирања тероризма. </w:t>
      </w:r>
      <w:r w:rsidR="004F598D" w:rsidRPr="00E95BC4">
        <w:rPr>
          <w:lang w:val="sr-Cyrl-CS"/>
        </w:rPr>
        <w:t xml:space="preserve">Неадекватно спречавање прања новца и финансирања тероризма </w:t>
      </w:r>
      <w:r w:rsidRPr="00E95BC4">
        <w:rPr>
          <w:lang w:val="sr-Cyrl-CS"/>
        </w:rPr>
        <w:t xml:space="preserve">потенцијално </w:t>
      </w:r>
      <w:r w:rsidR="004F598D" w:rsidRPr="00E95BC4">
        <w:rPr>
          <w:lang w:val="sr-Cyrl-CS"/>
        </w:rPr>
        <w:t>наноси</w:t>
      </w:r>
      <w:r w:rsidR="00CC44BB" w:rsidRPr="00E95BC4">
        <w:rPr>
          <w:lang w:val="sr-Cyrl-CS"/>
        </w:rPr>
        <w:t xml:space="preserve"> и високу моралну и репутациону штету</w:t>
      </w:r>
      <w:r w:rsidRPr="00E95BC4">
        <w:rPr>
          <w:lang w:val="sr-Cyrl-CS"/>
        </w:rPr>
        <w:t xml:space="preserve"> финансијском систему и друштву у целини. Такође, узрокују се неефикасности и осцилације у прерасподели ресурса будући да лица која перу новац премештају средства сходно економској логици али свакако у настојању да прикрију порекло тог новца. </w:t>
      </w:r>
      <w:r w:rsidR="002E071E" w:rsidRPr="00E95BC4">
        <w:rPr>
          <w:lang w:val="sr-Cyrl-CS"/>
        </w:rPr>
        <w:t xml:space="preserve">Тиме </w:t>
      </w:r>
      <w:r w:rsidRPr="00E95BC4">
        <w:rPr>
          <w:lang w:val="sr-Cyrl-CS"/>
        </w:rPr>
        <w:t>се чини управо супротно жељеним ефектима и користима од финансијске либерализације</w:t>
      </w:r>
      <w:r w:rsidR="00F2688F" w:rsidRPr="00E95BC4">
        <w:rPr>
          <w:lang w:val="sr-Cyrl-CS"/>
        </w:rPr>
        <w:t xml:space="preserve"> и систем се чини рањивим на прање новца и финансирање тероризма.</w:t>
      </w:r>
    </w:p>
    <w:p w:rsidR="002E071E" w:rsidRPr="00E95BC4" w:rsidRDefault="002E071E" w:rsidP="00AA6D60">
      <w:pPr>
        <w:ind w:firstLine="720"/>
        <w:jc w:val="both"/>
        <w:rPr>
          <w:lang w:val="sr-Cyrl-CS"/>
        </w:rPr>
      </w:pPr>
      <w:r w:rsidRPr="00E95BC4">
        <w:rPr>
          <w:lang w:val="sr-Cyrl-CS"/>
        </w:rPr>
        <w:lastRenderedPageBreak/>
        <w:t>У погледу испуњавања међународних стандарда</w:t>
      </w:r>
      <w:r w:rsidR="00254C7E" w:rsidRPr="00E95BC4">
        <w:rPr>
          <w:lang w:val="sr-Cyrl-CS"/>
        </w:rPr>
        <w:t xml:space="preserve"> и одговарајућих евалуација</w:t>
      </w:r>
      <w:r w:rsidRPr="00E95BC4">
        <w:rPr>
          <w:lang w:val="sr-Cyrl-CS"/>
        </w:rPr>
        <w:t>, уколико превентивни систем не функционише адекватно, држава може бити изложена</w:t>
      </w:r>
      <w:r w:rsidR="00806E9B" w:rsidRPr="00E95BC4">
        <w:rPr>
          <w:lang w:val="sr-Cyrl-CS"/>
        </w:rPr>
        <w:t xml:space="preserve"> и</w:t>
      </w:r>
      <w:r w:rsidRPr="00E95BC4">
        <w:rPr>
          <w:lang w:val="sr-Cyrl-CS"/>
        </w:rPr>
        <w:t xml:space="preserve"> ризику негативних оцена од стране међународних евалуационих тела (нпр. Манивал) и у екстремним случајевима доспети под посебан мониторинг Манивала или ФАТФ.</w:t>
      </w:r>
    </w:p>
    <w:p w:rsidR="001A655F" w:rsidRPr="00E95BC4" w:rsidRDefault="00F2688F" w:rsidP="001A655F">
      <w:pPr>
        <w:ind w:firstLine="720"/>
        <w:jc w:val="both"/>
        <w:rPr>
          <w:lang w:val="sr-Cyrl-CS"/>
        </w:rPr>
      </w:pPr>
      <w:r w:rsidRPr="00E95BC4">
        <w:rPr>
          <w:lang w:val="sr-Cyrl-CS"/>
        </w:rPr>
        <w:t xml:space="preserve"> </w:t>
      </w:r>
      <w:r w:rsidR="008D7FBA" w:rsidRPr="00E95BC4">
        <w:rPr>
          <w:b/>
          <w:lang w:val="sr-Cyrl-CS"/>
        </w:rPr>
        <w:t>Проблем 3</w:t>
      </w:r>
      <w:r w:rsidR="00C57A83">
        <w:rPr>
          <w:b/>
          <w:lang w:val="sr-Cyrl-CS"/>
        </w:rPr>
        <w:t xml:space="preserve"> –</w:t>
      </w:r>
      <w:r w:rsidR="008D7FBA" w:rsidRPr="00E95BC4">
        <w:rPr>
          <w:b/>
          <w:lang w:val="sr-Cyrl-CS"/>
        </w:rPr>
        <w:t xml:space="preserve"> </w:t>
      </w:r>
      <w:r w:rsidR="00E459C1" w:rsidRPr="00E95BC4">
        <w:rPr>
          <w:b/>
          <w:lang w:val="sr-Cyrl-CS"/>
        </w:rPr>
        <w:t>Истраге и поступци за прање новца</w:t>
      </w:r>
      <w:r w:rsidR="000B5F1D" w:rsidRPr="00E95BC4">
        <w:rPr>
          <w:b/>
          <w:lang w:val="sr-Cyrl-CS"/>
        </w:rPr>
        <w:t xml:space="preserve"> и одузимање имовине</w:t>
      </w:r>
      <w:r w:rsidR="00E459C1" w:rsidRPr="00E95BC4">
        <w:rPr>
          <w:b/>
          <w:lang w:val="sr-Cyrl-CS"/>
        </w:rPr>
        <w:t xml:space="preserve">. </w:t>
      </w:r>
      <w:r w:rsidR="000B5F1D" w:rsidRPr="00E95BC4">
        <w:rPr>
          <w:lang w:val="sr-Cyrl-CS"/>
        </w:rPr>
        <w:t xml:space="preserve">Основни циљ система за борбу против прања новца и финансирања тероризма у овој области јесте ефикасно вођење </w:t>
      </w:r>
      <w:r w:rsidR="00E459C1" w:rsidRPr="00E95BC4">
        <w:rPr>
          <w:lang w:val="sr-Cyrl-CS"/>
        </w:rPr>
        <w:t>истрага</w:t>
      </w:r>
      <w:r w:rsidR="000B5F1D" w:rsidRPr="00E95BC4">
        <w:rPr>
          <w:lang w:val="sr-Cyrl-CS"/>
        </w:rPr>
        <w:t xml:space="preserve"> и поступака у вези са </w:t>
      </w:r>
      <w:r w:rsidR="00E459C1" w:rsidRPr="00E95BC4">
        <w:rPr>
          <w:lang w:val="sr-Cyrl-CS"/>
        </w:rPr>
        <w:t xml:space="preserve">кривичним делима и активностима прања новца, </w:t>
      </w:r>
      <w:r w:rsidR="000B5F1D" w:rsidRPr="00E95BC4">
        <w:rPr>
          <w:lang w:val="sr-Cyrl-CS"/>
        </w:rPr>
        <w:t>и изрицање делотворних, сразмерних и одвраћајућих</w:t>
      </w:r>
      <w:r w:rsidR="00E459C1" w:rsidRPr="00E95BC4">
        <w:rPr>
          <w:lang w:val="sr-Cyrl-CS"/>
        </w:rPr>
        <w:t xml:space="preserve"> </w:t>
      </w:r>
      <w:r w:rsidR="000B5F1D" w:rsidRPr="00E95BC4">
        <w:rPr>
          <w:lang w:val="sr-Cyrl-CS"/>
        </w:rPr>
        <w:t>санкција против починилаца као и трајно одузимање имовине</w:t>
      </w:r>
      <w:r w:rsidR="00E459C1" w:rsidRPr="00E95BC4">
        <w:rPr>
          <w:lang w:val="sr-Cyrl-CS"/>
        </w:rPr>
        <w:t xml:space="preserve">. </w:t>
      </w:r>
    </w:p>
    <w:p w:rsidR="001A655F" w:rsidRPr="00E95BC4" w:rsidRDefault="000B5F1D" w:rsidP="001A655F">
      <w:pPr>
        <w:ind w:firstLine="720"/>
        <w:jc w:val="both"/>
        <w:rPr>
          <w:lang w:val="sr-Cyrl-CS"/>
        </w:rPr>
      </w:pPr>
      <w:r w:rsidRPr="00E95BC4">
        <w:rPr>
          <w:lang w:val="sr-Cyrl-CS"/>
        </w:rPr>
        <w:t xml:space="preserve">У контексту Републике Србије, </w:t>
      </w:r>
      <w:r w:rsidR="001A655F" w:rsidRPr="00E95BC4">
        <w:rPr>
          <w:lang w:val="sr-Cyrl-CS"/>
        </w:rPr>
        <w:t xml:space="preserve">Манивал је 2016. године издвојио проблеме </w:t>
      </w:r>
      <w:r w:rsidRPr="00E95BC4">
        <w:rPr>
          <w:lang w:val="sr-Cyrl-CS"/>
        </w:rPr>
        <w:t>вођења поступака за прање новца за трећа лица (професионално прање новца) и за тзв. самостално прање новца (</w:t>
      </w:r>
      <w:r w:rsidR="00B769C5" w:rsidRPr="00E95BC4">
        <w:rPr>
          <w:lang w:val="sr-Cyrl-CS"/>
        </w:rPr>
        <w:t xml:space="preserve">енгл. </w:t>
      </w:r>
      <w:r w:rsidRPr="00E95BC4">
        <w:rPr>
          <w:i/>
          <w:lang w:val="sr-Cyrl-CS"/>
        </w:rPr>
        <w:t>stand-alone</w:t>
      </w:r>
      <w:r w:rsidRPr="00E95BC4">
        <w:rPr>
          <w:lang w:val="sr-Cyrl-CS"/>
        </w:rPr>
        <w:t xml:space="preserve">). </w:t>
      </w:r>
    </w:p>
    <w:p w:rsidR="007606A2" w:rsidRPr="00E95BC4" w:rsidRDefault="001A655F" w:rsidP="007606A2">
      <w:pPr>
        <w:ind w:firstLine="720"/>
        <w:jc w:val="both"/>
        <w:rPr>
          <w:lang w:val="sr-Cyrl-CS"/>
        </w:rPr>
      </w:pPr>
      <w:r w:rsidRPr="00E95BC4">
        <w:rPr>
          <w:lang w:val="sr-Cyrl-CS"/>
        </w:rPr>
        <w:t xml:space="preserve">Од тада, </w:t>
      </w:r>
      <w:r w:rsidR="000B5F1D" w:rsidRPr="00E95BC4">
        <w:rPr>
          <w:lang w:val="sr-Cyrl-CS"/>
        </w:rPr>
        <w:t>Републичко јавно тужилаштво је издало више обавезујућих упу</w:t>
      </w:r>
      <w:r w:rsidR="00E80BE6">
        <w:rPr>
          <w:lang w:val="sr-Cyrl-CS"/>
        </w:rPr>
        <w:t>т</w:t>
      </w:r>
      <w:r w:rsidR="000B5F1D" w:rsidRPr="00E95BC4">
        <w:rPr>
          <w:lang w:val="sr-Cyrl-CS"/>
        </w:rPr>
        <w:t>става којима се унапређује политик</w:t>
      </w:r>
      <w:r w:rsidR="00806E9B" w:rsidRPr="00E95BC4">
        <w:rPr>
          <w:lang w:val="sr-Cyrl-CS"/>
        </w:rPr>
        <w:t>а у овој области</w:t>
      </w:r>
      <w:r w:rsidR="007606A2" w:rsidRPr="00E95BC4">
        <w:rPr>
          <w:lang w:val="sr-Cyrl-CS"/>
        </w:rPr>
        <w:t xml:space="preserve">. Наиме, Републички јавни тужилац је 20. септембра 2017. године издао </w:t>
      </w:r>
      <w:r w:rsidR="007606A2" w:rsidRPr="00E95BC4">
        <w:rPr>
          <w:i/>
          <w:lang w:val="sr-Cyrl-CS"/>
        </w:rPr>
        <w:t>Опште обавезно упутство о коришћењу фина</w:t>
      </w:r>
      <w:r w:rsidR="00012D3E">
        <w:rPr>
          <w:i/>
          <w:lang w:val="sr-Cyrl-CS"/>
        </w:rPr>
        <w:t>н</w:t>
      </w:r>
      <w:r w:rsidR="007606A2" w:rsidRPr="00E95BC4">
        <w:rPr>
          <w:i/>
          <w:lang w:val="sr-Cyrl-CS"/>
        </w:rPr>
        <w:t>сијско-обавештајних података за покретање поступка због кривичног дела прање новца и финансирање тероризма</w:t>
      </w:r>
      <w:r w:rsidR="007606A2" w:rsidRPr="00E95BC4">
        <w:rPr>
          <w:lang w:val="sr-Cyrl-CS"/>
        </w:rPr>
        <w:t xml:space="preserve"> А број 688/17 којим је обавезао сва надлежна тужилаштва да поводом информација Управе за спречавање прања новца о трансакцијама и лицима за која постоји сумња да су повезане са прањем новца или када на други начин дођу до података о сумњи да се припрема или је учињено кривично дело прање новца или финансирање тероризма, проактивно поступају и да су у обавези да покрену предистражни поступак за прање новца без обзира на то да ли се располаже подацима о предикатном кривичном делу. У току 2018. </w:t>
      </w:r>
      <w:bookmarkStart w:id="4" w:name="_GoBack"/>
      <w:bookmarkEnd w:id="4"/>
      <w:r w:rsidR="007606A2" w:rsidRPr="00E95BC4">
        <w:rPr>
          <w:lang w:val="sr-Cyrl-CS"/>
        </w:rPr>
        <w:t xml:space="preserve">и 2019. године јавни тужиоци, судије, полицијски службеници, државни службеници из Управе за спречавање прања новца, Пореске полиције, Управе за јавне набавке и још 10 државних институција које именују службенике за везу били су полазници бројних обука, радионица, тренинга на којима су обрађиване теме о проактивним финансијским истрагама, злоупотребама у поступку јавних набавки и прању новца. </w:t>
      </w:r>
    </w:p>
    <w:p w:rsidR="007606A2" w:rsidRPr="00E95BC4" w:rsidRDefault="007606A2" w:rsidP="007606A2">
      <w:pPr>
        <w:jc w:val="both"/>
        <w:rPr>
          <w:lang w:val="sr-Cyrl-CS"/>
        </w:rPr>
      </w:pPr>
      <w:r w:rsidRPr="00E95BC4">
        <w:rPr>
          <w:lang w:val="sr-Cyrl-CS"/>
        </w:rPr>
        <w:tab/>
        <w:t xml:space="preserve">У настојању да се поправи </w:t>
      </w:r>
      <w:r w:rsidRPr="00E95BC4">
        <w:rPr>
          <w:i/>
          <w:lang w:val="sr-Cyrl-CS"/>
        </w:rPr>
        <w:t>казнена политика</w:t>
      </w:r>
      <w:r w:rsidR="003A648B" w:rsidRPr="00E95BC4">
        <w:rPr>
          <w:lang w:val="sr-Cyrl-CS"/>
        </w:rPr>
        <w:t xml:space="preserve"> у вези са</w:t>
      </w:r>
      <w:r w:rsidRPr="00E95BC4">
        <w:rPr>
          <w:lang w:val="sr-Cyrl-CS"/>
        </w:rPr>
        <w:t xml:space="preserve"> кривичним делом прање новца, Републички јавни тужилац је издао</w:t>
      </w:r>
      <w:r w:rsidR="001E55D5" w:rsidRPr="00E95BC4">
        <w:rPr>
          <w:lang w:val="sr-Cyrl-CS"/>
        </w:rPr>
        <w:t xml:space="preserve"> допуну Опште</w:t>
      </w:r>
      <w:r w:rsidR="00842D2B" w:rsidRPr="00E95BC4">
        <w:rPr>
          <w:lang w:val="sr-Cyrl-CS"/>
        </w:rPr>
        <w:t>г</w:t>
      </w:r>
      <w:r w:rsidR="001E55D5" w:rsidRPr="00E95BC4">
        <w:rPr>
          <w:lang w:val="sr-Cyrl-CS"/>
        </w:rPr>
        <w:t xml:space="preserve"> обавезног упутства</w:t>
      </w:r>
      <w:r w:rsidR="00AD531F">
        <w:rPr>
          <w:lang w:val="sr-Cyrl-CS"/>
        </w:rPr>
        <w:t xml:space="preserve"> о кори</w:t>
      </w:r>
      <w:r w:rsidRPr="00E95BC4">
        <w:rPr>
          <w:lang w:val="sr-Cyrl-CS"/>
        </w:rPr>
        <w:t>шћењу финансијско-обавештајних података за покретање поступка због кривичног дела прање новца и финансирање тероризма А број 668/17 од 18. априла 2018. године за поступање јавних тужилаца приликом предлагања казне у завршној речи, преговарања и закључења споразума о признању кривичног дела и изјављивања жалби у кривичним поступцима за поменуто кривично дело. Сврха обавезног упутства је да изречене санкције учиниоцима кривичног дела прање новца учини ефикаснијим, делотворнијим и одвраћајућим за потенцијалне извршиоце помињаног кривичног дела.</w:t>
      </w:r>
    </w:p>
    <w:p w:rsidR="007606A2" w:rsidRPr="00E95BC4" w:rsidRDefault="007606A2" w:rsidP="007606A2">
      <w:pPr>
        <w:jc w:val="both"/>
        <w:rPr>
          <w:lang w:val="sr-Cyrl-CS"/>
        </w:rPr>
      </w:pPr>
      <w:r w:rsidRPr="00E95BC4">
        <w:rPr>
          <w:lang w:val="sr-Cyrl-CS"/>
        </w:rPr>
        <w:tab/>
      </w:r>
      <w:r w:rsidRPr="00E95BC4">
        <w:rPr>
          <w:i/>
          <w:lang w:val="sr-Cyrl-CS"/>
        </w:rPr>
        <w:t>Сарадња Управе за спречавање прања новца и Републичког јавног тужилаштва</w:t>
      </w:r>
      <w:r w:rsidRPr="00E95BC4">
        <w:rPr>
          <w:lang w:val="sr-Cyrl-CS"/>
        </w:rPr>
        <w:t xml:space="preserve"> се одвија у оквиру њихових законом прописаних надлежности и уз поштовање међусобне независности ових институција. Основ њихове сарадње су Закон о спречавању прања новца, Законик о кривичном поступку и подзаконски акти. Важан документ од значаја за сарадњу Управе за спречавање прања новца и јавних тужилаштава је и Опште обавезно упутство Реп</w:t>
      </w:r>
      <w:r w:rsidR="00144339">
        <w:rPr>
          <w:lang w:val="sr-Cyrl-CS"/>
        </w:rPr>
        <w:t>у</w:t>
      </w:r>
      <w:r w:rsidRPr="00E95BC4">
        <w:rPr>
          <w:lang w:val="sr-Cyrl-CS"/>
        </w:rPr>
        <w:t>бличког ја</w:t>
      </w:r>
      <w:r w:rsidR="003A648B" w:rsidRPr="00E95BC4">
        <w:rPr>
          <w:lang w:val="sr-Cyrl-CS"/>
        </w:rPr>
        <w:t>вног тужиоца</w:t>
      </w:r>
      <w:r w:rsidR="001E55D5" w:rsidRPr="00E95BC4">
        <w:rPr>
          <w:lang w:val="sr-Cyrl-CS"/>
        </w:rPr>
        <w:t xml:space="preserve"> А 668/17 од 20. септембра</w:t>
      </w:r>
      <w:r w:rsidRPr="00E95BC4">
        <w:rPr>
          <w:lang w:val="sr-Cyrl-CS"/>
        </w:rPr>
        <w:t xml:space="preserve"> 2017.</w:t>
      </w:r>
      <w:r w:rsidR="001E55D5" w:rsidRPr="00E95BC4">
        <w:rPr>
          <w:lang w:val="sr-Cyrl-CS"/>
        </w:rPr>
        <w:t xml:space="preserve"> </w:t>
      </w:r>
      <w:r w:rsidRPr="00E95BC4">
        <w:rPr>
          <w:lang w:val="sr-Cyrl-CS"/>
        </w:rPr>
        <w:t xml:space="preserve">године. </w:t>
      </w:r>
    </w:p>
    <w:p w:rsidR="007606A2" w:rsidRPr="00E95BC4" w:rsidRDefault="007606A2" w:rsidP="007606A2">
      <w:pPr>
        <w:jc w:val="both"/>
        <w:rPr>
          <w:lang w:val="sr-Cyrl-CS"/>
        </w:rPr>
      </w:pPr>
      <w:r w:rsidRPr="00E95BC4">
        <w:rPr>
          <w:lang w:val="sr-Cyrl-CS"/>
        </w:rPr>
        <w:tab/>
        <w:t xml:space="preserve">Републички јавни тужилац и директор Управе за спречавање прања новца закључили су 26. априла 2017. године Споразум о сарадњи у области спречавања и откривања прања новца и финансирања тероризма, којим су ближе уредили поступања </w:t>
      </w:r>
      <w:r w:rsidRPr="00E95BC4">
        <w:rPr>
          <w:lang w:val="sr-Cyrl-CS"/>
        </w:rPr>
        <w:lastRenderedPageBreak/>
        <w:t>Републичког јавног тужилаштва и Управе у области спречавања прања новца и финансирања тероризма. Ради праћења спровођења споразума образована је Стална радна група коју чине представници Републичког јавног тужилаштва и Управе.</w:t>
      </w:r>
    </w:p>
    <w:p w:rsidR="007606A2" w:rsidRPr="00E95BC4" w:rsidRDefault="007606A2" w:rsidP="007606A2">
      <w:pPr>
        <w:ind w:firstLine="708"/>
        <w:jc w:val="both"/>
        <w:rPr>
          <w:lang w:val="sr-Cyrl-CS"/>
        </w:rPr>
      </w:pPr>
      <w:r w:rsidRPr="00E95BC4">
        <w:rPr>
          <w:lang w:val="sr-Cyrl-CS"/>
        </w:rPr>
        <w:t>Реагујући на закључке Националне процене ризика од прања новца и процене ризика од финансирања тероризма, Републ</w:t>
      </w:r>
      <w:r w:rsidR="00842D2B" w:rsidRPr="00E95BC4">
        <w:rPr>
          <w:lang w:val="sr-Cyrl-CS"/>
        </w:rPr>
        <w:t>ички јавни тужилац је дана 4. марта</w:t>
      </w:r>
      <w:r w:rsidRPr="00E95BC4">
        <w:rPr>
          <w:lang w:val="sr-Cyrl-CS"/>
        </w:rPr>
        <w:t xml:space="preserve"> 2019. године издао упутство за поступање у предметима прања новца у којима је учинилац кривичног дела одговорно лице у правном лицу. Оно је донето и у циљу реализације активности предвиђених Акционим планом за спровођење препорука из процене ризика за прање новца и финансирање тероризма (</w:t>
      </w:r>
      <w:r w:rsidR="00842D2B" w:rsidRPr="00E95BC4">
        <w:rPr>
          <w:lang w:val="sr-Cyrl-CS"/>
        </w:rPr>
        <w:t>„</w:t>
      </w:r>
      <w:r w:rsidRPr="00E95BC4">
        <w:rPr>
          <w:lang w:val="sr-Cyrl-CS"/>
        </w:rPr>
        <w:t>Службени гласник РС</w:t>
      </w:r>
      <w:r w:rsidR="00842D2B" w:rsidRPr="00E95BC4">
        <w:rPr>
          <w:lang w:val="sr-Cyrl-CS"/>
        </w:rPr>
        <w:t>”,</w:t>
      </w:r>
      <w:r w:rsidRPr="00E95BC4">
        <w:rPr>
          <w:lang w:val="sr-Cyrl-CS"/>
        </w:rPr>
        <w:t xml:space="preserve"> б</w:t>
      </w:r>
      <w:r w:rsidR="00842D2B" w:rsidRPr="00E95BC4">
        <w:rPr>
          <w:lang w:val="sr-Cyrl-CS"/>
        </w:rPr>
        <w:t>рој 55/18</w:t>
      </w:r>
      <w:r w:rsidRPr="00E95BC4">
        <w:rPr>
          <w:lang w:val="sr-Cyrl-CS"/>
        </w:rPr>
        <w:t>). Акт је донет ради доследнијег предузимања кривичног гоњења правних лица укључених у вршење кривичних дела прање новца и финансирање тероризма и поштовања прин</w:t>
      </w:r>
      <w:r w:rsidR="00DD0D6E" w:rsidRPr="00E95BC4">
        <w:rPr>
          <w:lang w:val="sr-Cyrl-CS"/>
        </w:rPr>
        <w:t>ц</w:t>
      </w:r>
      <w:r w:rsidRPr="00E95BC4">
        <w:rPr>
          <w:lang w:val="sr-Cyrl-CS"/>
        </w:rPr>
        <w:t>ипа легалитета у кривичном гоњењу. Овим упутством је наглашена обавеза да надлежна јавна тужилаштва приликом поступања у вези са кривичним делима прање новца и фина</w:t>
      </w:r>
      <w:r w:rsidR="00AD5EBA">
        <w:rPr>
          <w:lang w:val="sr-Cyrl-CS"/>
        </w:rPr>
        <w:t>н</w:t>
      </w:r>
      <w:r w:rsidRPr="00E95BC4">
        <w:rPr>
          <w:lang w:val="sr-Cyrl-CS"/>
        </w:rPr>
        <w:t xml:space="preserve">сирање тероризма сваки пут преиспитају да ли има основа за покретање кривичног поступка и против правног лица и да такве поступке покрећу у свим ситуацијама када су за то испуњени услови из Закона о одговорности правних лица за кривична дела. </w:t>
      </w:r>
    </w:p>
    <w:p w:rsidR="00745C54" w:rsidRPr="00E95BC4" w:rsidRDefault="00745C54" w:rsidP="00745C54">
      <w:pPr>
        <w:ind w:firstLine="708"/>
        <w:jc w:val="both"/>
        <w:rPr>
          <w:lang w:val="sr-Cyrl-CS"/>
        </w:rPr>
      </w:pPr>
      <w:r w:rsidRPr="00E95BC4">
        <w:rPr>
          <w:lang w:val="sr-Cyrl-CS"/>
        </w:rPr>
        <w:t xml:space="preserve">У Републици Србији </w:t>
      </w:r>
      <w:r w:rsidRPr="00E95BC4">
        <w:rPr>
          <w:i/>
          <w:lang w:val="sr-Cyrl-CS"/>
        </w:rPr>
        <w:t>одузимање имовине</w:t>
      </w:r>
      <w:r w:rsidRPr="00E95BC4">
        <w:rPr>
          <w:lang w:val="sr-Cyrl-CS"/>
        </w:rPr>
        <w:t xml:space="preserve"> која се доводи у везу са кривичним делима уређено је </w:t>
      </w:r>
      <w:r w:rsidRPr="00E95BC4">
        <w:rPr>
          <w:i/>
          <w:lang w:val="sr-Cyrl-CS"/>
        </w:rPr>
        <w:t>Кривичним закоником, Законом о одузимању имовине проистекле из кривичног дела</w:t>
      </w:r>
      <w:r w:rsidR="00704045" w:rsidRPr="00E95BC4">
        <w:rPr>
          <w:lang w:val="sr-Cyrl-CS"/>
        </w:rPr>
        <w:t>,</w:t>
      </w:r>
      <w:r w:rsidRPr="00E95BC4">
        <w:rPr>
          <w:lang w:val="sr-Cyrl-CS"/>
        </w:rPr>
        <w:t xml:space="preserve"> а процедура одузимања уређена је Закоником о кривичном поступку. Традиционални институти oдузимања криминалних прихода и средстава су мер</w:t>
      </w:r>
      <w:r w:rsidR="00DA7692" w:rsidRPr="00E95BC4">
        <w:rPr>
          <w:lang w:val="sr-Cyrl-CS"/>
        </w:rPr>
        <w:t>а</w:t>
      </w:r>
      <w:r w:rsidRPr="00E95BC4">
        <w:rPr>
          <w:lang w:val="sr-Cyrl-CS"/>
        </w:rPr>
        <w:t xml:space="preserve"> безбедности одузимање предмета и одузимање имовинске користи, док је новији институт тзв. проширеног одузимања чијом применом је омогућено одузимање имовине проистекле из</w:t>
      </w:r>
      <w:r w:rsidR="00DA7692" w:rsidRPr="00E95BC4">
        <w:rPr>
          <w:lang w:val="sr-Cyrl-CS"/>
        </w:rPr>
        <w:t xml:space="preserve"> кривичног дела</w:t>
      </w:r>
      <w:r w:rsidRPr="00E95BC4">
        <w:rPr>
          <w:lang w:val="sr-Cyrl-CS"/>
        </w:rPr>
        <w:t>.</w:t>
      </w:r>
    </w:p>
    <w:p w:rsidR="00745C54" w:rsidRPr="00E95BC4" w:rsidRDefault="00745C54" w:rsidP="00745C54">
      <w:pPr>
        <w:ind w:firstLine="708"/>
        <w:jc w:val="both"/>
        <w:rPr>
          <w:lang w:val="sr-Cyrl-CS"/>
        </w:rPr>
      </w:pPr>
      <w:r w:rsidRPr="00E95BC4">
        <w:rPr>
          <w:lang w:val="sr-Cyrl-CS"/>
        </w:rPr>
        <w:t>Када је реч о одузимању имовинске користи која је прибављена из одређеног кривичног дела, она се у току кривичног поступка обезбеђује применом Привремених мера обезбеђења. Њих по службеној дужности одређује суд по одредбама закон</w:t>
      </w:r>
      <w:r w:rsidR="00704045" w:rsidRPr="00E95BC4">
        <w:rPr>
          <w:lang w:val="sr-Cyrl-CS"/>
        </w:rPr>
        <w:t>а</w:t>
      </w:r>
      <w:r w:rsidRPr="00E95BC4">
        <w:rPr>
          <w:lang w:val="sr-Cyrl-CS"/>
        </w:rPr>
        <w:t xml:space="preserve"> којим се уређује поступак извршења и обезбеђења. </w:t>
      </w:r>
    </w:p>
    <w:p w:rsidR="00745C54" w:rsidRPr="00E95BC4" w:rsidRDefault="00745C54" w:rsidP="00745C54">
      <w:pPr>
        <w:ind w:firstLine="708"/>
        <w:jc w:val="both"/>
        <w:rPr>
          <w:lang w:val="sr-Cyrl-CS"/>
        </w:rPr>
      </w:pPr>
      <w:r w:rsidRPr="00E95BC4">
        <w:rPr>
          <w:lang w:val="sr-Cyrl-CS"/>
        </w:rPr>
        <w:t xml:space="preserve">Република Србија је свој први </w:t>
      </w:r>
      <w:r w:rsidRPr="00E95BC4">
        <w:rPr>
          <w:i/>
          <w:lang w:val="sr-Cyrl-CS"/>
        </w:rPr>
        <w:t>Закон о одузимању имовине проистекле из кривичног дела</w:t>
      </w:r>
      <w:r w:rsidRPr="00E95BC4">
        <w:rPr>
          <w:lang w:val="sr-Cyrl-CS"/>
        </w:rPr>
        <w:t xml:space="preserve"> донела 2008. године. Овим законом је у српски правни оквир по први пут уведен институт тзв. проширеног одузимања имовине. Наиме, од учинилаца кривичних дела организованог криминала</w:t>
      </w:r>
      <w:r w:rsidR="00704045" w:rsidRPr="00E95BC4">
        <w:rPr>
          <w:lang w:val="sr-Cyrl-CS"/>
        </w:rPr>
        <w:t>,</w:t>
      </w:r>
      <w:r w:rsidRPr="00E95BC4">
        <w:rPr>
          <w:lang w:val="sr-Cyrl-CS"/>
        </w:rPr>
        <w:t xml:space="preserve"> као и од учинилаца најтежих кривичних дела која су таксативно наведена у члану 2. Закона, постоји могућност одузимања имовине која превазилази њихове законите приходе и за коју не могу доказати законитост порекла. Поменути Закон је последњи пут измењен </w:t>
      </w:r>
      <w:r w:rsidR="00DE44BF">
        <w:rPr>
          <w:lang/>
        </w:rPr>
        <w:t xml:space="preserve">у </w:t>
      </w:r>
      <w:r w:rsidRPr="00E95BC4">
        <w:rPr>
          <w:lang w:val="sr-Cyrl-CS"/>
        </w:rPr>
        <w:t>мај</w:t>
      </w:r>
      <w:r w:rsidR="00DE44BF">
        <w:rPr>
          <w:lang w:val="sr-Cyrl-CS"/>
        </w:rPr>
        <w:t>у</w:t>
      </w:r>
      <w:r w:rsidRPr="00E95BC4">
        <w:rPr>
          <w:lang w:val="sr-Cyrl-CS"/>
        </w:rPr>
        <w:t xml:space="preserve"> 2019. године. Разлог за доношење Закона о изменама и допуни Закона о одузимању имовине проистекле из кривичног дела била је потреба усклађивања овог закон</w:t>
      </w:r>
      <w:r w:rsidR="00704045" w:rsidRPr="00E95BC4">
        <w:rPr>
          <w:lang w:val="sr-Cyrl-CS"/>
        </w:rPr>
        <w:t>а</w:t>
      </w:r>
      <w:r w:rsidRPr="00E95BC4">
        <w:rPr>
          <w:lang w:val="sr-Cyrl-CS"/>
        </w:rPr>
        <w:t xml:space="preserve"> са изменама и допунама Кривичног законика из 2016. године, којима је измењена систематика Главе ХХII тог закон</w:t>
      </w:r>
      <w:r w:rsidR="00641F60" w:rsidRPr="00E95BC4">
        <w:rPr>
          <w:lang w:val="sr-Cyrl-CS"/>
        </w:rPr>
        <w:t>а</w:t>
      </w:r>
      <w:r w:rsidRPr="00E95BC4">
        <w:rPr>
          <w:lang w:val="sr-Cyrl-CS"/>
        </w:rPr>
        <w:t xml:space="preserve"> – Кривична дела против привреде. Овим изменама омогућена је примена Закон</w:t>
      </w:r>
      <w:r w:rsidR="00DD0D6E" w:rsidRPr="00E95BC4">
        <w:rPr>
          <w:lang w:val="sr-Cyrl-CS"/>
        </w:rPr>
        <w:t>а</w:t>
      </w:r>
      <w:r w:rsidRPr="00E95BC4">
        <w:rPr>
          <w:lang w:val="sr-Cyrl-CS"/>
        </w:rPr>
        <w:t xml:space="preserve"> о одузимању имовине проистекле из кривичног дела и на већину кривичних дела против привреде. Међу њима су и кривична дела злоупотреба положаја одговорног лица и пореска утаја, која су у Националној процени ризика од прања новца оцењена као дела са високим степеном претњи. Овом изменом примена Закона о одузимању имовине проистекле из кривичног дела проширена је и на већину кривичних дела која су у надлежности Посебних одељења за сузбијање корупције, основана Законом о организацији и надлежности државних органа за сузбијање организованог криминала, тероризма и корупције.</w:t>
      </w:r>
    </w:p>
    <w:p w:rsidR="00745C54" w:rsidRPr="00E95BC4" w:rsidRDefault="00745C54" w:rsidP="00745C54">
      <w:pPr>
        <w:ind w:firstLine="708"/>
        <w:jc w:val="both"/>
        <w:rPr>
          <w:lang w:val="sr-Cyrl-CS"/>
        </w:rPr>
      </w:pPr>
      <w:r w:rsidRPr="00E95BC4">
        <w:rPr>
          <w:lang w:val="sr-Cyrl-CS"/>
        </w:rPr>
        <w:lastRenderedPageBreak/>
        <w:t>Када се говори о финансијским истрагама које јавни тужиоци воде према Закону о одузимању имовине проистекле из кривичног дела, Обавезно упутство Републичког јавног тужиоца А број 668/17 од 20. септембра 2017.</w:t>
      </w:r>
      <w:r w:rsidR="00FD45ED" w:rsidRPr="00E95BC4">
        <w:rPr>
          <w:lang w:val="sr-Cyrl-CS"/>
        </w:rPr>
        <w:t xml:space="preserve"> </w:t>
      </w:r>
      <w:r w:rsidRPr="00E95BC4">
        <w:rPr>
          <w:lang w:val="sr-Cyrl-CS"/>
        </w:rPr>
        <w:t>године налаже вођење тзв. паралелних финансијских и кривичних истрага за кривична дела за која се примењује поменути закон. То подразумева да јавни тужиоци у случају покретања предистражног поступка за кривично дело прање новца имају обавезу доношења наредбе о покретању финансијске истраге и да од Јединице за финансијске истраге затраже прикупљање доказа о имовини чији су власници или коју поседују физичка и правна лица учесници трансакција за које се сумња да представљају прање новца, као и са њима повезана лица.</w:t>
      </w:r>
    </w:p>
    <w:p w:rsidR="001A655F" w:rsidRPr="00E95BC4" w:rsidRDefault="00FA5629" w:rsidP="00745C54">
      <w:pPr>
        <w:ind w:firstLine="720"/>
        <w:jc w:val="both"/>
        <w:rPr>
          <w:lang w:val="sr-Cyrl-CS"/>
        </w:rPr>
      </w:pPr>
      <w:r w:rsidRPr="00E95BC4">
        <w:rPr>
          <w:lang w:val="sr-Cyrl-CS"/>
        </w:rPr>
        <w:t xml:space="preserve">Напред </w:t>
      </w:r>
      <w:r w:rsidR="007606A2" w:rsidRPr="00E95BC4">
        <w:rPr>
          <w:lang w:val="sr-Cyrl-CS"/>
        </w:rPr>
        <w:t xml:space="preserve">наведене </w:t>
      </w:r>
      <w:r w:rsidR="000D1143" w:rsidRPr="00E95BC4">
        <w:rPr>
          <w:lang w:val="sr-Cyrl-CS"/>
        </w:rPr>
        <w:t>активности су већ дале резултат, што је потврдио ФАТФ у свом извештају из јуна 2019. године</w:t>
      </w:r>
      <w:r w:rsidR="00641F60" w:rsidRPr="00E95BC4">
        <w:rPr>
          <w:lang w:val="sr-Cyrl-CS"/>
        </w:rPr>
        <w:t xml:space="preserve"> констатујући да</w:t>
      </w:r>
      <w:r w:rsidR="001A655F" w:rsidRPr="00E95BC4">
        <w:rPr>
          <w:lang w:val="sr-Cyrl-CS"/>
        </w:rPr>
        <w:t xml:space="preserve"> су у посматраном периоду надлежни органи у </w:t>
      </w:r>
      <w:r w:rsidR="00641F60" w:rsidRPr="00E95BC4">
        <w:rPr>
          <w:lang w:val="sr-Cyrl-CS"/>
        </w:rPr>
        <w:t xml:space="preserve">Републици </w:t>
      </w:r>
      <w:r w:rsidR="001A655F" w:rsidRPr="00E95BC4">
        <w:rPr>
          <w:lang w:val="sr-Cyrl-CS"/>
        </w:rPr>
        <w:t>Србији заузел</w:t>
      </w:r>
      <w:r w:rsidR="00641F60" w:rsidRPr="00E95BC4">
        <w:rPr>
          <w:lang w:val="sr-Cyrl-CS"/>
        </w:rPr>
        <w:t>и</w:t>
      </w:r>
      <w:r w:rsidR="001A655F" w:rsidRPr="00E95BC4">
        <w:rPr>
          <w:lang w:val="sr-Cyrl-CS"/>
        </w:rPr>
        <w:t xml:space="preserve"> проактивнији приступ истрагама прања новца и повезаних претходних кривичних дела. У већем броју случајева тужиоци су покретали паралелне финансијске истраге које су спроводиле специјализоване јединице органа кривичне истраге, а судови су већ донели више пресуда за прање новца без претходног кривичног дела</w:t>
      </w:r>
      <w:r w:rsidR="00641F60" w:rsidRPr="00E95BC4">
        <w:rPr>
          <w:lang w:val="sr-Cyrl-CS"/>
        </w:rPr>
        <w:t>,</w:t>
      </w:r>
      <w:r w:rsidR="001A655F" w:rsidRPr="00E95BC4">
        <w:rPr>
          <w:lang w:val="sr-Cyrl-CS"/>
        </w:rPr>
        <w:t xml:space="preserve"> као и за прање новца за трећа лица (професионално прање). </w:t>
      </w:r>
    </w:p>
    <w:p w:rsidR="00E459C1" w:rsidRPr="00E95BC4" w:rsidRDefault="001A655F" w:rsidP="001A655F">
      <w:pPr>
        <w:ind w:firstLine="720"/>
        <w:jc w:val="both"/>
        <w:rPr>
          <w:lang w:val="sr-Cyrl-CS"/>
        </w:rPr>
      </w:pPr>
      <w:r w:rsidRPr="00E95BC4">
        <w:rPr>
          <w:lang w:val="sr-Cyrl-CS"/>
        </w:rPr>
        <w:t xml:space="preserve">Ова питања ће и даље бити предмет пажње система и надлежних органа и институција, а ФАТФ је подстакао надлежне органе да наставе са напорима који су уложени у претходном периоду. </w:t>
      </w:r>
    </w:p>
    <w:p w:rsidR="00665BC3" w:rsidRPr="00E95BC4" w:rsidRDefault="008D7FBA" w:rsidP="00835D12">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b/>
          <w:sz w:val="24"/>
          <w:szCs w:val="24"/>
          <w:lang w:val="sr-Cyrl-CS"/>
        </w:rPr>
      </w:pPr>
      <w:r w:rsidRPr="00E95BC4">
        <w:rPr>
          <w:rFonts w:ascii="Times New Roman" w:hAnsi="Times New Roman"/>
          <w:b/>
          <w:sz w:val="24"/>
          <w:szCs w:val="24"/>
          <w:lang w:val="sr-Cyrl-CS"/>
        </w:rPr>
        <w:t>Проблем 4</w:t>
      </w:r>
      <w:r w:rsidR="00835D12">
        <w:rPr>
          <w:rFonts w:ascii="Times New Roman" w:hAnsi="Times New Roman"/>
          <w:b/>
          <w:sz w:val="24"/>
          <w:szCs w:val="24"/>
          <w:lang w:val="sr-Cyrl-CS"/>
        </w:rPr>
        <w:t xml:space="preserve"> –</w:t>
      </w:r>
      <w:r w:rsidRPr="00E95BC4">
        <w:rPr>
          <w:rFonts w:ascii="Times New Roman" w:hAnsi="Times New Roman"/>
          <w:b/>
          <w:sz w:val="24"/>
          <w:szCs w:val="24"/>
          <w:lang w:val="sr-Cyrl-CS"/>
        </w:rPr>
        <w:t xml:space="preserve"> </w:t>
      </w:r>
      <w:r w:rsidR="00E459C1" w:rsidRPr="00E95BC4">
        <w:rPr>
          <w:rFonts w:ascii="Times New Roman" w:hAnsi="Times New Roman"/>
          <w:b/>
          <w:sz w:val="24"/>
          <w:szCs w:val="24"/>
          <w:lang w:val="sr-Cyrl-CS"/>
        </w:rPr>
        <w:t>Истраге и поступци за финансирање тероризма</w:t>
      </w:r>
      <w:r w:rsidR="000B5F1D" w:rsidRPr="00E95BC4">
        <w:rPr>
          <w:rFonts w:ascii="Times New Roman" w:hAnsi="Times New Roman"/>
          <w:b/>
          <w:sz w:val="24"/>
          <w:szCs w:val="24"/>
          <w:lang w:val="sr-Cyrl-CS"/>
        </w:rPr>
        <w:t>, превентивне мере и финансијске санкције за финансирање тероризма и ширење оружја за масовно уништење</w:t>
      </w:r>
      <w:r w:rsidR="00E459C1" w:rsidRPr="00E95BC4">
        <w:rPr>
          <w:rFonts w:ascii="Times New Roman" w:hAnsi="Times New Roman"/>
          <w:b/>
          <w:sz w:val="24"/>
          <w:szCs w:val="24"/>
          <w:lang w:val="sr-Cyrl-CS"/>
        </w:rPr>
        <w:t xml:space="preserve">. </w:t>
      </w:r>
    </w:p>
    <w:p w:rsidR="00E459C1" w:rsidRPr="00E95BC4" w:rsidRDefault="000B5F1D" w:rsidP="00665BC3">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sidRPr="00E95BC4">
        <w:rPr>
          <w:rFonts w:ascii="Times New Roman" w:hAnsi="Times New Roman"/>
          <w:sz w:val="24"/>
          <w:szCs w:val="24"/>
          <w:lang w:val="sr-Cyrl-CS"/>
        </w:rPr>
        <w:t xml:space="preserve">Република Србија има развијен систем, законодавне и институционалне механизме за успешно вођење истрага </w:t>
      </w:r>
      <w:r w:rsidR="00E459C1" w:rsidRPr="00E95BC4">
        <w:rPr>
          <w:rFonts w:ascii="Times New Roman" w:hAnsi="Times New Roman"/>
          <w:sz w:val="24"/>
          <w:szCs w:val="24"/>
          <w:lang w:val="sr-Cyrl-CS"/>
        </w:rPr>
        <w:t>о кривичним делима и активностима финансирања тероризма,</w:t>
      </w:r>
      <w:r w:rsidRPr="00E95BC4">
        <w:rPr>
          <w:rFonts w:ascii="Times New Roman" w:hAnsi="Times New Roman"/>
          <w:sz w:val="24"/>
          <w:szCs w:val="24"/>
          <w:lang w:val="sr-Cyrl-CS"/>
        </w:rPr>
        <w:t xml:space="preserve"> док је у протеклом периоду доказала да води успешне поступке против лица која </w:t>
      </w:r>
      <w:r w:rsidR="00E459C1" w:rsidRPr="00E95BC4">
        <w:rPr>
          <w:rFonts w:ascii="Times New Roman" w:hAnsi="Times New Roman"/>
          <w:sz w:val="24"/>
          <w:szCs w:val="24"/>
          <w:lang w:val="sr-Cyrl-CS"/>
        </w:rPr>
        <w:t>финансирају тероризам</w:t>
      </w:r>
      <w:r w:rsidRPr="00E95BC4">
        <w:rPr>
          <w:rFonts w:ascii="Times New Roman" w:hAnsi="Times New Roman"/>
          <w:sz w:val="24"/>
          <w:szCs w:val="24"/>
          <w:lang w:val="sr-Cyrl-CS"/>
        </w:rPr>
        <w:t>, као и да изриче</w:t>
      </w:r>
      <w:r w:rsidR="00E459C1" w:rsidRPr="00E95BC4">
        <w:rPr>
          <w:rFonts w:ascii="Times New Roman" w:hAnsi="Times New Roman"/>
          <w:sz w:val="24"/>
          <w:szCs w:val="24"/>
          <w:lang w:val="sr-Cyrl-CS"/>
        </w:rPr>
        <w:t xml:space="preserve"> делотворне, сразмерне и одвраћајуће санкције. </w:t>
      </w:r>
      <w:r w:rsidR="00641F60" w:rsidRPr="00E95BC4">
        <w:rPr>
          <w:rFonts w:ascii="Times New Roman" w:hAnsi="Times New Roman"/>
          <w:sz w:val="24"/>
          <w:szCs w:val="24"/>
          <w:lang w:val="sr-Cyrl-CS"/>
        </w:rPr>
        <w:t xml:space="preserve">Република </w:t>
      </w:r>
      <w:r w:rsidRPr="00E95BC4">
        <w:rPr>
          <w:rFonts w:ascii="Times New Roman" w:hAnsi="Times New Roman"/>
          <w:sz w:val="24"/>
          <w:szCs w:val="24"/>
          <w:lang w:val="sr-Cyrl-CS"/>
        </w:rPr>
        <w:t>Србија до 2016. године није имала систем за циљане финансијске санкције</w:t>
      </w:r>
      <w:r w:rsidR="00835D12">
        <w:rPr>
          <w:rFonts w:ascii="Times New Roman" w:hAnsi="Times New Roman"/>
          <w:sz w:val="24"/>
          <w:szCs w:val="24"/>
          <w:lang w:val="sr-Cyrl-CS"/>
        </w:rPr>
        <w:t>,</w:t>
      </w:r>
      <w:r w:rsidRPr="00E95BC4">
        <w:rPr>
          <w:rFonts w:ascii="Times New Roman" w:hAnsi="Times New Roman"/>
          <w:sz w:val="24"/>
          <w:szCs w:val="24"/>
          <w:lang w:val="sr-Cyrl-CS"/>
        </w:rPr>
        <w:t xml:space="preserve"> као ни делотворан надзор над непрофитним сектором са становишта могућности њихове злоупотребе за финансирање тероризма. </w:t>
      </w:r>
    </w:p>
    <w:p w:rsidR="00E459C1" w:rsidRPr="00E95BC4" w:rsidRDefault="000B5F1D" w:rsidP="00C37424">
      <w:pPr>
        <w:pStyle w:val="FATF-TEXTE1115"/>
        <w:tabs>
          <w:tab w:val="clear" w:pos="624"/>
          <w:tab w:val="clear" w:pos="1247"/>
          <w:tab w:val="clear" w:pos="1871"/>
          <w:tab w:val="clear" w:pos="2495"/>
          <w:tab w:val="clear" w:pos="3119"/>
        </w:tabs>
        <w:spacing w:after="0" w:line="240" w:lineRule="auto"/>
        <w:rPr>
          <w:rFonts w:ascii="Times New Roman" w:hAnsi="Times New Roman"/>
          <w:sz w:val="24"/>
          <w:szCs w:val="24"/>
          <w:lang w:val="sr-Cyrl-CS"/>
        </w:rPr>
      </w:pPr>
      <w:r w:rsidRPr="00E95BC4">
        <w:rPr>
          <w:rFonts w:ascii="Times New Roman" w:hAnsi="Times New Roman"/>
          <w:sz w:val="24"/>
          <w:szCs w:val="24"/>
          <w:lang w:val="sr-Cyrl-CS"/>
        </w:rPr>
        <w:tab/>
        <w:t>Циљ ових система и механизама јесте да се терористи</w:t>
      </w:r>
      <w:r w:rsidR="00E459C1" w:rsidRPr="00E95BC4">
        <w:rPr>
          <w:rFonts w:ascii="Times New Roman" w:hAnsi="Times New Roman"/>
          <w:sz w:val="24"/>
          <w:szCs w:val="24"/>
          <w:lang w:val="sr-Cyrl-CS"/>
        </w:rPr>
        <w:t>, терористичке организације и лица која финансирају тероризам спречавају у прикупљању, преношењу и коришћењу средстава и у з</w:t>
      </w:r>
      <w:r w:rsidR="00C37424" w:rsidRPr="00E95BC4">
        <w:rPr>
          <w:rFonts w:ascii="Times New Roman" w:hAnsi="Times New Roman"/>
          <w:sz w:val="24"/>
          <w:szCs w:val="24"/>
          <w:lang w:val="sr-Cyrl-CS"/>
        </w:rPr>
        <w:t xml:space="preserve">лоупотреби непрофитног сектора, као и да се </w:t>
      </w:r>
      <w:r w:rsidR="00E459C1" w:rsidRPr="00E95BC4">
        <w:rPr>
          <w:rFonts w:ascii="Times New Roman" w:hAnsi="Times New Roman"/>
          <w:sz w:val="24"/>
          <w:szCs w:val="24"/>
          <w:lang w:val="sr-Cyrl-CS"/>
        </w:rPr>
        <w:t>лица која учествују у ширењу оружја за масовно уништење спречавају у прикупљању, преношењу и коришћењу средства, у складу са релевантним резолуцијама Савета безбедности У</w:t>
      </w:r>
      <w:r w:rsidR="00835D12">
        <w:rPr>
          <w:rFonts w:ascii="Times New Roman" w:hAnsi="Times New Roman"/>
          <w:sz w:val="24"/>
          <w:szCs w:val="24"/>
          <w:lang w:val="sr-Cyrl-CS"/>
        </w:rPr>
        <w:t>једињених нација</w:t>
      </w:r>
      <w:r w:rsidR="00E459C1" w:rsidRPr="00E95BC4">
        <w:rPr>
          <w:rFonts w:ascii="Times New Roman" w:hAnsi="Times New Roman"/>
          <w:sz w:val="24"/>
          <w:szCs w:val="24"/>
          <w:lang w:val="sr-Cyrl-CS"/>
        </w:rPr>
        <w:t>.</w:t>
      </w:r>
    </w:p>
    <w:p w:rsidR="00665BC3" w:rsidRPr="00E95BC4" w:rsidRDefault="00806E9B" w:rsidP="00665BC3">
      <w:pPr>
        <w:pStyle w:val="FATF-TEXTE1115"/>
        <w:tabs>
          <w:tab w:val="clear" w:pos="624"/>
          <w:tab w:val="clear" w:pos="1247"/>
          <w:tab w:val="clear" w:pos="1871"/>
          <w:tab w:val="clear" w:pos="2495"/>
          <w:tab w:val="clear" w:pos="3119"/>
        </w:tabs>
        <w:spacing w:after="0" w:line="240" w:lineRule="auto"/>
        <w:ind w:firstLine="720"/>
        <w:rPr>
          <w:rFonts w:ascii="Times New Roman" w:hAnsi="Times New Roman"/>
          <w:sz w:val="24"/>
          <w:szCs w:val="24"/>
          <w:lang w:val="sr-Cyrl-CS"/>
        </w:rPr>
      </w:pPr>
      <w:r w:rsidRPr="00E95BC4">
        <w:rPr>
          <w:rFonts w:ascii="Times New Roman" w:hAnsi="Times New Roman"/>
          <w:sz w:val="24"/>
          <w:szCs w:val="24"/>
          <w:lang w:val="sr-Cyrl-CS"/>
        </w:rPr>
        <w:t>Реформама из 2017</w:t>
      </w:r>
      <w:r w:rsidR="00A1499B" w:rsidRPr="00E95BC4">
        <w:rPr>
          <w:rFonts w:ascii="Times New Roman" w:hAnsi="Times New Roman"/>
          <w:sz w:val="24"/>
          <w:szCs w:val="24"/>
          <w:lang w:val="sr-Cyrl-CS"/>
        </w:rPr>
        <w:t>–</w:t>
      </w:r>
      <w:r w:rsidRPr="00E95BC4">
        <w:rPr>
          <w:rFonts w:ascii="Times New Roman" w:hAnsi="Times New Roman"/>
          <w:sz w:val="24"/>
          <w:szCs w:val="24"/>
          <w:lang w:val="sr-Cyrl-CS"/>
        </w:rPr>
        <w:t>2019</w:t>
      </w:r>
      <w:r w:rsidR="00745DD3" w:rsidRPr="00E95BC4">
        <w:rPr>
          <w:rFonts w:ascii="Times New Roman" w:hAnsi="Times New Roman"/>
          <w:sz w:val="24"/>
          <w:szCs w:val="24"/>
          <w:lang w:val="sr-Cyrl-CS"/>
        </w:rPr>
        <w:t>. године</w:t>
      </w:r>
      <w:r w:rsidRPr="00E95BC4">
        <w:rPr>
          <w:rFonts w:ascii="Times New Roman" w:hAnsi="Times New Roman"/>
          <w:sz w:val="24"/>
          <w:szCs w:val="24"/>
          <w:lang w:val="sr-Cyrl-CS"/>
        </w:rPr>
        <w:t xml:space="preserve">, успостављени су ти системи и механизми, а неопходно је и даље пратити ситуацију и повремено вршити преглед система ради уподобљавања </w:t>
      </w:r>
      <w:r w:rsidR="00745DD3" w:rsidRPr="00E95BC4">
        <w:rPr>
          <w:rFonts w:ascii="Times New Roman" w:hAnsi="Times New Roman"/>
          <w:sz w:val="24"/>
          <w:szCs w:val="24"/>
          <w:lang w:val="sr-Cyrl-CS"/>
        </w:rPr>
        <w:t xml:space="preserve">са </w:t>
      </w:r>
      <w:r w:rsidRPr="00E95BC4">
        <w:rPr>
          <w:rFonts w:ascii="Times New Roman" w:hAnsi="Times New Roman"/>
          <w:sz w:val="24"/>
          <w:szCs w:val="24"/>
          <w:lang w:val="sr-Cyrl-CS"/>
        </w:rPr>
        <w:t xml:space="preserve">новим међународним стандардима и новоуоченим ризицима. </w:t>
      </w:r>
    </w:p>
    <w:p w:rsidR="00665BC3" w:rsidRPr="00E95BC4" w:rsidRDefault="00665BC3" w:rsidP="00665BC3">
      <w:pPr>
        <w:pStyle w:val="Heading1"/>
        <w:spacing w:before="0"/>
        <w:ind w:firstLine="720"/>
        <w:rPr>
          <w:rFonts w:ascii="Times New Roman" w:hAnsi="Times New Roman" w:cs="Times New Roman"/>
          <w:sz w:val="24"/>
          <w:szCs w:val="24"/>
          <w:lang w:val="sr-Cyrl-CS"/>
        </w:rPr>
      </w:pPr>
    </w:p>
    <w:p w:rsidR="00A278FF" w:rsidRPr="00E95BC4" w:rsidRDefault="00A278FF" w:rsidP="00665BC3">
      <w:pPr>
        <w:pStyle w:val="Heading1"/>
        <w:spacing w:before="0"/>
        <w:ind w:firstLine="720"/>
        <w:rPr>
          <w:rFonts w:ascii="Times New Roman" w:hAnsi="Times New Roman" w:cs="Times New Roman"/>
          <w:color w:val="auto"/>
          <w:sz w:val="24"/>
          <w:szCs w:val="24"/>
          <w:lang w:val="sr-Cyrl-CS"/>
        </w:rPr>
      </w:pPr>
      <w:bookmarkStart w:id="5" w:name="_Toc32409894"/>
      <w:r w:rsidRPr="00E95BC4">
        <w:rPr>
          <w:rFonts w:ascii="Times New Roman" w:hAnsi="Times New Roman" w:cs="Times New Roman"/>
          <w:color w:val="auto"/>
          <w:sz w:val="24"/>
          <w:szCs w:val="24"/>
          <w:lang w:val="sr-Cyrl-CS"/>
        </w:rPr>
        <w:t>Промена која се постиже спровођењем стратегије</w:t>
      </w:r>
      <w:bookmarkEnd w:id="5"/>
    </w:p>
    <w:p w:rsidR="00665BC3" w:rsidRPr="00E95BC4" w:rsidRDefault="00A278FF" w:rsidP="00665BC3">
      <w:pPr>
        <w:jc w:val="both"/>
        <w:rPr>
          <w:b/>
          <w:lang w:val="sr-Cyrl-CS"/>
        </w:rPr>
      </w:pPr>
      <w:r w:rsidRPr="00E95BC4">
        <w:rPr>
          <w:b/>
          <w:lang w:val="sr-Cyrl-CS"/>
        </w:rPr>
        <w:tab/>
      </w:r>
    </w:p>
    <w:p w:rsidR="00D9541E" w:rsidRPr="00E95BC4" w:rsidRDefault="002C54BD" w:rsidP="00665BC3">
      <w:pPr>
        <w:ind w:firstLine="720"/>
        <w:jc w:val="both"/>
        <w:rPr>
          <w:lang w:val="sr-Cyrl-CS"/>
        </w:rPr>
      </w:pPr>
      <w:r w:rsidRPr="00E95BC4">
        <w:rPr>
          <w:b/>
          <w:lang w:val="sr-Cyrl-CS"/>
        </w:rPr>
        <w:t>Пројекција жељене промене</w:t>
      </w:r>
      <w:r w:rsidR="00163505" w:rsidRPr="00E95BC4">
        <w:rPr>
          <w:b/>
          <w:lang w:val="sr-Cyrl-CS"/>
        </w:rPr>
        <w:t xml:space="preserve">. </w:t>
      </w:r>
      <w:r w:rsidR="006D3236" w:rsidRPr="00E95BC4">
        <w:rPr>
          <w:i/>
          <w:lang w:val="sr-Cyrl-CS"/>
        </w:rPr>
        <w:t>Општи</w:t>
      </w:r>
      <w:r w:rsidR="00163505" w:rsidRPr="00E95BC4">
        <w:rPr>
          <w:lang w:val="sr-Cyrl-CS"/>
        </w:rPr>
        <w:t xml:space="preserve"> циљ </w:t>
      </w:r>
      <w:r w:rsidR="006D3236" w:rsidRPr="00E95BC4">
        <w:rPr>
          <w:lang w:val="sr-Cyrl-CS"/>
        </w:rPr>
        <w:t xml:space="preserve">(енгл. </w:t>
      </w:r>
      <w:r w:rsidR="006D3236" w:rsidRPr="00E95BC4">
        <w:rPr>
          <w:i/>
          <w:lang w:val="sr-Cyrl-CS"/>
        </w:rPr>
        <w:t>high-level objective</w:t>
      </w:r>
      <w:r w:rsidR="006D3236" w:rsidRPr="00E95BC4">
        <w:rPr>
          <w:lang w:val="sr-Cyrl-CS"/>
        </w:rPr>
        <w:t xml:space="preserve">) </w:t>
      </w:r>
      <w:r w:rsidR="00163505" w:rsidRPr="00E95BC4">
        <w:rPr>
          <w:lang w:val="sr-Cyrl-CS"/>
        </w:rPr>
        <w:t>дефинисан методологијом ФАТФ</w:t>
      </w:r>
      <w:r w:rsidR="006D3236" w:rsidRPr="00E95BC4">
        <w:rPr>
          <w:lang w:val="sr-Cyrl-CS"/>
        </w:rPr>
        <w:t xml:space="preserve"> са својим </w:t>
      </w:r>
      <w:r w:rsidR="006D3236" w:rsidRPr="00E95BC4">
        <w:rPr>
          <w:i/>
          <w:lang w:val="sr-Cyrl-CS"/>
        </w:rPr>
        <w:t>посебним</w:t>
      </w:r>
      <w:r w:rsidR="000C7714" w:rsidRPr="00E95BC4">
        <w:rPr>
          <w:i/>
          <w:lang w:val="sr-Cyrl-CS"/>
        </w:rPr>
        <w:t xml:space="preserve"> </w:t>
      </w:r>
      <w:r w:rsidR="00163505" w:rsidRPr="00E95BC4">
        <w:rPr>
          <w:i/>
          <w:lang w:val="sr-Cyrl-CS"/>
        </w:rPr>
        <w:t>циљев</w:t>
      </w:r>
      <w:r w:rsidR="006D3236" w:rsidRPr="00E95BC4">
        <w:rPr>
          <w:i/>
          <w:lang w:val="sr-Cyrl-CS"/>
        </w:rPr>
        <w:t>има</w:t>
      </w:r>
      <w:r w:rsidR="00163505" w:rsidRPr="00E95BC4">
        <w:rPr>
          <w:lang w:val="sr-Cyrl-CS"/>
        </w:rPr>
        <w:t xml:space="preserve"> и </w:t>
      </w:r>
      <w:r w:rsidR="006D3236" w:rsidRPr="00E95BC4">
        <w:rPr>
          <w:i/>
          <w:lang w:val="sr-Cyrl-CS"/>
        </w:rPr>
        <w:t>непосредним</w:t>
      </w:r>
      <w:r w:rsidR="000C7714" w:rsidRPr="00E95BC4">
        <w:rPr>
          <w:i/>
          <w:lang w:val="sr-Cyrl-CS"/>
        </w:rPr>
        <w:t xml:space="preserve"> исход</w:t>
      </w:r>
      <w:r w:rsidR="006D3236" w:rsidRPr="00E95BC4">
        <w:rPr>
          <w:i/>
          <w:lang w:val="sr-Cyrl-CS"/>
        </w:rPr>
        <w:t>има</w:t>
      </w:r>
      <w:r w:rsidR="00163505" w:rsidRPr="00E95BC4">
        <w:rPr>
          <w:lang w:val="sr-Cyrl-CS"/>
        </w:rPr>
        <w:t xml:space="preserve"> успешног система за борбу против прања новца који је у својој методологији дао ФАТФ</w:t>
      </w:r>
      <w:r w:rsidR="006D3236" w:rsidRPr="00E95BC4">
        <w:rPr>
          <w:lang w:val="sr-Cyrl-CS"/>
        </w:rPr>
        <w:t xml:space="preserve"> представља пројекцију жеље</w:t>
      </w:r>
      <w:r w:rsidRPr="00E95BC4">
        <w:rPr>
          <w:lang w:val="sr-Cyrl-CS"/>
        </w:rPr>
        <w:t>не промене</w:t>
      </w:r>
      <w:r w:rsidR="00AD151C" w:rsidRPr="00E95BC4">
        <w:rPr>
          <w:lang w:val="sr-Cyrl-CS"/>
        </w:rPr>
        <w:t xml:space="preserve"> до које ће довести ниже наведени циљеви и мере </w:t>
      </w:r>
      <w:r w:rsidR="002726D3" w:rsidRPr="00E95BC4">
        <w:rPr>
          <w:lang w:val="sr-Cyrl-CS"/>
        </w:rPr>
        <w:t>С</w:t>
      </w:r>
      <w:r w:rsidR="00AD151C" w:rsidRPr="00E95BC4">
        <w:rPr>
          <w:lang w:val="sr-Cyrl-CS"/>
        </w:rPr>
        <w:t>тратегије</w:t>
      </w:r>
      <w:r w:rsidR="006D3236" w:rsidRPr="00E95BC4">
        <w:rPr>
          <w:lang w:val="sr-Cyrl-CS"/>
        </w:rPr>
        <w:t>.</w:t>
      </w:r>
    </w:p>
    <w:p w:rsidR="00040297" w:rsidRPr="00E95BC4" w:rsidRDefault="00040297" w:rsidP="00285FD7">
      <w:pPr>
        <w:rPr>
          <w:lang w:val="sr-Cyrl-CS"/>
        </w:rPr>
      </w:pPr>
    </w:p>
    <w:p w:rsidR="00C21C2C" w:rsidRPr="00E95BC4" w:rsidRDefault="00C21C2C" w:rsidP="00285FD7">
      <w:pPr>
        <w:rPr>
          <w:b/>
          <w:lang w:val="sr-Cyrl-CS"/>
        </w:rPr>
      </w:pPr>
    </w:p>
    <w:p w:rsidR="00C21C2C" w:rsidRPr="00E95BC4" w:rsidRDefault="00C21C2C" w:rsidP="00285FD7">
      <w:pPr>
        <w:rPr>
          <w:b/>
          <w:lang w:val="sr-Cyrl-CS"/>
        </w:rPr>
      </w:pPr>
    </w:p>
    <w:p w:rsidR="00C21C2C" w:rsidRPr="00E95BC4" w:rsidRDefault="00C21C2C" w:rsidP="00285FD7">
      <w:pPr>
        <w:rPr>
          <w:b/>
          <w:lang w:val="sr-Cyrl-CS"/>
        </w:rPr>
      </w:pPr>
    </w:p>
    <w:p w:rsidR="00C21C2C" w:rsidRPr="00E95BC4" w:rsidRDefault="00C21C2C" w:rsidP="00285FD7">
      <w:pPr>
        <w:rPr>
          <w:b/>
          <w:lang w:val="sr-Cyrl-CS"/>
        </w:rPr>
      </w:pPr>
    </w:p>
    <w:p w:rsidR="002C54BD" w:rsidRPr="00E95BC4" w:rsidRDefault="002C54BD" w:rsidP="00285FD7">
      <w:pPr>
        <w:rPr>
          <w:b/>
          <w:lang w:val="sr-Cyrl-CS"/>
        </w:rPr>
      </w:pPr>
      <w:r w:rsidRPr="00E95BC4">
        <w:rPr>
          <w:b/>
          <w:lang w:val="sr-Cyrl-CS"/>
        </w:rPr>
        <w:t>Извод из Методологије ФАТФ:</w:t>
      </w:r>
    </w:p>
    <w:tbl>
      <w:tblPr>
        <w:tblStyle w:val="MediumGrid3-Accent1"/>
        <w:tblW w:w="9464" w:type="dxa"/>
        <w:tblLayout w:type="fixed"/>
        <w:tblLook w:val="04A0"/>
      </w:tblPr>
      <w:tblGrid>
        <w:gridCol w:w="2268"/>
        <w:gridCol w:w="709"/>
        <w:gridCol w:w="6487"/>
      </w:tblGrid>
      <w:tr w:rsidR="0088138E" w:rsidRPr="00E95BC4" w:rsidTr="00665BC3">
        <w:trPr>
          <w:cnfStyle w:val="100000000000"/>
        </w:trPr>
        <w:tc>
          <w:tcPr>
            <w:cnfStyle w:val="001000000000"/>
            <w:tcW w:w="9464" w:type="dxa"/>
            <w:gridSpan w:val="3"/>
          </w:tcPr>
          <w:p w:rsidR="0088138E" w:rsidRPr="00E95BC4" w:rsidRDefault="006D3236" w:rsidP="00285FD7">
            <w:pPr>
              <w:pStyle w:val="FATF-TEXTE1115"/>
              <w:spacing w:after="0" w:line="240" w:lineRule="auto"/>
              <w:jc w:val="center"/>
              <w:rPr>
                <w:rFonts w:ascii="Times New Roman" w:hAnsi="Times New Roman"/>
                <w:color w:val="FFFFFF" w:themeColor="background1"/>
                <w:sz w:val="24"/>
                <w:szCs w:val="24"/>
                <w:lang w:val="sr-Cyrl-CS"/>
              </w:rPr>
            </w:pPr>
            <w:r w:rsidRPr="00E95BC4">
              <w:rPr>
                <w:rFonts w:ascii="Times New Roman" w:hAnsi="Times New Roman"/>
                <w:bCs w:val="0"/>
                <w:color w:val="FFFFFF" w:themeColor="background1"/>
                <w:sz w:val="24"/>
                <w:szCs w:val="24"/>
                <w:lang w:val="sr-Cyrl-CS"/>
              </w:rPr>
              <w:t>Општи</w:t>
            </w:r>
            <w:r w:rsidR="0088138E" w:rsidRPr="00E95BC4">
              <w:rPr>
                <w:rFonts w:ascii="Times New Roman" w:hAnsi="Times New Roman"/>
                <w:bCs w:val="0"/>
                <w:color w:val="FFFFFF" w:themeColor="background1"/>
                <w:sz w:val="24"/>
                <w:szCs w:val="24"/>
                <w:lang w:val="sr-Cyrl-CS"/>
              </w:rPr>
              <w:t xml:space="preserve"> циљ</w:t>
            </w:r>
            <w:r w:rsidR="00972C36" w:rsidRPr="00E95BC4">
              <w:rPr>
                <w:rFonts w:ascii="Times New Roman" w:hAnsi="Times New Roman"/>
                <w:bCs w:val="0"/>
                <w:color w:val="FFFFFF" w:themeColor="background1"/>
                <w:sz w:val="24"/>
                <w:szCs w:val="24"/>
                <w:lang w:val="sr-Cyrl-CS"/>
              </w:rPr>
              <w:t xml:space="preserve"> (High-Level Objective)</w:t>
            </w:r>
          </w:p>
          <w:p w:rsidR="0088138E" w:rsidRPr="00E95BC4" w:rsidRDefault="0088138E" w:rsidP="00285FD7">
            <w:pPr>
              <w:pStyle w:val="FATF-TEXTE1115"/>
              <w:spacing w:after="0" w:line="240" w:lineRule="auto"/>
              <w:jc w:val="center"/>
              <w:rPr>
                <w:rFonts w:ascii="Times New Roman" w:hAnsi="Times New Roman"/>
                <w:b w:val="0"/>
                <w:sz w:val="24"/>
                <w:szCs w:val="24"/>
                <w:lang w:val="sr-Cyrl-CS"/>
              </w:rPr>
            </w:pPr>
            <w:r w:rsidRPr="00E95BC4">
              <w:rPr>
                <w:rFonts w:ascii="Times New Roman" w:hAnsi="Times New Roman"/>
                <w:b w:val="0"/>
                <w:color w:val="FFFFFF" w:themeColor="background1"/>
                <w:sz w:val="24"/>
                <w:szCs w:val="24"/>
                <w:lang w:val="sr-Cyrl-CS"/>
              </w:rPr>
              <w:t>Финансијски систем и шира економија заштићени су од претњи прања новца и финансирања тероризма и ширења оружја за масовно уништење, чиме се јача интегритет финансијског сектора и доприноси безбедности и сигурности</w:t>
            </w:r>
          </w:p>
        </w:tc>
      </w:tr>
      <w:tr w:rsidR="0088138E" w:rsidRPr="00E95BC4" w:rsidTr="00665BC3">
        <w:trPr>
          <w:cnfStyle w:val="000000100000"/>
        </w:trPr>
        <w:tc>
          <w:tcPr>
            <w:cnfStyle w:val="001000000000"/>
            <w:tcW w:w="2268" w:type="dxa"/>
          </w:tcPr>
          <w:p w:rsidR="0088138E" w:rsidRPr="00E95BC4" w:rsidRDefault="000C7714" w:rsidP="00285FD7">
            <w:pPr>
              <w:jc w:val="center"/>
              <w:rPr>
                <w:lang w:val="sr-Cyrl-CS"/>
              </w:rPr>
            </w:pPr>
            <w:r w:rsidRPr="00E95BC4">
              <w:rPr>
                <w:lang w:val="sr-Cyrl-CS"/>
              </w:rPr>
              <w:t>Посебни</w:t>
            </w:r>
            <w:r w:rsidR="0088138E" w:rsidRPr="00E95BC4">
              <w:rPr>
                <w:lang w:val="sr-Cyrl-CS"/>
              </w:rPr>
              <w:t xml:space="preserve"> циљеви</w:t>
            </w:r>
            <w:r w:rsidR="00972C36" w:rsidRPr="00E95BC4">
              <w:rPr>
                <w:lang w:val="sr-Cyrl-CS"/>
              </w:rPr>
              <w:t xml:space="preserve"> (Intermediate Objectives)</w:t>
            </w:r>
          </w:p>
        </w:tc>
        <w:tc>
          <w:tcPr>
            <w:tcW w:w="709" w:type="dxa"/>
          </w:tcPr>
          <w:p w:rsidR="0088138E" w:rsidRPr="00E95BC4" w:rsidRDefault="0088138E" w:rsidP="00285FD7">
            <w:pPr>
              <w:cnfStyle w:val="000000100000"/>
              <w:rPr>
                <w:lang w:val="sr-Cyrl-CS"/>
              </w:rPr>
            </w:pPr>
          </w:p>
        </w:tc>
        <w:tc>
          <w:tcPr>
            <w:tcW w:w="6487" w:type="dxa"/>
          </w:tcPr>
          <w:p w:rsidR="0088138E" w:rsidRPr="00E95BC4" w:rsidRDefault="0088138E" w:rsidP="00285FD7">
            <w:pPr>
              <w:jc w:val="center"/>
              <w:cnfStyle w:val="000000100000"/>
              <w:rPr>
                <w:b/>
                <w:lang w:val="sr-Cyrl-CS"/>
              </w:rPr>
            </w:pPr>
            <w:r w:rsidRPr="00E95BC4">
              <w:rPr>
                <w:b/>
                <w:lang w:val="sr-Cyrl-CS"/>
              </w:rPr>
              <w:t xml:space="preserve">Непосредни </w:t>
            </w:r>
            <w:r w:rsidR="000C7714" w:rsidRPr="00E95BC4">
              <w:rPr>
                <w:b/>
                <w:lang w:val="sr-Cyrl-CS"/>
              </w:rPr>
              <w:t>исходи</w:t>
            </w:r>
            <w:r w:rsidRPr="00E95BC4">
              <w:rPr>
                <w:b/>
                <w:lang w:val="sr-Cyrl-CS"/>
              </w:rPr>
              <w:t xml:space="preserve"> (Immediate Outcome - IO)</w:t>
            </w:r>
          </w:p>
        </w:tc>
      </w:tr>
      <w:tr w:rsidR="0088138E" w:rsidRPr="00E95BC4" w:rsidTr="00665BC3">
        <w:tc>
          <w:tcPr>
            <w:cnfStyle w:val="001000000000"/>
            <w:tcW w:w="2268" w:type="dxa"/>
            <w:vMerge w:val="restart"/>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jc w:val="left"/>
              <w:rPr>
                <w:rFonts w:ascii="Times New Roman" w:hAnsi="Times New Roman"/>
                <w:b w:val="0"/>
                <w:color w:val="FFFFFF" w:themeColor="background1"/>
                <w:sz w:val="24"/>
                <w:szCs w:val="24"/>
                <w:lang w:val="sr-Cyrl-CS"/>
              </w:rPr>
            </w:pPr>
            <w:r w:rsidRPr="00E95BC4">
              <w:rPr>
                <w:rFonts w:ascii="Times New Roman" w:hAnsi="Times New Roman"/>
                <w:b w:val="0"/>
                <w:color w:val="FFFFFF" w:themeColor="background1"/>
                <w:sz w:val="24"/>
                <w:szCs w:val="24"/>
                <w:lang w:val="sr-Cyrl-CS"/>
              </w:rPr>
              <w:t>Политика, координација и сарадња у области борбе проти</w:t>
            </w:r>
            <w:r w:rsidR="000342B2" w:rsidRPr="00E95BC4">
              <w:rPr>
                <w:rFonts w:ascii="Times New Roman" w:hAnsi="Times New Roman"/>
                <w:b w:val="0"/>
                <w:color w:val="FFFFFF" w:themeColor="background1"/>
                <w:sz w:val="24"/>
                <w:szCs w:val="24"/>
                <w:lang w:val="sr-Cyrl-CS"/>
              </w:rPr>
              <w:t>в прања новца и финансирања тер</w:t>
            </w:r>
            <w:r w:rsidRPr="00E95BC4">
              <w:rPr>
                <w:rFonts w:ascii="Times New Roman" w:hAnsi="Times New Roman"/>
                <w:b w:val="0"/>
                <w:color w:val="FFFFFF" w:themeColor="background1"/>
                <w:sz w:val="24"/>
                <w:szCs w:val="24"/>
                <w:lang w:val="sr-Cyrl-CS"/>
              </w:rPr>
              <w:t>о</w:t>
            </w:r>
            <w:r w:rsidR="000342B2" w:rsidRPr="00E95BC4">
              <w:rPr>
                <w:rFonts w:ascii="Times New Roman" w:hAnsi="Times New Roman"/>
                <w:b w:val="0"/>
                <w:color w:val="FFFFFF" w:themeColor="background1"/>
                <w:sz w:val="24"/>
                <w:szCs w:val="24"/>
                <w:lang w:val="sr-Cyrl-CS"/>
              </w:rPr>
              <w:t>р</w:t>
            </w:r>
            <w:r w:rsidRPr="00E95BC4">
              <w:rPr>
                <w:rFonts w:ascii="Times New Roman" w:hAnsi="Times New Roman"/>
                <w:b w:val="0"/>
                <w:color w:val="FFFFFF" w:themeColor="background1"/>
                <w:sz w:val="24"/>
                <w:szCs w:val="24"/>
                <w:lang w:val="sr-Cyrl-CS"/>
              </w:rPr>
              <w:t xml:space="preserve">изма ублажавају ризике од прања новца и финансирања тероризма. </w:t>
            </w:r>
          </w:p>
        </w:tc>
        <w:tc>
          <w:tcPr>
            <w:tcW w:w="709" w:type="dxa"/>
          </w:tcPr>
          <w:p w:rsidR="0088138E" w:rsidRPr="00E95BC4" w:rsidRDefault="0088138E" w:rsidP="00285FD7">
            <w:pPr>
              <w:jc w:val="center"/>
              <w:cnfStyle w:val="000000000000"/>
              <w:rPr>
                <w:lang w:val="sr-Cyrl-CS"/>
              </w:rPr>
            </w:pPr>
            <w:r w:rsidRPr="00E95BC4">
              <w:rPr>
                <w:lang w:val="sr-Cyrl-CS"/>
              </w:rPr>
              <w:t>IO1</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sidRPr="00E95BC4">
              <w:rPr>
                <w:rFonts w:ascii="Times New Roman" w:hAnsi="Times New Roman"/>
                <w:b/>
                <w:sz w:val="24"/>
                <w:szCs w:val="24"/>
                <w:lang w:val="sr-Cyrl-CS"/>
              </w:rPr>
              <w:t xml:space="preserve">Ризик, политика, координација. </w:t>
            </w:r>
            <w:r w:rsidRPr="00E95BC4">
              <w:rPr>
                <w:rFonts w:ascii="Times New Roman" w:hAnsi="Times New Roman"/>
                <w:sz w:val="24"/>
                <w:szCs w:val="24"/>
                <w:lang w:val="sr-Cyrl-CS"/>
              </w:rPr>
              <w:t xml:space="preserve">Постоји разумевање ризика од прања новца и финансирања тероризма и врши се, по потреби, интерна координација у борби против прања новца и финансирања тероризма и ширења оружја за масовно уништење. </w:t>
            </w:r>
          </w:p>
        </w:tc>
      </w:tr>
      <w:tr w:rsidR="0088138E" w:rsidRPr="00E95BC4" w:rsidTr="00665BC3">
        <w:trPr>
          <w:cnfStyle w:val="000000100000"/>
        </w:trPr>
        <w:tc>
          <w:tcPr>
            <w:cnfStyle w:val="001000000000"/>
            <w:tcW w:w="2268" w:type="dxa"/>
            <w:vMerge/>
          </w:tcPr>
          <w:p w:rsidR="0088138E" w:rsidRPr="00E95BC4" w:rsidRDefault="0088138E" w:rsidP="00285FD7">
            <w:pPr>
              <w:rPr>
                <w:b w:val="0"/>
                <w:lang w:val="sr-Cyrl-CS"/>
              </w:rPr>
            </w:pPr>
          </w:p>
        </w:tc>
        <w:tc>
          <w:tcPr>
            <w:tcW w:w="709" w:type="dxa"/>
          </w:tcPr>
          <w:p w:rsidR="0088138E" w:rsidRPr="00E95BC4" w:rsidRDefault="0088138E" w:rsidP="00285FD7">
            <w:pPr>
              <w:jc w:val="center"/>
              <w:cnfStyle w:val="000000100000"/>
              <w:rPr>
                <w:lang w:val="sr-Cyrl-CS"/>
              </w:rPr>
            </w:pPr>
            <w:r w:rsidRPr="00E95BC4">
              <w:rPr>
                <w:lang w:val="sr-Cyrl-CS"/>
              </w:rPr>
              <w:t>IO2</w:t>
            </w:r>
          </w:p>
        </w:tc>
        <w:tc>
          <w:tcPr>
            <w:tcW w:w="6487" w:type="dxa"/>
          </w:tcPr>
          <w:p w:rsidR="0088138E" w:rsidRPr="00E95BC4" w:rsidRDefault="0088138E" w:rsidP="00DD0D6E">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sidRPr="00E95BC4">
              <w:rPr>
                <w:rFonts w:ascii="Times New Roman" w:hAnsi="Times New Roman"/>
                <w:b/>
                <w:sz w:val="24"/>
                <w:szCs w:val="24"/>
                <w:lang w:val="sr-Cyrl-CS"/>
              </w:rPr>
              <w:t xml:space="preserve">Међународна сарадња. </w:t>
            </w:r>
            <w:r w:rsidRPr="00E95BC4">
              <w:rPr>
                <w:rFonts w:ascii="Times New Roman" w:hAnsi="Times New Roman"/>
                <w:sz w:val="24"/>
                <w:szCs w:val="24"/>
                <w:lang w:val="sr-Cyrl-CS"/>
              </w:rPr>
              <w:t>Међународном сарадњом долази се до одговарајућих информација, финансијскообавешта</w:t>
            </w:r>
            <w:r w:rsidR="00DD0D6E" w:rsidRPr="00E95BC4">
              <w:rPr>
                <w:rFonts w:ascii="Times New Roman" w:hAnsi="Times New Roman"/>
                <w:sz w:val="24"/>
                <w:szCs w:val="24"/>
                <w:lang w:val="sr-Cyrl-CS"/>
              </w:rPr>
              <w:t xml:space="preserve">јних података и доказа и омогућава </w:t>
            </w:r>
            <w:r w:rsidRPr="00E95BC4">
              <w:rPr>
                <w:rFonts w:ascii="Times New Roman" w:hAnsi="Times New Roman"/>
                <w:sz w:val="24"/>
                <w:szCs w:val="24"/>
                <w:lang w:val="sr-Cyrl-CS"/>
              </w:rPr>
              <w:t xml:space="preserve">поступање против извршилаца кривичних дела и њихове имовине. </w:t>
            </w:r>
          </w:p>
        </w:tc>
      </w:tr>
      <w:tr w:rsidR="0088138E" w:rsidRPr="00E95BC4" w:rsidTr="00665BC3">
        <w:tc>
          <w:tcPr>
            <w:cnfStyle w:val="001000000000"/>
            <w:tcW w:w="2268" w:type="dxa"/>
            <w:vMerge w:val="restart"/>
          </w:tcPr>
          <w:p w:rsidR="0088138E" w:rsidRPr="00E95BC4" w:rsidRDefault="0088138E" w:rsidP="00DD0D6E">
            <w:pPr>
              <w:pStyle w:val="FATF-TEXTE1115"/>
              <w:tabs>
                <w:tab w:val="clear" w:pos="624"/>
                <w:tab w:val="clear" w:pos="1247"/>
                <w:tab w:val="clear" w:pos="1871"/>
                <w:tab w:val="clear" w:pos="2495"/>
                <w:tab w:val="clear" w:pos="3119"/>
              </w:tabs>
              <w:spacing w:after="0" w:line="240" w:lineRule="auto"/>
              <w:jc w:val="left"/>
              <w:rPr>
                <w:rFonts w:ascii="Times New Roman" w:hAnsi="Times New Roman"/>
                <w:b w:val="0"/>
                <w:color w:val="FFFFFF" w:themeColor="background1"/>
                <w:sz w:val="24"/>
                <w:szCs w:val="24"/>
                <w:lang w:val="sr-Cyrl-CS"/>
              </w:rPr>
            </w:pPr>
            <w:r w:rsidRPr="00E95BC4">
              <w:rPr>
                <w:rFonts w:ascii="Times New Roman" w:hAnsi="Times New Roman"/>
                <w:b w:val="0"/>
                <w:color w:val="FFFFFF" w:themeColor="background1"/>
                <w:sz w:val="24"/>
                <w:szCs w:val="24"/>
                <w:lang w:val="sr-Cyrl-CS"/>
              </w:rPr>
              <w:t>Спречава се унос имовине стечене кривичним делом и средстава намењених финансирању тероризма у финан</w:t>
            </w:r>
            <w:r w:rsidR="00DD0D6E" w:rsidRPr="00E95BC4">
              <w:rPr>
                <w:rFonts w:ascii="Times New Roman" w:hAnsi="Times New Roman"/>
                <w:b w:val="0"/>
                <w:color w:val="FFFFFF" w:themeColor="background1"/>
                <w:sz w:val="24"/>
                <w:szCs w:val="24"/>
                <w:lang w:val="sr-Cyrl-CS"/>
              </w:rPr>
              <w:t>сијски и друге секторе, односно присуство такве имовине и средстава ти сектори откривају и пријављују</w:t>
            </w:r>
            <w:r w:rsidRPr="00E95BC4">
              <w:rPr>
                <w:rFonts w:ascii="Times New Roman" w:hAnsi="Times New Roman"/>
                <w:b w:val="0"/>
                <w:color w:val="FFFFFF" w:themeColor="background1"/>
                <w:sz w:val="24"/>
                <w:szCs w:val="24"/>
                <w:lang w:val="sr-Cyrl-CS"/>
              </w:rPr>
              <w:t xml:space="preserve">. </w:t>
            </w:r>
          </w:p>
        </w:tc>
        <w:tc>
          <w:tcPr>
            <w:tcW w:w="709" w:type="dxa"/>
          </w:tcPr>
          <w:p w:rsidR="0088138E" w:rsidRPr="00E95BC4" w:rsidRDefault="0088138E" w:rsidP="00285FD7">
            <w:pPr>
              <w:jc w:val="center"/>
              <w:cnfStyle w:val="000000000000"/>
              <w:rPr>
                <w:lang w:val="sr-Cyrl-CS"/>
              </w:rPr>
            </w:pPr>
            <w:r w:rsidRPr="00E95BC4">
              <w:rPr>
                <w:lang w:val="sr-Cyrl-CS"/>
              </w:rPr>
              <w:t>IO3</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sidRPr="00E95BC4">
              <w:rPr>
                <w:rFonts w:ascii="Times New Roman" w:hAnsi="Times New Roman"/>
                <w:b/>
                <w:sz w:val="24"/>
                <w:szCs w:val="24"/>
                <w:lang w:val="sr-Cyrl-CS"/>
              </w:rPr>
              <w:t xml:space="preserve">Надзор. </w:t>
            </w:r>
            <w:r w:rsidRPr="00E95BC4">
              <w:rPr>
                <w:rFonts w:ascii="Times New Roman" w:hAnsi="Times New Roman"/>
                <w:sz w:val="24"/>
                <w:szCs w:val="24"/>
                <w:lang w:val="sr-Cyrl-CS"/>
              </w:rPr>
              <w:t xml:space="preserve">Надзорни органи врше одговарајући надзор, прате и регулишу рад финансијских институција и одређених правних и физичких лица ван финансијског сектора у погледу њихове усклађености са обавезама у области борбе против ПН и ФТ, у складу са ризицима којима су ти сектори изложени. </w:t>
            </w:r>
          </w:p>
        </w:tc>
      </w:tr>
      <w:tr w:rsidR="0088138E" w:rsidRPr="00E95BC4" w:rsidTr="00665BC3">
        <w:trPr>
          <w:cnfStyle w:val="000000100000"/>
        </w:trPr>
        <w:tc>
          <w:tcPr>
            <w:cnfStyle w:val="001000000000"/>
            <w:tcW w:w="2268" w:type="dxa"/>
            <w:vMerge/>
          </w:tcPr>
          <w:p w:rsidR="0088138E" w:rsidRPr="00E95BC4" w:rsidRDefault="0088138E" w:rsidP="00285FD7">
            <w:pPr>
              <w:rPr>
                <w:b w:val="0"/>
                <w:lang w:val="sr-Cyrl-CS"/>
              </w:rPr>
            </w:pPr>
          </w:p>
        </w:tc>
        <w:tc>
          <w:tcPr>
            <w:tcW w:w="709" w:type="dxa"/>
          </w:tcPr>
          <w:p w:rsidR="0088138E" w:rsidRPr="00E95BC4" w:rsidRDefault="0088138E" w:rsidP="00285FD7">
            <w:pPr>
              <w:jc w:val="center"/>
              <w:cnfStyle w:val="000000100000"/>
              <w:rPr>
                <w:lang w:val="sr-Cyrl-CS"/>
              </w:rPr>
            </w:pPr>
            <w:r w:rsidRPr="00E95BC4">
              <w:rPr>
                <w:lang w:val="sr-Cyrl-CS"/>
              </w:rPr>
              <w:t>IO4</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sidRPr="00E95BC4">
              <w:rPr>
                <w:rFonts w:ascii="Times New Roman" w:hAnsi="Times New Roman"/>
                <w:b/>
                <w:sz w:val="24"/>
                <w:szCs w:val="24"/>
                <w:lang w:val="sr-Cyrl-CS"/>
              </w:rPr>
              <w:t xml:space="preserve">Превентивне мере. </w:t>
            </w:r>
            <w:r w:rsidRPr="00E95BC4">
              <w:rPr>
                <w:rFonts w:ascii="Times New Roman" w:hAnsi="Times New Roman"/>
                <w:sz w:val="24"/>
                <w:szCs w:val="24"/>
                <w:lang w:val="sr-Cyrl-CS"/>
              </w:rPr>
              <w:t xml:space="preserve">Финансијске институције и одређена правна и физичка лица ван финансијског сектора адекватно примењују превентивне мере у области ПН и ФТ сразмерно ризицима којима су изложени и пријављују сумњиве трансакције. </w:t>
            </w:r>
          </w:p>
        </w:tc>
      </w:tr>
      <w:tr w:rsidR="0088138E" w:rsidRPr="00E95BC4" w:rsidTr="00665BC3">
        <w:tc>
          <w:tcPr>
            <w:cnfStyle w:val="001000000000"/>
            <w:tcW w:w="2268" w:type="dxa"/>
            <w:vMerge/>
          </w:tcPr>
          <w:p w:rsidR="0088138E" w:rsidRPr="00E95BC4" w:rsidRDefault="0088138E" w:rsidP="00285FD7">
            <w:pPr>
              <w:rPr>
                <w:b w:val="0"/>
                <w:lang w:val="sr-Cyrl-CS"/>
              </w:rPr>
            </w:pPr>
          </w:p>
        </w:tc>
        <w:tc>
          <w:tcPr>
            <w:tcW w:w="709" w:type="dxa"/>
          </w:tcPr>
          <w:p w:rsidR="0088138E" w:rsidRPr="00E95BC4" w:rsidRDefault="0088138E" w:rsidP="00285FD7">
            <w:pPr>
              <w:jc w:val="center"/>
              <w:cnfStyle w:val="000000000000"/>
              <w:rPr>
                <w:lang w:val="sr-Cyrl-CS"/>
              </w:rPr>
            </w:pPr>
            <w:r w:rsidRPr="00E95BC4">
              <w:rPr>
                <w:lang w:val="sr-Cyrl-CS"/>
              </w:rPr>
              <w:t>IO5</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sidRPr="00E95BC4">
              <w:rPr>
                <w:rFonts w:ascii="Times New Roman" w:hAnsi="Times New Roman"/>
                <w:b/>
                <w:sz w:val="24"/>
                <w:szCs w:val="24"/>
                <w:lang w:val="sr-Cyrl-CS"/>
              </w:rPr>
              <w:t xml:space="preserve">Правна лица и аранжмани. </w:t>
            </w:r>
            <w:r w:rsidRPr="00E95BC4">
              <w:rPr>
                <w:rFonts w:ascii="Times New Roman" w:hAnsi="Times New Roman"/>
                <w:sz w:val="24"/>
                <w:szCs w:val="24"/>
                <w:lang w:val="sr-Cyrl-CS"/>
              </w:rPr>
              <w:t xml:space="preserve">Спречава се злоупотреба правних лица и правних аранжмана (лица страног права) за сврхе прања новца или финансирања тероризма, а информације о њиховом стварном власништву су доступне надлежним органима без препрека. </w:t>
            </w:r>
          </w:p>
        </w:tc>
      </w:tr>
      <w:tr w:rsidR="0088138E" w:rsidRPr="00E95BC4" w:rsidTr="00665BC3">
        <w:trPr>
          <w:cnfStyle w:val="000000100000"/>
        </w:trPr>
        <w:tc>
          <w:tcPr>
            <w:cnfStyle w:val="001000000000"/>
            <w:tcW w:w="2268" w:type="dxa"/>
            <w:vMerge w:val="restart"/>
          </w:tcPr>
          <w:p w:rsidR="0088138E" w:rsidRPr="00E95BC4" w:rsidRDefault="0088138E" w:rsidP="00285FD7">
            <w:pPr>
              <w:rPr>
                <w:b w:val="0"/>
                <w:lang w:val="sr-Cyrl-CS"/>
              </w:rPr>
            </w:pPr>
            <w:r w:rsidRPr="00E95BC4">
              <w:rPr>
                <w:b w:val="0"/>
                <w:lang w:val="sr-Cyrl-CS"/>
              </w:rPr>
              <w:t xml:space="preserve">Претње за прање новца се откривају и отклањају, извршиоци кривичних дела се санкционишу и одузима им се нелегално стечена </w:t>
            </w:r>
            <w:r w:rsidRPr="00E95BC4">
              <w:rPr>
                <w:b w:val="0"/>
                <w:lang w:val="sr-Cyrl-CS"/>
              </w:rPr>
              <w:lastRenderedPageBreak/>
              <w:t>имовина. Претње за финансирање тероризма се откривају и отклањају, од терориста се одузимају средства, а они који финансирају тероризам се санкционишу, чиме се доприноси спречавању терористичких аката</w:t>
            </w:r>
            <w:r w:rsidR="00835D12">
              <w:rPr>
                <w:b w:val="0"/>
                <w:lang w:val="sr-Cyrl-CS"/>
              </w:rPr>
              <w:t>.</w:t>
            </w:r>
          </w:p>
        </w:tc>
        <w:tc>
          <w:tcPr>
            <w:tcW w:w="709" w:type="dxa"/>
          </w:tcPr>
          <w:p w:rsidR="0088138E" w:rsidRPr="00E95BC4" w:rsidRDefault="0088138E" w:rsidP="00285FD7">
            <w:pPr>
              <w:jc w:val="center"/>
              <w:cnfStyle w:val="000000100000"/>
              <w:rPr>
                <w:lang w:val="sr-Cyrl-CS"/>
              </w:rPr>
            </w:pPr>
            <w:r w:rsidRPr="00E95BC4">
              <w:rPr>
                <w:lang w:val="sr-Cyrl-CS"/>
              </w:rPr>
              <w:lastRenderedPageBreak/>
              <w:t>IO6</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sidRPr="00E95BC4">
              <w:rPr>
                <w:rFonts w:ascii="Times New Roman" w:hAnsi="Times New Roman"/>
                <w:b/>
                <w:sz w:val="24"/>
                <w:szCs w:val="24"/>
                <w:lang w:val="sr-Cyrl-CS"/>
              </w:rPr>
              <w:t>Финансијскообавештајни подаци.</w:t>
            </w:r>
            <w:r w:rsidRPr="00E95BC4">
              <w:rPr>
                <w:rFonts w:ascii="Times New Roman" w:hAnsi="Times New Roman"/>
                <w:sz w:val="24"/>
                <w:szCs w:val="24"/>
                <w:lang w:val="sr-Cyrl-CS"/>
              </w:rPr>
              <w:t xml:space="preserve"> Финансијскообавештајни подаци и друге релевантне информације се адекватно користе од стране надлежних органа у истрагама прања новца и финансијским истрагама. </w:t>
            </w:r>
          </w:p>
        </w:tc>
      </w:tr>
      <w:tr w:rsidR="0088138E" w:rsidRPr="00E95BC4" w:rsidTr="00665BC3">
        <w:tc>
          <w:tcPr>
            <w:cnfStyle w:val="001000000000"/>
            <w:tcW w:w="2268" w:type="dxa"/>
            <w:vMerge/>
          </w:tcPr>
          <w:p w:rsidR="0088138E" w:rsidRPr="00E95BC4" w:rsidRDefault="0088138E" w:rsidP="00285FD7">
            <w:pPr>
              <w:rPr>
                <w:lang w:val="sr-Cyrl-CS"/>
              </w:rPr>
            </w:pPr>
          </w:p>
        </w:tc>
        <w:tc>
          <w:tcPr>
            <w:tcW w:w="709" w:type="dxa"/>
          </w:tcPr>
          <w:p w:rsidR="0088138E" w:rsidRPr="00E95BC4" w:rsidRDefault="0088138E" w:rsidP="00285FD7">
            <w:pPr>
              <w:jc w:val="center"/>
              <w:cnfStyle w:val="000000000000"/>
              <w:rPr>
                <w:lang w:val="sr-Cyrl-CS"/>
              </w:rPr>
            </w:pPr>
            <w:r w:rsidRPr="00E95BC4">
              <w:rPr>
                <w:lang w:val="sr-Cyrl-CS"/>
              </w:rPr>
              <w:t>IO7</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sidRPr="00E95BC4">
              <w:rPr>
                <w:rFonts w:ascii="Times New Roman" w:hAnsi="Times New Roman"/>
                <w:b/>
                <w:sz w:val="24"/>
                <w:szCs w:val="24"/>
                <w:lang w:val="sr-Cyrl-CS"/>
              </w:rPr>
              <w:t>Истраге и поступци за прање новца.</w:t>
            </w:r>
            <w:r w:rsidRPr="00E95BC4">
              <w:rPr>
                <w:rFonts w:ascii="Times New Roman" w:hAnsi="Times New Roman"/>
                <w:sz w:val="24"/>
                <w:szCs w:val="24"/>
                <w:lang w:val="sr-Cyrl-CS"/>
              </w:rPr>
              <w:t xml:space="preserve"> Спроводи се истрага о кривичним делима и активностима прања новца, против починилаца се воде поступци и против њих се могу изрицати делотворне, сразмерне и одвраћајуће санкције. </w:t>
            </w:r>
          </w:p>
        </w:tc>
      </w:tr>
      <w:tr w:rsidR="0088138E" w:rsidRPr="00E95BC4" w:rsidTr="00665BC3">
        <w:trPr>
          <w:cnfStyle w:val="000000100000"/>
        </w:trPr>
        <w:tc>
          <w:tcPr>
            <w:cnfStyle w:val="001000000000"/>
            <w:tcW w:w="2268" w:type="dxa"/>
            <w:vMerge/>
          </w:tcPr>
          <w:p w:rsidR="0088138E" w:rsidRPr="00E95BC4" w:rsidRDefault="0088138E" w:rsidP="00285FD7">
            <w:pPr>
              <w:rPr>
                <w:lang w:val="sr-Cyrl-CS"/>
              </w:rPr>
            </w:pPr>
          </w:p>
        </w:tc>
        <w:tc>
          <w:tcPr>
            <w:tcW w:w="709" w:type="dxa"/>
          </w:tcPr>
          <w:p w:rsidR="0088138E" w:rsidRPr="00E95BC4" w:rsidRDefault="0088138E" w:rsidP="00285FD7">
            <w:pPr>
              <w:jc w:val="center"/>
              <w:cnfStyle w:val="000000100000"/>
              <w:rPr>
                <w:lang w:val="sr-Cyrl-CS"/>
              </w:rPr>
            </w:pPr>
            <w:r w:rsidRPr="00E95BC4">
              <w:rPr>
                <w:lang w:val="sr-Cyrl-CS"/>
              </w:rPr>
              <w:t>IO8</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sidRPr="00E95BC4">
              <w:rPr>
                <w:rFonts w:ascii="Times New Roman" w:hAnsi="Times New Roman"/>
                <w:b/>
                <w:sz w:val="24"/>
                <w:szCs w:val="24"/>
                <w:lang w:val="sr-Cyrl-CS"/>
              </w:rPr>
              <w:t xml:space="preserve">Трајно одузимање имовине. </w:t>
            </w:r>
            <w:r w:rsidRPr="00E95BC4">
              <w:rPr>
                <w:rFonts w:ascii="Times New Roman" w:hAnsi="Times New Roman"/>
                <w:sz w:val="24"/>
                <w:szCs w:val="24"/>
                <w:lang w:val="sr-Cyrl-CS"/>
              </w:rPr>
              <w:t xml:space="preserve">Средства стечена кривичним делом и средства извршења кривичног дела се (трајно) одузимају. </w:t>
            </w:r>
          </w:p>
        </w:tc>
      </w:tr>
      <w:tr w:rsidR="0088138E" w:rsidRPr="00E95BC4" w:rsidTr="00665BC3">
        <w:tc>
          <w:tcPr>
            <w:cnfStyle w:val="001000000000"/>
            <w:tcW w:w="2268" w:type="dxa"/>
            <w:vMerge/>
          </w:tcPr>
          <w:p w:rsidR="0088138E" w:rsidRPr="00E95BC4" w:rsidRDefault="0088138E" w:rsidP="00285FD7">
            <w:pPr>
              <w:rPr>
                <w:lang w:val="sr-Cyrl-CS"/>
              </w:rPr>
            </w:pPr>
          </w:p>
        </w:tc>
        <w:tc>
          <w:tcPr>
            <w:tcW w:w="709" w:type="dxa"/>
          </w:tcPr>
          <w:p w:rsidR="0088138E" w:rsidRPr="00E95BC4" w:rsidRDefault="0088138E" w:rsidP="00285FD7">
            <w:pPr>
              <w:jc w:val="center"/>
              <w:cnfStyle w:val="000000000000"/>
              <w:rPr>
                <w:lang w:val="sr-Cyrl-CS"/>
              </w:rPr>
            </w:pPr>
            <w:r w:rsidRPr="00E95BC4">
              <w:rPr>
                <w:lang w:val="sr-Cyrl-CS"/>
              </w:rPr>
              <w:t>IO9</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sidRPr="00E95BC4">
              <w:rPr>
                <w:rFonts w:ascii="Times New Roman" w:hAnsi="Times New Roman"/>
                <w:b/>
                <w:sz w:val="24"/>
                <w:szCs w:val="24"/>
                <w:lang w:val="sr-Cyrl-CS"/>
              </w:rPr>
              <w:t xml:space="preserve">Истраге и поступци за финансирање тероризма. </w:t>
            </w:r>
            <w:r w:rsidRPr="00E95BC4">
              <w:rPr>
                <w:rFonts w:ascii="Times New Roman" w:hAnsi="Times New Roman"/>
                <w:sz w:val="24"/>
                <w:szCs w:val="24"/>
                <w:lang w:val="sr-Cyrl-CS"/>
              </w:rPr>
              <w:t xml:space="preserve">Спроводи се истрага о кривичним делима и активностима финансирања тероризма, а против лица која финансирају тероризам воде се поступци и против њих се могу изрицати делотворне, сразмерне и одвраћајуће санкције. </w:t>
            </w:r>
          </w:p>
        </w:tc>
      </w:tr>
      <w:tr w:rsidR="0088138E" w:rsidRPr="00E95BC4" w:rsidTr="00665BC3">
        <w:trPr>
          <w:cnfStyle w:val="000000100000"/>
        </w:trPr>
        <w:tc>
          <w:tcPr>
            <w:cnfStyle w:val="001000000000"/>
            <w:tcW w:w="2268" w:type="dxa"/>
            <w:vMerge/>
          </w:tcPr>
          <w:p w:rsidR="0088138E" w:rsidRPr="00E95BC4" w:rsidRDefault="0088138E" w:rsidP="00285FD7">
            <w:pPr>
              <w:rPr>
                <w:lang w:val="sr-Cyrl-CS"/>
              </w:rPr>
            </w:pPr>
          </w:p>
        </w:tc>
        <w:tc>
          <w:tcPr>
            <w:tcW w:w="709" w:type="dxa"/>
          </w:tcPr>
          <w:p w:rsidR="0088138E" w:rsidRPr="00212E61" w:rsidRDefault="00212E61" w:rsidP="00212E61">
            <w:pPr>
              <w:cnfStyle w:val="000000100000"/>
              <w:rPr>
                <w:sz w:val="22"/>
                <w:szCs w:val="22"/>
                <w:lang w:val="sr-Cyrl-CS"/>
              </w:rPr>
            </w:pPr>
            <w:r w:rsidRPr="00212E61">
              <w:rPr>
                <w:sz w:val="22"/>
                <w:szCs w:val="22"/>
                <w:lang w:val="sr-Cyrl-CS"/>
              </w:rPr>
              <w:t>IO1</w:t>
            </w:r>
            <w:r w:rsidR="0088138E" w:rsidRPr="00212E61">
              <w:rPr>
                <w:sz w:val="22"/>
                <w:szCs w:val="22"/>
                <w:lang w:val="sr-Cyrl-CS"/>
              </w:rPr>
              <w:t>0</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100000"/>
              <w:rPr>
                <w:rFonts w:ascii="Times New Roman" w:hAnsi="Times New Roman"/>
                <w:sz w:val="24"/>
                <w:szCs w:val="24"/>
                <w:lang w:val="sr-Cyrl-CS"/>
              </w:rPr>
            </w:pPr>
            <w:r w:rsidRPr="00E95BC4">
              <w:rPr>
                <w:rFonts w:ascii="Times New Roman" w:hAnsi="Times New Roman"/>
                <w:b/>
                <w:sz w:val="24"/>
                <w:szCs w:val="24"/>
                <w:lang w:val="sr-Cyrl-CS"/>
              </w:rPr>
              <w:t>Превентивне мере и финансијске санкције за финансирање тероризма.</w:t>
            </w:r>
            <w:r w:rsidRPr="00E95BC4">
              <w:rPr>
                <w:rFonts w:ascii="Times New Roman" w:hAnsi="Times New Roman"/>
                <w:sz w:val="24"/>
                <w:szCs w:val="24"/>
                <w:lang w:val="sr-Cyrl-CS"/>
              </w:rPr>
              <w:t xml:space="preserve"> Терористи, терористичке организације и лица која финансирају тероризам спречавају се у прикупљању, преношењу и коришћењу средстава и у злоупотреби непрофитног сектора. </w:t>
            </w:r>
          </w:p>
        </w:tc>
      </w:tr>
      <w:tr w:rsidR="0088138E" w:rsidRPr="00E95BC4" w:rsidTr="00665BC3">
        <w:tc>
          <w:tcPr>
            <w:cnfStyle w:val="001000000000"/>
            <w:tcW w:w="2268" w:type="dxa"/>
            <w:vMerge/>
          </w:tcPr>
          <w:p w:rsidR="0088138E" w:rsidRPr="00E95BC4" w:rsidRDefault="0088138E" w:rsidP="00285FD7">
            <w:pPr>
              <w:rPr>
                <w:lang w:val="sr-Cyrl-CS"/>
              </w:rPr>
            </w:pPr>
          </w:p>
        </w:tc>
        <w:tc>
          <w:tcPr>
            <w:tcW w:w="709" w:type="dxa"/>
          </w:tcPr>
          <w:p w:rsidR="0088138E" w:rsidRPr="00212E61" w:rsidRDefault="0088138E" w:rsidP="00285FD7">
            <w:pPr>
              <w:jc w:val="center"/>
              <w:cnfStyle w:val="000000000000"/>
              <w:rPr>
                <w:sz w:val="22"/>
                <w:szCs w:val="22"/>
                <w:lang w:val="sr-Cyrl-CS"/>
              </w:rPr>
            </w:pPr>
            <w:r w:rsidRPr="00212E61">
              <w:rPr>
                <w:sz w:val="22"/>
                <w:szCs w:val="22"/>
                <w:lang w:val="sr-Cyrl-CS"/>
              </w:rPr>
              <w:t>IO11</w:t>
            </w:r>
          </w:p>
        </w:tc>
        <w:tc>
          <w:tcPr>
            <w:tcW w:w="6487" w:type="dxa"/>
          </w:tcPr>
          <w:p w:rsidR="0088138E" w:rsidRPr="00E95BC4" w:rsidRDefault="0088138E" w:rsidP="00285FD7">
            <w:pPr>
              <w:pStyle w:val="FATF-TEXTE1115"/>
              <w:tabs>
                <w:tab w:val="clear" w:pos="624"/>
                <w:tab w:val="clear" w:pos="1247"/>
                <w:tab w:val="clear" w:pos="1871"/>
                <w:tab w:val="clear" w:pos="2495"/>
                <w:tab w:val="clear" w:pos="3119"/>
              </w:tabs>
              <w:spacing w:after="0" w:line="240" w:lineRule="auto"/>
              <w:cnfStyle w:val="000000000000"/>
              <w:rPr>
                <w:rFonts w:ascii="Times New Roman" w:hAnsi="Times New Roman"/>
                <w:sz w:val="24"/>
                <w:szCs w:val="24"/>
                <w:lang w:val="sr-Cyrl-CS"/>
              </w:rPr>
            </w:pPr>
            <w:r w:rsidRPr="00E95BC4">
              <w:rPr>
                <w:rFonts w:ascii="Times New Roman" w:hAnsi="Times New Roman"/>
                <w:b/>
                <w:sz w:val="24"/>
                <w:szCs w:val="24"/>
                <w:lang w:val="sr-Cyrl-CS"/>
              </w:rPr>
              <w:t xml:space="preserve">Финансијске санкције за ширење оружја за масовно уништење. </w:t>
            </w:r>
            <w:r w:rsidRPr="00E95BC4">
              <w:rPr>
                <w:rFonts w:ascii="Times New Roman" w:hAnsi="Times New Roman"/>
                <w:sz w:val="24"/>
                <w:szCs w:val="24"/>
                <w:lang w:val="sr-Cyrl-CS"/>
              </w:rPr>
              <w:t xml:space="preserve">Физичка и правна лица која учествују у ширењу оружја за масовно уништење спречавају се у прикупљању, преношењу и коришћењу средства, у складу са релевантним резолуцијама Савета безбедности УН. </w:t>
            </w:r>
          </w:p>
        </w:tc>
      </w:tr>
    </w:tbl>
    <w:p w:rsidR="00AD151C" w:rsidRPr="00E95BC4" w:rsidRDefault="00AD151C" w:rsidP="00285FD7">
      <w:pPr>
        <w:pStyle w:val="Heading1"/>
        <w:spacing w:before="0"/>
        <w:ind w:firstLine="720"/>
        <w:rPr>
          <w:rFonts w:ascii="Times New Roman" w:hAnsi="Times New Roman" w:cs="Times New Roman"/>
          <w:sz w:val="24"/>
          <w:szCs w:val="24"/>
          <w:lang w:val="sr-Cyrl-CS"/>
        </w:rPr>
      </w:pPr>
    </w:p>
    <w:p w:rsidR="000342B2" w:rsidRPr="00E95BC4" w:rsidRDefault="000342B2" w:rsidP="000342B2">
      <w:pPr>
        <w:ind w:firstLine="720"/>
        <w:jc w:val="both"/>
        <w:rPr>
          <w:lang w:val="sr-Cyrl-CS"/>
        </w:rPr>
      </w:pPr>
      <w:r w:rsidRPr="00E95BC4">
        <w:rPr>
          <w:lang w:val="sr-Cyrl-CS"/>
        </w:rPr>
        <w:t xml:space="preserve">У складу са наведеним, визија </w:t>
      </w:r>
      <w:r w:rsidR="00DF2729" w:rsidRPr="00E95BC4">
        <w:rPr>
          <w:lang w:val="sr-Cyrl-CS"/>
        </w:rPr>
        <w:t>Републике Србије у овој области јесте да заштити свој финансијски систем и економију од претњи прања новца и финансирања тероризма и ширења оружја за масовно уништење, и на тај начин јачати интегритет финансијског сектора и допринети безбедности и сигурности.</w:t>
      </w:r>
      <w:r w:rsidR="00273598" w:rsidRPr="00E95BC4">
        <w:rPr>
          <w:lang w:val="sr-Cyrl-CS"/>
        </w:rPr>
        <w:t xml:space="preserve"> Унапређењем политике у овој области, координацијом и сарадњом у области борбе против прања новца и финансирања тероризма смањиваће се ризици од прања новца и финансирања тероризма. На тај начин ће се спречавати унос имовине стечене кривичним делом и средстава намењених финансирању тероризма у финансијски и друге секторе у Републици Србији, а уколико таква имовина</w:t>
      </w:r>
      <w:r w:rsidR="000F7156">
        <w:rPr>
          <w:lang w:val="sr-Cyrl-CS"/>
        </w:rPr>
        <w:t>,</w:t>
      </w:r>
      <w:r w:rsidR="00273598" w:rsidRPr="00E95BC4">
        <w:rPr>
          <w:lang w:val="sr-Cyrl-CS"/>
        </w:rPr>
        <w:t xml:space="preserve"> односно средства уђу у систем, сви релевантни сектори биће у стању да је на време открију и пријаве Управи за спречавање прања новца</w:t>
      </w:r>
      <w:r w:rsidR="003B5D89">
        <w:rPr>
          <w:lang w:val="sr-Cyrl-CS"/>
        </w:rPr>
        <w:t>,</w:t>
      </w:r>
      <w:r w:rsidR="00273598" w:rsidRPr="00E95BC4">
        <w:rPr>
          <w:lang w:val="sr-Cyrl-CS"/>
        </w:rPr>
        <w:t xml:space="preserve"> као и да се воде успешни поступци за прање новца и одузима нелегално стечена имовина. Одговарајућим мерама овог документа јавне политике допринеће се томе да се претње од финансирања тероризма откривају и отклањају, да се од терориста одузимају средства, а они који финансирају тероризам да се санкционишу, чиме ће се допринети спречавању терористичких аката.</w:t>
      </w:r>
    </w:p>
    <w:p w:rsidR="000342B2" w:rsidRPr="003B5D89" w:rsidRDefault="000342B2" w:rsidP="00DF2729">
      <w:pPr>
        <w:ind w:firstLine="720"/>
        <w:jc w:val="both"/>
        <w:rPr>
          <w:sz w:val="18"/>
          <w:szCs w:val="18"/>
          <w:lang w:val="sr-Cyrl-CS"/>
        </w:rPr>
      </w:pPr>
    </w:p>
    <w:p w:rsidR="00C05AAB" w:rsidRPr="00E95BC4" w:rsidRDefault="00B150CA" w:rsidP="00285FD7">
      <w:pPr>
        <w:pStyle w:val="Heading1"/>
        <w:spacing w:before="0"/>
        <w:ind w:firstLine="720"/>
        <w:rPr>
          <w:rFonts w:ascii="Times New Roman" w:eastAsiaTheme="minorHAnsi" w:hAnsi="Times New Roman" w:cs="Times New Roman"/>
          <w:b w:val="0"/>
          <w:bCs w:val="0"/>
          <w:color w:val="auto"/>
          <w:sz w:val="24"/>
          <w:szCs w:val="24"/>
          <w:lang w:val="sr-Cyrl-CS"/>
        </w:rPr>
      </w:pPr>
      <w:bookmarkStart w:id="6" w:name="_Toc32409895"/>
      <w:r w:rsidRPr="00E95BC4">
        <w:rPr>
          <w:rFonts w:ascii="Times New Roman" w:hAnsi="Times New Roman" w:cs="Times New Roman"/>
          <w:color w:val="auto"/>
          <w:sz w:val="24"/>
          <w:szCs w:val="24"/>
          <w:lang w:val="sr-Cyrl-CS"/>
        </w:rPr>
        <w:t>Циљеви стратегије</w:t>
      </w:r>
      <w:bookmarkEnd w:id="6"/>
    </w:p>
    <w:p w:rsidR="0004492D" w:rsidRPr="003B5D89" w:rsidRDefault="0004492D" w:rsidP="00285FD7">
      <w:pPr>
        <w:ind w:firstLine="720"/>
        <w:rPr>
          <w:b/>
          <w:bCs/>
          <w:iCs/>
          <w:sz w:val="18"/>
          <w:szCs w:val="18"/>
          <w:lang w:val="sr-Cyrl-CS"/>
        </w:rPr>
      </w:pPr>
    </w:p>
    <w:p w:rsidR="00C05AAB" w:rsidRPr="00E95BC4" w:rsidRDefault="00F82597" w:rsidP="009C0579">
      <w:pPr>
        <w:ind w:firstLine="720"/>
        <w:jc w:val="both"/>
        <w:rPr>
          <w:bCs/>
          <w:iCs/>
          <w:lang w:val="sr-Cyrl-CS"/>
        </w:rPr>
      </w:pPr>
      <w:r w:rsidRPr="00E95BC4">
        <w:rPr>
          <w:b/>
          <w:bCs/>
          <w:iCs/>
          <w:lang w:val="sr-Cyrl-CS"/>
        </w:rPr>
        <w:t>Општи циљ.</w:t>
      </w:r>
      <w:r w:rsidR="000C7714" w:rsidRPr="00E95BC4">
        <w:rPr>
          <w:bCs/>
          <w:iCs/>
          <w:lang w:val="sr-Cyrl-CS"/>
        </w:rPr>
        <w:t xml:space="preserve"> </w:t>
      </w:r>
      <w:r w:rsidR="004D6269" w:rsidRPr="00E95BC4">
        <w:rPr>
          <w:bCs/>
          <w:iCs/>
          <w:lang w:val="sr-Cyrl-CS"/>
        </w:rPr>
        <w:t xml:space="preserve">Полазећи од </w:t>
      </w:r>
      <w:r w:rsidR="00C05AAB" w:rsidRPr="00E95BC4">
        <w:rPr>
          <w:bCs/>
          <w:iCs/>
          <w:lang w:val="sr-Cyrl-CS"/>
        </w:rPr>
        <w:t>оп</w:t>
      </w:r>
      <w:r w:rsidR="006D3236" w:rsidRPr="00E95BC4">
        <w:rPr>
          <w:bCs/>
          <w:iCs/>
          <w:lang w:val="sr-Cyrl-CS"/>
        </w:rPr>
        <w:t xml:space="preserve">штег </w:t>
      </w:r>
      <w:r w:rsidR="004D6269" w:rsidRPr="00E95BC4">
        <w:rPr>
          <w:bCs/>
          <w:iCs/>
          <w:lang w:val="sr-Cyrl-CS"/>
        </w:rPr>
        <w:t xml:space="preserve">и посебних циљева и непосредних исхода </w:t>
      </w:r>
      <w:r w:rsidR="006D3236" w:rsidRPr="00E95BC4">
        <w:rPr>
          <w:bCs/>
          <w:iCs/>
          <w:lang w:val="sr-Cyrl-CS"/>
        </w:rPr>
        <w:t>глобалног система</w:t>
      </w:r>
      <w:r w:rsidR="002C54BD" w:rsidRPr="00E95BC4">
        <w:rPr>
          <w:bCs/>
          <w:iCs/>
          <w:lang w:val="sr-Cyrl-CS"/>
        </w:rPr>
        <w:t xml:space="preserve"> </w:t>
      </w:r>
      <w:r w:rsidR="004D6269" w:rsidRPr="00E95BC4">
        <w:rPr>
          <w:bCs/>
          <w:iCs/>
          <w:lang w:val="sr-Cyrl-CS"/>
        </w:rPr>
        <w:t>форм</w:t>
      </w:r>
      <w:r w:rsidR="00842D2B" w:rsidRPr="00E95BC4">
        <w:rPr>
          <w:bCs/>
          <w:iCs/>
          <w:lang w:val="sr-Cyrl-CS"/>
        </w:rPr>
        <w:t>улисан је следећи општи циљ</w:t>
      </w:r>
      <w:r w:rsidR="004D6269" w:rsidRPr="00E95BC4">
        <w:rPr>
          <w:bCs/>
          <w:iCs/>
          <w:lang w:val="sr-Cyrl-CS"/>
        </w:rPr>
        <w:t xml:space="preserve"> </w:t>
      </w:r>
      <w:r w:rsidR="000B75F7" w:rsidRPr="00E95BC4">
        <w:rPr>
          <w:bCs/>
          <w:iCs/>
          <w:lang w:val="sr-Cyrl-CS"/>
        </w:rPr>
        <w:t>Стратегије</w:t>
      </w:r>
      <w:r w:rsidR="004D6269" w:rsidRPr="00E95BC4">
        <w:rPr>
          <w:bCs/>
          <w:iCs/>
          <w:lang w:val="sr-Cyrl-CS"/>
        </w:rPr>
        <w:t xml:space="preserve"> </w:t>
      </w:r>
      <w:r w:rsidR="00C05AAB" w:rsidRPr="00E95BC4">
        <w:rPr>
          <w:bCs/>
          <w:iCs/>
          <w:lang w:val="sr-Cyrl-CS"/>
        </w:rPr>
        <w:t>(2020-2024):</w:t>
      </w:r>
    </w:p>
    <w:p w:rsidR="0004492D" w:rsidRPr="003B5D89" w:rsidRDefault="0004492D" w:rsidP="00285FD7">
      <w:pPr>
        <w:ind w:left="1440"/>
        <w:jc w:val="both"/>
        <w:rPr>
          <w:bCs/>
          <w:iCs/>
          <w:color w:val="auto"/>
          <w:sz w:val="18"/>
          <w:szCs w:val="18"/>
          <w:lang w:val="sr-Cyrl-CS"/>
        </w:rPr>
      </w:pPr>
    </w:p>
    <w:p w:rsidR="006D3236" w:rsidRPr="00E95BC4" w:rsidRDefault="00934E82" w:rsidP="002146DD">
      <w:pPr>
        <w:jc w:val="both"/>
        <w:rPr>
          <w:lang w:val="sr-Cyrl-CS"/>
        </w:rPr>
      </w:pPr>
      <w:r w:rsidRPr="00934E82">
        <w:rPr>
          <w:bCs/>
          <w:iCs/>
          <w:noProof/>
          <w:color w:val="auto"/>
        </w:rPr>
        <w:pict>
          <v:shape id="Text Box 2" o:spid="_x0000_s1031" type="#_x0000_t202" style="position:absolute;left:0;text-align:left;margin-left:-8.25pt;margin-top:11.3pt;width:75.25pt;height:50.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" fillcolor="#a5a5a5 [2092]" stroked="f" strokecolor="#f2f2f2 [3041]" strokeweight="3pt">
            <v:shadow color="#7f7f7f [1601]" opacity=".5" offset="1pt"/>
            <v:textbox>
              <w:txbxContent>
                <w:p w:rsidR="00E902D8" w:rsidRPr="00C21C2C" w:rsidRDefault="00E902D8" w:rsidP="008C4177">
                  <w:pPr>
                    <w:jc w:val="center"/>
                    <w:rPr>
                      <w:b/>
                      <w:bCs/>
                      <w:iCs/>
                      <w:color w:val="FFFFFF" w:themeColor="background1"/>
                      <w:sz w:val="20"/>
                      <w:szCs w:val="20"/>
                    </w:rPr>
                  </w:pPr>
                  <w:r w:rsidRPr="00C21C2C">
                    <w:rPr>
                      <w:b/>
                      <w:bCs/>
                      <w:iCs/>
                      <w:color w:val="FFFFFF" w:themeColor="background1"/>
                      <w:sz w:val="20"/>
                      <w:szCs w:val="20"/>
                    </w:rPr>
                    <w:t>Општи циљ Стратегије (2020-2024)</w:t>
                  </w:r>
                </w:p>
                <w:p w:rsidR="00E902D8" w:rsidRPr="008C4177" w:rsidRDefault="00E902D8">
                  <w:pPr>
                    <w:rPr>
                      <w:color w:val="FFFFFF" w:themeColor="background1"/>
                      <w:sz w:val="20"/>
                    </w:rPr>
                  </w:pPr>
                </w:p>
              </w:txbxContent>
            </v:textbox>
            <w10:wrap type="square"/>
          </v:shape>
        </w:pict>
      </w:r>
      <w:r w:rsidR="006D3236" w:rsidRPr="00E95BC4">
        <w:rPr>
          <w:bCs/>
          <w:iCs/>
          <w:color w:val="auto"/>
          <w:lang w:val="sr-Cyrl-CS"/>
        </w:rPr>
        <w:t>У потпуности заштитити привреду и финансијски систем државе од опасности које узрокују прање новца и финансирање тероризма и ширења оружја за масовно уништење, чиме се кроз активну сарадњу јавног и приватног сектора и приступ заснован на анализи и процени ризика јачају систем и интегритет институција финансијског и нефинансијског сектора и доприноси безбедности, сигурности и владавини права</w:t>
      </w:r>
      <w:r w:rsidR="006D3236" w:rsidRPr="00E95BC4">
        <w:rPr>
          <w:lang w:val="sr-Cyrl-CS"/>
        </w:rPr>
        <w:t xml:space="preserve">. </w:t>
      </w:r>
    </w:p>
    <w:p w:rsidR="006244CE" w:rsidRPr="00E95BC4" w:rsidRDefault="006244CE" w:rsidP="00285FD7">
      <w:pPr>
        <w:ind w:firstLine="720"/>
        <w:jc w:val="both"/>
        <w:rPr>
          <w:bCs/>
          <w:iCs/>
          <w:color w:val="auto"/>
          <w:lang w:val="sr-Cyrl-CS"/>
        </w:rPr>
      </w:pPr>
      <w:r w:rsidRPr="00E95BC4">
        <w:rPr>
          <w:bCs/>
          <w:iCs/>
          <w:color w:val="auto"/>
          <w:lang w:val="sr-Cyrl-CS"/>
        </w:rPr>
        <w:lastRenderedPageBreak/>
        <w:t xml:space="preserve">У формулисању општег циља, у овом стратешком циклусу </w:t>
      </w:r>
      <w:r w:rsidR="00A146DB" w:rsidRPr="00E95BC4">
        <w:rPr>
          <w:bCs/>
          <w:iCs/>
          <w:color w:val="auto"/>
          <w:lang w:val="sr-Cyrl-CS"/>
        </w:rPr>
        <w:t>наглашава се</w:t>
      </w:r>
      <w:r w:rsidRPr="00E95BC4">
        <w:rPr>
          <w:bCs/>
          <w:iCs/>
          <w:color w:val="auto"/>
          <w:lang w:val="sr-Cyrl-CS"/>
        </w:rPr>
        <w:t xml:space="preserve"> значај активне сарадње </w:t>
      </w:r>
      <w:r w:rsidR="004D6269" w:rsidRPr="00E95BC4">
        <w:rPr>
          <w:bCs/>
          <w:iCs/>
          <w:color w:val="auto"/>
          <w:lang w:val="sr-Cyrl-CS"/>
        </w:rPr>
        <w:t>јавног и приватног сектора</w:t>
      </w:r>
      <w:r w:rsidR="002C54BD" w:rsidRPr="00E95BC4">
        <w:rPr>
          <w:bCs/>
          <w:iCs/>
          <w:color w:val="auto"/>
          <w:lang w:val="sr-Cyrl-CS"/>
        </w:rPr>
        <w:t xml:space="preserve"> </w:t>
      </w:r>
      <w:r w:rsidRPr="00E95BC4">
        <w:rPr>
          <w:bCs/>
          <w:iCs/>
          <w:color w:val="auto"/>
          <w:lang w:val="sr-Cyrl-CS"/>
        </w:rPr>
        <w:t>и начела владавине права у остваривању стратешких циљева.</w:t>
      </w:r>
    </w:p>
    <w:p w:rsidR="006244CE" w:rsidRPr="00E95BC4" w:rsidRDefault="00F82597" w:rsidP="00285FD7">
      <w:pPr>
        <w:ind w:firstLine="720"/>
        <w:jc w:val="both"/>
        <w:rPr>
          <w:lang w:val="sr-Cyrl-CS"/>
        </w:rPr>
      </w:pPr>
      <w:r w:rsidRPr="00E95BC4">
        <w:rPr>
          <w:b/>
          <w:lang w:val="sr-Cyrl-CS"/>
        </w:rPr>
        <w:t>Посебни циљеви.</w:t>
      </w:r>
      <w:r w:rsidRPr="00E95BC4">
        <w:rPr>
          <w:lang w:val="sr-Cyrl-CS"/>
        </w:rPr>
        <w:t xml:space="preserve"> </w:t>
      </w:r>
      <w:r w:rsidR="004D6269" w:rsidRPr="00E95BC4">
        <w:rPr>
          <w:lang w:val="sr-Cyrl-CS"/>
        </w:rPr>
        <w:t>Разрађујући</w:t>
      </w:r>
      <w:r w:rsidR="008C4177" w:rsidRPr="00E95BC4">
        <w:rPr>
          <w:lang w:val="sr-Cyrl-CS"/>
        </w:rPr>
        <w:t xml:space="preserve"> наведени општи циљ, и</w:t>
      </w:r>
      <w:r w:rsidR="000860BE" w:rsidRPr="00E95BC4">
        <w:rPr>
          <w:lang w:val="sr-Cyrl-CS"/>
        </w:rPr>
        <w:t xml:space="preserve">здвојена су </w:t>
      </w:r>
      <w:r w:rsidR="006244CE" w:rsidRPr="00E95BC4">
        <w:rPr>
          <w:lang w:val="sr-Cyrl-CS"/>
        </w:rPr>
        <w:t xml:space="preserve">следећа четири </w:t>
      </w:r>
      <w:r w:rsidR="000860BE" w:rsidRPr="00E95BC4">
        <w:rPr>
          <w:lang w:val="sr-Cyrl-CS"/>
        </w:rPr>
        <w:t xml:space="preserve">посебна </w:t>
      </w:r>
      <w:r w:rsidR="006244CE" w:rsidRPr="00E95BC4">
        <w:rPr>
          <w:lang w:val="sr-Cyrl-CS"/>
        </w:rPr>
        <w:t>циља:</w:t>
      </w:r>
    </w:p>
    <w:p w:rsidR="006B3697" w:rsidRPr="00E95BC4" w:rsidRDefault="00934E82" w:rsidP="00A146DB">
      <w:pPr>
        <w:jc w:val="both"/>
        <w:rPr>
          <w:b/>
          <w:lang w:val="sr-Cyrl-CS"/>
        </w:rPr>
      </w:pPr>
      <w:r>
        <w:rPr>
          <w:b/>
          <w:noProof/>
        </w:rPr>
        <w:pict>
          <v:shape id="Text Box 18" o:spid="_x0000_s1032" type="#_x0000_t202" style="position:absolute;left:0;text-align:left;margin-left:86.35pt;margin-top:.4pt;width:391.85pt;height:191.9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" stroked="f">
            <v:textbox>
              <w:txbxContent>
                <w:p w:rsidR="00E902D8" w:rsidRPr="00C21C2C" w:rsidRDefault="00E902D8" w:rsidP="00AC7277">
                  <w:pPr>
                    <w:pStyle w:val="ListParagraph"/>
                    <w:numPr>
                      <w:ilvl w:val="0"/>
                      <w:numId w:val="17"/>
                    </w:numPr>
                    <w:ind w:left="426"/>
                    <w:jc w:val="both"/>
                    <w:rPr>
                      <w:color w:val="auto"/>
                      <w:sz w:val="22"/>
                      <w:szCs w:val="22"/>
                    </w:rPr>
                  </w:pPr>
                  <w:r w:rsidRPr="00C21C2C">
                    <w:rPr>
                      <w:color w:val="auto"/>
                      <w:sz w:val="22"/>
                      <w:szCs w:val="22"/>
                    </w:rPr>
                    <w:t>Смањивати ризике од прања новца, финансирања тероризма и ширења оружја за масовно уништење кроз континуирано унапређење стратешког, законодавног и институционалног оквира, координацију и сарадњу свих учесника у систему борбе против прања новца и финансирања тероризма и међународну сарадњу;</w:t>
                  </w:r>
                </w:p>
                <w:p w:rsidR="00E902D8" w:rsidRPr="00C21C2C" w:rsidRDefault="00E902D8" w:rsidP="00AC7277">
                  <w:pPr>
                    <w:pStyle w:val="ListParagraph"/>
                    <w:numPr>
                      <w:ilvl w:val="0"/>
                      <w:numId w:val="17"/>
                    </w:numPr>
                    <w:ind w:left="426"/>
                    <w:jc w:val="both"/>
                    <w:rPr>
                      <w:color w:val="auto"/>
                      <w:sz w:val="22"/>
                      <w:szCs w:val="22"/>
                    </w:rPr>
                  </w:pPr>
                  <w:r w:rsidRPr="00C21C2C">
                    <w:rPr>
                      <w:color w:val="auto"/>
                      <w:sz w:val="22"/>
                      <w:szCs w:val="22"/>
                    </w:rPr>
                    <w:t>Спречити уношење у финансијски и нефинансијски систем имовине за коју се сумња да је стечена кривичним делом, која је намењена финансирању тероризма или ширењу оружја за масовно уништење, односно унапредити откривање такве имовине уколико је већ у систему;</w:t>
                  </w:r>
                </w:p>
                <w:p w:rsidR="00E902D8" w:rsidRPr="00C21C2C" w:rsidRDefault="00E902D8" w:rsidP="00AC7277">
                  <w:pPr>
                    <w:pStyle w:val="ListParagraph"/>
                    <w:numPr>
                      <w:ilvl w:val="0"/>
                      <w:numId w:val="17"/>
                    </w:numPr>
                    <w:ind w:left="426"/>
                    <w:jc w:val="both"/>
                    <w:rPr>
                      <w:color w:val="auto"/>
                      <w:sz w:val="22"/>
                      <w:szCs w:val="22"/>
                    </w:rPr>
                  </w:pPr>
                  <w:r w:rsidRPr="00C21C2C">
                    <w:rPr>
                      <w:color w:val="auto"/>
                      <w:sz w:val="22"/>
                      <w:szCs w:val="22"/>
                    </w:rPr>
                    <w:t xml:space="preserve">Eфикасно и делотворно кажњавати извршиоце кривичног дела прање новца и одузимати незаконито стечену имовину; </w:t>
                  </w:r>
                </w:p>
                <w:p w:rsidR="00E902D8" w:rsidRPr="00C21C2C" w:rsidRDefault="00E902D8" w:rsidP="00AC7277">
                  <w:pPr>
                    <w:pStyle w:val="ListParagraph"/>
                    <w:numPr>
                      <w:ilvl w:val="0"/>
                      <w:numId w:val="17"/>
                    </w:numPr>
                    <w:ind w:left="426"/>
                    <w:jc w:val="both"/>
                    <w:rPr>
                      <w:color w:val="auto"/>
                      <w:sz w:val="22"/>
                      <w:szCs w:val="22"/>
                    </w:rPr>
                  </w:pPr>
                  <w:r w:rsidRPr="00C21C2C">
                    <w:rPr>
                      <w:color w:val="auto"/>
                      <w:sz w:val="22"/>
                      <w:szCs w:val="22"/>
                    </w:rPr>
                    <w:t>Уочавати и отклањати претње од финансирања тероризма и кажњавати извршиоце кривичног дела финансирања тероризма.</w:t>
                  </w:r>
                </w:p>
                <w:p w:rsidR="00E902D8" w:rsidRDefault="00E902D8" w:rsidP="00A146DB">
                  <w:pPr>
                    <w:ind w:left="426"/>
                  </w:pPr>
                </w:p>
              </w:txbxContent>
            </v:textbox>
          </v:shape>
        </w:pict>
      </w:r>
    </w:p>
    <w:p w:rsidR="006B3697" w:rsidRPr="00E95BC4" w:rsidRDefault="006B3697" w:rsidP="00A146DB">
      <w:pPr>
        <w:jc w:val="both"/>
        <w:rPr>
          <w:b/>
          <w:lang w:val="sr-Cyrl-CS"/>
        </w:rPr>
      </w:pPr>
    </w:p>
    <w:p w:rsidR="00A146DB" w:rsidRPr="00E95BC4" w:rsidRDefault="00934E82" w:rsidP="00A146DB">
      <w:pPr>
        <w:jc w:val="both"/>
        <w:rPr>
          <w:b/>
          <w:lang w:val="sr-Cyrl-CS"/>
        </w:rPr>
      </w:pPr>
      <w:r w:rsidRPr="00934E82">
        <w:rPr>
          <w:noProof/>
        </w:rPr>
        <w:pict>
          <v:shape id="Text Box 3" o:spid="_x0000_s1033" type="#_x0000_t202" style="position:absolute;left:0;text-align:left;margin-left:-8.15pt;margin-top:8pt;width:75.2pt;height:6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" fillcolor="#a5a5a5 [2092]" stroked="f" strokecolor="#f2f2f2 [3041]" strokeweight="3pt">
            <v:shadow color="#7f7f7f [1601]" opacity=".5" offset="1pt"/>
            <v:textbox>
              <w:txbxContent>
                <w:p w:rsidR="00E902D8" w:rsidRPr="00C21C2C" w:rsidRDefault="00E902D8" w:rsidP="00A146DB">
                  <w:pPr>
                    <w:jc w:val="center"/>
                    <w:rPr>
                      <w:b/>
                      <w:bCs/>
                      <w:iCs/>
                      <w:color w:val="FFFFFF" w:themeColor="background1"/>
                      <w:sz w:val="18"/>
                      <w:szCs w:val="18"/>
                    </w:rPr>
                  </w:pPr>
                  <w:r w:rsidRPr="00C21C2C">
                    <w:rPr>
                      <w:b/>
                      <w:bCs/>
                      <w:iCs/>
                      <w:color w:val="FFFFFF" w:themeColor="background1"/>
                      <w:sz w:val="18"/>
                      <w:szCs w:val="18"/>
                    </w:rPr>
                    <w:t>Четири посебна циља Стратегије (2020-2024)</w:t>
                  </w:r>
                </w:p>
                <w:p w:rsidR="00E902D8" w:rsidRPr="008C4177" w:rsidRDefault="00E902D8" w:rsidP="008C4177">
                  <w:pPr>
                    <w:rPr>
                      <w:color w:val="FFFFFF" w:themeColor="background1"/>
                      <w:sz w:val="20"/>
                    </w:rPr>
                  </w:pPr>
                </w:p>
              </w:txbxContent>
            </v:textbox>
          </v:shape>
        </w:pict>
      </w: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6B3697" w:rsidRPr="00E95BC4" w:rsidRDefault="006B3697" w:rsidP="00A146DB">
      <w:pPr>
        <w:ind w:firstLine="720"/>
        <w:jc w:val="both"/>
        <w:rPr>
          <w:lang w:val="sr-Cyrl-CS"/>
        </w:rPr>
      </w:pPr>
    </w:p>
    <w:p w:rsidR="000C7714" w:rsidRPr="00E95BC4" w:rsidRDefault="000C7714" w:rsidP="00A146DB">
      <w:pPr>
        <w:ind w:firstLine="720"/>
        <w:jc w:val="both"/>
        <w:rPr>
          <w:lang w:val="sr-Cyrl-CS"/>
        </w:rPr>
      </w:pPr>
      <w:r w:rsidRPr="00E95BC4">
        <w:rPr>
          <w:lang w:val="sr-Cyrl-CS"/>
        </w:rPr>
        <w:t>За разлику од претходне стратегије, која је била подељена на стратешке теме</w:t>
      </w:r>
      <w:r w:rsidR="00810794">
        <w:rPr>
          <w:lang w:val="sr-Cyrl-CS"/>
        </w:rPr>
        <w:t>,</w:t>
      </w:r>
      <w:r w:rsidRPr="00E95BC4">
        <w:rPr>
          <w:lang w:val="sr-Cyrl-CS"/>
        </w:rPr>
        <w:t xml:space="preserve"> а потом на циљеве, мере и активности, ова стратегија добила је четири посебна циља (која</w:t>
      </w:r>
      <w:r w:rsidR="00AD151C" w:rsidRPr="00E95BC4">
        <w:rPr>
          <w:lang w:val="sr-Cyrl-CS"/>
        </w:rPr>
        <w:t xml:space="preserve"> у извесној мери</w:t>
      </w:r>
      <w:r w:rsidRPr="00E95BC4">
        <w:rPr>
          <w:lang w:val="sr-Cyrl-CS"/>
        </w:rPr>
        <w:t xml:space="preserve"> пра</w:t>
      </w:r>
      <w:r w:rsidR="00254C7E" w:rsidRPr="00E95BC4">
        <w:rPr>
          <w:lang w:val="sr-Cyrl-CS"/>
        </w:rPr>
        <w:t>те раније стратешке теме). Ниже наведени учинци везани су за напред утврђене циљеве</w:t>
      </w:r>
      <w:r w:rsidR="00660A8C" w:rsidRPr="00E95BC4">
        <w:rPr>
          <w:lang w:val="sr-Cyrl-CS"/>
        </w:rPr>
        <w:t>.</w:t>
      </w:r>
    </w:p>
    <w:p w:rsidR="0004492D" w:rsidRPr="00E95BC4" w:rsidRDefault="0004492D" w:rsidP="00285FD7">
      <w:pPr>
        <w:ind w:firstLine="720"/>
        <w:rPr>
          <w:b/>
          <w:lang w:val="sr-Cyrl-CS"/>
        </w:rPr>
      </w:pPr>
    </w:p>
    <w:p w:rsidR="00B150CA" w:rsidRPr="00E95BC4" w:rsidRDefault="00B150CA" w:rsidP="00787792">
      <w:pPr>
        <w:pStyle w:val="Heading1"/>
        <w:spacing w:before="0"/>
        <w:ind w:firstLine="720"/>
        <w:rPr>
          <w:rFonts w:ascii="Times New Roman" w:hAnsi="Times New Roman" w:cs="Times New Roman"/>
          <w:color w:val="auto"/>
          <w:sz w:val="24"/>
          <w:szCs w:val="24"/>
          <w:lang w:val="sr-Cyrl-CS"/>
        </w:rPr>
      </w:pPr>
      <w:bookmarkStart w:id="7" w:name="_Toc32409896"/>
      <w:r w:rsidRPr="00E95BC4">
        <w:rPr>
          <w:rFonts w:ascii="Times New Roman" w:hAnsi="Times New Roman" w:cs="Times New Roman"/>
          <w:color w:val="auto"/>
          <w:sz w:val="24"/>
          <w:szCs w:val="24"/>
          <w:lang w:val="sr-Cyrl-CS"/>
        </w:rPr>
        <w:t>Анализа опција за остваривање циљева</w:t>
      </w:r>
      <w:bookmarkEnd w:id="7"/>
    </w:p>
    <w:p w:rsidR="00EB24C3" w:rsidRPr="00E95BC4" w:rsidRDefault="00EB24C3" w:rsidP="00EB24C3">
      <w:pPr>
        <w:jc w:val="both"/>
        <w:rPr>
          <w:b/>
          <w:lang w:val="sr-Cyrl-CS"/>
        </w:rPr>
      </w:pPr>
    </w:p>
    <w:p w:rsidR="00B150CA" w:rsidRPr="00E95BC4" w:rsidRDefault="00424469" w:rsidP="00EB24C3">
      <w:pPr>
        <w:ind w:firstLine="709"/>
        <w:jc w:val="both"/>
        <w:rPr>
          <w:color w:val="auto"/>
          <w:lang w:val="sr-Cyrl-CS"/>
        </w:rPr>
      </w:pPr>
      <w:r w:rsidRPr="00E95BC4">
        <w:rPr>
          <w:b/>
          <w:lang w:val="sr-Cyrl-CS"/>
        </w:rPr>
        <w:t xml:space="preserve">Опција 1 – </w:t>
      </w:r>
      <w:r w:rsidR="00B150CA" w:rsidRPr="00E95BC4">
        <w:rPr>
          <w:b/>
          <w:i/>
          <w:lang w:val="sr-Cyrl-CS"/>
        </w:rPr>
        <w:t>Status quo</w:t>
      </w:r>
      <w:r w:rsidR="00E04390" w:rsidRPr="00E95BC4">
        <w:rPr>
          <w:lang w:val="sr-Cyrl-CS"/>
        </w:rPr>
        <w:t>: Нова стратегија се не усваја, и наставља се спровођење Акционог плана уз</w:t>
      </w:r>
      <w:r w:rsidR="000B75F7" w:rsidRPr="00E95BC4">
        <w:rPr>
          <w:lang w:val="sr-Cyrl-CS"/>
        </w:rPr>
        <w:t xml:space="preserve"> процене ризика од прања новца и финансирања тероризма</w:t>
      </w:r>
      <w:r w:rsidR="00E04390" w:rsidRPr="00E95BC4">
        <w:rPr>
          <w:lang w:val="sr-Cyrl-CS"/>
        </w:rPr>
        <w:t xml:space="preserve">. Органи настављају да спроводе препоруке </w:t>
      </w:r>
      <w:r w:rsidR="00E04390" w:rsidRPr="00E95BC4">
        <w:rPr>
          <w:color w:val="auto"/>
          <w:lang w:val="sr-Cyrl-CS"/>
        </w:rPr>
        <w:t>Манивала и у складу са својим надлежностима прате међународне стандарде и стандарде Европске уније. Координационо тело за спречавање прања новца наставља да се састаје и координира систем.</w:t>
      </w:r>
    </w:p>
    <w:p w:rsidR="00EB24C3" w:rsidRPr="00E95BC4" w:rsidRDefault="00EB24C3" w:rsidP="00EB24C3">
      <w:pPr>
        <w:tabs>
          <w:tab w:val="left" w:pos="709"/>
        </w:tabs>
        <w:ind w:firstLine="709"/>
        <w:jc w:val="both"/>
        <w:rPr>
          <w:color w:val="auto"/>
          <w:lang w:val="sr-Cyrl-CS"/>
        </w:rPr>
      </w:pPr>
      <w:r w:rsidRPr="00E95BC4">
        <w:rPr>
          <w:color w:val="auto"/>
          <w:lang w:val="sr-Cyrl-CS"/>
        </w:rPr>
        <w:t xml:space="preserve">Ова опција би по природи била превасходно реактивна у односу на претње и рањивости које су у овом тренутку идентификоване, нпр. у процесу националне процене ризика. Прање новца и финансирање тероризма су динамичне претње које се могу мењати веома брзо и захтевају стратешки одговор, који подразумева и ангажман на политичком нивоу. Опредељењем за Опцију 1 постојао би ризик да јавност и приватни сектор не буду брзо и са успехом ангажовани у борби против таквих претњи. </w:t>
      </w:r>
      <w:r w:rsidR="00AD151C" w:rsidRPr="00E95BC4">
        <w:rPr>
          <w:color w:val="auto"/>
          <w:lang w:val="sr-Cyrl-CS"/>
        </w:rPr>
        <w:t xml:space="preserve">Ни релевантне међународне организације, пре свега </w:t>
      </w:r>
      <w:r w:rsidRPr="00E95BC4">
        <w:rPr>
          <w:color w:val="auto"/>
          <w:lang w:val="sr-Cyrl-CS"/>
        </w:rPr>
        <w:t>Манивал</w:t>
      </w:r>
      <w:r w:rsidR="00AD151C" w:rsidRPr="00E95BC4">
        <w:rPr>
          <w:color w:val="auto"/>
          <w:lang w:val="sr-Cyrl-CS"/>
        </w:rPr>
        <w:t>,</w:t>
      </w:r>
      <w:r w:rsidRPr="00E95BC4">
        <w:rPr>
          <w:color w:val="auto"/>
          <w:lang w:val="sr-Cyrl-CS"/>
        </w:rPr>
        <w:t xml:space="preserve"> на то не би гледао са о</w:t>
      </w:r>
      <w:r w:rsidR="00AD151C" w:rsidRPr="00E95BC4">
        <w:rPr>
          <w:color w:val="auto"/>
          <w:lang w:val="sr-Cyrl-CS"/>
        </w:rPr>
        <w:t>д</w:t>
      </w:r>
      <w:r w:rsidR="00E62D95">
        <w:rPr>
          <w:color w:val="auto"/>
          <w:lang w:val="sr-Cyrl-CS"/>
        </w:rPr>
        <w:t>о</w:t>
      </w:r>
      <w:r w:rsidR="00AD151C" w:rsidRPr="00E95BC4">
        <w:rPr>
          <w:color w:val="auto"/>
          <w:lang w:val="sr-Cyrl-CS"/>
        </w:rPr>
        <w:t>бравањем будући да се од држава</w:t>
      </w:r>
      <w:r w:rsidRPr="00E95BC4">
        <w:rPr>
          <w:color w:val="auto"/>
          <w:lang w:val="sr-Cyrl-CS"/>
        </w:rPr>
        <w:t xml:space="preserve"> очекује предузима оне мере у борби против прања новца и финансирања тероризма које одговарају природи претњи којима је изложена, и то координисано и стратешки, при чему би постојао ризик и од додатних мера против </w:t>
      </w:r>
      <w:r w:rsidR="00370282" w:rsidRPr="00E95BC4">
        <w:rPr>
          <w:lang w:val="sr-Cyrl-CS"/>
        </w:rPr>
        <w:t xml:space="preserve">Републике </w:t>
      </w:r>
      <w:r w:rsidRPr="00E95BC4">
        <w:rPr>
          <w:color w:val="auto"/>
          <w:lang w:val="sr-Cyrl-CS"/>
        </w:rPr>
        <w:t>Србије (као што је стављање Србије на јавну листу</w:t>
      </w:r>
      <w:r w:rsidR="00B70620" w:rsidRPr="00E95BC4">
        <w:rPr>
          <w:color w:val="auto"/>
          <w:lang w:val="sr-Cyrl-CS"/>
        </w:rPr>
        <w:t xml:space="preserve"> држава које не примењују стандарде</w:t>
      </w:r>
      <w:r w:rsidRPr="00E95BC4">
        <w:rPr>
          <w:color w:val="auto"/>
          <w:lang w:val="sr-Cyrl-CS"/>
        </w:rPr>
        <w:t xml:space="preserve">). </w:t>
      </w:r>
    </w:p>
    <w:p w:rsidR="00EB24C3" w:rsidRPr="00E95BC4" w:rsidRDefault="00EB24C3" w:rsidP="00EB24C3">
      <w:pPr>
        <w:tabs>
          <w:tab w:val="left" w:pos="709"/>
        </w:tabs>
        <w:jc w:val="both"/>
        <w:rPr>
          <w:color w:val="auto"/>
          <w:lang w:val="sr-Cyrl-CS"/>
        </w:rPr>
      </w:pPr>
      <w:r w:rsidRPr="00E95BC4">
        <w:rPr>
          <w:color w:val="auto"/>
          <w:lang w:val="sr-Cyrl-CS"/>
        </w:rPr>
        <w:tab/>
        <w:t xml:space="preserve">Такве мере би утицале на привреду </w:t>
      </w:r>
      <w:r w:rsidR="00370282" w:rsidRPr="00E95BC4">
        <w:rPr>
          <w:lang w:val="sr-Cyrl-CS"/>
        </w:rPr>
        <w:t xml:space="preserve">Републике </w:t>
      </w:r>
      <w:r w:rsidRPr="00E95BC4">
        <w:rPr>
          <w:color w:val="auto"/>
          <w:lang w:val="sr-Cyrl-CS"/>
        </w:rPr>
        <w:t>Србије тако што би могло доћи до губитка страних директних инвестиција и повећања трошкова трансакција, детаљнијих провера</w:t>
      </w:r>
      <w:r w:rsidR="00B70620" w:rsidRPr="00E95BC4">
        <w:rPr>
          <w:color w:val="auto"/>
          <w:lang w:val="sr-Cyrl-CS"/>
        </w:rPr>
        <w:t xml:space="preserve"> субјеката</w:t>
      </w:r>
      <w:r w:rsidRPr="00E95BC4">
        <w:rPr>
          <w:color w:val="auto"/>
          <w:lang w:val="sr-Cyrl-CS"/>
        </w:rPr>
        <w:t xml:space="preserve"> </w:t>
      </w:r>
      <w:r w:rsidR="00B70620" w:rsidRPr="00E95BC4">
        <w:rPr>
          <w:color w:val="auto"/>
          <w:lang w:val="sr-Cyrl-CS"/>
        </w:rPr>
        <w:t>у кореспондентским</w:t>
      </w:r>
      <w:r w:rsidRPr="00E95BC4">
        <w:rPr>
          <w:color w:val="auto"/>
          <w:lang w:val="sr-Cyrl-CS"/>
        </w:rPr>
        <w:t xml:space="preserve"> бан</w:t>
      </w:r>
      <w:r w:rsidR="00B70620" w:rsidRPr="00E95BC4">
        <w:rPr>
          <w:color w:val="auto"/>
          <w:lang w:val="sr-Cyrl-CS"/>
        </w:rPr>
        <w:t>карским односима и међународним финансијским трансферима</w:t>
      </w:r>
      <w:r w:rsidRPr="00E95BC4">
        <w:rPr>
          <w:color w:val="auto"/>
          <w:lang w:val="sr-Cyrl-CS"/>
        </w:rPr>
        <w:t xml:space="preserve">. Иако се ти утицаји не могу измерити, њихов ефекат на </w:t>
      </w:r>
      <w:r w:rsidRPr="00E95BC4">
        <w:rPr>
          <w:color w:val="auto"/>
          <w:lang w:val="sr-Cyrl-CS"/>
        </w:rPr>
        <w:lastRenderedPageBreak/>
        <w:t xml:space="preserve">државу може бити озбиљан. У најтежим случајевима може доћи до квази-економских санкција. </w:t>
      </w:r>
    </w:p>
    <w:p w:rsidR="00EB24C3" w:rsidRPr="00E95BC4" w:rsidRDefault="00EB24C3" w:rsidP="00EB24C3">
      <w:pPr>
        <w:tabs>
          <w:tab w:val="left" w:pos="709"/>
        </w:tabs>
        <w:jc w:val="both"/>
        <w:rPr>
          <w:color w:val="auto"/>
          <w:lang w:val="sr-Cyrl-CS"/>
        </w:rPr>
      </w:pPr>
      <w:r w:rsidRPr="00E95BC4">
        <w:rPr>
          <w:color w:val="auto"/>
          <w:lang w:val="sr-Cyrl-CS"/>
        </w:rPr>
        <w:tab/>
        <w:t xml:space="preserve">Непредузимање делотворних мера у области борбе против прања новца и финансирања тероризма може имати и ефекте по друштво, нарочито на рањиве категорије и сиромашни део становништва који би поднели терет поремећаја на тржишту узрокованих упливом нелегално стечене имовине и корупцијом. Прање новца погодује вршењу криминалних активности, попут трговине дрогом, које подривају друштвене норме и напредак друштва. Оно што је још штетније, финансирањем тероризма </w:t>
      </w:r>
      <w:r w:rsidR="004A6FEC" w:rsidRPr="00E95BC4">
        <w:rPr>
          <w:lang w:val="sr-Cyrl-CS"/>
        </w:rPr>
        <w:t xml:space="preserve">Република </w:t>
      </w:r>
      <w:r w:rsidRPr="00E95BC4">
        <w:rPr>
          <w:color w:val="auto"/>
          <w:lang w:val="sr-Cyrl-CS"/>
        </w:rPr>
        <w:t>Србија се може изложити и терористичким активностима, са свим негативним ефектима које те активности са собом носе, или чак међународним контрамер</w:t>
      </w:r>
      <w:r w:rsidR="00B70620" w:rsidRPr="00E95BC4">
        <w:rPr>
          <w:color w:val="auto"/>
          <w:lang w:val="sr-Cyrl-CS"/>
        </w:rPr>
        <w:t>ама</w:t>
      </w:r>
      <w:r w:rsidRPr="00E95BC4">
        <w:rPr>
          <w:color w:val="auto"/>
          <w:lang w:val="sr-Cyrl-CS"/>
        </w:rPr>
        <w:t xml:space="preserve"> ако се на тај начин омогућава вршење терористичких активности у иностранству. </w:t>
      </w:r>
    </w:p>
    <w:p w:rsidR="004420AE" w:rsidRPr="00E95BC4" w:rsidRDefault="00EB24C3" w:rsidP="00EB24C3">
      <w:pPr>
        <w:tabs>
          <w:tab w:val="left" w:pos="709"/>
        </w:tabs>
        <w:jc w:val="both"/>
        <w:rPr>
          <w:color w:val="auto"/>
          <w:lang w:val="sr-Cyrl-CS"/>
        </w:rPr>
      </w:pPr>
      <w:r w:rsidRPr="00E95BC4">
        <w:rPr>
          <w:b/>
          <w:color w:val="auto"/>
          <w:lang w:val="sr-Cyrl-CS"/>
        </w:rPr>
        <w:tab/>
      </w:r>
      <w:r w:rsidR="00B150CA" w:rsidRPr="00E95BC4">
        <w:rPr>
          <w:b/>
          <w:color w:val="auto"/>
          <w:lang w:val="sr-Cyrl-CS"/>
        </w:rPr>
        <w:t>Опција 2</w:t>
      </w:r>
      <w:r w:rsidR="00E04390" w:rsidRPr="00E95BC4">
        <w:rPr>
          <w:color w:val="auto"/>
          <w:lang w:val="sr-Cyrl-CS"/>
        </w:rPr>
        <w:t>:</w:t>
      </w:r>
      <w:r w:rsidR="00424469" w:rsidRPr="00E95BC4">
        <w:rPr>
          <w:color w:val="auto"/>
          <w:lang w:val="sr-Cyrl-CS"/>
        </w:rPr>
        <w:t xml:space="preserve"> </w:t>
      </w:r>
      <w:r w:rsidR="004420AE" w:rsidRPr="00E95BC4">
        <w:rPr>
          <w:color w:val="auto"/>
          <w:lang w:val="sr-Cyrl-CS"/>
        </w:rPr>
        <w:t xml:space="preserve">Могући приступ је да </w:t>
      </w:r>
      <w:r w:rsidR="00B70620" w:rsidRPr="00E95BC4">
        <w:rPr>
          <w:color w:val="auto"/>
          <w:lang w:val="sr-Cyrl-CS"/>
        </w:rPr>
        <w:t xml:space="preserve">свака </w:t>
      </w:r>
      <w:r w:rsidR="004420AE" w:rsidRPr="00E95BC4">
        <w:rPr>
          <w:color w:val="auto"/>
          <w:lang w:val="sr-Cyrl-CS"/>
        </w:rPr>
        <w:t>р</w:t>
      </w:r>
      <w:r w:rsidR="00B70620" w:rsidRPr="00E95BC4">
        <w:rPr>
          <w:color w:val="auto"/>
          <w:lang w:val="sr-Cyrl-CS"/>
        </w:rPr>
        <w:t>елевантна институција засебно, у оквиру свог делокруга рада и надлежности, доносе документе</w:t>
      </w:r>
      <w:r w:rsidR="004420AE" w:rsidRPr="00E95BC4">
        <w:rPr>
          <w:color w:val="auto"/>
          <w:lang w:val="sr-Cyrl-CS"/>
        </w:rPr>
        <w:t xml:space="preserve"> јавне политике. На тај начин би се донекле унапредило стање, али би недостатак </w:t>
      </w:r>
      <w:r w:rsidR="00B70620" w:rsidRPr="00E95BC4">
        <w:rPr>
          <w:color w:val="auto"/>
          <w:lang w:val="sr-Cyrl-CS"/>
        </w:rPr>
        <w:t xml:space="preserve">тог приступа </w:t>
      </w:r>
      <w:r w:rsidR="004420AE" w:rsidRPr="00E95BC4">
        <w:rPr>
          <w:color w:val="auto"/>
          <w:lang w:val="sr-Cyrl-CS"/>
        </w:rPr>
        <w:t>био изостанак координације при чему би пуни ефекти таквих мера могли изостати.</w:t>
      </w:r>
    </w:p>
    <w:p w:rsidR="00EB24C3" w:rsidRPr="00E95BC4" w:rsidRDefault="00EB24C3" w:rsidP="00EB24C3">
      <w:pPr>
        <w:tabs>
          <w:tab w:val="left" w:pos="709"/>
        </w:tabs>
        <w:jc w:val="both"/>
        <w:rPr>
          <w:color w:val="auto"/>
          <w:lang w:val="sr-Cyrl-CS"/>
        </w:rPr>
      </w:pPr>
      <w:r w:rsidRPr="00E95BC4">
        <w:rPr>
          <w:color w:val="auto"/>
          <w:lang w:val="sr-Cyrl-CS"/>
        </w:rPr>
        <w:tab/>
        <w:t xml:space="preserve">Опцијом 2 </w:t>
      </w:r>
      <w:r w:rsidR="00B70620" w:rsidRPr="00E95BC4">
        <w:rPr>
          <w:color w:val="auto"/>
          <w:lang w:val="sr-Cyrl-CS"/>
        </w:rPr>
        <w:t xml:space="preserve">би се отклониле </w:t>
      </w:r>
      <w:r w:rsidRPr="00E95BC4">
        <w:rPr>
          <w:color w:val="auto"/>
          <w:lang w:val="sr-Cyrl-CS"/>
        </w:rPr>
        <w:t xml:space="preserve">неке слабости Опције 1 тако што би </w:t>
      </w:r>
      <w:r w:rsidR="00B70620" w:rsidRPr="00E95BC4">
        <w:rPr>
          <w:color w:val="auto"/>
          <w:lang w:val="sr-Cyrl-CS"/>
        </w:rPr>
        <w:t xml:space="preserve">се </w:t>
      </w:r>
      <w:r w:rsidRPr="00E95BC4">
        <w:rPr>
          <w:color w:val="auto"/>
          <w:lang w:val="sr-Cyrl-CS"/>
        </w:rPr>
        <w:t xml:space="preserve">обезбедило да систем за борбу против прања новца и финансирања тероризма у Србији </w:t>
      </w:r>
      <w:r w:rsidR="00B70620" w:rsidRPr="00E95BC4">
        <w:rPr>
          <w:color w:val="auto"/>
          <w:lang w:val="sr-Cyrl-CS"/>
        </w:rPr>
        <w:t>буде утврђен у документу јавне политике</w:t>
      </w:r>
      <w:r w:rsidR="001E4E03" w:rsidRPr="00E95BC4">
        <w:rPr>
          <w:color w:val="auto"/>
          <w:lang w:val="sr-Cyrl-CS"/>
        </w:rPr>
        <w:t xml:space="preserve">, уз отежану координацију и недовољно брзо реаговање </w:t>
      </w:r>
      <w:r w:rsidRPr="00E95BC4">
        <w:rPr>
          <w:color w:val="auto"/>
          <w:lang w:val="sr-Cyrl-CS"/>
        </w:rPr>
        <w:t>на претње и рањивости. На делотворнији начин би се решавали напред наведени штетни финансијски, економски и друштвени утицаји. Могуће је да би трошкови за јавни</w:t>
      </w:r>
      <w:r w:rsidR="001E4E03" w:rsidRPr="00E95BC4">
        <w:rPr>
          <w:color w:val="auto"/>
          <w:lang w:val="sr-Cyrl-CS"/>
        </w:rPr>
        <w:t xml:space="preserve"> сектор били виши због изостанка усклађеног деловања</w:t>
      </w:r>
      <w:r w:rsidRPr="00E95BC4">
        <w:rPr>
          <w:color w:val="auto"/>
          <w:lang w:val="sr-Cyrl-CS"/>
        </w:rPr>
        <w:t xml:space="preserve">.  </w:t>
      </w:r>
    </w:p>
    <w:p w:rsidR="00EB24C3" w:rsidRPr="00E95BC4" w:rsidRDefault="00EB24C3" w:rsidP="00EB24C3">
      <w:pPr>
        <w:tabs>
          <w:tab w:val="left" w:pos="709"/>
        </w:tabs>
        <w:jc w:val="both"/>
        <w:rPr>
          <w:color w:val="auto"/>
          <w:lang w:val="sr-Cyrl-CS"/>
        </w:rPr>
      </w:pPr>
      <w:r w:rsidRPr="00E95BC4">
        <w:rPr>
          <w:color w:val="auto"/>
          <w:lang w:val="sr-Cyrl-CS"/>
        </w:rPr>
        <w:tab/>
      </w:r>
      <w:r w:rsidR="001E4E03" w:rsidRPr="00E95BC4">
        <w:rPr>
          <w:color w:val="auto"/>
          <w:lang w:val="sr-Cyrl-CS"/>
        </w:rPr>
        <w:t>Б</w:t>
      </w:r>
      <w:r w:rsidRPr="00E95BC4">
        <w:rPr>
          <w:color w:val="auto"/>
          <w:lang w:val="sr-Cyrl-CS"/>
        </w:rPr>
        <w:t xml:space="preserve">орба против прања новца и финансирања тероризма чврсто </w:t>
      </w:r>
      <w:r w:rsidR="001E4E03" w:rsidRPr="00E95BC4">
        <w:rPr>
          <w:color w:val="auto"/>
          <w:lang w:val="sr-Cyrl-CS"/>
        </w:rPr>
        <w:t xml:space="preserve">би се на тај начин утврдила </w:t>
      </w:r>
      <w:r w:rsidRPr="00E95BC4">
        <w:rPr>
          <w:color w:val="auto"/>
          <w:lang w:val="sr-Cyrl-CS"/>
        </w:rPr>
        <w:t xml:space="preserve">као релевантно питање јавне политике које се, у контексту планског система, решава кроз </w:t>
      </w:r>
      <w:r w:rsidR="001E4E03" w:rsidRPr="00E95BC4">
        <w:rPr>
          <w:color w:val="auto"/>
          <w:lang w:val="sr-Cyrl-CS"/>
        </w:rPr>
        <w:t xml:space="preserve">документа </w:t>
      </w:r>
      <w:r w:rsidRPr="00E95BC4">
        <w:rPr>
          <w:color w:val="auto"/>
          <w:lang w:val="sr-Cyrl-CS"/>
        </w:rPr>
        <w:t>јавне политике</w:t>
      </w:r>
      <w:r w:rsidR="001E4E03" w:rsidRPr="00E95BC4">
        <w:rPr>
          <w:color w:val="auto"/>
          <w:lang w:val="sr-Cyrl-CS"/>
        </w:rPr>
        <w:t xml:space="preserve"> посебних органа</w:t>
      </w:r>
      <w:r w:rsidRPr="00E95BC4">
        <w:rPr>
          <w:color w:val="auto"/>
          <w:lang w:val="sr-Cyrl-CS"/>
        </w:rPr>
        <w:t xml:space="preserve">. </w:t>
      </w:r>
      <w:r w:rsidR="001E4E03" w:rsidRPr="00E95BC4">
        <w:rPr>
          <w:color w:val="auto"/>
          <w:lang w:val="sr-Cyrl-CS"/>
        </w:rPr>
        <w:t>Међутим, н</w:t>
      </w:r>
      <w:r w:rsidRPr="00E95BC4">
        <w:rPr>
          <w:color w:val="auto"/>
          <w:lang w:val="sr-Cyrl-CS"/>
        </w:rPr>
        <w:t xml:space="preserve">а борбу против прања новца и финансирања тероризма све више се гледа као на питање које треба да се решава у партнерству између јавног </w:t>
      </w:r>
      <w:r w:rsidRPr="00E95BC4">
        <w:rPr>
          <w:b/>
          <w:bCs/>
          <w:color w:val="auto"/>
          <w:lang w:val="sr-Cyrl-CS"/>
        </w:rPr>
        <w:t xml:space="preserve">и приватног </w:t>
      </w:r>
      <w:r w:rsidRPr="00E95BC4">
        <w:rPr>
          <w:color w:val="auto"/>
          <w:lang w:val="sr-Cyrl-CS"/>
        </w:rPr>
        <w:t>сектора, при чему о</w:t>
      </w:r>
      <w:r w:rsidR="00DD0D6E" w:rsidRPr="00E95BC4">
        <w:rPr>
          <w:color w:val="auto"/>
          <w:lang w:val="sr-Cyrl-CS"/>
        </w:rPr>
        <w:t>р</w:t>
      </w:r>
      <w:r w:rsidRPr="00E95BC4">
        <w:rPr>
          <w:color w:val="auto"/>
          <w:lang w:val="sr-Cyrl-CS"/>
        </w:rPr>
        <w:t xml:space="preserve">ганизације цивилног друштва такође имају одговарајућу улогу. Ризици који су идентификовани у претходном делу ове стратегије и ефекти </w:t>
      </w:r>
      <w:r w:rsidR="00DD0D6E" w:rsidRPr="00E95BC4">
        <w:rPr>
          <w:color w:val="auto"/>
          <w:lang w:val="sr-Cyrl-CS"/>
        </w:rPr>
        <w:t xml:space="preserve">које они имају </w:t>
      </w:r>
      <w:r w:rsidRPr="00E95BC4">
        <w:rPr>
          <w:color w:val="auto"/>
          <w:lang w:val="sr-Cyrl-CS"/>
        </w:rPr>
        <w:t xml:space="preserve">јесу озбиљни, негативно </w:t>
      </w:r>
      <w:r w:rsidR="00DD0D6E" w:rsidRPr="00E95BC4">
        <w:rPr>
          <w:color w:val="auto"/>
          <w:lang w:val="sr-Cyrl-CS"/>
        </w:rPr>
        <w:t xml:space="preserve">и </w:t>
      </w:r>
      <w:r w:rsidRPr="00E95BC4">
        <w:rPr>
          <w:color w:val="auto"/>
          <w:lang w:val="sr-Cyrl-CS"/>
        </w:rPr>
        <w:t>несразмерно утичу на рањиве делове друштва што све узрокује знатне трошкове за јавни и приватни сектор. Отуда не би било исправно решавати их без јасне стратешке визије коју Република Србија</w:t>
      </w:r>
      <w:r w:rsidR="001E4E03" w:rsidRPr="00E95BC4">
        <w:rPr>
          <w:color w:val="auto"/>
          <w:lang w:val="sr-Cyrl-CS"/>
        </w:rPr>
        <w:t xml:space="preserve"> треба да има у овој области. </w:t>
      </w:r>
      <w:r w:rsidRPr="00E95BC4">
        <w:rPr>
          <w:color w:val="auto"/>
          <w:lang w:val="sr-Cyrl-CS"/>
        </w:rPr>
        <w:t xml:space="preserve"> </w:t>
      </w:r>
    </w:p>
    <w:p w:rsidR="001E4E03" w:rsidRPr="00E95BC4" w:rsidRDefault="00EB24C3" w:rsidP="00EB24C3">
      <w:pPr>
        <w:tabs>
          <w:tab w:val="left" w:pos="709"/>
        </w:tabs>
        <w:jc w:val="both"/>
        <w:rPr>
          <w:rFonts w:eastAsia="Times New Roman"/>
          <w:color w:val="auto"/>
          <w:kern w:val="0"/>
          <w:lang w:val="sr-Cyrl-CS" w:eastAsia="en-GB"/>
        </w:rPr>
      </w:pPr>
      <w:r w:rsidRPr="00E95BC4">
        <w:rPr>
          <w:rFonts w:eastAsia="Times New Roman"/>
          <w:b/>
          <w:color w:val="auto"/>
          <w:kern w:val="0"/>
          <w:lang w:val="sr-Cyrl-CS" w:eastAsia="en-GB"/>
        </w:rPr>
        <w:tab/>
      </w:r>
      <w:r w:rsidR="00424469" w:rsidRPr="00E95BC4">
        <w:rPr>
          <w:rFonts w:eastAsia="Times New Roman"/>
          <w:b/>
          <w:color w:val="auto"/>
          <w:kern w:val="0"/>
          <w:lang w:val="sr-Cyrl-CS" w:eastAsia="en-GB"/>
        </w:rPr>
        <w:t>Опција 3</w:t>
      </w:r>
      <w:r w:rsidR="00424469" w:rsidRPr="00E95BC4">
        <w:rPr>
          <w:rFonts w:eastAsia="Times New Roman"/>
          <w:color w:val="auto"/>
          <w:kern w:val="0"/>
          <w:lang w:val="sr-Cyrl-CS" w:eastAsia="en-GB"/>
        </w:rPr>
        <w:t xml:space="preserve">: </w:t>
      </w:r>
      <w:r w:rsidR="004420AE" w:rsidRPr="00E95BC4">
        <w:rPr>
          <w:rFonts w:eastAsia="Times New Roman"/>
          <w:color w:val="auto"/>
          <w:kern w:val="0"/>
          <w:lang w:val="sr-Cyrl-CS" w:eastAsia="en-GB"/>
        </w:rPr>
        <w:t xml:space="preserve">Донети јединствени међусекторски документ јавне политике. Тај документ ће захтевати дуже времена за доношење, али ће пуни ефекти тих мера бити обезбеђени. </w:t>
      </w:r>
    </w:p>
    <w:p w:rsidR="00E04390" w:rsidRPr="00E95BC4" w:rsidRDefault="001E4E0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t xml:space="preserve">Јединствени међусекторски документ јавне политике у коме се </w:t>
      </w:r>
      <w:r w:rsidR="00424469" w:rsidRPr="00E95BC4">
        <w:rPr>
          <w:rFonts w:eastAsia="Times New Roman"/>
          <w:color w:val="auto"/>
          <w:kern w:val="0"/>
          <w:lang w:val="sr-Cyrl-CS" w:eastAsia="en-GB"/>
        </w:rPr>
        <w:t xml:space="preserve">предвиђају проактивније мере које </w:t>
      </w:r>
      <w:r w:rsidR="00DD0D6E" w:rsidRPr="00E95BC4">
        <w:rPr>
          <w:rFonts w:eastAsia="Times New Roman"/>
          <w:color w:val="auto"/>
          <w:kern w:val="0"/>
          <w:lang w:val="sr-Cyrl-CS" w:eastAsia="en-GB"/>
        </w:rPr>
        <w:t xml:space="preserve">су </w:t>
      </w:r>
      <w:r w:rsidR="00424469" w:rsidRPr="00E95BC4">
        <w:rPr>
          <w:rFonts w:eastAsia="Times New Roman"/>
          <w:color w:val="auto"/>
          <w:kern w:val="0"/>
          <w:lang w:val="sr-Cyrl-CS" w:eastAsia="en-GB"/>
        </w:rPr>
        <w:t xml:space="preserve">осмишљене </w:t>
      </w:r>
      <w:r w:rsidRPr="00E95BC4">
        <w:rPr>
          <w:rFonts w:eastAsia="Times New Roman"/>
          <w:color w:val="auto"/>
          <w:kern w:val="0"/>
          <w:lang w:val="sr-Cyrl-CS" w:eastAsia="en-GB"/>
        </w:rPr>
        <w:t>на бази уочених ризика од прања новца и финансирања тероризма у Републици Србији</w:t>
      </w:r>
      <w:r w:rsidR="004313D4">
        <w:rPr>
          <w:rFonts w:eastAsia="Times New Roman"/>
          <w:color w:val="auto"/>
          <w:kern w:val="0"/>
          <w:lang w:val="sr-Cyrl-CS" w:eastAsia="en-GB"/>
        </w:rPr>
        <w:t>,</w:t>
      </w:r>
      <w:r w:rsidRPr="00E95BC4">
        <w:rPr>
          <w:rFonts w:eastAsia="Times New Roman"/>
          <w:color w:val="auto"/>
          <w:kern w:val="0"/>
          <w:lang w:val="sr-Cyrl-CS" w:eastAsia="en-GB"/>
        </w:rPr>
        <w:t xml:space="preserve"> а </w:t>
      </w:r>
      <w:r w:rsidR="00424469" w:rsidRPr="00E95BC4">
        <w:rPr>
          <w:rFonts w:eastAsia="Times New Roman"/>
          <w:color w:val="auto"/>
          <w:kern w:val="0"/>
          <w:lang w:val="sr-Cyrl-CS" w:eastAsia="en-GB"/>
        </w:rPr>
        <w:t xml:space="preserve">са циљем </w:t>
      </w:r>
      <w:r w:rsidRPr="00E95BC4">
        <w:rPr>
          <w:rFonts w:eastAsia="Times New Roman"/>
          <w:color w:val="auto"/>
          <w:kern w:val="0"/>
          <w:lang w:val="sr-Cyrl-CS" w:eastAsia="en-GB"/>
        </w:rPr>
        <w:t xml:space="preserve">њиховог </w:t>
      </w:r>
      <w:r w:rsidR="00424469" w:rsidRPr="00E95BC4">
        <w:rPr>
          <w:rFonts w:eastAsia="Times New Roman"/>
          <w:color w:val="auto"/>
          <w:kern w:val="0"/>
          <w:lang w:val="sr-Cyrl-CS" w:eastAsia="en-GB"/>
        </w:rPr>
        <w:t xml:space="preserve">смањења. </w:t>
      </w:r>
      <w:r w:rsidRPr="00E95BC4">
        <w:rPr>
          <w:rFonts w:eastAsia="Times New Roman"/>
          <w:color w:val="auto"/>
          <w:kern w:val="0"/>
          <w:lang w:val="sr-Cyrl-CS" w:eastAsia="en-GB"/>
        </w:rPr>
        <w:t>Спро</w:t>
      </w:r>
      <w:r w:rsidR="00424469" w:rsidRPr="00E95BC4">
        <w:rPr>
          <w:rFonts w:eastAsia="Times New Roman"/>
          <w:color w:val="auto"/>
          <w:kern w:val="0"/>
          <w:lang w:val="sr-Cyrl-CS" w:eastAsia="en-GB"/>
        </w:rPr>
        <w:t>в</w:t>
      </w:r>
      <w:r w:rsidRPr="00E95BC4">
        <w:rPr>
          <w:rFonts w:eastAsia="Times New Roman"/>
          <w:color w:val="auto"/>
          <w:kern w:val="0"/>
          <w:lang w:val="sr-Cyrl-CS" w:eastAsia="en-GB"/>
        </w:rPr>
        <w:t>о</w:t>
      </w:r>
      <w:r w:rsidR="00424469" w:rsidRPr="00E95BC4">
        <w:rPr>
          <w:rFonts w:eastAsia="Times New Roman"/>
          <w:color w:val="auto"/>
          <w:kern w:val="0"/>
          <w:lang w:val="sr-Cyrl-CS" w:eastAsia="en-GB"/>
        </w:rPr>
        <w:t xml:space="preserve">ђењем </w:t>
      </w:r>
      <w:r w:rsidRPr="00E95BC4">
        <w:rPr>
          <w:rFonts w:eastAsia="Times New Roman"/>
          <w:color w:val="auto"/>
          <w:kern w:val="0"/>
          <w:lang w:val="sr-Cyrl-CS" w:eastAsia="en-GB"/>
        </w:rPr>
        <w:t xml:space="preserve">тих мера </w:t>
      </w:r>
      <w:r w:rsidR="00424469" w:rsidRPr="00E95BC4">
        <w:rPr>
          <w:rFonts w:eastAsia="Times New Roman"/>
          <w:color w:val="auto"/>
          <w:kern w:val="0"/>
          <w:lang w:val="sr-Cyrl-CS" w:eastAsia="en-GB"/>
        </w:rPr>
        <w:t xml:space="preserve">ојачаће се делотворност система за борбу против прања новца и финансирања тероризма у Републици Србији и делотворније користити ресурси јавног и приватног сектора. Корист по друштво ће бити видљива, </w:t>
      </w:r>
      <w:r w:rsidR="00215665" w:rsidRPr="00E95BC4">
        <w:rPr>
          <w:rFonts w:eastAsia="Times New Roman"/>
          <w:color w:val="auto"/>
          <w:kern w:val="0"/>
          <w:lang w:val="sr-Cyrl-CS" w:eastAsia="en-GB"/>
        </w:rPr>
        <w:t>и надилази незнатне трошкове</w:t>
      </w:r>
      <w:r w:rsidR="00424469" w:rsidRPr="00E95BC4">
        <w:rPr>
          <w:rFonts w:eastAsia="Times New Roman"/>
          <w:color w:val="auto"/>
          <w:kern w:val="0"/>
          <w:lang w:val="sr-Cyrl-CS" w:eastAsia="en-GB"/>
        </w:rPr>
        <w:t xml:space="preserve"> </w:t>
      </w:r>
      <w:r w:rsidR="00215665" w:rsidRPr="00E95BC4">
        <w:rPr>
          <w:rFonts w:eastAsia="Times New Roman"/>
          <w:color w:val="auto"/>
          <w:kern w:val="0"/>
          <w:lang w:val="sr-Cyrl-CS" w:eastAsia="en-GB"/>
        </w:rPr>
        <w:t>мера које се углавном односе на унапређење</w:t>
      </w:r>
      <w:r w:rsidR="00424469" w:rsidRPr="00E95BC4">
        <w:rPr>
          <w:rFonts w:eastAsia="Times New Roman"/>
          <w:color w:val="auto"/>
          <w:kern w:val="0"/>
          <w:lang w:val="sr-Cyrl-CS" w:eastAsia="en-GB"/>
        </w:rPr>
        <w:t xml:space="preserve"> делотворности</w:t>
      </w:r>
      <w:r w:rsidR="00E04390" w:rsidRPr="00E95BC4">
        <w:rPr>
          <w:rFonts w:eastAsia="Times New Roman"/>
          <w:color w:val="auto"/>
          <w:kern w:val="0"/>
          <w:lang w:val="sr-Cyrl-CS" w:eastAsia="en-GB"/>
        </w:rPr>
        <w:t>.</w:t>
      </w:r>
    </w:p>
    <w:p w:rsidR="00EB24C3" w:rsidRPr="00E95BC4" w:rsidRDefault="00EB24C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r>
      <w:r w:rsidR="001E4E03" w:rsidRPr="00E95BC4">
        <w:rPr>
          <w:rFonts w:eastAsia="Times New Roman"/>
          <w:color w:val="auto"/>
          <w:kern w:val="0"/>
          <w:lang w:val="sr-Cyrl-CS" w:eastAsia="en-GB"/>
        </w:rPr>
        <w:t xml:space="preserve">У односу на Опцију 2, </w:t>
      </w:r>
      <w:r w:rsidRPr="00E95BC4">
        <w:rPr>
          <w:rFonts w:eastAsia="Times New Roman"/>
          <w:color w:val="auto"/>
          <w:kern w:val="0"/>
          <w:lang w:val="sr-Cyrl-CS" w:eastAsia="en-GB"/>
        </w:rPr>
        <w:t xml:space="preserve">Опција 3 не подразумева знатније додатне трошкове будући да би мере вероватно биле сличне. Ипак, тиме што ће се обезбедити да се активности у борби против прања новца и финансирања тероризма у </w:t>
      </w:r>
      <w:r w:rsidR="00121E8F" w:rsidRPr="00E95BC4">
        <w:rPr>
          <w:color w:val="auto"/>
          <w:lang w:val="sr-Cyrl-CS"/>
        </w:rPr>
        <w:t>Републи</w:t>
      </w:r>
      <w:r w:rsidR="00121E8F">
        <w:rPr>
          <w:color w:val="auto"/>
          <w:lang/>
        </w:rPr>
        <w:t>ци</w:t>
      </w:r>
      <w:r w:rsidR="00121E8F" w:rsidRPr="00E95BC4">
        <w:rPr>
          <w:color w:val="auto"/>
          <w:lang w:val="sr-Cyrl-CS"/>
        </w:rPr>
        <w:t xml:space="preserve"> </w:t>
      </w:r>
      <w:r w:rsidRPr="00E95BC4">
        <w:rPr>
          <w:rFonts w:eastAsia="Times New Roman"/>
          <w:color w:val="auto"/>
          <w:kern w:val="0"/>
          <w:lang w:val="sr-Cyrl-CS" w:eastAsia="en-GB"/>
        </w:rPr>
        <w:t xml:space="preserve">Србији одвијају у складу са општим и посебним циљевима </w:t>
      </w:r>
      <w:r w:rsidR="0086525D" w:rsidRPr="00E95BC4">
        <w:rPr>
          <w:rFonts w:eastAsia="Times New Roman"/>
          <w:color w:val="auto"/>
          <w:kern w:val="0"/>
          <w:lang w:val="sr-Cyrl-CS" w:eastAsia="en-GB"/>
        </w:rPr>
        <w:t>јединственог међусекторског документа јавне политике</w:t>
      </w:r>
      <w:r w:rsidRPr="00E95BC4">
        <w:rPr>
          <w:rFonts w:eastAsia="Times New Roman"/>
          <w:color w:val="auto"/>
          <w:kern w:val="0"/>
          <w:lang w:val="sr-Cyrl-CS" w:eastAsia="en-GB"/>
        </w:rPr>
        <w:t xml:space="preserve">, евентуални трошкови ће се директно мерити у односу на исте циљеве. Као и у </w:t>
      </w:r>
      <w:r w:rsidRPr="00E95BC4">
        <w:rPr>
          <w:rFonts w:eastAsia="Times New Roman"/>
          <w:color w:val="auto"/>
          <w:kern w:val="0"/>
          <w:lang w:val="sr-Cyrl-CS" w:eastAsia="en-GB"/>
        </w:rPr>
        <w:lastRenderedPageBreak/>
        <w:t xml:space="preserve">случају </w:t>
      </w:r>
      <w:r w:rsidR="001E4E03" w:rsidRPr="00E95BC4">
        <w:rPr>
          <w:rFonts w:eastAsia="Times New Roman"/>
          <w:color w:val="auto"/>
          <w:kern w:val="0"/>
          <w:lang w:val="sr-Cyrl-CS" w:eastAsia="en-GB"/>
        </w:rPr>
        <w:t xml:space="preserve">докумената јавне политике у оквиру </w:t>
      </w:r>
      <w:r w:rsidRPr="00E95BC4">
        <w:rPr>
          <w:rFonts w:eastAsia="Times New Roman"/>
          <w:color w:val="auto"/>
          <w:kern w:val="0"/>
          <w:lang w:val="sr-Cyrl-CS" w:eastAsia="en-GB"/>
        </w:rPr>
        <w:t xml:space="preserve">Опције 2, сви субјекти у систему борбе против прања новца и финансирања тероризма, укључујући и институције приватног сектора и цивилно друштво, </w:t>
      </w:r>
      <w:r w:rsidR="001E4E03" w:rsidRPr="00E95BC4">
        <w:rPr>
          <w:rFonts w:eastAsia="Times New Roman"/>
          <w:color w:val="auto"/>
          <w:kern w:val="0"/>
          <w:lang w:val="sr-Cyrl-CS" w:eastAsia="en-GB"/>
        </w:rPr>
        <w:t xml:space="preserve">могу уподобљавати своје активности </w:t>
      </w:r>
      <w:r w:rsidRPr="00E95BC4">
        <w:rPr>
          <w:rFonts w:eastAsia="Times New Roman"/>
          <w:color w:val="auto"/>
          <w:kern w:val="0"/>
          <w:lang w:val="sr-Cyrl-CS" w:eastAsia="en-GB"/>
        </w:rPr>
        <w:t xml:space="preserve">у </w:t>
      </w:r>
      <w:r w:rsidR="000656E7" w:rsidRPr="00E95BC4">
        <w:rPr>
          <w:rFonts w:eastAsia="Times New Roman"/>
          <w:color w:val="auto"/>
          <w:kern w:val="0"/>
          <w:lang w:val="sr-Cyrl-CS" w:eastAsia="en-GB"/>
        </w:rPr>
        <w:t>односу</w:t>
      </w:r>
      <w:r w:rsidR="00DD0D6E" w:rsidRPr="00E95BC4">
        <w:rPr>
          <w:rFonts w:eastAsia="Times New Roman"/>
          <w:color w:val="auto"/>
          <w:kern w:val="0"/>
          <w:lang w:val="sr-Cyrl-CS" w:eastAsia="en-GB"/>
        </w:rPr>
        <w:t xml:space="preserve"> на</w:t>
      </w:r>
      <w:r w:rsidRPr="00E95BC4">
        <w:rPr>
          <w:rFonts w:eastAsia="Times New Roman"/>
          <w:color w:val="auto"/>
          <w:kern w:val="0"/>
          <w:lang w:val="sr-Cyrl-CS" w:eastAsia="en-GB"/>
        </w:rPr>
        <w:t xml:space="preserve"> </w:t>
      </w:r>
      <w:r w:rsidR="001E4E03" w:rsidRPr="00E95BC4">
        <w:rPr>
          <w:rFonts w:eastAsia="Times New Roman"/>
          <w:color w:val="auto"/>
          <w:kern w:val="0"/>
          <w:lang w:val="sr-Cyrl-CS" w:eastAsia="en-GB"/>
        </w:rPr>
        <w:t>јединствени међусекторски документ</w:t>
      </w:r>
      <w:r w:rsidRPr="00E95BC4">
        <w:rPr>
          <w:rFonts w:eastAsia="Times New Roman"/>
          <w:color w:val="auto"/>
          <w:kern w:val="0"/>
          <w:lang w:val="sr-Cyrl-CS" w:eastAsia="en-GB"/>
        </w:rPr>
        <w:t>.</w:t>
      </w:r>
    </w:p>
    <w:p w:rsidR="00EB24C3" w:rsidRPr="00E95BC4" w:rsidRDefault="00EB24C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t xml:space="preserve">Усвајањем </w:t>
      </w:r>
      <w:r w:rsidR="001E4E03" w:rsidRPr="00E95BC4">
        <w:rPr>
          <w:rFonts w:eastAsia="Times New Roman"/>
          <w:color w:val="auto"/>
          <w:kern w:val="0"/>
          <w:lang w:val="sr-Cyrl-CS" w:eastAsia="en-GB"/>
        </w:rPr>
        <w:t xml:space="preserve">јединственог међусекторског документа јавне политике </w:t>
      </w:r>
      <w:r w:rsidRPr="00E95BC4">
        <w:rPr>
          <w:rFonts w:eastAsia="Times New Roman"/>
          <w:color w:val="auto"/>
          <w:kern w:val="0"/>
          <w:lang w:val="sr-Cyrl-CS" w:eastAsia="en-GB"/>
        </w:rPr>
        <w:t xml:space="preserve">такође се доприноси међународном угледу </w:t>
      </w:r>
      <w:r w:rsidR="0081525D" w:rsidRPr="00E95BC4">
        <w:rPr>
          <w:lang w:val="sr-Cyrl-CS"/>
        </w:rPr>
        <w:t xml:space="preserve">Републике </w:t>
      </w:r>
      <w:r w:rsidRPr="00E95BC4">
        <w:rPr>
          <w:rFonts w:eastAsia="Times New Roman"/>
          <w:color w:val="auto"/>
          <w:kern w:val="0"/>
          <w:lang w:val="sr-Cyrl-CS" w:eastAsia="en-GB"/>
        </w:rPr>
        <w:t>Србије. Иако се ради о прилично неопипљивом доприносу, тиме се</w:t>
      </w:r>
      <w:r w:rsidR="001E4E03" w:rsidRPr="00E95BC4">
        <w:rPr>
          <w:rFonts w:eastAsia="Times New Roman"/>
          <w:color w:val="auto"/>
          <w:kern w:val="0"/>
          <w:lang w:val="sr-Cyrl-CS" w:eastAsia="en-GB"/>
        </w:rPr>
        <w:t xml:space="preserve"> шаље јасна порука међународним партнерима </w:t>
      </w:r>
      <w:r w:rsidRPr="00E95BC4">
        <w:rPr>
          <w:rFonts w:eastAsia="Times New Roman"/>
          <w:color w:val="auto"/>
          <w:kern w:val="0"/>
          <w:lang w:val="sr-Cyrl-CS" w:eastAsia="en-GB"/>
        </w:rPr>
        <w:t xml:space="preserve">да </w:t>
      </w:r>
      <w:r w:rsidR="0081525D" w:rsidRPr="00E95BC4">
        <w:rPr>
          <w:lang w:val="sr-Cyrl-CS"/>
        </w:rPr>
        <w:t xml:space="preserve">Република </w:t>
      </w:r>
      <w:r w:rsidRPr="00E95BC4">
        <w:rPr>
          <w:rFonts w:eastAsia="Times New Roman"/>
          <w:color w:val="auto"/>
          <w:kern w:val="0"/>
          <w:lang w:val="sr-Cyrl-CS" w:eastAsia="en-GB"/>
        </w:rPr>
        <w:t xml:space="preserve">Србија има приступ борби против прања новца и финансирања тероризма на националном нивоу и да се тај проблем решава на највишем нивоу. </w:t>
      </w:r>
    </w:p>
    <w:p w:rsidR="00EB24C3" w:rsidRPr="00E95BC4" w:rsidRDefault="001E4E03"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t xml:space="preserve">Постојање једног посебног и јединственог међусекторског документа јавне политике </w:t>
      </w:r>
      <w:r w:rsidR="00EB24C3" w:rsidRPr="00E95BC4">
        <w:rPr>
          <w:rFonts w:eastAsia="Times New Roman"/>
          <w:color w:val="auto"/>
          <w:kern w:val="0"/>
          <w:lang w:val="sr-Cyrl-CS" w:eastAsia="en-GB"/>
        </w:rPr>
        <w:t xml:space="preserve">представља доказ да држава приступа овом питању у складу са уоченим и процењеним ризицима и у координацији свих релевантних институција, као и </w:t>
      </w:r>
      <w:r w:rsidR="00DD0D6E" w:rsidRPr="00E95BC4">
        <w:rPr>
          <w:rFonts w:eastAsia="Times New Roman"/>
          <w:color w:val="auto"/>
          <w:kern w:val="0"/>
          <w:lang w:val="sr-Cyrl-CS" w:eastAsia="en-GB"/>
        </w:rPr>
        <w:t xml:space="preserve">постојања </w:t>
      </w:r>
      <w:r w:rsidR="00EB24C3" w:rsidRPr="00E95BC4">
        <w:rPr>
          <w:rFonts w:eastAsia="Times New Roman"/>
          <w:color w:val="auto"/>
          <w:kern w:val="0"/>
          <w:lang w:val="sr-Cyrl-CS" w:eastAsia="en-GB"/>
        </w:rPr>
        <w:t xml:space="preserve">значајног опредељења на високом политичком нивоу за решавање ових питања, што се очекује од држава које су посвећене глобалној борби против прања новца и финансирања тероризма. </w:t>
      </w:r>
    </w:p>
    <w:p w:rsidR="00EB24C3" w:rsidRPr="00E95BC4" w:rsidRDefault="00EB24C3" w:rsidP="00EB24C3">
      <w:pPr>
        <w:tabs>
          <w:tab w:val="left" w:pos="709"/>
        </w:tabs>
        <w:jc w:val="both"/>
        <w:rPr>
          <w:rFonts w:eastAsia="Times New Roman"/>
          <w:color w:val="auto"/>
          <w:kern w:val="0"/>
          <w:lang w:val="sr-Cyrl-CS" w:eastAsia="en-GB"/>
        </w:rPr>
      </w:pPr>
    </w:p>
    <w:p w:rsidR="004420AE" w:rsidRPr="00E95BC4" w:rsidRDefault="004420AE" w:rsidP="004420AE">
      <w:pPr>
        <w:pStyle w:val="Heading1"/>
        <w:spacing w:before="0"/>
        <w:ind w:firstLine="720"/>
        <w:rPr>
          <w:rFonts w:ascii="Times New Roman" w:hAnsi="Times New Roman" w:cs="Times New Roman"/>
          <w:color w:val="auto"/>
          <w:sz w:val="24"/>
          <w:szCs w:val="24"/>
          <w:lang w:val="sr-Cyrl-CS"/>
        </w:rPr>
      </w:pPr>
      <w:bookmarkStart w:id="8" w:name="_Toc32409897"/>
      <w:r w:rsidRPr="00E95BC4">
        <w:rPr>
          <w:rFonts w:ascii="Times New Roman" w:hAnsi="Times New Roman" w:cs="Times New Roman"/>
          <w:color w:val="auto"/>
          <w:sz w:val="24"/>
          <w:szCs w:val="24"/>
          <w:lang w:val="sr-Cyrl-CS"/>
        </w:rPr>
        <w:t>Избор оптималне опције</w:t>
      </w:r>
      <w:bookmarkEnd w:id="8"/>
    </w:p>
    <w:p w:rsidR="004420AE" w:rsidRPr="00E95BC4" w:rsidRDefault="004420AE" w:rsidP="00EB24C3">
      <w:pPr>
        <w:tabs>
          <w:tab w:val="left" w:pos="709"/>
        </w:tabs>
        <w:jc w:val="both"/>
        <w:rPr>
          <w:rFonts w:eastAsia="Times New Roman"/>
          <w:color w:val="auto"/>
          <w:kern w:val="0"/>
          <w:lang w:val="sr-Cyrl-CS" w:eastAsia="en-GB"/>
        </w:rPr>
      </w:pPr>
    </w:p>
    <w:p w:rsidR="00206857" w:rsidRPr="00E95BC4" w:rsidRDefault="004420AE" w:rsidP="00EB24C3">
      <w:pPr>
        <w:tabs>
          <w:tab w:val="left" w:pos="709"/>
        </w:tabs>
        <w:jc w:val="both"/>
        <w:rPr>
          <w:rFonts w:eastAsia="Times New Roman"/>
          <w:color w:val="auto"/>
          <w:kern w:val="0"/>
          <w:lang w:val="sr-Cyrl-CS" w:eastAsia="en-GB"/>
        </w:rPr>
      </w:pPr>
      <w:r w:rsidRPr="00E95BC4">
        <w:rPr>
          <w:rFonts w:eastAsia="Times New Roman"/>
          <w:color w:val="auto"/>
          <w:kern w:val="0"/>
          <w:lang w:val="sr-Cyrl-CS" w:eastAsia="en-GB"/>
        </w:rPr>
        <w:tab/>
        <w:t xml:space="preserve">У оквиру консултативног процеса и експертске процене, утврђено је да је најоптималније определити се за </w:t>
      </w:r>
      <w:r w:rsidR="00121E8F" w:rsidRPr="00E95BC4">
        <w:rPr>
          <w:rFonts w:eastAsia="Times New Roman"/>
          <w:color w:val="auto"/>
          <w:kern w:val="0"/>
          <w:lang w:val="sr-Cyrl-CS" w:eastAsia="en-GB"/>
        </w:rPr>
        <w:t>О</w:t>
      </w:r>
      <w:r w:rsidRPr="00E95BC4">
        <w:rPr>
          <w:rFonts w:eastAsia="Times New Roman"/>
          <w:color w:val="auto"/>
          <w:kern w:val="0"/>
          <w:lang w:val="sr-Cyrl-CS" w:eastAsia="en-GB"/>
        </w:rPr>
        <w:t>пцију 3, тј</w:t>
      </w:r>
      <w:r w:rsidR="00D17E15" w:rsidRPr="00E95BC4">
        <w:rPr>
          <w:rFonts w:eastAsia="Times New Roman"/>
          <w:color w:val="auto"/>
          <w:kern w:val="0"/>
          <w:lang w:val="sr-Cyrl-CS" w:eastAsia="en-GB"/>
        </w:rPr>
        <w:t>.</w:t>
      </w:r>
      <w:r w:rsidRPr="00E95BC4">
        <w:rPr>
          <w:rFonts w:eastAsia="Times New Roman"/>
          <w:color w:val="auto"/>
          <w:kern w:val="0"/>
          <w:lang w:val="sr-Cyrl-CS" w:eastAsia="en-GB"/>
        </w:rPr>
        <w:t xml:space="preserve"> донети јединствени међусекторски документ јавне политике</w:t>
      </w:r>
      <w:r w:rsidR="000F7156">
        <w:rPr>
          <w:rFonts w:eastAsia="Times New Roman"/>
          <w:color w:val="auto"/>
          <w:kern w:val="0"/>
          <w:lang w:val="sr-Cyrl-CS" w:eastAsia="en-GB"/>
        </w:rPr>
        <w:t>,</w:t>
      </w:r>
      <w:r w:rsidRPr="00E95BC4">
        <w:rPr>
          <w:rFonts w:eastAsia="Times New Roman"/>
          <w:color w:val="auto"/>
          <w:kern w:val="0"/>
          <w:lang w:val="sr-Cyrl-CS" w:eastAsia="en-GB"/>
        </w:rPr>
        <w:t xml:space="preserve"> односно међусекторску стратегију.</w:t>
      </w:r>
    </w:p>
    <w:p w:rsidR="00EB24C3" w:rsidRPr="00E95BC4" w:rsidRDefault="00EB24C3" w:rsidP="00EB24C3">
      <w:pPr>
        <w:tabs>
          <w:tab w:val="left" w:pos="709"/>
        </w:tabs>
        <w:jc w:val="both"/>
        <w:rPr>
          <w:lang w:val="sr-Cyrl-CS"/>
        </w:rPr>
      </w:pPr>
    </w:p>
    <w:p w:rsidR="00A278FF" w:rsidRPr="00E95BC4" w:rsidRDefault="00A278FF" w:rsidP="00285FD7">
      <w:pPr>
        <w:pStyle w:val="Heading1"/>
        <w:spacing w:before="0"/>
        <w:ind w:firstLine="720"/>
        <w:rPr>
          <w:rFonts w:ascii="Times New Roman" w:hAnsi="Times New Roman" w:cs="Times New Roman"/>
          <w:sz w:val="24"/>
          <w:szCs w:val="24"/>
          <w:lang w:val="sr-Cyrl-CS"/>
        </w:rPr>
      </w:pPr>
      <w:bookmarkStart w:id="9" w:name="_Toc32409898"/>
      <w:r w:rsidRPr="00E95BC4">
        <w:rPr>
          <w:rFonts w:ascii="Times New Roman" w:hAnsi="Times New Roman" w:cs="Times New Roman"/>
          <w:color w:val="auto"/>
          <w:sz w:val="24"/>
          <w:szCs w:val="24"/>
          <w:lang w:val="sr-Cyrl-CS"/>
        </w:rPr>
        <w:t>Мере за остваривање циља и анализа њихових ефеката</w:t>
      </w:r>
      <w:bookmarkEnd w:id="9"/>
    </w:p>
    <w:p w:rsidR="0004492D" w:rsidRPr="00E95BC4" w:rsidRDefault="0004492D" w:rsidP="00285FD7">
      <w:pPr>
        <w:pStyle w:val="ListParagraph"/>
        <w:tabs>
          <w:tab w:val="left" w:pos="990"/>
        </w:tabs>
        <w:ind w:left="1080"/>
        <w:jc w:val="both"/>
        <w:rPr>
          <w:rFonts w:eastAsia="Times New Roman"/>
          <w:color w:val="auto"/>
          <w:kern w:val="0"/>
          <w:lang w:val="sr-Cyrl-CS" w:eastAsia="en-GB"/>
        </w:rPr>
      </w:pPr>
    </w:p>
    <w:p w:rsidR="001B60B1" w:rsidRPr="00E95BC4" w:rsidRDefault="001B60B1" w:rsidP="001B60B1">
      <w:pPr>
        <w:jc w:val="both"/>
        <w:rPr>
          <w:lang w:val="sr-Cyrl-CS"/>
        </w:rPr>
      </w:pPr>
      <w:r w:rsidRPr="00E95BC4">
        <w:rPr>
          <w:lang w:val="sr-Cyrl-CS"/>
        </w:rPr>
        <w:t xml:space="preserve">У наставку се наводе мере којима се постижу утврђени посебни циљеви </w:t>
      </w:r>
      <w:r w:rsidR="000B75F7" w:rsidRPr="00E95BC4">
        <w:rPr>
          <w:lang w:val="sr-Cyrl-CS"/>
        </w:rPr>
        <w:t>С</w:t>
      </w:r>
      <w:r w:rsidRPr="00E95BC4">
        <w:rPr>
          <w:lang w:val="sr-Cyrl-CS"/>
        </w:rPr>
        <w:t xml:space="preserve">тратегије. </w:t>
      </w:r>
    </w:p>
    <w:p w:rsidR="001B60B1" w:rsidRPr="00E95BC4" w:rsidRDefault="001B60B1" w:rsidP="001B60B1">
      <w:pPr>
        <w:jc w:val="both"/>
        <w:rPr>
          <w:lang w:val="sr-Cyrl-CS"/>
        </w:rPr>
      </w:pPr>
    </w:p>
    <w:p w:rsidR="001B60B1" w:rsidRPr="00E95BC4" w:rsidRDefault="00934E82" w:rsidP="001B60B1">
      <w:pPr>
        <w:jc w:val="both"/>
        <w:rPr>
          <w:lang w:val="sr-Cyrl-CS"/>
        </w:rPr>
      </w:pPr>
      <w:r>
        <w:rPr>
          <w:noProof/>
        </w:rPr>
        <w:pict>
          <v:shape id="Text Box 6" o:spid="_x0000_s1034" type="#_x0000_t202" style="position:absolute;left:0;text-align:left;margin-left:-7.5pt;margin-top:.55pt;width:138.75pt;height:151.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" fillcolor="#a5a5a5 [2092]" stroked="f" strokecolor="#f2f2f2 [3041]" strokeweight="3pt">
            <v:shadow color="#7f7f7f [1601]" opacity=".5" offset="1pt"/>
            <v:textbox>
              <w:txbxContent>
                <w:p w:rsidR="00E902D8" w:rsidRPr="0074155A" w:rsidRDefault="00E902D8" w:rsidP="001B60B1">
                  <w:pPr>
                    <w:jc w:val="both"/>
                    <w:rPr>
                      <w:color w:val="FFFFFF" w:themeColor="background1"/>
                      <w:sz w:val="16"/>
                      <w:szCs w:val="16"/>
                    </w:rPr>
                  </w:pPr>
                  <w:r w:rsidRPr="0074155A">
                    <w:rPr>
                      <w:b/>
                      <w:color w:val="FFFFFF" w:themeColor="background1"/>
                      <w:sz w:val="16"/>
                      <w:szCs w:val="16"/>
                    </w:rPr>
                    <w:t xml:space="preserve">Посебни циљ 1: </w:t>
                  </w:r>
                  <w:r w:rsidRPr="0074155A">
                    <w:rPr>
                      <w:color w:val="FFFFFF" w:themeColor="background1"/>
                      <w:sz w:val="16"/>
                      <w:szCs w:val="16"/>
                    </w:rPr>
                    <w:t>Смањивати ризике од прања новца, финансирања тероризма и ширења оружја за масовно уништење кроз континуирано унапређење стратешког, законодавног и институционалног оквира, координацију и сарадњу свих учесника у систему борбе против прања новца и финансирања тероризма и међународну сарадњу</w:t>
                  </w:r>
                </w:p>
                <w:p w:rsidR="00E902D8" w:rsidRPr="001B60B1" w:rsidRDefault="00E902D8" w:rsidP="001B60B1">
                  <w:pPr>
                    <w:rPr>
                      <w:color w:val="FFFFFF" w:themeColor="background1"/>
                      <w:sz w:val="16"/>
                      <w:szCs w:val="16"/>
                    </w:rPr>
                  </w:pPr>
                </w:p>
              </w:txbxContent>
            </v:textbox>
            <w10:wrap type="square"/>
          </v:shape>
        </w:pict>
      </w:r>
      <w:r w:rsidR="001B60B1" w:rsidRPr="00E95BC4">
        <w:rPr>
          <w:b/>
          <w:lang w:val="sr-Cyrl-CS"/>
        </w:rPr>
        <w:t>Мера 1.1:</w:t>
      </w:r>
      <w:r w:rsidR="001B60B1" w:rsidRPr="00E95BC4">
        <w:rPr>
          <w:lang w:val="sr-Cyrl-CS"/>
        </w:rPr>
        <w:t xml:space="preserve"> Одржавање и унапређење свеобухватног разумевања ризика од прања новца и финансирања тероризма у Републици Србији</w:t>
      </w:r>
      <w:r w:rsidR="004A1E65" w:rsidRPr="00E95BC4">
        <w:rPr>
          <w:lang w:val="sr-Cyrl-CS"/>
        </w:rPr>
        <w:t>;</w:t>
      </w:r>
    </w:p>
    <w:p w:rsidR="001B60B1" w:rsidRPr="00E95BC4" w:rsidRDefault="001B60B1" w:rsidP="001B60B1">
      <w:pPr>
        <w:jc w:val="both"/>
        <w:rPr>
          <w:lang w:val="sr-Cyrl-CS"/>
        </w:rPr>
      </w:pPr>
      <w:r w:rsidRPr="00E95BC4">
        <w:rPr>
          <w:b/>
          <w:lang w:val="sr-Cyrl-CS"/>
        </w:rPr>
        <w:t>Мера 1.2:</w:t>
      </w:r>
      <w:r w:rsidRPr="00E95BC4">
        <w:rPr>
          <w:lang w:val="sr-Cyrl-CS"/>
        </w:rPr>
        <w:t xml:space="preserve"> Смањивање препознатих ризика и континуирано препознавање нових претњи и рањивости</w:t>
      </w:r>
      <w:r w:rsidR="004A1E65" w:rsidRPr="00E95BC4">
        <w:rPr>
          <w:lang w:val="sr-Cyrl-CS"/>
        </w:rPr>
        <w:t>;</w:t>
      </w:r>
    </w:p>
    <w:p w:rsidR="001B60B1" w:rsidRPr="00E95BC4" w:rsidRDefault="001B60B1" w:rsidP="001B60B1">
      <w:pPr>
        <w:jc w:val="both"/>
        <w:rPr>
          <w:lang w:val="sr-Cyrl-CS"/>
        </w:rPr>
      </w:pPr>
      <w:r w:rsidRPr="00E95BC4">
        <w:rPr>
          <w:b/>
          <w:lang w:val="sr-Cyrl-CS"/>
        </w:rPr>
        <w:t>Мера 1.</w:t>
      </w:r>
      <w:r w:rsidR="004A1E65" w:rsidRPr="00E95BC4">
        <w:rPr>
          <w:b/>
          <w:lang w:val="sr-Cyrl-CS"/>
        </w:rPr>
        <w:t>3</w:t>
      </w:r>
      <w:r w:rsidRPr="00E95BC4">
        <w:rPr>
          <w:b/>
          <w:lang w:val="sr-Cyrl-CS"/>
        </w:rPr>
        <w:t>:</w:t>
      </w:r>
      <w:r w:rsidRPr="00E95BC4">
        <w:rPr>
          <w:lang w:val="sr-Cyrl-CS"/>
        </w:rPr>
        <w:t xml:space="preserve"> Разрађивање механизама координације и сарадње између органа надлежних за надзор, финансијскообавештајне послове, истраге, поступке за прање новца и финансирање тероризма и одузимање имовине</w:t>
      </w:r>
      <w:r w:rsidR="004A1E65" w:rsidRPr="00E95BC4">
        <w:rPr>
          <w:lang w:val="sr-Cyrl-CS"/>
        </w:rPr>
        <w:t xml:space="preserve"> и унапређење међународне сарадње;</w:t>
      </w:r>
    </w:p>
    <w:p w:rsidR="001B60B1" w:rsidRPr="00E95BC4" w:rsidRDefault="001B60B1" w:rsidP="001B60B1">
      <w:pPr>
        <w:jc w:val="both"/>
        <w:rPr>
          <w:lang w:val="sr-Cyrl-CS"/>
        </w:rPr>
      </w:pPr>
      <w:r w:rsidRPr="00E95BC4">
        <w:rPr>
          <w:b/>
          <w:lang w:val="sr-Cyrl-CS"/>
        </w:rPr>
        <w:t>Мера 1.</w:t>
      </w:r>
      <w:r w:rsidR="00090975" w:rsidRPr="00E95BC4">
        <w:rPr>
          <w:b/>
          <w:lang w:val="sr-Cyrl-CS"/>
        </w:rPr>
        <w:t>4</w:t>
      </w:r>
      <w:r w:rsidR="002146DD" w:rsidRPr="00E95BC4">
        <w:rPr>
          <w:b/>
          <w:lang w:val="sr-Cyrl-CS"/>
        </w:rPr>
        <w:t>:</w:t>
      </w:r>
      <w:r w:rsidR="00090975" w:rsidRPr="00E95BC4">
        <w:rPr>
          <w:lang w:val="sr-Cyrl-CS"/>
        </w:rPr>
        <w:t xml:space="preserve"> Обезбеђење усклађености законодавних и институционалних механизама у области борбе против прања новца и финансирања тероризма са међународним стандардима</w:t>
      </w:r>
      <w:r w:rsidR="004A1E65" w:rsidRPr="00E95BC4">
        <w:rPr>
          <w:lang w:val="sr-Cyrl-CS"/>
        </w:rPr>
        <w:t>.</w:t>
      </w:r>
    </w:p>
    <w:p w:rsidR="001B60B1" w:rsidRPr="00E95BC4" w:rsidRDefault="001B60B1" w:rsidP="001B60B1">
      <w:pPr>
        <w:jc w:val="both"/>
        <w:rPr>
          <w:b/>
          <w:lang w:val="sr-Cyrl-CS"/>
        </w:rPr>
      </w:pPr>
    </w:p>
    <w:p w:rsidR="001B60B1" w:rsidRPr="00E95BC4" w:rsidRDefault="00934E82" w:rsidP="001B60B1">
      <w:pPr>
        <w:jc w:val="both"/>
        <w:rPr>
          <w:lang w:val="sr-Cyrl-CS"/>
        </w:rPr>
      </w:pPr>
      <w:r w:rsidRPr="00934E82">
        <w:rPr>
          <w:b/>
          <w:noProof/>
        </w:rPr>
        <w:pict>
          <v:shape id="Text Box 7" o:spid="_x0000_s1035" type="#_x0000_t202" style="position:absolute;left:0;text-align:left;margin-left:-3pt;margin-top:2.9pt;width:130.5pt;height:125.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" fillcolor="#a5a5a5 [2092]" stroked="f" strokecolor="#f2f2f2 [3041]" strokeweight="3pt">
            <v:shadow color="#7f7f7f [1601]" opacity=".5" offset="1pt"/>
            <v:textbox>
              <w:txbxContent>
                <w:p w:rsidR="00E902D8" w:rsidRPr="0074155A" w:rsidRDefault="00E902D8" w:rsidP="001B60B1">
                  <w:pPr>
                    <w:jc w:val="both"/>
                    <w:rPr>
                      <w:bCs/>
                      <w:color w:val="FFFFFF" w:themeColor="background1"/>
                      <w:sz w:val="16"/>
                      <w:szCs w:val="16"/>
                    </w:rPr>
                  </w:pPr>
                  <w:r w:rsidRPr="0074155A">
                    <w:rPr>
                      <w:b/>
                      <w:color w:val="FFFFFF" w:themeColor="background1"/>
                      <w:sz w:val="16"/>
                      <w:szCs w:val="16"/>
                    </w:rPr>
                    <w:t xml:space="preserve">Посебни циљ 2: </w:t>
                  </w:r>
                  <w:r w:rsidRPr="0074155A">
                    <w:rPr>
                      <w:color w:val="FFFFFF" w:themeColor="background1"/>
                      <w:sz w:val="16"/>
                      <w:szCs w:val="16"/>
                    </w:rPr>
                    <w:t>Спречити уношење у финансијски и нефинансијски систем имовине за коју се сумња да је стечена кривичним делом или која је намењена финансирању</w:t>
                  </w:r>
                  <w:r w:rsidRPr="0074155A">
                    <w:rPr>
                      <w:sz w:val="16"/>
                      <w:szCs w:val="16"/>
                    </w:rPr>
                    <w:t xml:space="preserve"> </w:t>
                  </w:r>
                  <w:r w:rsidRPr="0074155A">
                    <w:rPr>
                      <w:color w:val="FFFFFF" w:themeColor="background1"/>
                      <w:sz w:val="16"/>
                      <w:szCs w:val="16"/>
                    </w:rPr>
                    <w:t>тероризма или ширењу оружја за масовно уништење, односно унапредити откривање такве имовине уколико је већ у систему</w:t>
                  </w:r>
                </w:p>
                <w:p w:rsidR="00E902D8" w:rsidRPr="001B60B1" w:rsidRDefault="00E902D8" w:rsidP="001B60B1">
                  <w:pPr>
                    <w:rPr>
                      <w:sz w:val="16"/>
                      <w:szCs w:val="16"/>
                    </w:rPr>
                  </w:pPr>
                </w:p>
              </w:txbxContent>
            </v:textbox>
            <w10:wrap type="square"/>
          </v:shape>
        </w:pict>
      </w:r>
      <w:r w:rsidR="002146DD" w:rsidRPr="00E95BC4">
        <w:rPr>
          <w:b/>
          <w:lang w:val="sr-Cyrl-CS"/>
        </w:rPr>
        <w:t>Мера 2.1:</w:t>
      </w:r>
      <w:r w:rsidR="001B60B1" w:rsidRPr="00E95BC4">
        <w:rPr>
          <w:lang w:val="sr-Cyrl-CS"/>
        </w:rPr>
        <w:t xml:space="preserve"> Унапређење ефикасности праћења и квалитета пријава сумњивих активности које достављају обвезници</w:t>
      </w:r>
      <w:r w:rsidR="004A1E65" w:rsidRPr="00E95BC4">
        <w:rPr>
          <w:lang w:val="sr-Cyrl-CS"/>
        </w:rPr>
        <w:t>;</w:t>
      </w:r>
    </w:p>
    <w:p w:rsidR="004A1E65" w:rsidRPr="00E95BC4" w:rsidRDefault="002146DD" w:rsidP="001B60B1">
      <w:pPr>
        <w:jc w:val="both"/>
        <w:rPr>
          <w:lang w:val="sr-Cyrl-CS"/>
        </w:rPr>
      </w:pPr>
      <w:r w:rsidRPr="00E95BC4">
        <w:rPr>
          <w:b/>
          <w:lang w:val="sr-Cyrl-CS"/>
        </w:rPr>
        <w:t>Мера 2.2:</w:t>
      </w:r>
      <w:r w:rsidR="001B60B1" w:rsidRPr="00E95BC4">
        <w:rPr>
          <w:lang w:val="sr-Cyrl-CS"/>
        </w:rPr>
        <w:t xml:space="preserve"> Спречавање злоупотребе финансијског и нефинансијског сектора за сврхе прања новца, финансирања тероризма и ширења оружја за масовно уништење кроз мере познавања и праћења странке код обвезника</w:t>
      </w:r>
      <w:r w:rsidR="004A1E65" w:rsidRPr="00E95BC4">
        <w:rPr>
          <w:lang w:val="sr-Cyrl-CS"/>
        </w:rPr>
        <w:t>;</w:t>
      </w:r>
    </w:p>
    <w:p w:rsidR="001B60B1" w:rsidRPr="00E95BC4" w:rsidRDefault="002146DD" w:rsidP="001B60B1">
      <w:pPr>
        <w:jc w:val="both"/>
        <w:rPr>
          <w:lang w:val="sr-Cyrl-CS"/>
        </w:rPr>
      </w:pPr>
      <w:r w:rsidRPr="00E95BC4">
        <w:rPr>
          <w:b/>
          <w:lang w:val="sr-Cyrl-CS"/>
        </w:rPr>
        <w:lastRenderedPageBreak/>
        <w:t>Мера 2.3:</w:t>
      </w:r>
      <w:r w:rsidR="001B60B1" w:rsidRPr="00E95BC4">
        <w:rPr>
          <w:lang w:val="sr-Cyrl-CS"/>
        </w:rPr>
        <w:t xml:space="preserve"> Унапређење рада надзорних органа по Закону о спречавању прања новца и финансирања тероризма у складу са ризицима утврђеним у националној процени ризика</w:t>
      </w:r>
      <w:r w:rsidR="00842D2B" w:rsidRPr="00E95BC4">
        <w:rPr>
          <w:lang w:val="sr-Cyrl-CS"/>
        </w:rPr>
        <w:t>.</w:t>
      </w:r>
    </w:p>
    <w:p w:rsidR="001B60B1" w:rsidRPr="00E95BC4" w:rsidRDefault="001B60B1" w:rsidP="001B60B1">
      <w:pPr>
        <w:jc w:val="both"/>
        <w:rPr>
          <w:bCs/>
          <w:lang w:val="sr-Cyrl-CS"/>
        </w:rPr>
      </w:pPr>
    </w:p>
    <w:p w:rsidR="001B60B1" w:rsidRPr="00E95BC4" w:rsidRDefault="00934E82" w:rsidP="001B60B1">
      <w:pPr>
        <w:jc w:val="both"/>
        <w:rPr>
          <w:lang w:val="sr-Cyrl-CS"/>
        </w:rPr>
      </w:pPr>
      <w:r w:rsidRPr="00934E82">
        <w:rPr>
          <w:bCs/>
          <w:noProof/>
        </w:rPr>
        <w:pict>
          <v:shape id="Text Box 8" o:spid="_x0000_s1036" type="#_x0000_t202" style="position:absolute;left:0;text-align:left;margin-left:0;margin-top:.1pt;width:130.5pt;height:62.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" fillcolor="#a5a5a5 [2092]" stroked="f" strokecolor="#f2f2f2 [3041]" strokeweight="3pt">
            <v:shadow color="#7f7f7f [1601]" opacity=".5" offset="1pt"/>
            <v:textbox>
              <w:txbxContent>
                <w:p w:rsidR="00E902D8" w:rsidRPr="0074155A" w:rsidRDefault="00E902D8" w:rsidP="001B60B1">
                  <w:pPr>
                    <w:jc w:val="both"/>
                    <w:rPr>
                      <w:sz w:val="16"/>
                      <w:szCs w:val="16"/>
                    </w:rPr>
                  </w:pPr>
                  <w:r w:rsidRPr="0074155A">
                    <w:rPr>
                      <w:b/>
                      <w:color w:val="FFFFFF" w:themeColor="background1"/>
                      <w:sz w:val="16"/>
                      <w:szCs w:val="16"/>
                    </w:rPr>
                    <w:t>Посебни циљ 3:</w:t>
                  </w:r>
                  <w:r w:rsidRPr="0074155A">
                    <w:rPr>
                      <w:b/>
                      <w:bCs/>
                      <w:color w:val="FFFFFF" w:themeColor="background1"/>
                      <w:sz w:val="16"/>
                      <w:szCs w:val="16"/>
                    </w:rPr>
                    <w:t xml:space="preserve"> </w:t>
                  </w:r>
                  <w:r w:rsidRPr="0074155A">
                    <w:rPr>
                      <w:bCs/>
                      <w:color w:val="FFFFFF" w:themeColor="background1"/>
                      <w:sz w:val="16"/>
                      <w:szCs w:val="16"/>
                    </w:rPr>
                    <w:t>Eфикасно и делотворно кажњавати учиниоце кривичног дела прање новца и одузимати незаконито стечену имовину.</w:t>
                  </w:r>
                </w:p>
              </w:txbxContent>
            </v:textbox>
            <w10:wrap type="square"/>
          </v:shape>
        </w:pict>
      </w:r>
      <w:r w:rsidR="001B60B1" w:rsidRPr="00E95BC4">
        <w:rPr>
          <w:b/>
          <w:bCs/>
          <w:color w:val="auto"/>
          <w:lang w:val="sr-Cyrl-CS"/>
        </w:rPr>
        <w:t>Мера 3.</w:t>
      </w:r>
      <w:r w:rsidR="00326EA5" w:rsidRPr="00E95BC4">
        <w:rPr>
          <w:b/>
          <w:bCs/>
          <w:color w:val="auto"/>
          <w:lang w:val="sr-Cyrl-CS"/>
        </w:rPr>
        <w:t>1</w:t>
      </w:r>
      <w:r w:rsidR="002146DD" w:rsidRPr="00E95BC4">
        <w:rPr>
          <w:b/>
          <w:lang w:val="sr-Cyrl-CS"/>
        </w:rPr>
        <w:t>:</w:t>
      </w:r>
      <w:r w:rsidR="001B60B1" w:rsidRPr="00E95BC4">
        <w:rPr>
          <w:lang w:val="sr-Cyrl-CS"/>
        </w:rPr>
        <w:t xml:space="preserve"> </w:t>
      </w:r>
      <w:r w:rsidR="00326EA5" w:rsidRPr="00E95BC4">
        <w:rPr>
          <w:lang w:val="sr-Cyrl-CS"/>
        </w:rPr>
        <w:t>Унапређење делотворности државних органа надлежних за откривање, кривично гоњење и суђење за кривично дело прање новца у складу са резултатима процене ризика и препорукама Манивала у процесу евалуације</w:t>
      </w:r>
      <w:r w:rsidR="00370282" w:rsidRPr="00E95BC4">
        <w:rPr>
          <w:lang w:val="sr-Cyrl-CS"/>
        </w:rPr>
        <w:t xml:space="preserve"> Републике</w:t>
      </w:r>
      <w:r w:rsidR="00326EA5" w:rsidRPr="00E95BC4">
        <w:rPr>
          <w:lang w:val="sr-Cyrl-CS"/>
        </w:rPr>
        <w:t xml:space="preserve"> Србије</w:t>
      </w:r>
      <w:r w:rsidR="00842D2B" w:rsidRPr="00E95BC4">
        <w:rPr>
          <w:lang w:val="sr-Cyrl-CS"/>
        </w:rPr>
        <w:t>;</w:t>
      </w:r>
    </w:p>
    <w:p w:rsidR="001B60B1" w:rsidRPr="00E95BC4" w:rsidRDefault="001B60B1" w:rsidP="001B60B1">
      <w:pPr>
        <w:jc w:val="both"/>
        <w:rPr>
          <w:lang w:val="sr-Cyrl-CS"/>
        </w:rPr>
      </w:pPr>
      <w:r w:rsidRPr="00E95BC4">
        <w:rPr>
          <w:b/>
          <w:lang w:val="sr-Cyrl-CS"/>
        </w:rPr>
        <w:t>Мера 3.</w:t>
      </w:r>
      <w:r w:rsidR="00326EA5" w:rsidRPr="00E95BC4">
        <w:rPr>
          <w:b/>
          <w:lang w:val="sr-Cyrl-CS"/>
        </w:rPr>
        <w:t>2</w:t>
      </w:r>
      <w:r w:rsidRPr="00E95BC4">
        <w:rPr>
          <w:b/>
          <w:lang w:val="sr-Cyrl-CS"/>
        </w:rPr>
        <w:t>:</w:t>
      </w:r>
      <w:r w:rsidRPr="00E95BC4">
        <w:rPr>
          <w:lang w:val="sr-Cyrl-CS"/>
        </w:rPr>
        <w:t xml:space="preserve"> Изрицање делотворних и одвраћајућих кривичних санкција</w:t>
      </w:r>
      <w:r w:rsidR="00842D2B" w:rsidRPr="00E95BC4">
        <w:rPr>
          <w:lang w:val="sr-Cyrl-CS"/>
        </w:rPr>
        <w:t>;</w:t>
      </w:r>
    </w:p>
    <w:p w:rsidR="001B60B1" w:rsidRPr="00E95BC4" w:rsidRDefault="001B60B1" w:rsidP="001B60B1">
      <w:pPr>
        <w:jc w:val="both"/>
        <w:rPr>
          <w:lang w:val="sr-Cyrl-CS"/>
        </w:rPr>
      </w:pPr>
      <w:r w:rsidRPr="00E95BC4">
        <w:rPr>
          <w:b/>
          <w:lang w:val="sr-Cyrl-CS"/>
        </w:rPr>
        <w:t>Мера 3.</w:t>
      </w:r>
      <w:r w:rsidR="00326EA5" w:rsidRPr="00E95BC4">
        <w:rPr>
          <w:b/>
          <w:lang w:val="sr-Cyrl-CS"/>
        </w:rPr>
        <w:t>3</w:t>
      </w:r>
      <w:r w:rsidRPr="00E95BC4">
        <w:rPr>
          <w:b/>
          <w:lang w:val="sr-Cyrl-CS"/>
        </w:rPr>
        <w:t>:</w:t>
      </w:r>
      <w:r w:rsidRPr="00E95BC4">
        <w:rPr>
          <w:lang w:val="sr-Cyrl-CS"/>
        </w:rPr>
        <w:t xml:space="preserve"> Ефективно одузимање незаконито стечене имовине</w:t>
      </w:r>
      <w:r w:rsidR="00842D2B" w:rsidRPr="00E95BC4">
        <w:rPr>
          <w:lang w:val="sr-Cyrl-CS"/>
        </w:rPr>
        <w:t>.</w:t>
      </w:r>
    </w:p>
    <w:p w:rsidR="001B60B1" w:rsidRPr="00E95BC4" w:rsidRDefault="001B60B1" w:rsidP="001B60B1">
      <w:pPr>
        <w:jc w:val="both"/>
        <w:rPr>
          <w:lang w:val="sr-Cyrl-CS"/>
        </w:rPr>
      </w:pPr>
    </w:p>
    <w:p w:rsidR="001B60B1" w:rsidRPr="00E95BC4" w:rsidRDefault="00934E82" w:rsidP="001B60B1">
      <w:pPr>
        <w:jc w:val="both"/>
        <w:rPr>
          <w:lang w:val="sr-Cyrl-CS"/>
        </w:rPr>
      </w:pPr>
      <w:r w:rsidRPr="00934E82">
        <w:rPr>
          <w:b/>
          <w:noProof/>
        </w:rPr>
        <w:pict>
          <v:shape id="Text Box 9" o:spid="_x0000_s1037" type="#_x0000_t202" style="position:absolute;left:0;text-align:left;margin-left:0;margin-top:1.6pt;width:130.5pt;height:73.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" fillcolor="#a5a5a5 [2092]" stroked="f" strokecolor="#f2f2f2 [3041]" strokeweight="3pt">
            <v:shadow color="#7f7f7f [1601]" opacity=".5" offset="1pt"/>
            <v:textbox>
              <w:txbxContent>
                <w:p w:rsidR="00E902D8" w:rsidRPr="0074155A" w:rsidRDefault="00E902D8" w:rsidP="001B60B1">
                  <w:pPr>
                    <w:jc w:val="both"/>
                    <w:rPr>
                      <w:b/>
                      <w:color w:val="FFFFFF" w:themeColor="background1"/>
                      <w:sz w:val="16"/>
                      <w:szCs w:val="16"/>
                    </w:rPr>
                  </w:pPr>
                  <w:r w:rsidRPr="0074155A">
                    <w:rPr>
                      <w:b/>
                      <w:color w:val="FFFFFF" w:themeColor="background1"/>
                      <w:sz w:val="16"/>
                      <w:szCs w:val="16"/>
                    </w:rPr>
                    <w:t xml:space="preserve">Посебни циљ 4: </w:t>
                  </w:r>
                  <w:r w:rsidRPr="0074155A">
                    <w:rPr>
                      <w:color w:val="FFFFFF" w:themeColor="background1"/>
                      <w:sz w:val="16"/>
                      <w:szCs w:val="16"/>
                    </w:rPr>
                    <w:t>Уочавати и отклањати претње од финансирања тероризма и кажњавати извршиоце кривичног дела</w:t>
                  </w:r>
                  <w:r w:rsidRPr="0074155A">
                    <w:rPr>
                      <w:b/>
                      <w:color w:val="FFFFFF" w:themeColor="background1"/>
                      <w:sz w:val="16"/>
                      <w:szCs w:val="16"/>
                    </w:rPr>
                    <w:t xml:space="preserve"> </w:t>
                  </w:r>
                  <w:r w:rsidRPr="0074155A">
                    <w:rPr>
                      <w:color w:val="FFFFFF" w:themeColor="background1"/>
                      <w:sz w:val="16"/>
                      <w:szCs w:val="16"/>
                    </w:rPr>
                    <w:t>финансирања</w:t>
                  </w:r>
                  <w:r w:rsidRPr="0074155A">
                    <w:rPr>
                      <w:b/>
                      <w:color w:val="FFFFFF" w:themeColor="background1"/>
                      <w:sz w:val="16"/>
                      <w:szCs w:val="16"/>
                    </w:rPr>
                    <w:t xml:space="preserve"> </w:t>
                  </w:r>
                  <w:r w:rsidRPr="0074155A">
                    <w:rPr>
                      <w:color w:val="FFFFFF" w:themeColor="background1"/>
                      <w:sz w:val="16"/>
                      <w:szCs w:val="16"/>
                    </w:rPr>
                    <w:t>тероризма</w:t>
                  </w:r>
                </w:p>
                <w:p w:rsidR="00E902D8" w:rsidRPr="001B60B1" w:rsidRDefault="00E902D8" w:rsidP="001B60B1">
                  <w:pPr>
                    <w:jc w:val="both"/>
                    <w:rPr>
                      <w:sz w:val="16"/>
                      <w:szCs w:val="16"/>
                    </w:rPr>
                  </w:pPr>
                </w:p>
              </w:txbxContent>
            </v:textbox>
            <w10:wrap type="square"/>
          </v:shape>
        </w:pict>
      </w:r>
      <w:r w:rsidR="001B60B1" w:rsidRPr="00E95BC4">
        <w:rPr>
          <w:b/>
          <w:lang w:val="sr-Cyrl-CS"/>
        </w:rPr>
        <w:t>Мера 4.1:</w:t>
      </w:r>
      <w:r w:rsidR="001B60B1" w:rsidRPr="00E95BC4">
        <w:rPr>
          <w:lang w:val="sr-Cyrl-CS"/>
        </w:rPr>
        <w:t xml:space="preserve"> Обезбеђење одрживости система истраживања и кривичног гоњења у случајевима финансирања тероризма</w:t>
      </w:r>
      <w:r w:rsidR="00842D2B" w:rsidRPr="00E95BC4">
        <w:rPr>
          <w:lang w:val="sr-Cyrl-CS"/>
        </w:rPr>
        <w:t>;</w:t>
      </w:r>
    </w:p>
    <w:p w:rsidR="001B60B1" w:rsidRPr="00E95BC4" w:rsidRDefault="001B60B1" w:rsidP="001B60B1">
      <w:pPr>
        <w:jc w:val="both"/>
        <w:rPr>
          <w:lang w:val="sr-Cyrl-CS"/>
        </w:rPr>
      </w:pPr>
      <w:r w:rsidRPr="00E95BC4">
        <w:rPr>
          <w:b/>
          <w:lang w:val="sr-Cyrl-CS"/>
        </w:rPr>
        <w:t>Мера 4.2:</w:t>
      </w:r>
      <w:r w:rsidRPr="00E95BC4">
        <w:rPr>
          <w:lang w:val="sr-Cyrl-CS"/>
        </w:rPr>
        <w:t xml:space="preserve"> Обезбеђење ефикасности спровођења активности на праћењу прекограничних ризика за финансирање тероризма</w:t>
      </w:r>
      <w:r w:rsidR="00842D2B" w:rsidRPr="00E95BC4">
        <w:rPr>
          <w:lang w:val="sr-Cyrl-CS"/>
        </w:rPr>
        <w:t>;</w:t>
      </w:r>
    </w:p>
    <w:p w:rsidR="001B60B1" w:rsidRPr="00E95BC4" w:rsidRDefault="001B60B1" w:rsidP="001B60B1">
      <w:pPr>
        <w:jc w:val="both"/>
        <w:rPr>
          <w:lang w:val="sr-Cyrl-CS"/>
        </w:rPr>
      </w:pPr>
      <w:r w:rsidRPr="00E95BC4">
        <w:rPr>
          <w:b/>
          <w:lang w:val="sr-Cyrl-CS"/>
        </w:rPr>
        <w:t>Мера 4.3:</w:t>
      </w:r>
      <w:r w:rsidRPr="00E95BC4">
        <w:rPr>
          <w:lang w:val="sr-Cyrl-CS"/>
        </w:rPr>
        <w:t xml:space="preserve"> </w:t>
      </w:r>
      <w:r w:rsidR="00D17BB2" w:rsidRPr="00E95BC4">
        <w:rPr>
          <w:lang w:val="sr-Cyrl-CS"/>
        </w:rPr>
        <w:t>Унапређење оквира за спречавање злоупотребе непрофитног сектора у сврхе финансирања тероризма кроз активну сарадњу између јавног и непрофитног сектора</w:t>
      </w:r>
      <w:r w:rsidR="00842D2B" w:rsidRPr="00E95BC4">
        <w:rPr>
          <w:lang w:val="sr-Cyrl-CS"/>
        </w:rPr>
        <w:t>;</w:t>
      </w:r>
    </w:p>
    <w:p w:rsidR="001B60B1" w:rsidRPr="00E95BC4" w:rsidRDefault="001B60B1" w:rsidP="001B60B1">
      <w:pPr>
        <w:jc w:val="both"/>
        <w:rPr>
          <w:lang w:val="sr-Cyrl-CS"/>
        </w:rPr>
      </w:pPr>
      <w:r w:rsidRPr="00E95BC4">
        <w:rPr>
          <w:b/>
          <w:lang w:val="sr-Cyrl-CS"/>
        </w:rPr>
        <w:t>Мера 4.4:</w:t>
      </w:r>
      <w:r w:rsidRPr="00E95BC4">
        <w:rPr>
          <w:lang w:val="sr-Cyrl-CS"/>
        </w:rPr>
        <w:t xml:space="preserve"> Унапређење и ефикасна примена нормативног оквира који се односи на спречавање финансирања тероризма</w:t>
      </w:r>
      <w:r w:rsidR="00842D2B" w:rsidRPr="00E95BC4">
        <w:rPr>
          <w:lang w:val="sr-Cyrl-CS"/>
        </w:rPr>
        <w:t>.</w:t>
      </w:r>
    </w:p>
    <w:p w:rsidR="00B150CA" w:rsidRPr="00E95BC4" w:rsidRDefault="00B150CA" w:rsidP="001B60B1">
      <w:pPr>
        <w:jc w:val="both"/>
        <w:rPr>
          <w:lang w:val="sr-Cyrl-CS"/>
        </w:rPr>
      </w:pPr>
    </w:p>
    <w:p w:rsidR="00465BE6" w:rsidRPr="00E95BC4" w:rsidRDefault="00206857" w:rsidP="00465BE6">
      <w:pPr>
        <w:ind w:firstLine="720"/>
        <w:jc w:val="both"/>
        <w:rPr>
          <w:lang w:val="sr-Cyrl-CS"/>
        </w:rPr>
      </w:pPr>
      <w:r w:rsidRPr="00E95BC4">
        <w:rPr>
          <w:b/>
          <w:lang w:val="sr-Cyrl-CS"/>
        </w:rPr>
        <w:t>Ефекти мера</w:t>
      </w:r>
      <w:r w:rsidR="00465BE6" w:rsidRPr="00E95BC4">
        <w:rPr>
          <w:b/>
          <w:lang w:val="sr-Cyrl-CS"/>
        </w:rPr>
        <w:t>.</w:t>
      </w:r>
      <w:r w:rsidR="00465BE6" w:rsidRPr="00E95BC4">
        <w:rPr>
          <w:lang w:val="sr-Cyrl-CS"/>
        </w:rPr>
        <w:t xml:space="preserve"> Остваривањем напред наведених циљева, тежи се постизању следећих жељених стања:</w:t>
      </w:r>
    </w:p>
    <w:p w:rsidR="003F4F08" w:rsidRPr="00E95BC4" w:rsidRDefault="003F4F08" w:rsidP="00465BE6">
      <w:pPr>
        <w:ind w:firstLine="720"/>
        <w:jc w:val="both"/>
        <w:rPr>
          <w:lang w:val="sr-Cyrl-CS"/>
        </w:rPr>
      </w:pPr>
    </w:p>
    <w:p w:rsidR="00465BE6" w:rsidRPr="00E95BC4" w:rsidRDefault="00465BE6" w:rsidP="00465BE6">
      <w:pPr>
        <w:pStyle w:val="ListParagraph"/>
        <w:numPr>
          <w:ilvl w:val="0"/>
          <w:numId w:val="13"/>
        </w:numPr>
        <w:jc w:val="both"/>
        <w:rPr>
          <w:lang w:val="sr-Cyrl-CS"/>
        </w:rPr>
      </w:pPr>
      <w:r w:rsidRPr="00E95BC4">
        <w:rPr>
          <w:lang w:val="sr-Cyrl-CS"/>
        </w:rPr>
        <w:t>Добро разумевање ризика омогућиће надлежним државним органима и другим учесницима у систему да утврђуј</w:t>
      </w:r>
      <w:r w:rsidR="00345568">
        <w:rPr>
          <w:lang w:val="sr-Cyrl-CS"/>
        </w:rPr>
        <w:t>у приоритете у свом раду, укључ</w:t>
      </w:r>
      <w:r w:rsidRPr="00E95BC4">
        <w:rPr>
          <w:lang w:val="sr-Cyrl-CS"/>
        </w:rPr>
        <w:t xml:space="preserve">ујући и истраге и контролу примене прописа, </w:t>
      </w:r>
      <w:r w:rsidR="003F4F08" w:rsidRPr="00E95BC4">
        <w:rPr>
          <w:lang w:val="sr-Cyrl-CS"/>
        </w:rPr>
        <w:t>водећи рачуна о најважнијим претњама по систем и његовим слабим тачкама</w:t>
      </w:r>
      <w:r w:rsidRPr="00E95BC4">
        <w:rPr>
          <w:lang w:val="sr-Cyrl-CS"/>
        </w:rPr>
        <w:t xml:space="preserve">. Обвезници и надзорни органи ће помоћу квалитетних анализа ризика </w:t>
      </w:r>
      <w:r w:rsidR="003F4F08" w:rsidRPr="00E95BC4">
        <w:rPr>
          <w:lang w:val="sr-Cyrl-CS"/>
        </w:rPr>
        <w:t xml:space="preserve">сачињавати </w:t>
      </w:r>
      <w:r w:rsidRPr="00E95BC4">
        <w:rPr>
          <w:lang w:val="sr-Cyrl-CS"/>
        </w:rPr>
        <w:t>сопствене анализе и утврђивати приоритете у свом раду и контролама</w:t>
      </w:r>
      <w:r w:rsidR="003F4F08" w:rsidRPr="00E95BC4">
        <w:rPr>
          <w:lang w:val="sr-Cyrl-CS"/>
        </w:rPr>
        <w:t xml:space="preserve"> имајући у виду процене ризика</w:t>
      </w:r>
      <w:r w:rsidRPr="00E95BC4">
        <w:rPr>
          <w:lang w:val="sr-Cyrl-CS"/>
        </w:rPr>
        <w:t>. Те ризике ће разумети сви учесници у систему и шира јавност;</w:t>
      </w:r>
    </w:p>
    <w:p w:rsidR="00465BE6" w:rsidRPr="00E95BC4" w:rsidRDefault="00465BE6" w:rsidP="00465BE6">
      <w:pPr>
        <w:pStyle w:val="ListParagraph"/>
        <w:numPr>
          <w:ilvl w:val="0"/>
          <w:numId w:val="13"/>
        </w:numPr>
        <w:jc w:val="both"/>
        <w:rPr>
          <w:lang w:val="sr-Cyrl-CS"/>
        </w:rPr>
      </w:pPr>
      <w:r w:rsidRPr="00E95BC4">
        <w:rPr>
          <w:lang w:val="sr-Cyrl-CS"/>
        </w:rPr>
        <w:t>Делотворнији рад довешће до повећања броја успешно решених случајева на којима је било ангажовано више различитих државних органа и допринети бољем разумевању ризика;</w:t>
      </w:r>
    </w:p>
    <w:p w:rsidR="00465BE6" w:rsidRPr="00E95BC4" w:rsidRDefault="00465BE6" w:rsidP="00465BE6">
      <w:pPr>
        <w:pStyle w:val="ListParagraph"/>
        <w:numPr>
          <w:ilvl w:val="0"/>
          <w:numId w:val="13"/>
        </w:numPr>
        <w:jc w:val="both"/>
        <w:rPr>
          <w:lang w:val="sr-Cyrl-CS"/>
        </w:rPr>
      </w:pPr>
      <w:r w:rsidRPr="00E95BC4">
        <w:rPr>
          <w:lang w:val="sr-Cyrl-CS"/>
        </w:rPr>
        <w:t>Бољи квалитет извештаја о сумњивим активностима, које доставља приватни сектор</w:t>
      </w:r>
      <w:r w:rsidR="00C642CC" w:rsidRPr="00E95BC4">
        <w:rPr>
          <w:lang w:val="sr-Cyrl-CS"/>
        </w:rPr>
        <w:t xml:space="preserve"> Управи за спречавање прања новца</w:t>
      </w:r>
      <w:r w:rsidRPr="00E95BC4">
        <w:rPr>
          <w:lang w:val="sr-Cyrl-CS"/>
        </w:rPr>
        <w:t>, допринеће квалитету извештаја које сачињавају Управа за спречавање прања новца и други надлежни органи, нарочито у областима у којима је утврђен висок степен ризика;</w:t>
      </w:r>
    </w:p>
    <w:p w:rsidR="00465BE6" w:rsidRPr="00E95BC4" w:rsidRDefault="00465BE6" w:rsidP="00465BE6">
      <w:pPr>
        <w:pStyle w:val="ListParagraph"/>
        <w:numPr>
          <w:ilvl w:val="0"/>
          <w:numId w:val="13"/>
        </w:numPr>
        <w:jc w:val="both"/>
        <w:rPr>
          <w:lang w:val="sr-Cyrl-CS"/>
        </w:rPr>
      </w:pPr>
      <w:r w:rsidRPr="00E95BC4">
        <w:rPr>
          <w:lang w:val="sr-Cyrl-CS"/>
        </w:rPr>
        <w:t xml:space="preserve">Извршиоци кривичних дела ће се ефикасно спречавати у покушају злоупотребе финансијског и других сектора, али тако да се у најмањој могућој мери негативно утиче на пословање и на доступност услуга финансијског и других сектора корисницима. Органи који учествују у истрагама моћи ће брзо да дођу до информација које прикупљају обвезници у оквиру радњи и мера познавања и праћења странке. Надзорни органи ће омогућавати стицање власништва искључиво у складу са стандардом стручности и подобности (енгл. </w:t>
      </w:r>
      <w:r w:rsidRPr="00E95BC4">
        <w:rPr>
          <w:i/>
          <w:iCs/>
          <w:lang w:val="sr-Cyrl-CS"/>
        </w:rPr>
        <w:t>„fit and proper”</w:t>
      </w:r>
      <w:r w:rsidRPr="00E95BC4">
        <w:rPr>
          <w:lang w:val="sr-Cyrl-CS"/>
        </w:rPr>
        <w:t>);</w:t>
      </w:r>
    </w:p>
    <w:p w:rsidR="00465BE6" w:rsidRPr="00E95BC4" w:rsidRDefault="00465BE6" w:rsidP="00465BE6">
      <w:pPr>
        <w:pStyle w:val="ListParagraph"/>
        <w:numPr>
          <w:ilvl w:val="0"/>
          <w:numId w:val="13"/>
        </w:numPr>
        <w:jc w:val="both"/>
        <w:rPr>
          <w:lang w:val="sr-Cyrl-CS"/>
        </w:rPr>
      </w:pPr>
      <w:r w:rsidRPr="00E95BC4">
        <w:rPr>
          <w:lang w:val="sr-Cyrl-CS"/>
        </w:rPr>
        <w:lastRenderedPageBreak/>
        <w:t>Надзорни органи из Закона о спречавању прања новца и финансирања тероризма вршиће надзор, праћење и регулисање рада финансијских институција и одређених правних и физичких лица ван финансијског сектора сразмерно утврђеним ризицима за сваку делатност;</w:t>
      </w:r>
    </w:p>
    <w:p w:rsidR="00465BE6" w:rsidRPr="00E95BC4" w:rsidRDefault="00465BE6" w:rsidP="00465BE6">
      <w:pPr>
        <w:pStyle w:val="ListParagraph"/>
        <w:numPr>
          <w:ilvl w:val="0"/>
          <w:numId w:val="13"/>
        </w:numPr>
        <w:jc w:val="both"/>
        <w:rPr>
          <w:lang w:val="sr-Cyrl-CS"/>
        </w:rPr>
      </w:pPr>
      <w:r w:rsidRPr="00E95BC4">
        <w:rPr>
          <w:lang w:val="sr-Cyrl-CS"/>
        </w:rPr>
        <w:t>Унапредиће се квалитет информација и учесталост њихове размене. Случајеви прања новца и финансирања тероризма ће се откривати делотворније и ефикасније. То ће помоћи тужиоцима у утврђивању постојања елемената кривичног дела и обезбедити им доказе потребне за успешно кривично гоњење;</w:t>
      </w:r>
    </w:p>
    <w:p w:rsidR="00465BE6" w:rsidRPr="00E95BC4" w:rsidRDefault="00465BE6" w:rsidP="00465BE6">
      <w:pPr>
        <w:pStyle w:val="ListParagraph"/>
        <w:numPr>
          <w:ilvl w:val="0"/>
          <w:numId w:val="13"/>
        </w:numPr>
        <w:jc w:val="both"/>
        <w:rPr>
          <w:lang w:val="sr-Cyrl-CS"/>
        </w:rPr>
      </w:pPr>
      <w:r w:rsidRPr="00E95BC4">
        <w:rPr>
          <w:lang w:val="sr-Cyrl-CS"/>
        </w:rPr>
        <w:t>Успешно ће се решити већи број случајева прања новца, посебно и финансирања тероризма</w:t>
      </w:r>
      <w:r w:rsidR="00C642CC" w:rsidRPr="00E95BC4">
        <w:rPr>
          <w:lang w:val="sr-Cyrl-CS"/>
        </w:rPr>
        <w:t xml:space="preserve"> и обезбедити да се имовина стечена кривичним делом или намењена</w:t>
      </w:r>
      <w:r w:rsidRPr="00E95BC4">
        <w:rPr>
          <w:lang w:val="sr-Cyrl-CS"/>
        </w:rPr>
        <w:t xml:space="preserve"> финансирању тероризма</w:t>
      </w:r>
      <w:r w:rsidR="00C642CC" w:rsidRPr="00E95BC4">
        <w:rPr>
          <w:lang w:val="sr-Cyrl-CS"/>
        </w:rPr>
        <w:t xml:space="preserve"> одузима</w:t>
      </w:r>
      <w:r w:rsidRPr="00E95BC4">
        <w:rPr>
          <w:lang w:val="sr-Cyrl-CS"/>
        </w:rPr>
        <w:t>;</w:t>
      </w:r>
    </w:p>
    <w:p w:rsidR="00C642CC" w:rsidRPr="00E95BC4" w:rsidRDefault="00465BE6" w:rsidP="00465BE6">
      <w:pPr>
        <w:pStyle w:val="ListParagraph"/>
        <w:numPr>
          <w:ilvl w:val="0"/>
          <w:numId w:val="13"/>
        </w:numPr>
        <w:jc w:val="both"/>
        <w:rPr>
          <w:lang w:val="sr-Cyrl-CS"/>
        </w:rPr>
      </w:pPr>
      <w:r w:rsidRPr="00E95BC4">
        <w:rPr>
          <w:lang w:val="sr-Cyrl-CS"/>
        </w:rPr>
        <w:t>Унапредиће се брзина и учесталост размене информација</w:t>
      </w:r>
      <w:r w:rsidR="0083281B" w:rsidRPr="00E95BC4">
        <w:rPr>
          <w:lang w:val="sr-Cyrl-CS"/>
        </w:rPr>
        <w:t xml:space="preserve"> и</w:t>
      </w:r>
      <w:r w:rsidRPr="00E95BC4">
        <w:rPr>
          <w:lang w:val="sr-Cyrl-CS"/>
        </w:rPr>
        <w:t xml:space="preserve"> квалитет анализа у Управи</w:t>
      </w:r>
      <w:r w:rsidR="00C642CC" w:rsidRPr="00E95BC4">
        <w:rPr>
          <w:lang w:val="sr-Cyrl-CS"/>
        </w:rPr>
        <w:t xml:space="preserve"> за спречавање прања новца</w:t>
      </w:r>
      <w:r w:rsidRPr="00E95BC4">
        <w:rPr>
          <w:lang w:val="sr-Cyrl-CS"/>
        </w:rPr>
        <w:t xml:space="preserve"> из којих ће други надлежни органи и органи страних држава моћи извлачити корисне информације за</w:t>
      </w:r>
      <w:r w:rsidR="00842D2B" w:rsidRPr="00E95BC4">
        <w:rPr>
          <w:lang w:val="sr-Cyrl-CS"/>
        </w:rPr>
        <w:t xml:space="preserve"> поступке из њихове надлежности;</w:t>
      </w:r>
      <w:r w:rsidRPr="00E95BC4">
        <w:rPr>
          <w:lang w:val="sr-Cyrl-CS"/>
        </w:rPr>
        <w:t xml:space="preserve"> </w:t>
      </w:r>
    </w:p>
    <w:p w:rsidR="00465BE6" w:rsidRPr="00E95BC4" w:rsidRDefault="00C642CC" w:rsidP="00465BE6">
      <w:pPr>
        <w:pStyle w:val="ListParagraph"/>
        <w:numPr>
          <w:ilvl w:val="0"/>
          <w:numId w:val="13"/>
        </w:numPr>
        <w:jc w:val="both"/>
        <w:rPr>
          <w:lang w:val="sr-Cyrl-CS"/>
        </w:rPr>
      </w:pPr>
      <w:r w:rsidRPr="00E95BC4">
        <w:rPr>
          <w:lang w:val="sr-Cyrl-CS"/>
        </w:rPr>
        <w:t>Унапређено с</w:t>
      </w:r>
      <w:r w:rsidR="00465BE6" w:rsidRPr="00E95BC4">
        <w:rPr>
          <w:lang w:val="sr-Cyrl-CS"/>
        </w:rPr>
        <w:t>татистичко праћење и мерење одређених елемената у сарадњи и размени информација омогућиће боље разумевање квалитета и трендова у сарадњи и одговарајуће кориговање механизама сарадње;</w:t>
      </w:r>
    </w:p>
    <w:p w:rsidR="00465BE6" w:rsidRPr="00E95BC4" w:rsidRDefault="00465BE6" w:rsidP="00465BE6">
      <w:pPr>
        <w:pStyle w:val="ListParagraph"/>
        <w:numPr>
          <w:ilvl w:val="0"/>
          <w:numId w:val="13"/>
        </w:numPr>
        <w:jc w:val="both"/>
        <w:rPr>
          <w:lang w:val="sr-Cyrl-CS"/>
        </w:rPr>
      </w:pPr>
      <w:r w:rsidRPr="00E95BC4">
        <w:rPr>
          <w:lang w:val="sr-Cyrl-CS"/>
        </w:rPr>
        <w:t>Учесници у систему ће користити стечена знања и вештине у циљу делотворног и ефикасног ангажовања у превентивном и репресивном делу система за борбу против прања новца и финансирања тероризма;</w:t>
      </w:r>
    </w:p>
    <w:p w:rsidR="00465BE6" w:rsidRPr="00E95BC4" w:rsidRDefault="00465BE6" w:rsidP="00465BE6">
      <w:pPr>
        <w:pStyle w:val="ListParagraph"/>
        <w:numPr>
          <w:ilvl w:val="0"/>
          <w:numId w:val="13"/>
        </w:numPr>
        <w:jc w:val="both"/>
        <w:rPr>
          <w:lang w:val="sr-Cyrl-CS"/>
        </w:rPr>
      </w:pPr>
      <w:r w:rsidRPr="00E95BC4">
        <w:rPr>
          <w:lang w:val="sr-Cyrl-CS"/>
        </w:rPr>
        <w:t>Активна сарадња јавног и приватног сектора у реализацији стратешких циљева и заштити финансијског и других сектора од претњи од прања новца и финансирања тероризма развијаће се и унапређивати;</w:t>
      </w:r>
    </w:p>
    <w:p w:rsidR="00465BE6" w:rsidRPr="00E95BC4" w:rsidRDefault="00465BE6" w:rsidP="00465BE6">
      <w:pPr>
        <w:pStyle w:val="ListParagraph"/>
        <w:numPr>
          <w:ilvl w:val="0"/>
          <w:numId w:val="13"/>
        </w:numPr>
        <w:jc w:val="both"/>
        <w:rPr>
          <w:lang w:val="sr-Cyrl-CS"/>
        </w:rPr>
      </w:pPr>
      <w:r w:rsidRPr="00E95BC4">
        <w:rPr>
          <w:lang w:val="sr-Cyrl-CS"/>
        </w:rPr>
        <w:t xml:space="preserve">Унапредиће се </w:t>
      </w:r>
      <w:r w:rsidR="003F4F08" w:rsidRPr="00E95BC4">
        <w:rPr>
          <w:lang w:val="sr-Cyrl-CS"/>
        </w:rPr>
        <w:t>рад са непрофитним сектором</w:t>
      </w:r>
      <w:r w:rsidR="00C642CC" w:rsidRPr="00E95BC4">
        <w:rPr>
          <w:lang w:val="sr-Cyrl-CS"/>
        </w:rPr>
        <w:t xml:space="preserve"> ради заштите тог сектора од могућности злоупотребе</w:t>
      </w:r>
      <w:r w:rsidR="0083281B" w:rsidRPr="00E95BC4">
        <w:rPr>
          <w:lang w:val="sr-Cyrl-CS"/>
        </w:rPr>
        <w:t xml:space="preserve"> за финансирање тероризма.</w:t>
      </w:r>
    </w:p>
    <w:p w:rsidR="001B60B1" w:rsidRPr="00E95BC4" w:rsidRDefault="001B60B1" w:rsidP="00285FD7">
      <w:pPr>
        <w:tabs>
          <w:tab w:val="left" w:pos="990"/>
        </w:tabs>
        <w:jc w:val="both"/>
        <w:rPr>
          <w:lang w:val="sr-Cyrl-CS"/>
        </w:rPr>
      </w:pPr>
    </w:p>
    <w:p w:rsidR="00B150CA" w:rsidRPr="00E95BC4" w:rsidRDefault="00842D2B" w:rsidP="00285FD7">
      <w:pPr>
        <w:pStyle w:val="Heading1"/>
        <w:spacing w:before="0"/>
        <w:ind w:firstLine="720"/>
        <w:rPr>
          <w:rFonts w:ascii="Times New Roman" w:hAnsi="Times New Roman" w:cs="Times New Roman"/>
          <w:color w:val="auto"/>
          <w:sz w:val="24"/>
          <w:szCs w:val="24"/>
          <w:lang w:val="sr-Cyrl-CS"/>
        </w:rPr>
      </w:pPr>
      <w:bookmarkStart w:id="10" w:name="_Toc32409899"/>
      <w:r w:rsidRPr="00E95BC4">
        <w:rPr>
          <w:rFonts w:ascii="Times New Roman" w:hAnsi="Times New Roman" w:cs="Times New Roman"/>
          <w:color w:val="auto"/>
          <w:sz w:val="24"/>
          <w:szCs w:val="24"/>
          <w:lang w:val="sr-Cyrl-CS"/>
        </w:rPr>
        <w:t>Механизам за спровођење С</w:t>
      </w:r>
      <w:r w:rsidR="00B150CA" w:rsidRPr="00E95BC4">
        <w:rPr>
          <w:rFonts w:ascii="Times New Roman" w:hAnsi="Times New Roman" w:cs="Times New Roman"/>
          <w:color w:val="auto"/>
          <w:sz w:val="24"/>
          <w:szCs w:val="24"/>
          <w:lang w:val="sr-Cyrl-CS"/>
        </w:rPr>
        <w:t>тратегије и начин извештавања о резултатима спровођења</w:t>
      </w:r>
      <w:bookmarkEnd w:id="10"/>
      <w:r w:rsidR="00B150CA" w:rsidRPr="00E95BC4">
        <w:rPr>
          <w:rFonts w:ascii="Times New Roman" w:hAnsi="Times New Roman" w:cs="Times New Roman"/>
          <w:color w:val="auto"/>
          <w:sz w:val="24"/>
          <w:szCs w:val="24"/>
          <w:lang w:val="sr-Cyrl-CS"/>
        </w:rPr>
        <w:t xml:space="preserve"> </w:t>
      </w:r>
    </w:p>
    <w:p w:rsidR="0004492D" w:rsidRPr="00E95BC4" w:rsidRDefault="0004492D" w:rsidP="00285FD7">
      <w:pPr>
        <w:ind w:firstLine="720"/>
        <w:jc w:val="both"/>
        <w:rPr>
          <w:b/>
          <w:lang w:val="sr-Cyrl-CS"/>
        </w:rPr>
      </w:pPr>
    </w:p>
    <w:p w:rsidR="00791D60" w:rsidRPr="00E95BC4" w:rsidRDefault="00345049" w:rsidP="00345049">
      <w:pPr>
        <w:ind w:firstLine="720"/>
        <w:jc w:val="both"/>
        <w:rPr>
          <w:lang w:val="sr-Cyrl-CS"/>
        </w:rPr>
      </w:pPr>
      <w:r w:rsidRPr="00E95BC4">
        <w:rPr>
          <w:b/>
          <w:lang w:val="sr-Cyrl-CS"/>
        </w:rPr>
        <w:t>Акциони план</w:t>
      </w:r>
      <w:r w:rsidR="00842D2B" w:rsidRPr="00E95BC4">
        <w:rPr>
          <w:b/>
          <w:lang w:val="sr-Cyrl-CS"/>
        </w:rPr>
        <w:t xml:space="preserve"> </w:t>
      </w:r>
      <w:r w:rsidR="00842D2B" w:rsidRPr="00E95BC4">
        <w:rPr>
          <w:b/>
          <w:color w:val="auto"/>
          <w:lang w:val="sr-Cyrl-CS"/>
        </w:rPr>
        <w:t xml:space="preserve">за спровођење Стратегије за борбу против прања новца и финансирања тероризма за период </w:t>
      </w:r>
      <w:r w:rsidR="005414D3" w:rsidRPr="00E95BC4">
        <w:rPr>
          <w:b/>
          <w:color w:val="auto"/>
          <w:lang w:val="sr-Cyrl-CS"/>
        </w:rPr>
        <w:t>2020-2024</w:t>
      </w:r>
      <w:r w:rsidR="0084093B">
        <w:rPr>
          <w:b/>
          <w:color w:val="auto"/>
          <w:lang w:val="sr-Cyrl-CS"/>
        </w:rPr>
        <w:t>. године</w:t>
      </w:r>
      <w:r w:rsidRPr="00E95BC4">
        <w:rPr>
          <w:b/>
          <w:lang w:val="sr-Cyrl-CS"/>
        </w:rPr>
        <w:t xml:space="preserve"> (2020-2022)</w:t>
      </w:r>
      <w:r w:rsidR="005414D3" w:rsidRPr="00E95BC4">
        <w:rPr>
          <w:b/>
          <w:lang w:val="sr-Cyrl-CS"/>
        </w:rPr>
        <w:t xml:space="preserve"> </w:t>
      </w:r>
      <w:r w:rsidR="005414D3" w:rsidRPr="00E95BC4">
        <w:rPr>
          <w:lang w:val="sr-Cyrl-CS"/>
        </w:rPr>
        <w:t>–</w:t>
      </w:r>
      <w:r w:rsidR="005414D3" w:rsidRPr="00E95BC4">
        <w:rPr>
          <w:b/>
          <w:lang w:val="sr-Cyrl-CS"/>
        </w:rPr>
        <w:t xml:space="preserve"> </w:t>
      </w:r>
      <w:r w:rsidR="005414D3" w:rsidRPr="00E95BC4">
        <w:rPr>
          <w:lang w:val="sr-Cyrl-CS"/>
        </w:rPr>
        <w:t>у даљем тексту: Акциони план</w:t>
      </w:r>
      <w:r w:rsidRPr="00E95BC4">
        <w:rPr>
          <w:lang w:val="sr-Cyrl-CS"/>
        </w:rPr>
        <w:t>.</w:t>
      </w:r>
      <w:r w:rsidRPr="00E95BC4">
        <w:rPr>
          <w:b/>
          <w:lang w:val="sr-Cyrl-CS"/>
        </w:rPr>
        <w:t xml:space="preserve"> </w:t>
      </w:r>
      <w:r w:rsidR="00791D60" w:rsidRPr="00E95BC4">
        <w:rPr>
          <w:lang w:val="sr-Cyrl-CS"/>
        </w:rPr>
        <w:t xml:space="preserve">Циљеви </w:t>
      </w:r>
      <w:r w:rsidR="000B75F7" w:rsidRPr="00E95BC4">
        <w:rPr>
          <w:lang w:val="sr-Cyrl-CS"/>
        </w:rPr>
        <w:t>С</w:t>
      </w:r>
      <w:r w:rsidR="00791D60" w:rsidRPr="00E95BC4">
        <w:rPr>
          <w:lang w:val="sr-Cyrl-CS"/>
        </w:rPr>
        <w:t>тратегије разрађени су кроз мере и активности садржане у Акционом плану који се доноси на три године (2020-2022)</w:t>
      </w:r>
      <w:r w:rsidR="005414D3" w:rsidRPr="00E95BC4">
        <w:rPr>
          <w:lang w:val="sr-Cyrl-CS"/>
        </w:rPr>
        <w:t xml:space="preserve"> и Акциони план чини саставни део С</w:t>
      </w:r>
      <w:r w:rsidR="003162F4" w:rsidRPr="00E95BC4">
        <w:rPr>
          <w:lang w:val="sr-Cyrl-CS"/>
        </w:rPr>
        <w:t>тратегије</w:t>
      </w:r>
      <w:r w:rsidR="00791D60" w:rsidRPr="00E95BC4">
        <w:rPr>
          <w:lang w:val="sr-Cyrl-CS"/>
        </w:rPr>
        <w:t>.</w:t>
      </w:r>
    </w:p>
    <w:p w:rsidR="00791D60" w:rsidRPr="00E95BC4" w:rsidRDefault="005414D3" w:rsidP="00285FD7">
      <w:pPr>
        <w:ind w:firstLine="720"/>
        <w:jc w:val="both"/>
        <w:rPr>
          <w:lang w:val="sr-Cyrl-CS"/>
        </w:rPr>
      </w:pPr>
      <w:r w:rsidRPr="00E95BC4">
        <w:rPr>
          <w:lang w:val="sr-Cyrl-CS"/>
        </w:rPr>
        <w:t>Два су разлога за доношење А</w:t>
      </w:r>
      <w:r w:rsidR="00791D60" w:rsidRPr="00E95BC4">
        <w:rPr>
          <w:lang w:val="sr-Cyrl-CS"/>
        </w:rPr>
        <w:t xml:space="preserve">кционог плана на три године, а не на свих пет година важења </w:t>
      </w:r>
      <w:r w:rsidR="000B75F7" w:rsidRPr="00E95BC4">
        <w:rPr>
          <w:lang w:val="sr-Cyrl-CS"/>
        </w:rPr>
        <w:t>С</w:t>
      </w:r>
      <w:r w:rsidR="00791D60" w:rsidRPr="00E95BC4">
        <w:rPr>
          <w:lang w:val="sr-Cyrl-CS"/>
        </w:rPr>
        <w:t xml:space="preserve">тратегије. </w:t>
      </w:r>
    </w:p>
    <w:p w:rsidR="00791D60" w:rsidRPr="00E95BC4" w:rsidRDefault="00791D60" w:rsidP="00285FD7">
      <w:pPr>
        <w:ind w:firstLine="720"/>
        <w:jc w:val="both"/>
        <w:rPr>
          <w:lang w:val="sr-Cyrl-CS"/>
        </w:rPr>
      </w:pPr>
      <w:r w:rsidRPr="00E95BC4">
        <w:rPr>
          <w:lang w:val="sr-Cyrl-CS"/>
        </w:rPr>
        <w:t xml:space="preserve">Први разлог је то што, по правилу, закључци националне процене ризика треба у примереној форми да се унесу у </w:t>
      </w:r>
      <w:r w:rsidR="000B75F7" w:rsidRPr="00E95BC4">
        <w:rPr>
          <w:lang w:val="sr-Cyrl-CS"/>
        </w:rPr>
        <w:t>С</w:t>
      </w:r>
      <w:r w:rsidR="005414D3" w:rsidRPr="00E95BC4">
        <w:rPr>
          <w:lang w:val="sr-Cyrl-CS"/>
        </w:rPr>
        <w:t>тратегију и А</w:t>
      </w:r>
      <w:r w:rsidRPr="00E95BC4">
        <w:rPr>
          <w:lang w:val="sr-Cyrl-CS"/>
        </w:rPr>
        <w:t>кциони план. С обзиром на то да се, у складу са Законом о спречавању прања новца и финансирања теро</w:t>
      </w:r>
      <w:r w:rsidR="00786290">
        <w:rPr>
          <w:lang w:val="sr-Cyrl-CS"/>
        </w:rPr>
        <w:t>р</w:t>
      </w:r>
      <w:r w:rsidRPr="00E95BC4">
        <w:rPr>
          <w:lang w:val="sr-Cyrl-CS"/>
        </w:rPr>
        <w:t xml:space="preserve">изма, национална процена ризика спроводи једанпут у три године, а да су актуелне Процена ризика од прања новца и Процена ризика од финансирања тероризма израђене 2018. године, то значи да нови извештај о националној процени ризика треба да буде усвојен половином 2021. године и да се, потом, такво ажурирано разумевање ризика унесе у </w:t>
      </w:r>
      <w:r w:rsidR="000B75F7" w:rsidRPr="00E95BC4">
        <w:rPr>
          <w:lang w:val="sr-Cyrl-CS"/>
        </w:rPr>
        <w:t>С</w:t>
      </w:r>
      <w:r w:rsidRPr="00E95BC4">
        <w:rPr>
          <w:lang w:val="sr-Cyrl-CS"/>
        </w:rPr>
        <w:t xml:space="preserve">тратегију и </w:t>
      </w:r>
      <w:r w:rsidR="000B75F7" w:rsidRPr="00E95BC4">
        <w:rPr>
          <w:lang w:val="sr-Cyrl-CS"/>
        </w:rPr>
        <w:t>А</w:t>
      </w:r>
      <w:r w:rsidRPr="00E95BC4">
        <w:rPr>
          <w:lang w:val="sr-Cyrl-CS"/>
        </w:rPr>
        <w:t>кциони план.</w:t>
      </w:r>
    </w:p>
    <w:p w:rsidR="00791D60" w:rsidRDefault="00791D60" w:rsidP="00285FD7">
      <w:pPr>
        <w:ind w:firstLine="720"/>
        <w:jc w:val="both"/>
        <w:rPr>
          <w:lang w:val="sr-Cyrl-CS"/>
        </w:rPr>
      </w:pPr>
      <w:r w:rsidRPr="00E95BC4">
        <w:rPr>
          <w:lang w:val="sr-Cyrl-CS"/>
        </w:rPr>
        <w:lastRenderedPageBreak/>
        <w:t>Други разлог је то што се циклус праћења спровођења препорука Манивала</w:t>
      </w:r>
      <w:r w:rsidR="00345049" w:rsidRPr="00E95BC4">
        <w:rPr>
          <w:lang w:val="sr-Cyrl-CS"/>
        </w:rPr>
        <w:t>, према правилима, окончава по истеку пете године од усвајања извештаја Манивала. У контексту Републике Србије, Манивал је извештај о евалуацији усвојио 2016. године што значи да би се 2021. или 2022</w:t>
      </w:r>
      <w:r w:rsidR="005414D3" w:rsidRPr="00E95BC4">
        <w:rPr>
          <w:lang w:val="sr-Cyrl-CS"/>
        </w:rPr>
        <w:t>. године</w:t>
      </w:r>
      <w:r w:rsidR="00345049" w:rsidRPr="00E95BC4">
        <w:rPr>
          <w:lang w:val="sr-Cyrl-CS"/>
        </w:rPr>
        <w:t xml:space="preserve">, у зависности од интерних могућности и планова Манивала, могло очекивати да у </w:t>
      </w:r>
      <w:r w:rsidR="00121E8F" w:rsidRPr="00E95BC4">
        <w:rPr>
          <w:lang w:val="sr-Cyrl-CS"/>
        </w:rPr>
        <w:t>Републик</w:t>
      </w:r>
      <w:r w:rsidR="00B50C7C">
        <w:rPr>
          <w:lang w:val="sr-Cyrl-CS"/>
        </w:rPr>
        <w:t>у</w:t>
      </w:r>
      <w:r w:rsidR="00121E8F" w:rsidRPr="00E95BC4">
        <w:rPr>
          <w:lang w:val="sr-Cyrl-CS"/>
        </w:rPr>
        <w:t xml:space="preserve"> </w:t>
      </w:r>
      <w:r w:rsidR="00345049" w:rsidRPr="00E95BC4">
        <w:rPr>
          <w:lang w:val="sr-Cyrl-CS"/>
        </w:rPr>
        <w:t>Србију буде упућена мисија која ће констатовати у којој мери се остварују препорука Манивала на терену, а посебно када је реч о аспектима делотворности. Закључке те мисије треба имати у виду у контексту ажурирања</w:t>
      </w:r>
      <w:r w:rsidR="005414D3" w:rsidRPr="00E95BC4">
        <w:rPr>
          <w:lang w:val="sr-Cyrl-CS"/>
        </w:rPr>
        <w:t xml:space="preserve"> Акционог плана уз С</w:t>
      </w:r>
      <w:r w:rsidR="000B75F7" w:rsidRPr="00E95BC4">
        <w:rPr>
          <w:lang w:val="sr-Cyrl-CS"/>
        </w:rPr>
        <w:t>тратегију.</w:t>
      </w:r>
      <w:r w:rsidR="00345049" w:rsidRPr="00E95BC4">
        <w:rPr>
          <w:lang w:val="sr-Cyrl-CS"/>
        </w:rPr>
        <w:t xml:space="preserve">  </w:t>
      </w:r>
    </w:p>
    <w:p w:rsidR="00E8557B" w:rsidRPr="00E8557B" w:rsidRDefault="00E8557B" w:rsidP="00285FD7">
      <w:pPr>
        <w:ind w:firstLine="720"/>
        <w:jc w:val="both"/>
        <w:rPr>
          <w:sz w:val="16"/>
          <w:szCs w:val="16"/>
          <w:lang w:val="sr-Cyrl-CS"/>
        </w:rPr>
      </w:pPr>
    </w:p>
    <w:p w:rsidR="00DA75CF" w:rsidRPr="00E95BC4" w:rsidRDefault="00345049" w:rsidP="00285FD7">
      <w:pPr>
        <w:ind w:firstLine="720"/>
        <w:jc w:val="both"/>
        <w:rPr>
          <w:rFonts w:eastAsia="Times New Roman"/>
          <w:color w:val="auto"/>
          <w:kern w:val="0"/>
          <w:lang w:val="sr-Cyrl-CS" w:eastAsia="en-GB"/>
        </w:rPr>
      </w:pPr>
      <w:r w:rsidRPr="00E95BC4">
        <w:rPr>
          <w:b/>
          <w:lang w:val="sr-Cyrl-CS"/>
        </w:rPr>
        <w:t xml:space="preserve">Праћење спровођења </w:t>
      </w:r>
      <w:r w:rsidR="000B75F7" w:rsidRPr="00E95BC4">
        <w:rPr>
          <w:b/>
          <w:lang w:val="sr-Cyrl-CS"/>
        </w:rPr>
        <w:t>С</w:t>
      </w:r>
      <w:r w:rsidRPr="00E95BC4">
        <w:rPr>
          <w:b/>
          <w:lang w:val="sr-Cyrl-CS"/>
        </w:rPr>
        <w:t xml:space="preserve">тратегије и Акционог плана. </w:t>
      </w:r>
      <w:r w:rsidR="005414D3" w:rsidRPr="00E95BC4">
        <w:rPr>
          <w:rFonts w:eastAsia="Times New Roman"/>
          <w:color w:val="auto"/>
          <w:kern w:val="0"/>
          <w:lang w:val="sr-Cyrl-CS" w:eastAsia="en-GB"/>
        </w:rPr>
        <w:t>Влада</w:t>
      </w:r>
      <w:r w:rsidR="00DA75CF" w:rsidRPr="00E95BC4">
        <w:rPr>
          <w:lang w:val="sr-Cyrl-CS" w:eastAsia="en-GB"/>
        </w:rPr>
        <w:t xml:space="preserve"> је </w:t>
      </w:r>
      <w:r w:rsidR="00DA75CF" w:rsidRPr="00E95BC4">
        <w:rPr>
          <w:rFonts w:eastAsia="Times New Roman"/>
          <w:color w:val="auto"/>
          <w:kern w:val="0"/>
          <w:lang w:val="sr-Cyrl-CS" w:eastAsia="en-GB"/>
        </w:rPr>
        <w:t xml:space="preserve">12. јула 2018. године донела Одлуку о образовању </w:t>
      </w:r>
      <w:r w:rsidR="00DA75CF" w:rsidRPr="00E95BC4">
        <w:rPr>
          <w:rFonts w:eastAsia="Times New Roman"/>
          <w:b/>
          <w:color w:val="auto"/>
          <w:kern w:val="0"/>
          <w:lang w:val="sr-Cyrl-CS" w:eastAsia="en-GB"/>
        </w:rPr>
        <w:t>Координационог тела за спречавање прања новца и финансирања тероризма</w:t>
      </w:r>
      <w:r w:rsidR="005414D3" w:rsidRPr="00E95BC4">
        <w:rPr>
          <w:rFonts w:eastAsia="Times New Roman"/>
          <w:b/>
          <w:color w:val="auto"/>
          <w:kern w:val="0"/>
          <w:lang w:val="sr-Cyrl-CS" w:eastAsia="en-GB"/>
        </w:rPr>
        <w:t xml:space="preserve"> </w:t>
      </w:r>
      <w:r w:rsidR="005414D3" w:rsidRPr="00E95BC4">
        <w:rPr>
          <w:rFonts w:eastAsia="Times New Roman"/>
          <w:color w:val="auto"/>
          <w:kern w:val="0"/>
          <w:lang w:val="sr-Cyrl-CS" w:eastAsia="en-GB"/>
        </w:rPr>
        <w:t>(„Службени гласник РС”</w:t>
      </w:r>
      <w:r w:rsidR="00DA75CF" w:rsidRPr="00E95BC4">
        <w:rPr>
          <w:rFonts w:eastAsia="Times New Roman"/>
          <w:color w:val="auto"/>
          <w:kern w:val="0"/>
          <w:lang w:val="sr-Cyrl-CS" w:eastAsia="en-GB"/>
        </w:rPr>
        <w:t>, б</w:t>
      </w:r>
      <w:r w:rsidR="005414D3" w:rsidRPr="00E95BC4">
        <w:rPr>
          <w:rFonts w:eastAsia="Times New Roman"/>
          <w:color w:val="auto"/>
          <w:kern w:val="0"/>
          <w:lang w:val="sr-Cyrl-CS" w:eastAsia="en-GB"/>
        </w:rPr>
        <w:t>р. 54/18 и 84/</w:t>
      </w:r>
      <w:r w:rsidR="00DA75CF" w:rsidRPr="00E95BC4">
        <w:rPr>
          <w:rFonts w:eastAsia="Times New Roman"/>
          <w:color w:val="auto"/>
          <w:kern w:val="0"/>
          <w:lang w:val="sr-Cyrl-CS" w:eastAsia="en-GB"/>
        </w:rPr>
        <w:t>19)</w:t>
      </w:r>
      <w:r w:rsidR="00DA75CF" w:rsidRPr="00E95BC4">
        <w:rPr>
          <w:rStyle w:val="FootnoteReference"/>
          <w:rFonts w:eastAsia="Times New Roman"/>
          <w:color w:val="auto"/>
          <w:kern w:val="0"/>
          <w:lang w:val="sr-Cyrl-CS" w:eastAsia="en-GB"/>
        </w:rPr>
        <w:footnoteReference w:id="27"/>
      </w:r>
      <w:r w:rsidR="00285FD7" w:rsidRPr="00E95BC4">
        <w:rPr>
          <w:rFonts w:eastAsia="Times New Roman"/>
          <w:color w:val="auto"/>
          <w:kern w:val="0"/>
          <w:lang w:val="sr-Cyrl-CS" w:eastAsia="en-GB"/>
        </w:rPr>
        <w:t>.</w:t>
      </w:r>
    </w:p>
    <w:p w:rsidR="00DA75CF" w:rsidRPr="00E95BC4" w:rsidRDefault="00DA75CF" w:rsidP="00285FD7">
      <w:pPr>
        <w:ind w:firstLine="720"/>
        <w:rPr>
          <w:rFonts w:eastAsia="Times New Roman"/>
          <w:color w:val="auto"/>
          <w:kern w:val="0"/>
          <w:lang w:val="sr-Cyrl-CS" w:eastAsia="en-GB"/>
        </w:rPr>
      </w:pPr>
      <w:r w:rsidRPr="00E95BC4">
        <w:rPr>
          <w:rFonts w:eastAsia="Times New Roman"/>
          <w:color w:val="auto"/>
          <w:kern w:val="0"/>
          <w:lang w:val="sr-Cyrl-CS" w:eastAsia="en-GB"/>
        </w:rPr>
        <w:t>Задаци Координационог тела су:</w:t>
      </w:r>
    </w:p>
    <w:p w:rsidR="00DA75CF" w:rsidRPr="00E95BC4" w:rsidRDefault="00DA75CF" w:rsidP="00AC7277">
      <w:pPr>
        <w:pStyle w:val="ListParagraph"/>
        <w:numPr>
          <w:ilvl w:val="0"/>
          <w:numId w:val="14"/>
        </w:numPr>
        <w:rPr>
          <w:rFonts w:eastAsia="Times New Roman"/>
          <w:color w:val="auto"/>
          <w:kern w:val="0"/>
          <w:lang w:val="sr-Cyrl-CS" w:eastAsia="en-GB"/>
        </w:rPr>
      </w:pPr>
      <w:r w:rsidRPr="00E95BC4">
        <w:rPr>
          <w:rFonts w:eastAsia="Times New Roman"/>
          <w:color w:val="auto"/>
          <w:kern w:val="0"/>
          <w:lang w:val="sr-Cyrl-CS" w:eastAsia="en-GB"/>
        </w:rPr>
        <w:t>анализа најзначајнијих питања за функционисање система за борбу против прања новца, финансирања тероризма и финансирања ширења оружја за масовно уништење, координирање и предлагање мера надлежним органима за унапређење тог система;</w:t>
      </w:r>
    </w:p>
    <w:p w:rsidR="00DA75CF" w:rsidRPr="00E95BC4" w:rsidRDefault="00DA75CF" w:rsidP="00AC7277">
      <w:pPr>
        <w:pStyle w:val="ListParagraph"/>
        <w:numPr>
          <w:ilvl w:val="0"/>
          <w:numId w:val="14"/>
        </w:numPr>
        <w:rPr>
          <w:rFonts w:eastAsia="Times New Roman"/>
          <w:color w:val="auto"/>
          <w:kern w:val="0"/>
          <w:lang w:val="sr-Cyrl-CS" w:eastAsia="en-GB"/>
        </w:rPr>
      </w:pPr>
      <w:r w:rsidRPr="00E95BC4">
        <w:rPr>
          <w:rFonts w:eastAsia="Times New Roman"/>
          <w:color w:val="auto"/>
          <w:kern w:val="0"/>
          <w:lang w:val="sr-Cyrl-CS" w:eastAsia="en-GB"/>
        </w:rPr>
        <w:t>утврђивање методологије и спровођење националне процене ризика од прања новца и финансирања тероризма и да у примереној форми доставља делове националне процене ризика свим учесницима у систему;</w:t>
      </w:r>
    </w:p>
    <w:p w:rsidR="00DA75CF" w:rsidRPr="00E95BC4" w:rsidRDefault="00DA75CF" w:rsidP="00AC7277">
      <w:pPr>
        <w:pStyle w:val="ListParagraph"/>
        <w:numPr>
          <w:ilvl w:val="0"/>
          <w:numId w:val="14"/>
        </w:numPr>
        <w:rPr>
          <w:rFonts w:eastAsia="Times New Roman"/>
          <w:color w:val="auto"/>
          <w:kern w:val="0"/>
          <w:lang w:val="sr-Cyrl-CS" w:eastAsia="en-GB"/>
        </w:rPr>
      </w:pPr>
      <w:r w:rsidRPr="00E95BC4">
        <w:rPr>
          <w:rFonts w:eastAsia="Times New Roman"/>
          <w:color w:val="auto"/>
          <w:kern w:val="0"/>
          <w:lang w:val="sr-Cyrl-CS" w:eastAsia="en-GB"/>
        </w:rPr>
        <w:t>старање о томе да резултати националне процене ризика буду узети у обзир приликом израде или ажурирања Националне стратегије за борбу против прања новца и финансирања тероризма и пратећег акционог плана (у даљем тексту: „Национална стратегија”) и да циљеви и политике органа појединачно буду у складу са националним политикама и ризицима;</w:t>
      </w:r>
    </w:p>
    <w:p w:rsidR="00DA75CF" w:rsidRPr="00E95BC4" w:rsidRDefault="00DA75CF" w:rsidP="00AC7277">
      <w:pPr>
        <w:pStyle w:val="ListParagraph"/>
        <w:numPr>
          <w:ilvl w:val="0"/>
          <w:numId w:val="14"/>
        </w:numPr>
        <w:rPr>
          <w:rFonts w:eastAsia="Times New Roman"/>
          <w:b/>
          <w:color w:val="auto"/>
          <w:kern w:val="0"/>
          <w:lang w:val="sr-Cyrl-CS" w:eastAsia="en-GB"/>
        </w:rPr>
      </w:pPr>
      <w:r w:rsidRPr="00E95BC4">
        <w:rPr>
          <w:rFonts w:eastAsia="Times New Roman"/>
          <w:b/>
          <w:color w:val="auto"/>
          <w:kern w:val="0"/>
          <w:lang w:val="sr-Cyrl-CS" w:eastAsia="en-GB"/>
        </w:rPr>
        <w:t>праћење примене Националне стратегије и координирање спровођења мера предвиђених Националном стратегијом;</w:t>
      </w:r>
    </w:p>
    <w:p w:rsidR="00DA75CF" w:rsidRPr="00E95BC4" w:rsidRDefault="00DA75CF" w:rsidP="00AC7277">
      <w:pPr>
        <w:pStyle w:val="ListParagraph"/>
        <w:numPr>
          <w:ilvl w:val="0"/>
          <w:numId w:val="14"/>
        </w:numPr>
        <w:rPr>
          <w:rFonts w:eastAsia="Times New Roman"/>
          <w:color w:val="auto"/>
          <w:kern w:val="0"/>
          <w:lang w:val="sr-Cyrl-CS" w:eastAsia="en-GB"/>
        </w:rPr>
      </w:pPr>
      <w:r w:rsidRPr="00E95BC4">
        <w:rPr>
          <w:rFonts w:eastAsia="Times New Roman"/>
          <w:color w:val="auto"/>
          <w:kern w:val="0"/>
          <w:lang w:val="sr-Cyrl-CS" w:eastAsia="en-GB"/>
        </w:rPr>
        <w:t>редовно преиспитивање делотворности механизама међусобне и међународне сарадње и размене информација и давање предлога за унапређење стања у тој области;</w:t>
      </w:r>
    </w:p>
    <w:p w:rsidR="00DA75CF" w:rsidRPr="00E95BC4" w:rsidRDefault="00DA75CF" w:rsidP="00AC7277">
      <w:pPr>
        <w:pStyle w:val="ListParagraph"/>
        <w:numPr>
          <w:ilvl w:val="0"/>
          <w:numId w:val="14"/>
        </w:numPr>
        <w:rPr>
          <w:rFonts w:eastAsia="Times New Roman"/>
          <w:color w:val="auto"/>
          <w:kern w:val="0"/>
          <w:lang w:val="sr-Cyrl-CS" w:eastAsia="en-GB"/>
        </w:rPr>
      </w:pPr>
      <w:r w:rsidRPr="00E95BC4">
        <w:rPr>
          <w:rFonts w:eastAsia="Times New Roman"/>
          <w:color w:val="auto"/>
          <w:kern w:val="0"/>
          <w:lang w:val="sr-Cyrl-CS" w:eastAsia="en-GB"/>
        </w:rPr>
        <w:t>праћење и координирање коришћења програма техничке помоћи и обуке у вези са борбом против прања новца, финансирања тероризма, финансирања ширења оружја за масовно уништење и других релевантних области и обезбеђивање да се ти програми активно, делотворно и ефикасно користе;</w:t>
      </w:r>
    </w:p>
    <w:p w:rsidR="00DA75CF" w:rsidRDefault="00DA75CF" w:rsidP="00AC7277">
      <w:pPr>
        <w:pStyle w:val="ListParagraph"/>
        <w:numPr>
          <w:ilvl w:val="0"/>
          <w:numId w:val="14"/>
        </w:numPr>
        <w:rPr>
          <w:rFonts w:eastAsia="Times New Roman"/>
          <w:color w:val="auto"/>
          <w:kern w:val="0"/>
          <w:lang w:val="sr-Cyrl-CS" w:eastAsia="en-GB"/>
        </w:rPr>
      </w:pPr>
      <w:r w:rsidRPr="00E95BC4">
        <w:rPr>
          <w:rFonts w:eastAsia="Times New Roman"/>
          <w:color w:val="auto"/>
          <w:kern w:val="0"/>
          <w:lang w:val="sr-Cyrl-CS" w:eastAsia="en-GB"/>
        </w:rPr>
        <w:t>обављање и других послова од значаја за спречавање прања новца и финансирања тероризма.</w:t>
      </w:r>
    </w:p>
    <w:p w:rsidR="007C6285" w:rsidRPr="007C6285" w:rsidRDefault="007C6285" w:rsidP="007C6285">
      <w:pPr>
        <w:ind w:left="360"/>
        <w:rPr>
          <w:rFonts w:eastAsia="Times New Roman"/>
          <w:color w:val="auto"/>
          <w:kern w:val="0"/>
          <w:lang w:val="sr-Cyrl-CS" w:eastAsia="en-GB"/>
        </w:rPr>
      </w:pPr>
    </w:p>
    <w:p w:rsidR="00DA75CF" w:rsidRPr="00E95BC4" w:rsidRDefault="00DA75CF" w:rsidP="0076321C">
      <w:pPr>
        <w:ind w:firstLine="720"/>
        <w:jc w:val="both"/>
        <w:rPr>
          <w:rFonts w:eastAsia="Times New Roman"/>
          <w:color w:val="auto"/>
          <w:kern w:val="0"/>
          <w:lang w:val="sr-Cyrl-CS" w:eastAsia="en-GB"/>
        </w:rPr>
      </w:pPr>
      <w:r w:rsidRPr="00E95BC4">
        <w:rPr>
          <w:rFonts w:eastAsia="Times New Roman"/>
          <w:color w:val="auto"/>
          <w:kern w:val="0"/>
          <w:lang w:val="sr-Cyrl-CS" w:eastAsia="en-GB"/>
        </w:rPr>
        <w:t>Ради извршавања</w:t>
      </w:r>
      <w:r w:rsidR="00285FD7" w:rsidRPr="00E95BC4">
        <w:rPr>
          <w:rFonts w:eastAsia="Times New Roman"/>
          <w:color w:val="auto"/>
          <w:kern w:val="0"/>
          <w:lang w:val="sr-Cyrl-CS" w:eastAsia="en-GB"/>
        </w:rPr>
        <w:t xml:space="preserve"> предвиђених</w:t>
      </w:r>
      <w:r w:rsidRPr="00E95BC4">
        <w:rPr>
          <w:rFonts w:eastAsia="Times New Roman"/>
          <w:color w:val="auto"/>
          <w:kern w:val="0"/>
          <w:lang w:val="sr-Cyrl-CS" w:eastAsia="en-GB"/>
        </w:rPr>
        <w:t xml:space="preserve"> задатака, Координационо тело може образовати стручне тимове и ангажовати представнике других државних органа и стручњаке из појединих области.</w:t>
      </w:r>
      <w:r w:rsidR="00285FD7" w:rsidRPr="00E95BC4">
        <w:rPr>
          <w:rFonts w:eastAsia="Times New Roman"/>
          <w:color w:val="auto"/>
          <w:kern w:val="0"/>
          <w:lang w:val="sr-Cyrl-CS" w:eastAsia="en-GB"/>
        </w:rPr>
        <w:t xml:space="preserve"> </w:t>
      </w:r>
      <w:r w:rsidRPr="00E95BC4">
        <w:rPr>
          <w:rFonts w:eastAsia="Times New Roman"/>
          <w:color w:val="auto"/>
          <w:kern w:val="0"/>
          <w:lang w:val="sr-Cyrl-CS" w:eastAsia="en-GB"/>
        </w:rPr>
        <w:t>Координационо тело подноси следеће извештаје Влади:</w:t>
      </w:r>
    </w:p>
    <w:p w:rsidR="00DA75CF" w:rsidRPr="00E95BC4" w:rsidRDefault="00DA75CF" w:rsidP="00AC7277">
      <w:pPr>
        <w:pStyle w:val="ListParagraph"/>
        <w:numPr>
          <w:ilvl w:val="0"/>
          <w:numId w:val="15"/>
        </w:numPr>
        <w:rPr>
          <w:rFonts w:eastAsia="Times New Roman"/>
          <w:color w:val="auto"/>
          <w:kern w:val="0"/>
          <w:lang w:val="sr-Cyrl-CS" w:eastAsia="en-GB"/>
        </w:rPr>
      </w:pPr>
      <w:r w:rsidRPr="00E95BC4">
        <w:rPr>
          <w:rFonts w:eastAsia="Times New Roman"/>
          <w:color w:val="auto"/>
          <w:kern w:val="0"/>
          <w:lang w:val="sr-Cyrl-CS" w:eastAsia="en-GB"/>
        </w:rPr>
        <w:t>извештај о раду;</w:t>
      </w:r>
    </w:p>
    <w:p w:rsidR="00DA75CF" w:rsidRPr="00E95BC4" w:rsidRDefault="00DA75CF" w:rsidP="00AC7277">
      <w:pPr>
        <w:pStyle w:val="ListParagraph"/>
        <w:numPr>
          <w:ilvl w:val="0"/>
          <w:numId w:val="15"/>
        </w:numPr>
        <w:rPr>
          <w:rFonts w:eastAsia="Times New Roman"/>
          <w:b/>
          <w:color w:val="auto"/>
          <w:kern w:val="0"/>
          <w:lang w:val="sr-Cyrl-CS" w:eastAsia="en-GB"/>
        </w:rPr>
      </w:pPr>
      <w:r w:rsidRPr="00E95BC4">
        <w:rPr>
          <w:rFonts w:eastAsia="Times New Roman"/>
          <w:b/>
          <w:color w:val="auto"/>
          <w:kern w:val="0"/>
          <w:lang w:val="sr-Cyrl-CS" w:eastAsia="en-GB"/>
        </w:rPr>
        <w:lastRenderedPageBreak/>
        <w:t>извештај о спровођењу активности утврђених Акционим планом за спровођење Националне стратегије за борбу против прања новца и финансирања тероризма;</w:t>
      </w:r>
    </w:p>
    <w:p w:rsidR="00DA75CF" w:rsidRPr="00E95BC4" w:rsidRDefault="00DA75CF" w:rsidP="00AC7277">
      <w:pPr>
        <w:pStyle w:val="ListParagraph"/>
        <w:numPr>
          <w:ilvl w:val="0"/>
          <w:numId w:val="15"/>
        </w:numPr>
        <w:rPr>
          <w:rFonts w:eastAsia="Times New Roman"/>
          <w:color w:val="auto"/>
          <w:kern w:val="0"/>
          <w:lang w:val="sr-Cyrl-CS" w:eastAsia="en-GB"/>
        </w:rPr>
      </w:pPr>
      <w:r w:rsidRPr="00E95BC4">
        <w:rPr>
          <w:rFonts w:eastAsia="Times New Roman"/>
          <w:color w:val="auto"/>
          <w:kern w:val="0"/>
          <w:lang w:val="sr-Cyrl-CS" w:eastAsia="en-GB"/>
        </w:rPr>
        <w:t>извештај о националној процени ризика од прања новца и финансирања тероризма;</w:t>
      </w:r>
    </w:p>
    <w:p w:rsidR="00B150CA" w:rsidRPr="00E95BC4" w:rsidRDefault="00DA75CF" w:rsidP="00AC7277">
      <w:pPr>
        <w:pStyle w:val="ListParagraph"/>
        <w:numPr>
          <w:ilvl w:val="0"/>
          <w:numId w:val="15"/>
        </w:numPr>
        <w:rPr>
          <w:rFonts w:eastAsia="Times New Roman"/>
          <w:color w:val="auto"/>
          <w:kern w:val="0"/>
          <w:lang w:val="sr-Cyrl-CS" w:eastAsia="en-GB"/>
        </w:rPr>
      </w:pPr>
      <w:r w:rsidRPr="00E95BC4">
        <w:rPr>
          <w:rFonts w:eastAsia="Times New Roman"/>
          <w:color w:val="auto"/>
          <w:kern w:val="0"/>
          <w:lang w:val="sr-Cyrl-CS" w:eastAsia="en-GB"/>
        </w:rPr>
        <w:t>друге извештаје у вези са задацима Координационог тела.</w:t>
      </w:r>
    </w:p>
    <w:p w:rsidR="00285FD7" w:rsidRPr="00E95BC4" w:rsidRDefault="00285FD7" w:rsidP="00285FD7">
      <w:pPr>
        <w:tabs>
          <w:tab w:val="left" w:pos="900"/>
        </w:tabs>
        <w:jc w:val="both"/>
        <w:rPr>
          <w:highlight w:val="yellow"/>
          <w:lang w:val="sr-Cyrl-CS"/>
        </w:rPr>
      </w:pPr>
    </w:p>
    <w:p w:rsidR="00E856F4" w:rsidRPr="00E95BC4" w:rsidRDefault="001043A5" w:rsidP="001043A5">
      <w:pPr>
        <w:jc w:val="both"/>
        <w:rPr>
          <w:color w:val="auto"/>
          <w:lang w:val="sr-Cyrl-CS"/>
        </w:rPr>
      </w:pPr>
      <w:r w:rsidRPr="00E95BC4">
        <w:rPr>
          <w:color w:val="auto"/>
          <w:lang w:val="sr-Cyrl-CS"/>
        </w:rPr>
        <w:tab/>
      </w:r>
      <w:r w:rsidR="00E856F4" w:rsidRPr="00E95BC4">
        <w:rPr>
          <w:color w:val="auto"/>
          <w:lang w:val="sr-Cyrl-CS"/>
        </w:rPr>
        <w:t>Координационо тело ће редовно на седницама сагледавати степен испуњености Акционог плана, разматрати евентуалне застоје и проблеме и иницирати њихово решавање на одговарајући начин.</w:t>
      </w:r>
    </w:p>
    <w:p w:rsidR="00E856F4" w:rsidRPr="00E95BC4" w:rsidRDefault="001043A5" w:rsidP="001043A5">
      <w:pPr>
        <w:jc w:val="both"/>
        <w:rPr>
          <w:color w:val="auto"/>
          <w:lang w:val="sr-Cyrl-CS"/>
        </w:rPr>
      </w:pPr>
      <w:r w:rsidRPr="00E95BC4">
        <w:rPr>
          <w:color w:val="auto"/>
          <w:lang w:val="sr-Cyrl-CS"/>
        </w:rPr>
        <w:tab/>
      </w:r>
      <w:r w:rsidR="007F7F60" w:rsidRPr="00E95BC4">
        <w:rPr>
          <w:color w:val="auto"/>
          <w:lang w:val="sr-Cyrl-CS"/>
        </w:rPr>
        <w:t xml:space="preserve">Ради ефикаснијег </w:t>
      </w:r>
      <w:r w:rsidRPr="00E95BC4">
        <w:rPr>
          <w:color w:val="auto"/>
          <w:lang w:val="sr-Cyrl-CS"/>
        </w:rPr>
        <w:t>извештавања</w:t>
      </w:r>
      <w:r w:rsidR="008E17F3" w:rsidRPr="00E95BC4">
        <w:rPr>
          <w:color w:val="auto"/>
          <w:lang w:val="sr-Cyrl-CS"/>
        </w:rPr>
        <w:t xml:space="preserve"> Координационог тела о степену испуњености Акционог плана, </w:t>
      </w:r>
      <w:r w:rsidR="00E91A83" w:rsidRPr="00E95BC4">
        <w:rPr>
          <w:color w:val="auto"/>
          <w:lang w:val="sr-Cyrl-CS"/>
        </w:rPr>
        <w:t>Влада</w:t>
      </w:r>
      <w:r w:rsidR="007F7F60" w:rsidRPr="00E95BC4">
        <w:rPr>
          <w:color w:val="auto"/>
          <w:lang w:val="sr-Cyrl-CS"/>
        </w:rPr>
        <w:t xml:space="preserve"> ће </w:t>
      </w:r>
      <w:r w:rsidRPr="00E95BC4">
        <w:rPr>
          <w:color w:val="auto"/>
          <w:lang w:val="sr-Cyrl-CS"/>
        </w:rPr>
        <w:t xml:space="preserve">одредити </w:t>
      </w:r>
      <w:r w:rsidR="007F7F60" w:rsidRPr="00E95BC4">
        <w:rPr>
          <w:color w:val="auto"/>
          <w:lang w:val="sr-Cyrl-CS"/>
        </w:rPr>
        <w:t>координатора</w:t>
      </w:r>
      <w:r w:rsidRPr="00E95BC4">
        <w:rPr>
          <w:color w:val="auto"/>
          <w:lang w:val="sr-Cyrl-CS"/>
        </w:rPr>
        <w:t xml:space="preserve"> </w:t>
      </w:r>
      <w:r w:rsidR="007F7F60" w:rsidRPr="00E95BC4">
        <w:rPr>
          <w:color w:val="auto"/>
          <w:lang w:val="sr-Cyrl-CS"/>
        </w:rPr>
        <w:t>и заменика координато</w:t>
      </w:r>
      <w:r w:rsidR="00FF62B7" w:rsidRPr="00E95BC4">
        <w:rPr>
          <w:color w:val="auto"/>
          <w:lang w:val="sr-Cyrl-CS"/>
        </w:rPr>
        <w:t>ра за сваку од следећих области:</w:t>
      </w:r>
    </w:p>
    <w:p w:rsidR="00E856F4" w:rsidRPr="00E95BC4" w:rsidRDefault="00E856F4" w:rsidP="00285FD7">
      <w:pPr>
        <w:tabs>
          <w:tab w:val="left" w:pos="900"/>
        </w:tabs>
        <w:jc w:val="both"/>
        <w:rPr>
          <w:color w:val="auto"/>
          <w:lang w:val="sr-Cyrl-CS"/>
        </w:rPr>
      </w:pPr>
    </w:p>
    <w:p w:rsidR="00E856F4" w:rsidRPr="00E95BC4" w:rsidRDefault="00432822" w:rsidP="00AC7277">
      <w:pPr>
        <w:pStyle w:val="ListParagraph"/>
        <w:numPr>
          <w:ilvl w:val="0"/>
          <w:numId w:val="16"/>
        </w:numPr>
        <w:tabs>
          <w:tab w:val="left" w:pos="900"/>
        </w:tabs>
        <w:jc w:val="both"/>
        <w:rPr>
          <w:color w:val="auto"/>
          <w:lang w:val="sr-Cyrl-CS"/>
        </w:rPr>
      </w:pPr>
      <w:r w:rsidRPr="00E95BC4">
        <w:rPr>
          <w:color w:val="auto"/>
          <w:lang w:val="sr-Cyrl-CS"/>
        </w:rPr>
        <w:t xml:space="preserve">Процена ризика, координација, </w:t>
      </w:r>
      <w:r w:rsidR="00E856F4" w:rsidRPr="00E95BC4">
        <w:rPr>
          <w:color w:val="auto"/>
          <w:lang w:val="sr-Cyrl-CS"/>
        </w:rPr>
        <w:t xml:space="preserve">интерресорна </w:t>
      </w:r>
      <w:r w:rsidRPr="00E95BC4">
        <w:rPr>
          <w:color w:val="auto"/>
          <w:lang w:val="sr-Cyrl-CS"/>
        </w:rPr>
        <w:t xml:space="preserve">и међународна </w:t>
      </w:r>
      <w:r w:rsidR="007F7F60" w:rsidRPr="00E95BC4">
        <w:rPr>
          <w:color w:val="auto"/>
          <w:lang w:val="sr-Cyrl-CS"/>
        </w:rPr>
        <w:t>сарадња</w:t>
      </w:r>
      <w:r w:rsidR="00FF62B7" w:rsidRPr="00E95BC4">
        <w:rPr>
          <w:color w:val="auto"/>
          <w:lang w:val="sr-Cyrl-CS"/>
        </w:rPr>
        <w:t>;</w:t>
      </w:r>
      <w:r w:rsidR="00EC53DA" w:rsidRPr="00E95BC4">
        <w:rPr>
          <w:color w:val="auto"/>
          <w:lang w:val="sr-Cyrl-CS"/>
        </w:rPr>
        <w:t xml:space="preserve"> </w:t>
      </w:r>
    </w:p>
    <w:p w:rsidR="00E856F4" w:rsidRPr="00E95BC4" w:rsidRDefault="007F7F60" w:rsidP="00AC7277">
      <w:pPr>
        <w:pStyle w:val="ListParagraph"/>
        <w:numPr>
          <w:ilvl w:val="0"/>
          <w:numId w:val="16"/>
        </w:numPr>
        <w:tabs>
          <w:tab w:val="left" w:pos="900"/>
        </w:tabs>
        <w:jc w:val="both"/>
        <w:rPr>
          <w:color w:val="auto"/>
          <w:lang w:val="sr-Cyrl-CS"/>
        </w:rPr>
      </w:pPr>
      <w:r w:rsidRPr="00E95BC4">
        <w:rPr>
          <w:color w:val="auto"/>
          <w:lang w:val="sr-Cyrl-CS"/>
        </w:rPr>
        <w:t>Превентивне мере и надзор</w:t>
      </w:r>
      <w:r w:rsidR="00FF62B7" w:rsidRPr="00E95BC4">
        <w:rPr>
          <w:color w:val="auto"/>
          <w:lang w:val="sr-Cyrl-CS"/>
        </w:rPr>
        <w:t>;</w:t>
      </w:r>
      <w:r w:rsidR="00EC53DA" w:rsidRPr="00E95BC4">
        <w:rPr>
          <w:color w:val="auto"/>
          <w:lang w:val="sr-Cyrl-CS"/>
        </w:rPr>
        <w:t xml:space="preserve"> </w:t>
      </w:r>
    </w:p>
    <w:p w:rsidR="00E856F4" w:rsidRPr="00E95BC4" w:rsidRDefault="00E856F4" w:rsidP="00AC7277">
      <w:pPr>
        <w:pStyle w:val="ListParagraph"/>
        <w:numPr>
          <w:ilvl w:val="0"/>
          <w:numId w:val="16"/>
        </w:numPr>
        <w:tabs>
          <w:tab w:val="left" w:pos="900"/>
        </w:tabs>
        <w:jc w:val="both"/>
        <w:rPr>
          <w:color w:val="auto"/>
          <w:lang w:val="sr-Cyrl-CS"/>
        </w:rPr>
      </w:pPr>
      <w:r w:rsidRPr="00E95BC4">
        <w:rPr>
          <w:color w:val="auto"/>
          <w:lang w:val="sr-Cyrl-CS"/>
        </w:rPr>
        <w:t>Истраге, по</w:t>
      </w:r>
      <w:r w:rsidR="007F7F60" w:rsidRPr="00E95BC4">
        <w:rPr>
          <w:color w:val="auto"/>
          <w:lang w:val="sr-Cyrl-CS"/>
        </w:rPr>
        <w:t>ступци и пресуде за прање новца</w:t>
      </w:r>
      <w:r w:rsidR="00FF62B7" w:rsidRPr="00E95BC4">
        <w:rPr>
          <w:color w:val="auto"/>
          <w:lang w:val="sr-Cyrl-CS"/>
        </w:rPr>
        <w:t>;</w:t>
      </w:r>
      <w:r w:rsidR="00EC53DA" w:rsidRPr="00E95BC4">
        <w:rPr>
          <w:color w:val="auto"/>
          <w:lang w:val="sr-Cyrl-CS"/>
        </w:rPr>
        <w:t xml:space="preserve"> </w:t>
      </w:r>
    </w:p>
    <w:p w:rsidR="00E856F4" w:rsidRPr="00E95BC4" w:rsidRDefault="00E856F4" w:rsidP="00AC7277">
      <w:pPr>
        <w:pStyle w:val="ListParagraph"/>
        <w:numPr>
          <w:ilvl w:val="0"/>
          <w:numId w:val="16"/>
        </w:numPr>
        <w:tabs>
          <w:tab w:val="left" w:pos="900"/>
        </w:tabs>
        <w:jc w:val="both"/>
        <w:rPr>
          <w:color w:val="auto"/>
          <w:lang w:val="sr-Cyrl-CS"/>
        </w:rPr>
      </w:pPr>
      <w:r w:rsidRPr="00E95BC4">
        <w:rPr>
          <w:color w:val="auto"/>
          <w:lang w:val="sr-Cyrl-CS"/>
        </w:rPr>
        <w:t>Ф</w:t>
      </w:r>
      <w:r w:rsidR="00AB16CA" w:rsidRPr="00E95BC4">
        <w:rPr>
          <w:color w:val="auto"/>
          <w:lang w:val="sr-Cyrl-CS"/>
        </w:rPr>
        <w:t>инансирање тероризма</w:t>
      </w:r>
      <w:r w:rsidR="006E0804" w:rsidRPr="00E95BC4">
        <w:rPr>
          <w:color w:val="auto"/>
          <w:lang w:val="sr-Cyrl-CS"/>
        </w:rPr>
        <w:t xml:space="preserve"> и циљане финансијске санкције</w:t>
      </w:r>
      <w:r w:rsidR="007F7F60" w:rsidRPr="00E95BC4">
        <w:rPr>
          <w:color w:val="auto"/>
          <w:lang w:val="sr-Cyrl-CS"/>
        </w:rPr>
        <w:t>.</w:t>
      </w:r>
    </w:p>
    <w:p w:rsidR="00AB16CA" w:rsidRPr="00E95BC4" w:rsidRDefault="00AB16CA" w:rsidP="00AB16CA">
      <w:pPr>
        <w:tabs>
          <w:tab w:val="left" w:pos="900"/>
        </w:tabs>
        <w:jc w:val="both"/>
        <w:rPr>
          <w:color w:val="FF0000"/>
          <w:lang w:val="sr-Cyrl-CS"/>
        </w:rPr>
      </w:pPr>
    </w:p>
    <w:p w:rsidR="00E856F4" w:rsidRPr="00E95BC4" w:rsidRDefault="001043A5" w:rsidP="001043A5">
      <w:pPr>
        <w:jc w:val="both"/>
        <w:rPr>
          <w:color w:val="auto"/>
          <w:lang w:val="sr-Cyrl-CS"/>
        </w:rPr>
      </w:pPr>
      <w:r w:rsidRPr="00E95BC4">
        <w:rPr>
          <w:color w:val="auto"/>
          <w:lang w:val="sr-Cyrl-CS"/>
        </w:rPr>
        <w:tab/>
      </w:r>
      <w:r w:rsidR="00AB16CA" w:rsidRPr="00E95BC4">
        <w:rPr>
          <w:color w:val="auto"/>
          <w:lang w:val="sr-Cyrl-CS"/>
        </w:rPr>
        <w:t xml:space="preserve">Координатори ће за потребе праћења спровођења Акционог плана </w:t>
      </w:r>
      <w:r w:rsidR="00037BF6" w:rsidRPr="00E95BC4">
        <w:rPr>
          <w:color w:val="auto"/>
          <w:lang w:val="sr-Cyrl-CS"/>
        </w:rPr>
        <w:t>давати иницијативе за образовање стручних</w:t>
      </w:r>
      <w:r w:rsidR="00AB16CA" w:rsidRPr="00E95BC4">
        <w:rPr>
          <w:color w:val="auto"/>
          <w:lang w:val="sr-Cyrl-CS"/>
        </w:rPr>
        <w:t xml:space="preserve"> тимов</w:t>
      </w:r>
      <w:r w:rsidR="00037BF6" w:rsidRPr="00E95BC4">
        <w:rPr>
          <w:color w:val="auto"/>
          <w:lang w:val="sr-Cyrl-CS"/>
        </w:rPr>
        <w:t xml:space="preserve">а Координационог тела, по потреби и </w:t>
      </w:r>
      <w:r w:rsidR="00806E9B" w:rsidRPr="00E95BC4">
        <w:rPr>
          <w:color w:val="auto"/>
          <w:lang w:val="sr-Cyrl-CS"/>
        </w:rPr>
        <w:t>у складу са Пословником Координационог тела</w:t>
      </w:r>
      <w:r w:rsidR="00AB16CA" w:rsidRPr="00E95BC4">
        <w:rPr>
          <w:color w:val="auto"/>
          <w:lang w:val="sr-Cyrl-CS"/>
        </w:rPr>
        <w:t>.</w:t>
      </w:r>
      <w:r w:rsidR="008E17F3" w:rsidRPr="00E95BC4">
        <w:rPr>
          <w:color w:val="auto"/>
          <w:lang w:val="sr-Cyrl-CS"/>
        </w:rPr>
        <w:t xml:space="preserve"> Чланови Координационог тела могу и непосредно излагати информације о реализацији појединих активности.</w:t>
      </w:r>
    </w:p>
    <w:p w:rsidR="00C46CB0" w:rsidRPr="00E95BC4" w:rsidRDefault="00C46CB0" w:rsidP="00C46CB0">
      <w:pPr>
        <w:ind w:firstLine="720"/>
        <w:jc w:val="both"/>
        <w:rPr>
          <w:lang w:val="sr-Cyrl-CS"/>
        </w:rPr>
      </w:pPr>
      <w:r w:rsidRPr="00E95BC4">
        <w:rPr>
          <w:lang w:val="sr-Cyrl-CS"/>
        </w:rPr>
        <w:t>Треба напоменути да је, у складу са упутством Републичког секретаријата за јавне политике, у табели Акционог плана, за одређене активности које су по природи</w:t>
      </w:r>
      <w:r w:rsidRPr="00E95BC4">
        <w:rPr>
          <w:i/>
          <w:lang w:val="sr-Cyrl-CS"/>
        </w:rPr>
        <w:t xml:space="preserve"> континуиране</w:t>
      </w:r>
      <w:r w:rsidR="00E91A83" w:rsidRPr="00E95BC4">
        <w:rPr>
          <w:lang w:val="sr-Cyrl-CS"/>
        </w:rPr>
        <w:t>, уписивано „IV квартал 2022”</w:t>
      </w:r>
      <w:r w:rsidRPr="00E95BC4">
        <w:rPr>
          <w:lang w:val="sr-Cyrl-CS"/>
        </w:rPr>
        <w:t xml:space="preserve"> као последња година важења Акционог плана. У таквим случајевима може доћи до забуне између таквих </w:t>
      </w:r>
      <w:r w:rsidRPr="00E95BC4">
        <w:rPr>
          <w:i/>
          <w:lang w:val="sr-Cyrl-CS"/>
        </w:rPr>
        <w:t xml:space="preserve">континуираних </w:t>
      </w:r>
      <w:r w:rsidRPr="00E95BC4">
        <w:rPr>
          <w:lang w:val="sr-Cyrl-CS"/>
        </w:rPr>
        <w:t>активности и активности код којих је рок за извршење управо тај квартал 2022, о чему треба водити рачуна приликом извештавања о степену испуњења Стратегије. Континуиран карактер неких активности наглашен је употребом те речи и сличних речи, нпр. контину</w:t>
      </w:r>
      <w:r w:rsidR="00091BE9">
        <w:rPr>
          <w:lang w:val="sr-Cyrl-CS"/>
        </w:rPr>
        <w:t>и</w:t>
      </w:r>
      <w:r w:rsidRPr="00E95BC4">
        <w:rPr>
          <w:lang w:val="sr-Cyrl-CS"/>
        </w:rPr>
        <w:t>ране (обуке и сл.), периодично, квартално, редовно.</w:t>
      </w:r>
    </w:p>
    <w:p w:rsidR="00C46CB0" w:rsidRPr="00E95BC4" w:rsidRDefault="00C46CB0" w:rsidP="00C46CB0">
      <w:pPr>
        <w:ind w:firstLine="720"/>
        <w:jc w:val="both"/>
        <w:rPr>
          <w:lang w:val="sr-Cyrl-CS"/>
        </w:rPr>
      </w:pPr>
      <w:r w:rsidRPr="00E95BC4">
        <w:rPr>
          <w:lang w:val="sr-Cyrl-CS"/>
        </w:rPr>
        <w:t xml:space="preserve">Такође, када је реч о одређивању </w:t>
      </w:r>
      <w:r w:rsidR="00E91A83" w:rsidRPr="00E95BC4">
        <w:rPr>
          <w:lang w:val="sr-Cyrl-CS"/>
        </w:rPr>
        <w:t>„органа који спроводи активност”</w:t>
      </w:r>
      <w:r w:rsidRPr="00E95BC4">
        <w:rPr>
          <w:lang w:val="sr-Cyrl-CS"/>
        </w:rPr>
        <w:t xml:space="preserve"> у више случајева је било примерено унети већи број органа (нпр. „сви надзорни органи</w:t>
      </w:r>
      <w:r w:rsidR="003067CB" w:rsidRPr="00E95BC4">
        <w:rPr>
          <w:lang w:val="sr-Cyrl-CS"/>
        </w:rPr>
        <w:t>”</w:t>
      </w:r>
      <w:r w:rsidRPr="00E95BC4">
        <w:rPr>
          <w:lang w:val="sr-Cyrl-CS"/>
        </w:rPr>
        <w:t>), али је према препоруци Републичког секретаријата за јавне политике у таквим случајевима или идентификован само један од тих органа, што не значи да је тај орган искључиво надлежан за ту активност него се посматра више као координатор реализације, а у већем броју таквих случајева као орган који спроводи активност (носилац) навођена су шира координациона тела као што су Координационо тело за спречавање прања новца и финансирања тероризма, Национално координационо те</w:t>
      </w:r>
      <w:r w:rsidR="003A648B" w:rsidRPr="00E95BC4">
        <w:rPr>
          <w:lang w:val="sr-Cyrl-CS"/>
        </w:rPr>
        <w:t>ло за спречавање и борбу против</w:t>
      </w:r>
      <w:r w:rsidR="00526B4C">
        <w:rPr>
          <w:lang w:val="sr-Cyrl-CS"/>
        </w:rPr>
        <w:t xml:space="preserve"> тероризма или Ко</w:t>
      </w:r>
      <w:r w:rsidRPr="00E95BC4">
        <w:rPr>
          <w:lang w:val="sr-Cyrl-CS"/>
        </w:rPr>
        <w:t xml:space="preserve">ординациона комисија за инспекцијски надзор. </w:t>
      </w:r>
    </w:p>
    <w:p w:rsidR="00317E78" w:rsidRPr="00E95BC4" w:rsidRDefault="00317E78" w:rsidP="00285FD7">
      <w:pPr>
        <w:tabs>
          <w:tab w:val="left" w:pos="900"/>
        </w:tabs>
        <w:jc w:val="both"/>
        <w:rPr>
          <w:lang w:val="sr-Cyrl-CS"/>
        </w:rPr>
      </w:pPr>
    </w:p>
    <w:p w:rsidR="00A278FF" w:rsidRPr="00E95BC4" w:rsidRDefault="00A278FF" w:rsidP="00285FD7">
      <w:pPr>
        <w:pStyle w:val="Heading1"/>
        <w:spacing w:before="0"/>
        <w:ind w:firstLine="720"/>
        <w:rPr>
          <w:rFonts w:ascii="Times New Roman" w:hAnsi="Times New Roman" w:cs="Times New Roman"/>
          <w:color w:val="auto"/>
          <w:sz w:val="24"/>
          <w:szCs w:val="24"/>
          <w:lang w:val="sr-Cyrl-CS"/>
        </w:rPr>
      </w:pPr>
      <w:bookmarkStart w:id="11" w:name="_Toc32409900"/>
      <w:r w:rsidRPr="00E95BC4">
        <w:rPr>
          <w:rFonts w:ascii="Times New Roman" w:hAnsi="Times New Roman" w:cs="Times New Roman"/>
          <w:color w:val="auto"/>
          <w:sz w:val="24"/>
          <w:szCs w:val="24"/>
          <w:lang w:val="sr-Cyrl-CS"/>
        </w:rPr>
        <w:t>Спроведене консултације са заинтересованим странама</w:t>
      </w:r>
      <w:bookmarkEnd w:id="11"/>
    </w:p>
    <w:p w:rsidR="00891EE4" w:rsidRPr="00E95BC4" w:rsidRDefault="00891EE4" w:rsidP="00285FD7">
      <w:pPr>
        <w:ind w:firstLine="720"/>
        <w:jc w:val="both"/>
        <w:rPr>
          <w:lang w:val="sr-Cyrl-CS"/>
        </w:rPr>
      </w:pPr>
    </w:p>
    <w:p w:rsidR="00891EE4" w:rsidRDefault="00891EE4" w:rsidP="00285FD7">
      <w:pPr>
        <w:ind w:firstLine="720"/>
        <w:jc w:val="both"/>
        <w:rPr>
          <w:lang w:val="sr-Cyrl-CS"/>
        </w:rPr>
      </w:pPr>
      <w:r w:rsidRPr="00E95BC4">
        <w:rPr>
          <w:b/>
          <w:lang w:val="sr-Cyrl-CS"/>
        </w:rPr>
        <w:t xml:space="preserve">Циљне групе и друге заинтересоване стране. </w:t>
      </w:r>
      <w:r w:rsidRPr="00E95BC4">
        <w:rPr>
          <w:lang w:val="sr-Cyrl-CS"/>
        </w:rPr>
        <w:t>У наставку се идентификују циљне групе и друге заинтересоване стране на које промена која се уводи овом стратегијо</w:t>
      </w:r>
      <w:r w:rsidR="00037BF6" w:rsidRPr="00E95BC4">
        <w:rPr>
          <w:lang w:val="sr-Cyrl-CS"/>
        </w:rPr>
        <w:t>м и њени елементи највише утичу</w:t>
      </w:r>
      <w:r w:rsidRPr="00E95BC4">
        <w:rPr>
          <w:lang w:val="sr-Cyrl-CS"/>
        </w:rPr>
        <w:t>.</w:t>
      </w:r>
    </w:p>
    <w:p w:rsidR="00E8557B" w:rsidRPr="00E95BC4" w:rsidRDefault="00E8557B" w:rsidP="00285FD7">
      <w:pPr>
        <w:ind w:firstLine="720"/>
        <w:jc w:val="both"/>
        <w:rPr>
          <w:lang w:val="sr-Cyrl-CS"/>
        </w:rPr>
      </w:pPr>
    </w:p>
    <w:p w:rsidR="00891EE4" w:rsidRPr="00E95BC4" w:rsidRDefault="00891EE4" w:rsidP="00285FD7">
      <w:pPr>
        <w:ind w:firstLine="720"/>
        <w:rPr>
          <w:lang w:val="sr-Cyrl-CS"/>
        </w:rPr>
      </w:pPr>
      <w:r w:rsidRPr="00E95BC4">
        <w:rPr>
          <w:lang w:val="sr-Cyrl-CS"/>
        </w:rPr>
        <w:lastRenderedPageBreak/>
        <w:t>Циљне групе и друге заинтересоване стране могу се сврстати на следећи начин:</w:t>
      </w:r>
    </w:p>
    <w:p w:rsidR="002247A8" w:rsidRPr="00E95BC4" w:rsidRDefault="002247A8" w:rsidP="00285FD7">
      <w:pPr>
        <w:ind w:firstLine="720"/>
        <w:rPr>
          <w:lang w:val="sr-Cyrl-CS"/>
        </w:rPr>
      </w:pPr>
    </w:p>
    <w:p w:rsidR="00891EE4" w:rsidRPr="00E95BC4" w:rsidRDefault="007574CB" w:rsidP="00AC7277">
      <w:pPr>
        <w:pStyle w:val="ListParagraph"/>
        <w:numPr>
          <w:ilvl w:val="0"/>
          <w:numId w:val="11"/>
        </w:numPr>
        <w:rPr>
          <w:rFonts w:eastAsia="Times New Roman"/>
          <w:b/>
          <w:bCs/>
          <w:color w:val="auto"/>
          <w:kern w:val="0"/>
          <w:lang w:val="sr-Cyrl-CS"/>
        </w:rPr>
      </w:pPr>
      <w:r w:rsidRPr="00E95BC4">
        <w:rPr>
          <w:rFonts w:eastAsia="Times New Roman"/>
          <w:b/>
          <w:bCs/>
          <w:color w:val="auto"/>
          <w:kern w:val="0"/>
          <w:lang w:val="sr-Cyrl-CS"/>
        </w:rPr>
        <w:t>О</w:t>
      </w:r>
      <w:r w:rsidR="00891EE4" w:rsidRPr="00E95BC4">
        <w:rPr>
          <w:rFonts w:eastAsia="Times New Roman"/>
          <w:b/>
          <w:bCs/>
          <w:color w:val="auto"/>
          <w:kern w:val="0"/>
          <w:lang w:val="sr-Cyrl-CS"/>
        </w:rPr>
        <w:t xml:space="preserve">бвезници из члана 4. Закона о спречавању прања новца и финансирања тероризма </w:t>
      </w:r>
      <w:r w:rsidRPr="00E95BC4">
        <w:rPr>
          <w:rFonts w:eastAsia="Times New Roman"/>
          <w:b/>
          <w:bCs/>
          <w:color w:val="auto"/>
          <w:kern w:val="0"/>
          <w:lang w:val="sr-Cyrl-CS"/>
        </w:rPr>
        <w:t>(партнери из приватног сектора)</w:t>
      </w:r>
      <w:r w:rsidR="006C3A16">
        <w:rPr>
          <w:rFonts w:eastAsia="Times New Roman"/>
          <w:b/>
          <w:bCs/>
          <w:color w:val="auto"/>
          <w:kern w:val="0"/>
          <w:lang w:val="sr-Cyrl-CS"/>
        </w:rPr>
        <w:t>:</w:t>
      </w:r>
    </w:p>
    <w:p w:rsidR="008B4459" w:rsidRPr="00E95BC4" w:rsidRDefault="008B4459" w:rsidP="008B4459">
      <w:pPr>
        <w:pStyle w:val="ListParagraph"/>
        <w:rPr>
          <w:rFonts w:eastAsia="Times New Roman"/>
          <w:b/>
          <w:bCs/>
          <w:color w:val="auto"/>
          <w:kern w:val="0"/>
          <w:lang w:val="sr-Cyrl-CS"/>
        </w:rPr>
      </w:pP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банке;</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овлашћени мењачи и привредни субјекти који мењачке послове обављају на основу посебног закона којим се уређује њихова делатност;</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друштва за управљање инвестиционим фондовима;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друштва за управљање добровољним пензијским фондовима;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даваоци финансијског лизинга;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друштва за осигурање која поседују дозволу за обављање животних осигурања и друштва за посредовање у осигурању када обављају послове посредовања у животним осигурањима; друштва за заступање у осигурању и заступници у осигурању, који имају дозволу за обављање послова осигурања живота, осим друштава за заступање и заступника у осигурању за чији рад одговара друштво за осигурање у складу са законом;</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брокерско-дилерска друштва;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приређивачи посебних игара на срећу у играчницама и приређивачи игара на срећу преко средстава електронске комуникације;</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друштво за ревизију и самостални ревизор;</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институције електронског новца;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платне институције;</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посредници у промету и закупу непокретности;</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факторинг друштва;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предузетници и правна лица која се баве пружањем рачуноводствених услуга;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порески саветници;</w:t>
      </w:r>
    </w:p>
    <w:p w:rsidR="00E91A83" w:rsidRPr="00E95BC4" w:rsidRDefault="00784AA9" w:rsidP="00E91A83">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јавни поштански оператор са седиштем у Републици Србији, основан у складу са законом којим се уређују поштанске услуге, који пружа платне услуге у складу са законом којим се уређује пружање платних услуга;</w:t>
      </w:r>
    </w:p>
    <w:p w:rsidR="00784AA9" w:rsidRPr="00E95BC4" w:rsidRDefault="00784AA9" w:rsidP="00E91A83">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лица која се баве поштанским саобраћајем;</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лица која се баве пружањем услуга куповине, продаје или преноса виртуелних валута или замене тих валута за новац или другу имовину преко интернет платформи, уређаја у физичком облику или на други начин, односно која посредују при пружању ових услуга</w:t>
      </w:r>
      <w:r w:rsidR="00B83C4A">
        <w:rPr>
          <w:rFonts w:eastAsia="Times New Roman"/>
          <w:color w:val="auto"/>
          <w:kern w:val="0"/>
          <w:lang w:val="sr-Cyrl-CS"/>
        </w:rPr>
        <w:t>,</w:t>
      </w:r>
      <w:r w:rsidRPr="00E95BC4">
        <w:rPr>
          <w:rFonts w:eastAsia="Times New Roman"/>
          <w:color w:val="auto"/>
          <w:kern w:val="0"/>
          <w:lang w:val="sr-Cyrl-CS"/>
        </w:rPr>
        <w:t xml:space="preserve"> као и пр</w:t>
      </w:r>
      <w:r w:rsidR="00E91A83" w:rsidRPr="00E95BC4">
        <w:rPr>
          <w:rFonts w:eastAsia="Times New Roman"/>
          <w:color w:val="auto"/>
          <w:kern w:val="0"/>
          <w:lang w:val="sr-Cyrl-CS"/>
        </w:rPr>
        <w:t>ужаоци кастоди услуге новчаника;</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адвокати</w:t>
      </w:r>
      <w:r w:rsidR="00E91A83" w:rsidRPr="00E95BC4">
        <w:rPr>
          <w:rFonts w:eastAsia="Times New Roman"/>
          <w:color w:val="auto"/>
          <w:kern w:val="0"/>
          <w:lang w:val="sr-Cyrl-CS"/>
        </w:rPr>
        <w:t>;</w:t>
      </w:r>
      <w:r w:rsidRPr="00E95BC4">
        <w:rPr>
          <w:rFonts w:eastAsia="Times New Roman"/>
          <w:color w:val="auto"/>
          <w:kern w:val="0"/>
          <w:lang w:val="sr-Cyrl-CS"/>
        </w:rPr>
        <w:t xml:space="preserve"> </w:t>
      </w:r>
    </w:p>
    <w:p w:rsidR="00784AA9" w:rsidRPr="00E95BC4" w:rsidRDefault="00784AA9" w:rsidP="00784AA9">
      <w:pPr>
        <w:numPr>
          <w:ilvl w:val="0"/>
          <w:numId w:val="8"/>
        </w:numPr>
        <w:tabs>
          <w:tab w:val="clear" w:pos="720"/>
        </w:tabs>
        <w:ind w:left="459"/>
        <w:jc w:val="both"/>
        <w:rPr>
          <w:rFonts w:eastAsia="Times New Roman"/>
          <w:color w:val="auto"/>
          <w:kern w:val="0"/>
          <w:lang w:val="sr-Cyrl-CS"/>
        </w:rPr>
      </w:pPr>
      <w:r w:rsidRPr="00E95BC4">
        <w:rPr>
          <w:rFonts w:eastAsia="Times New Roman"/>
          <w:color w:val="auto"/>
          <w:kern w:val="0"/>
          <w:lang w:val="sr-Cyrl-CS"/>
        </w:rPr>
        <w:t>јавни бележници.</w:t>
      </w:r>
    </w:p>
    <w:p w:rsidR="00317E78" w:rsidRPr="00E95BC4" w:rsidRDefault="00317E78" w:rsidP="00285FD7">
      <w:pPr>
        <w:rPr>
          <w:rFonts w:eastAsia="Times New Roman"/>
          <w:color w:val="auto"/>
          <w:kern w:val="0"/>
          <w:highlight w:val="yellow"/>
          <w:lang w:val="sr-Cyrl-CS"/>
        </w:rPr>
      </w:pPr>
    </w:p>
    <w:p w:rsidR="00FF62B7" w:rsidRPr="00E95BC4" w:rsidRDefault="00FF62B7" w:rsidP="00285FD7">
      <w:pPr>
        <w:rPr>
          <w:rFonts w:eastAsia="Times New Roman"/>
          <w:color w:val="auto"/>
          <w:kern w:val="0"/>
          <w:highlight w:val="yellow"/>
          <w:lang w:val="sr-Cyrl-CS"/>
        </w:rPr>
      </w:pPr>
    </w:p>
    <w:p w:rsidR="00891EE4" w:rsidRPr="00E95BC4" w:rsidRDefault="00891EE4" w:rsidP="00AC7277">
      <w:pPr>
        <w:pStyle w:val="ListParagraph"/>
        <w:numPr>
          <w:ilvl w:val="0"/>
          <w:numId w:val="11"/>
        </w:numPr>
        <w:rPr>
          <w:rFonts w:eastAsia="Times New Roman"/>
          <w:color w:val="auto"/>
          <w:kern w:val="0"/>
          <w:lang w:val="sr-Cyrl-CS"/>
        </w:rPr>
      </w:pPr>
      <w:r w:rsidRPr="00E95BC4">
        <w:rPr>
          <w:rFonts w:eastAsia="Times New Roman"/>
          <w:b/>
          <w:bCs/>
          <w:color w:val="auto"/>
          <w:kern w:val="0"/>
          <w:lang w:val="sr-Cyrl-CS"/>
        </w:rPr>
        <w:t>Надзорни органи из члана 104. Закона о спречавању прања новца и финансирања тероризма</w:t>
      </w:r>
      <w:r w:rsidR="006C3A16">
        <w:rPr>
          <w:rFonts w:eastAsia="Times New Roman"/>
          <w:b/>
          <w:bCs/>
          <w:color w:val="auto"/>
          <w:kern w:val="0"/>
          <w:lang w:val="sr-Cyrl-CS"/>
        </w:rPr>
        <w:t>:</w:t>
      </w:r>
    </w:p>
    <w:p w:rsidR="00891EE4" w:rsidRPr="00E95BC4" w:rsidRDefault="00891EE4" w:rsidP="00285FD7">
      <w:pPr>
        <w:pStyle w:val="ListParagraph"/>
        <w:rPr>
          <w:rFonts w:eastAsia="Times New Roman"/>
          <w:color w:val="auto"/>
          <w:kern w:val="0"/>
          <w:lang w:val="sr-Cyrl-CS"/>
        </w:rPr>
      </w:pPr>
    </w:p>
    <w:p w:rsidR="00891EE4" w:rsidRPr="00E95BC4" w:rsidRDefault="00891EE4" w:rsidP="00AC7277">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Управа за спречавање прања новца,</w:t>
      </w:r>
    </w:p>
    <w:p w:rsidR="00891EE4" w:rsidRPr="00E95BC4" w:rsidRDefault="00891EE4" w:rsidP="00AC7277">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Народна банка Србије,</w:t>
      </w:r>
    </w:p>
    <w:p w:rsidR="00891EE4" w:rsidRPr="00E95BC4" w:rsidRDefault="00891EE4" w:rsidP="00AC7277">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Комисија за хартије од вредности,</w:t>
      </w:r>
    </w:p>
    <w:p w:rsidR="00E91A83" w:rsidRPr="00E95BC4" w:rsidRDefault="005D036E" w:rsidP="00E91A83">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орган надлежан за надзор у области пореског саветовања,</w:t>
      </w:r>
    </w:p>
    <w:p w:rsidR="005D036E" w:rsidRPr="00E95BC4" w:rsidRDefault="005D036E" w:rsidP="00E91A83">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lastRenderedPageBreak/>
        <w:t>орган надлежан за надзор у области игара на срећу,</w:t>
      </w:r>
    </w:p>
    <w:p w:rsidR="00891EE4" w:rsidRPr="00E95BC4" w:rsidRDefault="00891EE4" w:rsidP="00AC7277">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надлежно за инспекцијски надзор у области трговине,</w:t>
      </w:r>
    </w:p>
    <w:p w:rsidR="005D036E" w:rsidRPr="00E95BC4" w:rsidRDefault="005D036E" w:rsidP="00AC7277">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Адвокатска комора</w:t>
      </w:r>
      <w:r w:rsidR="00FF62B7" w:rsidRPr="00E95BC4">
        <w:rPr>
          <w:rFonts w:eastAsia="Times New Roman"/>
          <w:color w:val="auto"/>
          <w:kern w:val="0"/>
          <w:lang w:val="sr-Cyrl-CS"/>
        </w:rPr>
        <w:t xml:space="preserve"> Србије</w:t>
      </w:r>
      <w:r w:rsidRPr="00E95BC4">
        <w:rPr>
          <w:rFonts w:eastAsia="Times New Roman"/>
          <w:color w:val="auto"/>
          <w:kern w:val="0"/>
          <w:lang w:val="sr-Cyrl-CS"/>
        </w:rPr>
        <w:t>,</w:t>
      </w:r>
    </w:p>
    <w:p w:rsidR="00891EE4" w:rsidRPr="00E95BC4" w:rsidRDefault="00891EE4" w:rsidP="00AC7277">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надлежно за послове поштанског саобраћаја,</w:t>
      </w:r>
    </w:p>
    <w:p w:rsidR="00891EE4" w:rsidRPr="00E95BC4" w:rsidRDefault="00891EE4" w:rsidP="00AC7277">
      <w:pPr>
        <w:numPr>
          <w:ilvl w:val="0"/>
          <w:numId w:val="21"/>
        </w:numPr>
        <w:tabs>
          <w:tab w:val="clear" w:pos="720"/>
        </w:tabs>
        <w:ind w:left="459"/>
        <w:rPr>
          <w:rFonts w:eastAsia="Times New Roman"/>
          <w:color w:val="auto"/>
          <w:kern w:val="0"/>
          <w:lang w:val="sr-Cyrl-CS"/>
        </w:rPr>
      </w:pPr>
      <w:r w:rsidRPr="00E95BC4">
        <w:rPr>
          <w:rFonts w:eastAsia="Times New Roman"/>
          <w:color w:val="auto"/>
          <w:kern w:val="0"/>
          <w:lang w:val="sr-Cyrl-CS"/>
        </w:rPr>
        <w:t>Јавнобележничка комора</w:t>
      </w:r>
      <w:r w:rsidR="00FF62B7" w:rsidRPr="00E95BC4">
        <w:rPr>
          <w:rFonts w:eastAsia="Times New Roman"/>
          <w:color w:val="auto"/>
          <w:kern w:val="0"/>
          <w:lang w:val="sr-Cyrl-CS"/>
        </w:rPr>
        <w:t xml:space="preserve"> Србије</w:t>
      </w:r>
      <w:r w:rsidRPr="00E95BC4">
        <w:rPr>
          <w:rFonts w:eastAsia="Times New Roman"/>
          <w:color w:val="auto"/>
          <w:kern w:val="0"/>
          <w:lang w:val="sr-Cyrl-CS"/>
        </w:rPr>
        <w:t>.</w:t>
      </w:r>
    </w:p>
    <w:p w:rsidR="00891EE4" w:rsidRPr="00E95BC4" w:rsidRDefault="00891EE4" w:rsidP="00285FD7">
      <w:pPr>
        <w:rPr>
          <w:rFonts w:eastAsia="Times New Roman"/>
          <w:b/>
          <w:bCs/>
          <w:color w:val="auto"/>
          <w:kern w:val="0"/>
          <w:lang w:val="sr-Cyrl-CS"/>
        </w:rPr>
      </w:pPr>
    </w:p>
    <w:p w:rsidR="00891EE4" w:rsidRPr="00E95BC4" w:rsidRDefault="00891EE4" w:rsidP="00AC7277">
      <w:pPr>
        <w:pStyle w:val="ListParagraph"/>
        <w:numPr>
          <w:ilvl w:val="0"/>
          <w:numId w:val="11"/>
        </w:numPr>
        <w:rPr>
          <w:rFonts w:eastAsia="Times New Roman"/>
          <w:b/>
          <w:color w:val="auto"/>
          <w:kern w:val="0"/>
          <w:lang w:val="sr-Cyrl-CS"/>
        </w:rPr>
      </w:pPr>
      <w:r w:rsidRPr="00E95BC4">
        <w:rPr>
          <w:rFonts w:eastAsia="Times New Roman"/>
          <w:b/>
          <w:bCs/>
          <w:color w:val="auto"/>
          <w:kern w:val="0"/>
          <w:lang w:val="sr-Cyrl-CS"/>
        </w:rPr>
        <w:t xml:space="preserve">Правосудни, полицијски и други </w:t>
      </w:r>
      <w:r w:rsidR="007574CB" w:rsidRPr="00E95BC4">
        <w:rPr>
          <w:rFonts w:eastAsia="Times New Roman"/>
          <w:b/>
          <w:bCs/>
          <w:color w:val="auto"/>
          <w:kern w:val="0"/>
          <w:lang w:val="sr-Cyrl-CS"/>
        </w:rPr>
        <w:t xml:space="preserve">релевантни </w:t>
      </w:r>
      <w:r w:rsidRPr="00E95BC4">
        <w:rPr>
          <w:rFonts w:eastAsia="Times New Roman"/>
          <w:b/>
          <w:bCs/>
          <w:color w:val="auto"/>
          <w:kern w:val="0"/>
          <w:lang w:val="sr-Cyrl-CS"/>
        </w:rPr>
        <w:t>органи:</w:t>
      </w:r>
    </w:p>
    <w:p w:rsidR="00891EE4" w:rsidRPr="00E95BC4" w:rsidRDefault="00891EE4" w:rsidP="00285FD7">
      <w:pPr>
        <w:pStyle w:val="ListParagraph"/>
        <w:rPr>
          <w:rFonts w:eastAsia="Times New Roman"/>
          <w:b/>
          <w:color w:val="auto"/>
          <w:kern w:val="0"/>
          <w:lang w:val="sr-Cyrl-CS"/>
        </w:rPr>
      </w:pPr>
    </w:p>
    <w:p w:rsidR="00891EE4" w:rsidRPr="00E95BC4" w:rsidRDefault="00E91A83"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с</w:t>
      </w:r>
      <w:r w:rsidR="00891EE4" w:rsidRPr="00E95BC4">
        <w:rPr>
          <w:rFonts w:eastAsia="Times New Roman"/>
          <w:color w:val="auto"/>
          <w:kern w:val="0"/>
          <w:lang w:val="sr-Cyrl-CS"/>
        </w:rPr>
        <w:t>удови</w:t>
      </w:r>
      <w:r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Републичко јавно тужилаштво,</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унутрашњих послова,</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Безбедносно-информативна агенција</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спољних послова</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Управа царина</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Пореска управа</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Агенција за борбу против корупције</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Војнообавештајна агенција</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Војнобезбедносна агенција</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правде</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привреде</w:t>
      </w:r>
      <w:r w:rsidR="00E91A83" w:rsidRPr="00E95BC4">
        <w:rPr>
          <w:rFonts w:eastAsia="Times New Roman"/>
          <w:color w:val="auto"/>
          <w:kern w:val="0"/>
          <w:lang w:val="sr-Cyrl-CS"/>
        </w:rPr>
        <w:t>,</w:t>
      </w:r>
    </w:p>
    <w:p w:rsidR="00891EE4" w:rsidRPr="00E95BC4" w:rsidRDefault="00891EE4"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Агенција за привредне регистре</w:t>
      </w:r>
      <w:r w:rsidR="00E91A83" w:rsidRPr="00E95BC4">
        <w:rPr>
          <w:rFonts w:eastAsia="Times New Roman"/>
          <w:color w:val="auto"/>
          <w:kern w:val="0"/>
          <w:lang w:val="sr-Cyrl-CS"/>
        </w:rPr>
        <w:t>,</w:t>
      </w:r>
    </w:p>
    <w:p w:rsidR="001043A5" w:rsidRPr="00E95BC4" w:rsidRDefault="001043A5"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Канцеларија Владе за сарадњу са цивилним друштвом</w:t>
      </w:r>
      <w:r w:rsidR="00E91A83" w:rsidRPr="00E95BC4">
        <w:rPr>
          <w:rFonts w:eastAsia="Times New Roman"/>
          <w:color w:val="auto"/>
          <w:kern w:val="0"/>
          <w:lang w:val="sr-Cyrl-CS"/>
        </w:rPr>
        <w:t>,</w:t>
      </w:r>
    </w:p>
    <w:p w:rsidR="001043A5" w:rsidRPr="00E95BC4" w:rsidRDefault="001043A5"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државне управе и локалне самоуправе</w:t>
      </w:r>
      <w:r w:rsidR="00E91A83" w:rsidRPr="00E95BC4">
        <w:rPr>
          <w:rFonts w:eastAsia="Times New Roman"/>
          <w:color w:val="auto"/>
          <w:kern w:val="0"/>
          <w:lang w:val="sr-Cyrl-CS"/>
        </w:rPr>
        <w:t>,</w:t>
      </w:r>
    </w:p>
    <w:p w:rsidR="001043A5" w:rsidRPr="00E95BC4" w:rsidRDefault="001043A5" w:rsidP="00AC7277">
      <w:pPr>
        <w:numPr>
          <w:ilvl w:val="0"/>
          <w:numId w:val="22"/>
        </w:numPr>
        <w:tabs>
          <w:tab w:val="clear" w:pos="720"/>
        </w:tabs>
        <w:ind w:left="459"/>
        <w:rPr>
          <w:rFonts w:eastAsia="Times New Roman"/>
          <w:color w:val="auto"/>
          <w:kern w:val="0"/>
          <w:lang w:val="sr-Cyrl-CS"/>
        </w:rPr>
      </w:pPr>
      <w:r w:rsidRPr="00E95BC4">
        <w:rPr>
          <w:rFonts w:eastAsia="Times New Roman"/>
          <w:color w:val="auto"/>
          <w:kern w:val="0"/>
          <w:lang w:val="sr-Cyrl-CS"/>
        </w:rPr>
        <w:t>Министарство културе и информисања</w:t>
      </w:r>
      <w:r w:rsidR="00E91A83" w:rsidRPr="00E95BC4">
        <w:rPr>
          <w:rFonts w:eastAsia="Times New Roman"/>
          <w:color w:val="auto"/>
          <w:kern w:val="0"/>
          <w:lang w:val="sr-Cyrl-CS"/>
        </w:rPr>
        <w:t>.</w:t>
      </w:r>
    </w:p>
    <w:p w:rsidR="00891EE4" w:rsidRPr="00E95BC4" w:rsidRDefault="00891EE4" w:rsidP="00285FD7">
      <w:pPr>
        <w:rPr>
          <w:rFonts w:eastAsia="Times New Roman"/>
          <w:b/>
          <w:bCs/>
          <w:color w:val="auto"/>
          <w:kern w:val="0"/>
          <w:lang w:val="sr-Cyrl-CS"/>
        </w:rPr>
      </w:pPr>
    </w:p>
    <w:p w:rsidR="007169B7" w:rsidRPr="00E95BC4" w:rsidRDefault="007169B7" w:rsidP="007169B7">
      <w:pPr>
        <w:pStyle w:val="ListParagraph"/>
        <w:numPr>
          <w:ilvl w:val="0"/>
          <w:numId w:val="11"/>
        </w:numPr>
        <w:rPr>
          <w:rFonts w:eastAsia="Times New Roman"/>
          <w:b/>
          <w:bCs/>
          <w:color w:val="auto"/>
          <w:kern w:val="0"/>
          <w:lang w:val="sr-Cyrl-CS"/>
        </w:rPr>
      </w:pPr>
      <w:r w:rsidRPr="00E95BC4">
        <w:rPr>
          <w:rFonts w:eastAsia="Times New Roman"/>
          <w:b/>
          <w:bCs/>
          <w:color w:val="auto"/>
          <w:kern w:val="0"/>
          <w:lang w:val="sr-Cyrl-CS"/>
        </w:rPr>
        <w:t xml:space="preserve">Удружења обвезника </w:t>
      </w:r>
      <w:r w:rsidRPr="00E95BC4">
        <w:rPr>
          <w:rFonts w:eastAsia="Times New Roman"/>
          <w:bCs/>
          <w:color w:val="auto"/>
          <w:kern w:val="0"/>
          <w:lang w:val="sr-Cyrl-CS"/>
        </w:rPr>
        <w:t>(нпр. Удружење банака</w:t>
      </w:r>
      <w:r w:rsidR="002374BA" w:rsidRPr="00E95BC4">
        <w:rPr>
          <w:rFonts w:eastAsia="Times New Roman"/>
          <w:bCs/>
          <w:color w:val="auto"/>
          <w:kern w:val="0"/>
          <w:lang w:val="sr-Cyrl-CS"/>
        </w:rPr>
        <w:t xml:space="preserve"> Србије</w:t>
      </w:r>
      <w:r w:rsidRPr="00E95BC4">
        <w:rPr>
          <w:rFonts w:eastAsia="Times New Roman"/>
          <w:bCs/>
          <w:color w:val="auto"/>
          <w:kern w:val="0"/>
          <w:lang w:val="sr-Cyrl-CS"/>
        </w:rPr>
        <w:t>)</w:t>
      </w:r>
      <w:r w:rsidR="0083281B" w:rsidRPr="00E95BC4">
        <w:rPr>
          <w:rFonts w:eastAsia="Times New Roman"/>
          <w:bCs/>
          <w:color w:val="auto"/>
          <w:kern w:val="0"/>
          <w:lang w:val="sr-Cyrl-CS"/>
        </w:rPr>
        <w:t>;</w:t>
      </w:r>
    </w:p>
    <w:p w:rsidR="007169B7" w:rsidRPr="00E95BC4" w:rsidRDefault="007169B7" w:rsidP="007169B7">
      <w:pPr>
        <w:pStyle w:val="ListParagraph"/>
        <w:numPr>
          <w:ilvl w:val="0"/>
          <w:numId w:val="11"/>
        </w:numPr>
        <w:rPr>
          <w:rFonts w:eastAsia="Times New Roman"/>
          <w:b/>
          <w:bCs/>
          <w:color w:val="auto"/>
          <w:kern w:val="0"/>
          <w:lang w:val="sr-Cyrl-CS"/>
        </w:rPr>
      </w:pPr>
      <w:r w:rsidRPr="00E95BC4">
        <w:rPr>
          <w:rFonts w:eastAsia="Times New Roman"/>
          <w:b/>
          <w:bCs/>
          <w:color w:val="auto"/>
          <w:kern w:val="0"/>
          <w:lang w:val="sr-Cyrl-CS"/>
        </w:rPr>
        <w:t xml:space="preserve">Саморегулаторна тела </w:t>
      </w:r>
      <w:r w:rsidRPr="00E95BC4">
        <w:rPr>
          <w:rFonts w:eastAsia="Times New Roman"/>
          <w:bCs/>
          <w:color w:val="auto"/>
          <w:kern w:val="0"/>
          <w:lang w:val="sr-Cyrl-CS"/>
        </w:rPr>
        <w:t>(нпр. коморе)</w:t>
      </w:r>
      <w:r w:rsidR="0083281B" w:rsidRPr="00E95BC4">
        <w:rPr>
          <w:rFonts w:eastAsia="Times New Roman"/>
          <w:bCs/>
          <w:color w:val="auto"/>
          <w:kern w:val="0"/>
          <w:lang w:val="sr-Cyrl-CS"/>
        </w:rPr>
        <w:t>;</w:t>
      </w:r>
    </w:p>
    <w:p w:rsidR="007169B7" w:rsidRPr="00E95BC4" w:rsidRDefault="007169B7" w:rsidP="007169B7">
      <w:pPr>
        <w:pStyle w:val="ListParagraph"/>
        <w:numPr>
          <w:ilvl w:val="0"/>
          <w:numId w:val="11"/>
        </w:numPr>
        <w:rPr>
          <w:rFonts w:eastAsia="Times New Roman"/>
          <w:b/>
          <w:bCs/>
          <w:color w:val="auto"/>
          <w:kern w:val="0"/>
          <w:lang w:val="sr-Cyrl-CS"/>
        </w:rPr>
      </w:pPr>
      <w:r w:rsidRPr="00E95BC4">
        <w:rPr>
          <w:rFonts w:eastAsia="Times New Roman"/>
          <w:b/>
          <w:bCs/>
          <w:color w:val="auto"/>
          <w:kern w:val="0"/>
          <w:lang w:val="sr-Cyrl-CS"/>
        </w:rPr>
        <w:t xml:space="preserve">Непрофитни сектор </w:t>
      </w:r>
      <w:r w:rsidRPr="00E95BC4">
        <w:rPr>
          <w:rFonts w:eastAsia="Times New Roman"/>
          <w:bCs/>
          <w:color w:val="auto"/>
          <w:kern w:val="0"/>
          <w:lang w:val="sr-Cyrl-CS"/>
        </w:rPr>
        <w:t>(нпр. удружења, фондови, фондације и задужбине, донаторске организације)</w:t>
      </w:r>
      <w:r w:rsidR="0083281B" w:rsidRPr="00E95BC4">
        <w:rPr>
          <w:rFonts w:eastAsia="Times New Roman"/>
          <w:bCs/>
          <w:color w:val="auto"/>
          <w:kern w:val="0"/>
          <w:lang w:val="sr-Cyrl-CS"/>
        </w:rPr>
        <w:t>;</w:t>
      </w:r>
    </w:p>
    <w:p w:rsidR="00891EE4" w:rsidRPr="00E95BC4" w:rsidRDefault="00891EE4" w:rsidP="007169B7">
      <w:pPr>
        <w:pStyle w:val="ListParagraph"/>
        <w:numPr>
          <w:ilvl w:val="0"/>
          <w:numId w:val="11"/>
        </w:numPr>
        <w:rPr>
          <w:rFonts w:eastAsia="Times New Roman"/>
          <w:b/>
          <w:bCs/>
          <w:color w:val="auto"/>
          <w:kern w:val="0"/>
          <w:lang w:val="sr-Cyrl-CS"/>
        </w:rPr>
      </w:pPr>
      <w:r w:rsidRPr="00E95BC4">
        <w:rPr>
          <w:rFonts w:eastAsia="Times New Roman"/>
          <w:b/>
          <w:bCs/>
          <w:color w:val="auto"/>
          <w:kern w:val="0"/>
          <w:lang w:val="sr-Cyrl-CS"/>
        </w:rPr>
        <w:t>Научно-образовне институције</w:t>
      </w:r>
      <w:r w:rsidR="007169B7" w:rsidRPr="00E95BC4">
        <w:rPr>
          <w:rFonts w:eastAsia="Times New Roman"/>
          <w:b/>
          <w:bCs/>
          <w:color w:val="auto"/>
          <w:kern w:val="0"/>
          <w:lang w:val="sr-Cyrl-CS"/>
        </w:rPr>
        <w:t xml:space="preserve"> </w:t>
      </w:r>
      <w:r w:rsidR="007169B7" w:rsidRPr="00E95BC4">
        <w:rPr>
          <w:rFonts w:eastAsia="Times New Roman"/>
          <w:bCs/>
          <w:color w:val="auto"/>
          <w:kern w:val="0"/>
          <w:lang w:val="sr-Cyrl-CS"/>
        </w:rPr>
        <w:t>(нпр. Полицијска академија)</w:t>
      </w:r>
      <w:r w:rsidR="0083281B" w:rsidRPr="00E95BC4">
        <w:rPr>
          <w:rFonts w:eastAsia="Times New Roman"/>
          <w:bCs/>
          <w:color w:val="auto"/>
          <w:kern w:val="0"/>
          <w:lang w:val="sr-Cyrl-CS"/>
        </w:rPr>
        <w:t>;</w:t>
      </w:r>
    </w:p>
    <w:p w:rsidR="00891EE4" w:rsidRPr="00E95BC4" w:rsidRDefault="00891EE4" w:rsidP="00AC7277">
      <w:pPr>
        <w:pStyle w:val="ListParagraph"/>
        <w:numPr>
          <w:ilvl w:val="0"/>
          <w:numId w:val="11"/>
        </w:numPr>
        <w:rPr>
          <w:b/>
          <w:lang w:val="sr-Cyrl-CS"/>
        </w:rPr>
      </w:pPr>
      <w:r w:rsidRPr="00E95BC4">
        <w:rPr>
          <w:rFonts w:eastAsia="Times New Roman"/>
          <w:b/>
          <w:bCs/>
          <w:color w:val="auto"/>
          <w:kern w:val="0"/>
          <w:lang w:val="sr-Cyrl-CS"/>
        </w:rPr>
        <w:t>Медији, шира јавност</w:t>
      </w:r>
      <w:r w:rsidR="0083281B" w:rsidRPr="00E95BC4">
        <w:rPr>
          <w:rFonts w:eastAsia="Times New Roman"/>
          <w:b/>
          <w:bCs/>
          <w:color w:val="auto"/>
          <w:kern w:val="0"/>
          <w:lang w:val="sr-Cyrl-CS"/>
        </w:rPr>
        <w:t>.</w:t>
      </w:r>
    </w:p>
    <w:p w:rsidR="00891EE4" w:rsidRPr="00E95BC4" w:rsidRDefault="00891EE4" w:rsidP="00285FD7">
      <w:pPr>
        <w:rPr>
          <w:lang w:val="sr-Cyrl-CS"/>
        </w:rPr>
      </w:pPr>
    </w:p>
    <w:p w:rsidR="00AB16CA" w:rsidRPr="00E95BC4" w:rsidRDefault="00AB16CA" w:rsidP="007574CB">
      <w:pPr>
        <w:ind w:firstLine="720"/>
        <w:jc w:val="both"/>
        <w:rPr>
          <w:highlight w:val="yellow"/>
          <w:lang w:val="sr-Cyrl-CS"/>
        </w:rPr>
      </w:pPr>
      <w:r w:rsidRPr="00E95BC4">
        <w:rPr>
          <w:lang w:val="sr-Cyrl-CS"/>
        </w:rPr>
        <w:t xml:space="preserve">Са кључним напред наведеним заинтересованим странама вршене су консултације у току учесталих састанака, семинара, радионица, и других догађаја како у вези са спровођењем препорука Манивала и Акционог плана ФАТФ, тако и у току процеса националне процене ризика. </w:t>
      </w:r>
      <w:r w:rsidR="00787792" w:rsidRPr="00E95BC4">
        <w:rPr>
          <w:lang w:val="sr-Cyrl-CS"/>
        </w:rPr>
        <w:t>Консултације су вршене и са прива</w:t>
      </w:r>
      <w:r w:rsidR="007574CB" w:rsidRPr="00E95BC4">
        <w:rPr>
          <w:lang w:val="sr-Cyrl-CS"/>
        </w:rPr>
        <w:t>тним и непрофитним сектором.</w:t>
      </w:r>
    </w:p>
    <w:p w:rsidR="00AB16CA" w:rsidRPr="00E95BC4" w:rsidRDefault="00AB16CA" w:rsidP="007574CB">
      <w:pPr>
        <w:ind w:firstLine="720"/>
        <w:jc w:val="both"/>
        <w:rPr>
          <w:highlight w:val="yellow"/>
          <w:lang w:val="sr-Cyrl-CS"/>
        </w:rPr>
      </w:pPr>
      <w:r w:rsidRPr="00E95BC4">
        <w:rPr>
          <w:lang w:val="sr-Cyrl-CS"/>
        </w:rPr>
        <w:t>Консултације су вршене и са међународним експертима ангажованим у оквиру Пројекта за спречавање прања новца и финансирања тероризма у Србији</w:t>
      </w:r>
      <w:r w:rsidR="007574CB" w:rsidRPr="00E95BC4">
        <w:rPr>
          <w:lang w:val="sr-Cyrl-CS"/>
        </w:rPr>
        <w:t>, од почетка 2018. до краја 2019. године.</w:t>
      </w:r>
    </w:p>
    <w:p w:rsidR="00AB16CA" w:rsidRPr="00E95BC4" w:rsidRDefault="00AB16CA" w:rsidP="00285FD7">
      <w:pPr>
        <w:rPr>
          <w:lang w:val="sr-Cyrl-CS"/>
        </w:rPr>
      </w:pPr>
    </w:p>
    <w:p w:rsidR="00A278FF" w:rsidRPr="00E95BC4" w:rsidRDefault="00A278FF" w:rsidP="00787792">
      <w:pPr>
        <w:pStyle w:val="Heading1"/>
        <w:spacing w:before="0"/>
        <w:ind w:firstLine="720"/>
        <w:jc w:val="both"/>
        <w:rPr>
          <w:rFonts w:ascii="Times New Roman" w:hAnsi="Times New Roman" w:cs="Times New Roman"/>
          <w:color w:val="auto"/>
          <w:sz w:val="24"/>
          <w:szCs w:val="24"/>
          <w:lang w:val="sr-Cyrl-CS"/>
        </w:rPr>
      </w:pPr>
      <w:bookmarkStart w:id="12" w:name="_Toc32409901"/>
      <w:r w:rsidRPr="00E95BC4">
        <w:rPr>
          <w:rFonts w:ascii="Times New Roman" w:hAnsi="Times New Roman" w:cs="Times New Roman"/>
          <w:color w:val="auto"/>
          <w:sz w:val="24"/>
          <w:szCs w:val="24"/>
          <w:lang w:val="sr-Cyrl-CS"/>
        </w:rPr>
        <w:t>Процена финансијских средстава потребних за спровођење стратегије и анализа финансијских ефеката</w:t>
      </w:r>
      <w:bookmarkEnd w:id="12"/>
    </w:p>
    <w:p w:rsidR="0004492D" w:rsidRPr="00E95BC4" w:rsidRDefault="0004492D" w:rsidP="00285FD7">
      <w:pPr>
        <w:pStyle w:val="ListParagraph"/>
        <w:tabs>
          <w:tab w:val="left" w:pos="900"/>
        </w:tabs>
        <w:ind w:left="1080"/>
        <w:jc w:val="both"/>
        <w:rPr>
          <w:lang w:val="sr-Cyrl-CS"/>
        </w:rPr>
      </w:pPr>
    </w:p>
    <w:p w:rsidR="00D91B82" w:rsidRPr="00E95BC4" w:rsidRDefault="00D91B82" w:rsidP="00F15A08">
      <w:pPr>
        <w:ind w:firstLine="720"/>
        <w:jc w:val="both"/>
        <w:rPr>
          <w:lang w:val="sr-Cyrl-CS"/>
        </w:rPr>
      </w:pPr>
      <w:r w:rsidRPr="00E95BC4">
        <w:rPr>
          <w:lang w:val="sr-Cyrl-CS"/>
        </w:rPr>
        <w:t>Предвиђене мере углавном не изискују додатна средства, а корист од њихове примене у сваком случају ће премашити евентуално додатне трошкове.</w:t>
      </w:r>
    </w:p>
    <w:p w:rsidR="00A6074C" w:rsidRPr="00E95BC4" w:rsidRDefault="00A6074C" w:rsidP="00F15A08">
      <w:pPr>
        <w:ind w:firstLine="720"/>
        <w:jc w:val="both"/>
        <w:rPr>
          <w:lang w:val="sr-Cyrl-CS"/>
        </w:rPr>
      </w:pPr>
      <w:r w:rsidRPr="00E95BC4">
        <w:rPr>
          <w:lang w:val="sr-Cyrl-CS"/>
        </w:rPr>
        <w:lastRenderedPageBreak/>
        <w:t>У случајевима где су додатна средства неопходна, користиће се могућности финансирања које пружају страни донатори, попут Европске уније, ОЕБС, одговарајућих служби Сједињених Америчких Држава и других партнера.</w:t>
      </w:r>
    </w:p>
    <w:p w:rsidR="00674A9F" w:rsidRPr="00E95BC4" w:rsidRDefault="00674A9F" w:rsidP="00D91B82">
      <w:pPr>
        <w:jc w:val="both"/>
        <w:rPr>
          <w:lang w:val="sr-Cyrl-CS"/>
        </w:rPr>
      </w:pPr>
    </w:p>
    <w:p w:rsidR="00A278FF" w:rsidRPr="00E95BC4" w:rsidRDefault="00A278FF" w:rsidP="00C36CE0">
      <w:pPr>
        <w:pStyle w:val="Heading1"/>
        <w:spacing w:before="0"/>
        <w:ind w:firstLine="720"/>
        <w:rPr>
          <w:rFonts w:ascii="Times New Roman" w:hAnsi="Times New Roman" w:cs="Times New Roman"/>
          <w:color w:val="auto"/>
          <w:sz w:val="24"/>
          <w:szCs w:val="24"/>
          <w:lang w:val="sr-Cyrl-CS"/>
        </w:rPr>
      </w:pPr>
      <w:bookmarkStart w:id="13" w:name="_Toc32409902"/>
      <w:r w:rsidRPr="00E95BC4">
        <w:rPr>
          <w:rFonts w:ascii="Times New Roman" w:hAnsi="Times New Roman" w:cs="Times New Roman"/>
          <w:color w:val="auto"/>
          <w:sz w:val="24"/>
          <w:szCs w:val="24"/>
          <w:lang w:val="sr-Cyrl-CS"/>
        </w:rPr>
        <w:t>Анализа ризика</w:t>
      </w:r>
      <w:bookmarkEnd w:id="13"/>
    </w:p>
    <w:p w:rsidR="00891EE4" w:rsidRPr="00E95BC4" w:rsidRDefault="00891EE4" w:rsidP="00285FD7">
      <w:pPr>
        <w:rPr>
          <w:b/>
          <w:lang w:val="sr-Cyrl-CS"/>
        </w:rPr>
      </w:pPr>
    </w:p>
    <w:p w:rsidR="00891EE4" w:rsidRPr="00E95BC4" w:rsidRDefault="0004492D" w:rsidP="00E312BC">
      <w:pPr>
        <w:ind w:firstLine="720"/>
        <w:jc w:val="both"/>
        <w:rPr>
          <w:lang w:val="sr-Cyrl-CS"/>
        </w:rPr>
      </w:pPr>
      <w:r w:rsidRPr="00E95BC4">
        <w:rPr>
          <w:lang w:val="sr-Cyrl-CS"/>
        </w:rPr>
        <w:t xml:space="preserve">Стручно тело идентификовало је одређене </w:t>
      </w:r>
      <w:r w:rsidRPr="00E95BC4">
        <w:rPr>
          <w:b/>
          <w:lang w:val="sr-Cyrl-CS"/>
        </w:rPr>
        <w:t>услове</w:t>
      </w:r>
      <w:r w:rsidRPr="00E95BC4">
        <w:rPr>
          <w:lang w:val="sr-Cyrl-CS"/>
        </w:rPr>
        <w:t xml:space="preserve"> </w:t>
      </w:r>
      <w:r w:rsidR="00891EE4" w:rsidRPr="00E95BC4">
        <w:rPr>
          <w:b/>
          <w:lang w:val="sr-Cyrl-CS"/>
        </w:rPr>
        <w:t xml:space="preserve">за остварење </w:t>
      </w:r>
      <w:r w:rsidRPr="00E95BC4">
        <w:rPr>
          <w:b/>
          <w:lang w:val="sr-Cyrl-CS"/>
        </w:rPr>
        <w:t xml:space="preserve">жељене </w:t>
      </w:r>
      <w:r w:rsidR="00891EE4" w:rsidRPr="00E95BC4">
        <w:rPr>
          <w:b/>
          <w:lang w:val="sr-Cyrl-CS"/>
        </w:rPr>
        <w:t>промене</w:t>
      </w:r>
      <w:r w:rsidR="00891EE4" w:rsidRPr="00E95BC4">
        <w:rPr>
          <w:lang w:val="sr-Cyrl-CS"/>
        </w:rPr>
        <w:t>. За остварење задатих циљева, неопходно је</w:t>
      </w:r>
      <w:r w:rsidR="00B40979">
        <w:rPr>
          <w:lang w:val="sr-Cyrl-CS"/>
        </w:rPr>
        <w:t>:</w:t>
      </w:r>
      <w:r w:rsidR="00891EE4" w:rsidRPr="00E95BC4">
        <w:rPr>
          <w:lang w:val="sr-Cyrl-CS"/>
        </w:rPr>
        <w:t xml:space="preserve"> </w:t>
      </w:r>
    </w:p>
    <w:p w:rsidR="00E312BC" w:rsidRPr="00E95BC4" w:rsidRDefault="00E312BC" w:rsidP="00E312BC">
      <w:pPr>
        <w:jc w:val="both"/>
        <w:rPr>
          <w:lang w:val="sr-Cyrl-CS"/>
        </w:rPr>
      </w:pPr>
    </w:p>
    <w:p w:rsidR="00891EE4" w:rsidRPr="00E95BC4" w:rsidRDefault="00891EE4" w:rsidP="00285FD7">
      <w:pPr>
        <w:pStyle w:val="ListParagraph"/>
        <w:numPr>
          <w:ilvl w:val="0"/>
          <w:numId w:val="7"/>
        </w:numPr>
        <w:jc w:val="both"/>
        <w:rPr>
          <w:lang w:val="sr-Cyrl-CS"/>
        </w:rPr>
      </w:pPr>
      <w:r w:rsidRPr="00E95BC4">
        <w:rPr>
          <w:b/>
          <w:lang w:val="sr-Cyrl-CS"/>
        </w:rPr>
        <w:t>постојање политичке стабилности и континуиране посвећености</w:t>
      </w:r>
      <w:r w:rsidRPr="00E95BC4">
        <w:rPr>
          <w:lang w:val="sr-Cyrl-CS"/>
        </w:rPr>
        <w:t xml:space="preserve"> </w:t>
      </w:r>
      <w:r w:rsidRPr="00E95BC4">
        <w:rPr>
          <w:b/>
          <w:lang w:val="sr-Cyrl-CS"/>
        </w:rPr>
        <w:t>и опредељења</w:t>
      </w:r>
      <w:r w:rsidRPr="00E95BC4">
        <w:rPr>
          <w:lang w:val="sr-Cyrl-CS"/>
        </w:rPr>
        <w:t xml:space="preserve"> на високом политичком нивоу и на нивоу државних органа и институција појединачно. </w:t>
      </w:r>
      <w:r w:rsidR="00AC7277" w:rsidRPr="00E95BC4">
        <w:rPr>
          <w:lang w:val="sr-Cyrl-CS"/>
        </w:rPr>
        <w:t xml:space="preserve">Реформе </w:t>
      </w:r>
      <w:r w:rsidRPr="00E95BC4">
        <w:rPr>
          <w:lang w:val="sr-Cyrl-CS"/>
        </w:rPr>
        <w:t xml:space="preserve">које су </w:t>
      </w:r>
      <w:r w:rsidR="00AC7277" w:rsidRPr="00E95BC4">
        <w:rPr>
          <w:lang w:val="sr-Cyrl-CS"/>
        </w:rPr>
        <w:t xml:space="preserve">уследиле након </w:t>
      </w:r>
      <w:r w:rsidRPr="00E95BC4">
        <w:rPr>
          <w:lang w:val="sr-Cyrl-CS"/>
        </w:rPr>
        <w:t>стављања на сиву листу ФАТФ, односно изузетно висок степен посвећености овој проблематици, имале су за резултат ефикасно и ефективно усклађивање са међународним стандардима и континуираност пажње</w:t>
      </w:r>
      <w:r w:rsidR="009A5E51" w:rsidRPr="00E95BC4">
        <w:rPr>
          <w:lang w:val="sr-Cyrl-CS"/>
        </w:rPr>
        <w:t xml:space="preserve"> која се овој материји придаје. Губитак на интензитету реформи и слабљење пажње и посвећености у овој области представља ризик</w:t>
      </w:r>
      <w:r w:rsidR="00AC7277" w:rsidRPr="00E95BC4">
        <w:rPr>
          <w:lang w:val="sr-Cyrl-CS"/>
        </w:rPr>
        <w:t xml:space="preserve"> од поновног додатног надзора од стране међународних организација, што може да има негативан утицај на пословање ентитета повезаних са Републиком Србијом, као и на углед Републике Србије на међународном нивоу</w:t>
      </w:r>
      <w:r w:rsidR="009A5E51" w:rsidRPr="00E95BC4">
        <w:rPr>
          <w:lang w:val="sr-Cyrl-CS"/>
        </w:rPr>
        <w:t>;</w:t>
      </w:r>
    </w:p>
    <w:p w:rsidR="00891EE4" w:rsidRPr="00E95BC4" w:rsidRDefault="009A5E51" w:rsidP="00285FD7">
      <w:pPr>
        <w:pStyle w:val="ListParagraph"/>
        <w:numPr>
          <w:ilvl w:val="0"/>
          <w:numId w:val="7"/>
        </w:numPr>
        <w:jc w:val="both"/>
        <w:rPr>
          <w:lang w:val="sr-Cyrl-CS"/>
        </w:rPr>
      </w:pPr>
      <w:r w:rsidRPr="00E95BC4">
        <w:rPr>
          <w:b/>
          <w:lang w:val="sr-Cyrl-CS"/>
        </w:rPr>
        <w:t>додатно разрађивање механизма</w:t>
      </w:r>
      <w:r w:rsidR="00891EE4" w:rsidRPr="00E95BC4">
        <w:rPr>
          <w:b/>
          <w:lang w:val="sr-Cyrl-CS"/>
        </w:rPr>
        <w:t xml:space="preserve"> координације и интерресорне сарадње</w:t>
      </w:r>
      <w:r w:rsidR="00891EE4" w:rsidRPr="00E95BC4">
        <w:rPr>
          <w:lang w:val="sr-Cyrl-CS"/>
        </w:rPr>
        <w:t>. Координационо тело за спречавање прања новца и финансирања тероризма, треба активно да прати стање у систему и да предлаже мере за његово унапређење, у складу са препорукама ФАТФ, Манивала и националне процене ризика. Вођство Координационог тела и његови чланови треба да буду у стању да издејствују спровођење одлука Координационог тела и реформи у систему. Такође је неопходно проактивно пратити све стандарде који су фази промене и благовремено реаговати ради њиховог уво</w:t>
      </w:r>
      <w:r w:rsidRPr="00E95BC4">
        <w:rPr>
          <w:lang w:val="sr-Cyrl-CS"/>
        </w:rPr>
        <w:t xml:space="preserve">ђења у систем. Нередовно састајање и занемаривање значаја координације и међусобне сарадње доводи до неефективности координације, односно Координационо </w:t>
      </w:r>
      <w:r w:rsidR="00882204">
        <w:rPr>
          <w:lang w:val="sr-Cyrl-CS"/>
        </w:rPr>
        <w:t>тело неће бити у стању да делот</w:t>
      </w:r>
      <w:r w:rsidRPr="00E95BC4">
        <w:rPr>
          <w:lang w:val="sr-Cyrl-CS"/>
        </w:rPr>
        <w:t>в</w:t>
      </w:r>
      <w:r w:rsidR="0083281B" w:rsidRPr="00E95BC4">
        <w:rPr>
          <w:lang w:val="sr-Cyrl-CS"/>
        </w:rPr>
        <w:t>о</w:t>
      </w:r>
      <w:r w:rsidRPr="00E95BC4">
        <w:rPr>
          <w:lang w:val="sr-Cyrl-CS"/>
        </w:rPr>
        <w:t>рно координира и производи промене у систему, што представља ризик;</w:t>
      </w:r>
    </w:p>
    <w:p w:rsidR="00891EE4" w:rsidRPr="00E95BC4" w:rsidRDefault="00891EE4" w:rsidP="00285FD7">
      <w:pPr>
        <w:pStyle w:val="ListParagraph"/>
        <w:numPr>
          <w:ilvl w:val="0"/>
          <w:numId w:val="7"/>
        </w:numPr>
        <w:jc w:val="both"/>
        <w:rPr>
          <w:lang w:val="sr-Cyrl-CS"/>
        </w:rPr>
      </w:pPr>
      <w:r w:rsidRPr="00E95BC4">
        <w:rPr>
          <w:b/>
          <w:lang w:val="sr-Cyrl-CS"/>
        </w:rPr>
        <w:t>очување и додатно јачање ресурса, људских и материјално-техничких</w:t>
      </w:r>
      <w:r w:rsidRPr="00E95BC4">
        <w:rPr>
          <w:lang w:val="sr-Cyrl-CS"/>
        </w:rPr>
        <w:t xml:space="preserve"> у складу са анализом и проценом ризика. У светлу сталне флуктуације радне снаге и застаревања информационо-техничких средстава, неопходно је пронаћи начине задржавања и привлачења способних кадрова. Ефекти се могу постићи и интерном прерасподелом, а не само новим запошљавањем. Неки помаци су направљени, посебно у погледу статуса инспектора сходно Закону о инспекцијском надзору. У том смислу од изузетног значаја је и потреба за јачањем функција органа у делу који се тиче обуке и изградње капацитета као и тражење начина за коришћење страних извора финансирања за потребе добијања техничке помоћи и експертизе.</w:t>
      </w:r>
      <w:r w:rsidR="009A5E51" w:rsidRPr="00E95BC4">
        <w:rPr>
          <w:lang w:val="sr-Cyrl-CS"/>
        </w:rPr>
        <w:t xml:space="preserve"> Одлив кадрова, немогућност ангажмана адекватног особља и недовољна обученост представљају ризик.</w:t>
      </w:r>
    </w:p>
    <w:p w:rsidR="00093C87" w:rsidRPr="00E95BC4" w:rsidRDefault="00093C87">
      <w:pPr>
        <w:rPr>
          <w:rFonts w:eastAsiaTheme="majorEastAsia"/>
          <w:b/>
          <w:bCs/>
          <w:color w:val="365F91" w:themeColor="accent1" w:themeShade="BF"/>
          <w:lang w:val="sr-Cyrl-CS"/>
        </w:rPr>
      </w:pPr>
      <w:r w:rsidRPr="00E95BC4">
        <w:rPr>
          <w:lang w:val="sr-Cyrl-CS"/>
        </w:rPr>
        <w:br w:type="page"/>
      </w:r>
    </w:p>
    <w:p w:rsidR="009A5E51" w:rsidRPr="00E95BC4" w:rsidRDefault="009A5E51" w:rsidP="00285FD7">
      <w:pPr>
        <w:pStyle w:val="Heading1"/>
        <w:spacing w:before="0"/>
        <w:rPr>
          <w:rFonts w:ascii="Times New Roman" w:hAnsi="Times New Roman" w:cs="Times New Roman"/>
          <w:sz w:val="24"/>
          <w:szCs w:val="24"/>
          <w:lang w:val="sr-Cyrl-CS"/>
        </w:rPr>
      </w:pPr>
    </w:p>
    <w:p w:rsidR="00674A9F" w:rsidRPr="00E95BC4" w:rsidRDefault="00947093" w:rsidP="00674A9F">
      <w:pPr>
        <w:jc w:val="both"/>
        <w:rPr>
          <w:b/>
          <w:lang w:val="sr-Cyrl-CS"/>
        </w:rPr>
      </w:pPr>
      <w:r w:rsidRPr="00E95BC4">
        <w:rPr>
          <w:lang w:val="sr-Cyrl-CS"/>
        </w:rPr>
        <w:tab/>
      </w:r>
      <w:r w:rsidRPr="00E95BC4">
        <w:rPr>
          <w:b/>
          <w:lang w:val="sr-Cyrl-CS"/>
        </w:rPr>
        <w:t>Завршни део</w:t>
      </w:r>
    </w:p>
    <w:p w:rsidR="00947093" w:rsidRPr="00E95BC4" w:rsidRDefault="00947093" w:rsidP="00674A9F">
      <w:pPr>
        <w:jc w:val="both"/>
        <w:rPr>
          <w:b/>
          <w:lang w:val="sr-Cyrl-CS"/>
        </w:rPr>
      </w:pPr>
    </w:p>
    <w:p w:rsidR="00093C87" w:rsidRPr="00E95BC4" w:rsidRDefault="00093C87" w:rsidP="00093C87">
      <w:pPr>
        <w:ind w:firstLine="720"/>
        <w:jc w:val="both"/>
        <w:rPr>
          <w:lang w:val="sr-Cyrl-CS"/>
        </w:rPr>
      </w:pPr>
      <w:r w:rsidRPr="00E95BC4">
        <w:rPr>
          <w:lang w:val="sr-Cyrl-CS"/>
        </w:rPr>
        <w:t>Ову стратегију објавити на интернет страници Владе, на порталу е-Управе и интернет страници Министарства финансија.</w:t>
      </w:r>
    </w:p>
    <w:p w:rsidR="00093C87" w:rsidRPr="00E95BC4" w:rsidRDefault="00093C87" w:rsidP="00093C87">
      <w:pPr>
        <w:ind w:firstLine="720"/>
        <w:jc w:val="both"/>
        <w:rPr>
          <w:lang w:val="sr-Cyrl-CS"/>
        </w:rPr>
      </w:pPr>
    </w:p>
    <w:p w:rsidR="00093C87" w:rsidRPr="00E95BC4" w:rsidRDefault="00093C87" w:rsidP="00093C87">
      <w:pPr>
        <w:ind w:firstLine="720"/>
        <w:jc w:val="both"/>
        <w:rPr>
          <w:lang w:val="sr-Cyrl-CS"/>
        </w:rPr>
      </w:pPr>
      <w:r w:rsidRPr="00E95BC4">
        <w:rPr>
          <w:lang w:val="sr-Cyrl-CS"/>
        </w:rPr>
        <w:t xml:space="preserve">Ову стратегију објавити у „Службеном гласнику Републике Србије”.   </w:t>
      </w:r>
    </w:p>
    <w:p w:rsidR="00093C87" w:rsidRPr="00E95BC4" w:rsidRDefault="00093C87" w:rsidP="00093C87">
      <w:pPr>
        <w:ind w:firstLine="720"/>
        <w:jc w:val="both"/>
        <w:rPr>
          <w:lang w:val="sr-Cyrl-CS"/>
        </w:rPr>
      </w:pPr>
    </w:p>
    <w:p w:rsidR="00093C87" w:rsidRPr="00E95BC4" w:rsidRDefault="00093C87" w:rsidP="00093C87">
      <w:pPr>
        <w:ind w:firstLine="720"/>
        <w:jc w:val="both"/>
        <w:rPr>
          <w:lang w:val="sr-Cyrl-CS"/>
        </w:rPr>
      </w:pPr>
    </w:p>
    <w:p w:rsidR="00093C87" w:rsidRPr="00E95BC4" w:rsidRDefault="00093C87" w:rsidP="00093C87">
      <w:pPr>
        <w:ind w:firstLine="720"/>
        <w:jc w:val="both"/>
        <w:rPr>
          <w:lang w:val="sr-Cyrl-CS"/>
        </w:rPr>
      </w:pPr>
      <w:r w:rsidRPr="00E95BC4">
        <w:rPr>
          <w:lang w:val="sr-Cyrl-CS"/>
        </w:rPr>
        <w:t>05 Број: 011-1265/2020-1</w:t>
      </w:r>
    </w:p>
    <w:p w:rsidR="00093C87" w:rsidRPr="00E95BC4" w:rsidRDefault="00093C87" w:rsidP="00093C87">
      <w:pPr>
        <w:ind w:firstLine="720"/>
        <w:jc w:val="both"/>
        <w:rPr>
          <w:lang w:val="sr-Cyrl-CS"/>
        </w:rPr>
      </w:pPr>
      <w:r w:rsidRPr="00E95BC4">
        <w:rPr>
          <w:lang w:val="sr-Cyrl-CS"/>
        </w:rPr>
        <w:t>У Београду, 13. фебруара 2020. године</w:t>
      </w:r>
    </w:p>
    <w:p w:rsidR="00093C87" w:rsidRPr="00E95BC4" w:rsidRDefault="00093C87" w:rsidP="00093C87">
      <w:pPr>
        <w:ind w:firstLine="720"/>
        <w:jc w:val="both"/>
        <w:rPr>
          <w:lang w:val="sr-Cyrl-CS"/>
        </w:rPr>
      </w:pPr>
    </w:p>
    <w:p w:rsidR="00093C87" w:rsidRPr="00E95BC4" w:rsidRDefault="00093C87" w:rsidP="00093C87">
      <w:pPr>
        <w:ind w:firstLine="720"/>
        <w:jc w:val="both"/>
        <w:rPr>
          <w:lang w:val="sr-Cyrl-CS"/>
        </w:rPr>
      </w:pPr>
    </w:p>
    <w:p w:rsidR="00093C87" w:rsidRPr="00E95BC4" w:rsidRDefault="00093C87" w:rsidP="00093C87">
      <w:pPr>
        <w:ind w:firstLine="720"/>
        <w:jc w:val="center"/>
        <w:rPr>
          <w:lang w:val="sr-Cyrl-CS"/>
        </w:rPr>
      </w:pPr>
      <w:r w:rsidRPr="00E95BC4">
        <w:rPr>
          <w:lang w:val="sr-Cyrl-CS"/>
        </w:rPr>
        <w:t>В</w:t>
      </w:r>
      <w:r w:rsidR="00EF6005" w:rsidRPr="00E95BC4">
        <w:rPr>
          <w:lang w:val="sr-Cyrl-CS"/>
        </w:rPr>
        <w:t xml:space="preserve"> </w:t>
      </w:r>
      <w:r w:rsidRPr="00E95BC4">
        <w:rPr>
          <w:lang w:val="sr-Cyrl-CS"/>
        </w:rPr>
        <w:t>Л</w:t>
      </w:r>
      <w:r w:rsidR="00EF6005" w:rsidRPr="00E95BC4">
        <w:rPr>
          <w:lang w:val="sr-Cyrl-CS"/>
        </w:rPr>
        <w:t xml:space="preserve"> </w:t>
      </w:r>
      <w:r w:rsidRPr="00E95BC4">
        <w:rPr>
          <w:lang w:val="sr-Cyrl-CS"/>
        </w:rPr>
        <w:t>А</w:t>
      </w:r>
      <w:r w:rsidR="00EF6005" w:rsidRPr="00E95BC4">
        <w:rPr>
          <w:lang w:val="sr-Cyrl-CS"/>
        </w:rPr>
        <w:t xml:space="preserve"> </w:t>
      </w:r>
      <w:r w:rsidRPr="00E95BC4">
        <w:rPr>
          <w:lang w:val="sr-Cyrl-CS"/>
        </w:rPr>
        <w:t>Д</w:t>
      </w:r>
      <w:r w:rsidR="00EF6005" w:rsidRPr="00E95BC4">
        <w:rPr>
          <w:lang w:val="sr-Cyrl-CS"/>
        </w:rPr>
        <w:t xml:space="preserve"> </w:t>
      </w:r>
      <w:r w:rsidRPr="00E95BC4">
        <w:rPr>
          <w:lang w:val="sr-Cyrl-CS"/>
        </w:rPr>
        <w:t>А</w:t>
      </w:r>
    </w:p>
    <w:p w:rsidR="00093C87" w:rsidRPr="00E95BC4" w:rsidRDefault="00093C87" w:rsidP="00093C87">
      <w:pPr>
        <w:ind w:firstLine="720"/>
        <w:jc w:val="center"/>
        <w:rPr>
          <w:lang w:val="sr-Cyrl-CS"/>
        </w:rPr>
      </w:pPr>
    </w:p>
    <w:p w:rsidR="00093C87" w:rsidRPr="00E95BC4" w:rsidRDefault="00093C87" w:rsidP="00093C87">
      <w:pPr>
        <w:ind w:firstLine="720"/>
        <w:jc w:val="center"/>
        <w:rPr>
          <w:lang w:val="sr-Cyrl-CS"/>
        </w:rPr>
      </w:pPr>
      <w:r w:rsidRPr="00E95BC4">
        <w:rPr>
          <w:lang w:val="sr-Cyrl-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105"/>
      </w:tblGrid>
      <w:tr w:rsidR="00093C87" w:rsidRPr="00E95BC4" w:rsidTr="00093C87">
        <w:tc>
          <w:tcPr>
            <w:tcW w:w="5245" w:type="dxa"/>
          </w:tcPr>
          <w:p w:rsidR="00093C87" w:rsidRPr="00E95BC4" w:rsidRDefault="00093C87" w:rsidP="00093C87">
            <w:pPr>
              <w:jc w:val="center"/>
              <w:rPr>
                <w:lang w:val="sr-Cyrl-CS"/>
              </w:rPr>
            </w:pPr>
          </w:p>
        </w:tc>
        <w:tc>
          <w:tcPr>
            <w:tcW w:w="4105" w:type="dxa"/>
          </w:tcPr>
          <w:p w:rsidR="00093C87" w:rsidRPr="00E95BC4" w:rsidRDefault="00093C87" w:rsidP="00093C87">
            <w:pPr>
              <w:jc w:val="center"/>
              <w:rPr>
                <w:lang w:val="sr-Cyrl-CS"/>
              </w:rPr>
            </w:pPr>
            <w:r w:rsidRPr="00E95BC4">
              <w:rPr>
                <w:lang w:val="sr-Cyrl-CS"/>
              </w:rPr>
              <w:t>ПРЕДСЕДНИК</w:t>
            </w:r>
          </w:p>
          <w:p w:rsidR="00093C87" w:rsidRPr="00E95BC4" w:rsidRDefault="00093C87" w:rsidP="00093C87">
            <w:pPr>
              <w:jc w:val="center"/>
              <w:rPr>
                <w:lang w:val="sr-Cyrl-CS"/>
              </w:rPr>
            </w:pPr>
          </w:p>
          <w:p w:rsidR="00EF6005" w:rsidRPr="00E95BC4" w:rsidRDefault="00EF6005" w:rsidP="00093C87">
            <w:pPr>
              <w:jc w:val="center"/>
              <w:rPr>
                <w:lang w:val="sr-Cyrl-CS"/>
              </w:rPr>
            </w:pPr>
          </w:p>
          <w:p w:rsidR="00093C87" w:rsidRPr="00E95BC4" w:rsidRDefault="00EF6005" w:rsidP="00093C87">
            <w:pPr>
              <w:jc w:val="center"/>
              <w:rPr>
                <w:lang w:val="sr-Cyrl-CS"/>
              </w:rPr>
            </w:pPr>
            <w:r w:rsidRPr="00E95BC4">
              <w:rPr>
                <w:lang w:val="sr-Cyrl-CS"/>
              </w:rPr>
              <w:t xml:space="preserve">  </w:t>
            </w:r>
            <w:r w:rsidR="00093C87" w:rsidRPr="00E95BC4">
              <w:rPr>
                <w:lang w:val="sr-Cyrl-CS"/>
              </w:rPr>
              <w:t>Ана Брнабић, с.р.</w:t>
            </w:r>
          </w:p>
        </w:tc>
      </w:tr>
    </w:tbl>
    <w:p w:rsidR="00093C87" w:rsidRPr="00E95BC4" w:rsidRDefault="00093C87" w:rsidP="00093C87">
      <w:pPr>
        <w:ind w:firstLine="720"/>
        <w:jc w:val="center"/>
        <w:rPr>
          <w:lang w:val="sr-Cyrl-CS"/>
        </w:rPr>
      </w:pPr>
    </w:p>
    <w:sectPr w:rsidR="00093C87" w:rsidRPr="00E95BC4" w:rsidSect="00793779">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67" w:rsidRDefault="00293367" w:rsidP="00713A91">
      <w:r>
        <w:separator/>
      </w:r>
    </w:p>
  </w:endnote>
  <w:endnote w:type="continuationSeparator" w:id="0">
    <w:p w:rsidR="00293367" w:rsidRDefault="00293367" w:rsidP="00713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egoe UI" w:hAnsi="Segoe UI" w:cs="Segoe UI"/>
        <w:color w:val="auto"/>
        <w:sz w:val="21"/>
        <w:szCs w:val="21"/>
      </w:rPr>
      <w:id w:val="18746953"/>
      <w:docPartObj>
        <w:docPartGallery w:val="Page Numbers (Bottom of Page)"/>
        <w:docPartUnique/>
      </w:docPartObj>
    </w:sdtPr>
    <w:sdtContent>
      <w:p w:rsidR="00E902D8" w:rsidRPr="000B0BBF" w:rsidRDefault="00934E82">
        <w:pPr>
          <w:pStyle w:val="Footer"/>
          <w:jc w:val="right"/>
          <w:rPr>
            <w:rFonts w:ascii="Segoe UI" w:hAnsi="Segoe UI" w:cs="Segoe UI"/>
            <w:sz w:val="21"/>
            <w:szCs w:val="21"/>
          </w:rPr>
        </w:pPr>
        <w:r w:rsidRPr="000B0BBF">
          <w:rPr>
            <w:rFonts w:ascii="Segoe UI" w:hAnsi="Segoe UI" w:cs="Segoe UI"/>
            <w:sz w:val="21"/>
            <w:szCs w:val="21"/>
          </w:rPr>
          <w:fldChar w:fldCharType="begin"/>
        </w:r>
        <w:r w:rsidR="00E902D8" w:rsidRPr="000B0BBF">
          <w:rPr>
            <w:rFonts w:ascii="Segoe UI" w:hAnsi="Segoe UI" w:cs="Segoe UI"/>
            <w:sz w:val="21"/>
            <w:szCs w:val="21"/>
          </w:rPr>
          <w:instrText xml:space="preserve"> PAGE   \* MERGEFORMAT </w:instrText>
        </w:r>
        <w:r w:rsidRPr="000B0BBF">
          <w:rPr>
            <w:rFonts w:ascii="Segoe UI" w:hAnsi="Segoe UI" w:cs="Segoe UI"/>
            <w:sz w:val="21"/>
            <w:szCs w:val="21"/>
          </w:rPr>
          <w:fldChar w:fldCharType="separate"/>
        </w:r>
        <w:r w:rsidR="005372EE">
          <w:rPr>
            <w:rFonts w:ascii="Segoe UI" w:hAnsi="Segoe UI" w:cs="Segoe UI"/>
            <w:noProof/>
            <w:sz w:val="21"/>
            <w:szCs w:val="21"/>
          </w:rPr>
          <w:t>31</w:t>
        </w:r>
        <w:r w:rsidRPr="000B0BBF">
          <w:rPr>
            <w:rFonts w:ascii="Segoe UI" w:hAnsi="Segoe UI" w:cs="Segoe UI"/>
            <w:sz w:val="21"/>
            <w:szCs w:val="21"/>
          </w:rPr>
          <w:fldChar w:fldCharType="end"/>
        </w:r>
      </w:p>
    </w:sdtContent>
  </w:sdt>
  <w:p w:rsidR="00E902D8" w:rsidRPr="000B0BBF" w:rsidRDefault="00E902D8">
    <w:pPr>
      <w:pStyle w:val="Footer"/>
      <w:rPr>
        <w:rFonts w:ascii="Segoe UI" w:hAnsi="Segoe UI" w:cs="Segoe UI"/>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67" w:rsidRDefault="00293367" w:rsidP="00713A91">
      <w:r>
        <w:separator/>
      </w:r>
    </w:p>
  </w:footnote>
  <w:footnote w:type="continuationSeparator" w:id="0">
    <w:p w:rsidR="00293367" w:rsidRDefault="00293367" w:rsidP="00713A91">
      <w:r>
        <w:continuationSeparator/>
      </w:r>
    </w:p>
  </w:footnote>
  <w:footnote w:id="1">
    <w:p w:rsidR="00E902D8" w:rsidRPr="00D96082" w:rsidRDefault="00E902D8" w:rsidP="00D96082">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w:t>
      </w:r>
      <w:r w:rsidRPr="00D96082">
        <w:rPr>
          <w:rFonts w:ascii="Segoe UI" w:eastAsia="Times New Roman" w:hAnsi="Segoe UI" w:cs="Segoe UI"/>
          <w:color w:val="auto"/>
          <w:kern w:val="0"/>
          <w:sz w:val="17"/>
          <w:szCs w:val="17"/>
        </w:rPr>
        <w:t>Financial Action Task Force – FATF, https://www.fatf-gafi.org/</w:t>
      </w:r>
    </w:p>
  </w:footnote>
  <w:footnote w:id="2">
    <w:p w:rsidR="00E902D8" w:rsidRPr="00D96082" w:rsidRDefault="00E902D8"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http://www.mei.gov.rs/src/vesti/893/189/335/detaljnije/na-trecoj-medjuvladinoj-konferenciji-u-briselu-otvorena-poglavlja-23-i-24</w:t>
      </w:r>
    </w:p>
  </w:footnote>
  <w:footnote w:id="3">
    <w:p w:rsidR="00E902D8" w:rsidRPr="00D96082" w:rsidRDefault="00E902D8"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https://www.mpravde.gov.rs/tekst/13933/izvestaj-br-32016-o-sprovodjenju-akcionog-plana-za-poglavlje-23.php</w:t>
      </w:r>
    </w:p>
  </w:footnote>
  <w:footnote w:id="4">
    <w:p w:rsidR="00E902D8" w:rsidRPr="00D96082" w:rsidRDefault="00E902D8"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https://www.fatf-gafi.org/publications/mutualevaluations/documents/fatf-methodology.html</w:t>
      </w:r>
    </w:p>
  </w:footnote>
  <w:footnote w:id="5">
    <w:p w:rsidR="00E902D8" w:rsidRPr="00D96082" w:rsidRDefault="00E902D8"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Нпр. методологија Светске банке коју је Србија користила у изради националне процене ризика 2012. и 2018. године</w:t>
      </w:r>
    </w:p>
  </w:footnote>
  <w:footnote w:id="6">
    <w:p w:rsidR="00E902D8" w:rsidRPr="00D96082" w:rsidRDefault="00E902D8"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Нпр. (прелазна) мерила у контексту преговора са Европском унијом</w:t>
      </w:r>
    </w:p>
  </w:footnote>
  <w:footnote w:id="7">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https://www.coe.int/en/web/moneyval/moneyval-brief</w:t>
      </w:r>
    </w:p>
  </w:footnote>
  <w:footnote w:id="8">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https://www.coe.int/en/web/moneyval/jurisdictions/-serbia</w:t>
      </w:r>
    </w:p>
  </w:footnote>
  <w:footnote w:id="9">
    <w:p w:rsidR="00E902D8" w:rsidRPr="00D96082" w:rsidRDefault="00E902D8" w:rsidP="000D475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Први извештај о напретку Манивал у пленуму констатује и не објављује се </w:t>
      </w:r>
    </w:p>
  </w:footnote>
  <w:footnote w:id="10">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https://www.coe.int/en/web/moneyval/-/moneyval-publishes-follow-up-report-on-serbia</w:t>
      </w:r>
    </w:p>
  </w:footnote>
  <w:footnote w:id="11">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https://www.coe.int/en/web/moneyval/jurisdictions/-serbia</w:t>
      </w:r>
    </w:p>
  </w:footnote>
  <w:footnote w:id="12">
    <w:p w:rsidR="00E902D8" w:rsidRPr="00D96082" w:rsidRDefault="00E902D8" w:rsidP="00320EA9">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https://ec.europa.eu/neighbourhood-enlargement/sites/near/files/20190529-serbia-report.pdf</w:t>
      </w:r>
    </w:p>
  </w:footnote>
  <w:footnote w:id="13">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Council of Europe Convention on Laundering, Search, Seizure and Confiscation of the Proceeds from Crime and on the Financing of Terrorism (CETS No. 198) https://www.coe.int/en/web/conventions/full-list/-/conventions/treaty/198</w:t>
      </w:r>
    </w:p>
  </w:footnote>
  <w:footnote w:id="14">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http://www.apml.gov.rs/cyr/file/?conid=2254</w:t>
      </w:r>
    </w:p>
  </w:footnote>
  <w:footnote w:id="15">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Више о процесу евалуације и документима у оквиру Петог круга евалуције</w:t>
      </w:r>
      <w:r>
        <w:rPr>
          <w:rFonts w:ascii="Segoe UI" w:hAnsi="Segoe UI" w:cs="Segoe UI"/>
          <w:sz w:val="17"/>
          <w:szCs w:val="17"/>
          <w:lang/>
        </w:rPr>
        <w:t>,</w:t>
      </w:r>
      <w:r w:rsidRPr="00D96082">
        <w:rPr>
          <w:rFonts w:ascii="Segoe UI" w:hAnsi="Segoe UI" w:cs="Segoe UI"/>
          <w:sz w:val="17"/>
          <w:szCs w:val="17"/>
        </w:rPr>
        <w:t xml:space="preserve"> односно методологији евалуације:</w:t>
      </w:r>
    </w:p>
  </w:footnote>
  <w:footnote w:id="16">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Више о националној процени ризика и коришћеној методологији:</w:t>
      </w:r>
    </w:p>
  </w:footnote>
  <w:footnote w:id="17">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Пре свега се ради о изменама и допунама Закона о спречавању прања новца и финансирања тероризма.</w:t>
      </w:r>
    </w:p>
  </w:footnote>
  <w:footnote w:id="18">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http://www.apml.gov.rs/cyr/file/?conid=2255</w:t>
      </w:r>
    </w:p>
  </w:footnote>
  <w:footnote w:id="19">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Потреба п</w:t>
      </w:r>
      <w:r w:rsidRPr="00D96082">
        <w:rPr>
          <w:rFonts w:ascii="Segoe UI" w:eastAsia="Times New Roman" w:hAnsi="Segoe UI" w:cs="Segoe UI"/>
          <w:color w:val="auto"/>
          <w:kern w:val="0"/>
          <w:sz w:val="17"/>
          <w:szCs w:val="17"/>
        </w:rPr>
        <w:t xml:space="preserve">реиспитивања делотворности система за спречавање прања новца и финансирање тероризма; Недовољна информисаност државних органа у систему борбе против ПН/ФТ о прекограничним претњама у складу са урађеном националној процени ризика; Недостатак повратних информација о поднетим пријавама за привредне преступе од правосудних органа; Казнена политика; Непостојање капацитета за процену вредности одузете имовине; </w:t>
      </w:r>
      <w:r w:rsidRPr="00D96082">
        <w:rPr>
          <w:rFonts w:ascii="Segoe UI" w:eastAsia="Times New Roman" w:hAnsi="Segoe UI" w:cs="Segoe UI"/>
          <w:kern w:val="0"/>
          <w:sz w:val="17"/>
          <w:szCs w:val="17"/>
        </w:rPr>
        <w:t xml:space="preserve">Недовољан број непосредних контрола рачуновођа; </w:t>
      </w:r>
      <w:r w:rsidRPr="00D96082">
        <w:rPr>
          <w:rFonts w:ascii="Segoe UI" w:eastAsia="Times New Roman" w:hAnsi="Segoe UI" w:cs="Segoe UI"/>
          <w:color w:val="auto"/>
          <w:kern w:val="0"/>
          <w:sz w:val="17"/>
          <w:szCs w:val="17"/>
        </w:rPr>
        <w:t>Неуједначеност броја пријава и квалитета САР код обвезника; Одсуство анализа случајева прања новца кроз улагања у изградњу некретнина од стране инвеститора физичких лица; Неусклађеност појединих аката надзорних органа са новом Националном проценом ризика; Пратити увођење нових производа у финансијском систему; Неадекватан ниво обучености за спречавање прања новца и финансирање тероризма; Недовољна информисаност у вези са злоупотребама производа на финансијском тржишту (тржиште капитала, физички преносивих средстава плаћања, девизни платни промет и др.)</w:t>
      </w:r>
    </w:p>
  </w:footnote>
  <w:footnote w:id="20">
    <w:p w:rsidR="00E902D8" w:rsidRPr="00D96082" w:rsidRDefault="00E902D8" w:rsidP="00285FD7">
      <w:pPr>
        <w:pStyle w:val="FootnoteText"/>
        <w:jc w:val="both"/>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Редовно ажурирати националну процену ризика у складу са чланом 70. Закона о спре</w:t>
      </w:r>
      <w:r>
        <w:rPr>
          <w:rFonts w:ascii="Segoe UI" w:hAnsi="Segoe UI" w:cs="Segoe UI"/>
          <w:sz w:val="17"/>
          <w:szCs w:val="17"/>
        </w:rPr>
        <w:t>чавању прања новца и финансирања</w:t>
      </w:r>
      <w:r w:rsidRPr="00D96082">
        <w:rPr>
          <w:rFonts w:ascii="Segoe UI" w:hAnsi="Segoe UI" w:cs="Segoe UI"/>
          <w:sz w:val="17"/>
          <w:szCs w:val="17"/>
        </w:rPr>
        <w:t xml:space="preserve"> тероризма; </w:t>
      </w:r>
      <w:r w:rsidRPr="00D96082">
        <w:rPr>
          <w:rFonts w:ascii="Segoe UI" w:eastAsia="Times New Roman" w:hAnsi="Segoe UI" w:cs="Segoe UI"/>
          <w:color w:val="auto"/>
          <w:kern w:val="0"/>
          <w:sz w:val="17"/>
          <w:szCs w:val="17"/>
        </w:rPr>
        <w:t>Унапредити вођење евиденција и израду статистичких извештаја; Водити проактивне финансијске истраге; Унапредити оперативну сарадњу; Унапредити координацију УСПН, надзорних органа и правосудних органа; Уједначити судску праксу; Ојачати административне капацитете за</w:t>
      </w:r>
      <w:r>
        <w:rPr>
          <w:rFonts w:ascii="Segoe UI" w:eastAsia="Times New Roman" w:hAnsi="Segoe UI" w:cs="Segoe UI"/>
          <w:color w:val="auto"/>
          <w:kern w:val="0"/>
          <w:sz w:val="17"/>
          <w:szCs w:val="17"/>
        </w:rPr>
        <w:t xml:space="preserve"> вршење континуираног посредног</w:t>
      </w:r>
      <w:r w:rsidRPr="00D96082">
        <w:rPr>
          <w:rFonts w:ascii="Segoe UI" w:eastAsia="Times New Roman" w:hAnsi="Segoe UI" w:cs="Segoe UI"/>
          <w:color w:val="auto"/>
          <w:kern w:val="0"/>
          <w:sz w:val="17"/>
          <w:szCs w:val="17"/>
        </w:rPr>
        <w:t>/непосредног надзора над обвезницима по ЗСПНФТ, који приређују игре на срећу; Ојачати административне капацитете стручног и инспекцијског надзора за промет драгоценим металима; Ојачати административне капацитете инспекцијског надзора над прометом аутомобилима; Интензивно спроводити инспекцијски надзор посредника; Спроводити интензиван стручни надзор и инспекцијски надзор код привредних субјеката који обављају промет предмета од драгоцених метала и аутомобила; Одржавање обука царинских службеника</w:t>
      </w:r>
    </w:p>
  </w:footnote>
  <w:footnote w:id="21">
    <w:p w:rsidR="00E902D8" w:rsidRPr="00BF5470" w:rsidRDefault="00E902D8" w:rsidP="00285FD7">
      <w:pPr>
        <w:pStyle w:val="FootnoteText"/>
        <w:jc w:val="both"/>
        <w:rPr>
          <w:rFonts w:ascii="Segoe UI" w:hAnsi="Segoe UI" w:cs="Segoe UI"/>
          <w:color w:val="262626" w:themeColor="text1" w:themeTint="D9"/>
          <w:sz w:val="17"/>
          <w:szCs w:val="17"/>
          <w:lang/>
        </w:rPr>
      </w:pPr>
      <w:r w:rsidRPr="00D96082">
        <w:rPr>
          <w:rStyle w:val="FootnoteReference"/>
          <w:rFonts w:ascii="Segoe UI" w:hAnsi="Segoe UI" w:cs="Segoe UI"/>
          <w:color w:val="262626" w:themeColor="text1" w:themeTint="D9"/>
          <w:sz w:val="17"/>
          <w:szCs w:val="17"/>
        </w:rPr>
        <w:footnoteRef/>
      </w:r>
      <w:r w:rsidRPr="00D96082">
        <w:rPr>
          <w:rFonts w:ascii="Segoe UI" w:hAnsi="Segoe UI" w:cs="Segoe UI"/>
          <w:color w:val="262626" w:themeColor="text1" w:themeTint="D9"/>
          <w:sz w:val="17"/>
          <w:szCs w:val="17"/>
        </w:rPr>
        <w:t xml:space="preserve"> Ради се о по једној активности за које су задужене Правосудна академија, Завод</w:t>
      </w:r>
      <w:r>
        <w:rPr>
          <w:rFonts w:ascii="Segoe UI" w:hAnsi="Segoe UI" w:cs="Segoe UI"/>
          <w:color w:val="262626" w:themeColor="text1" w:themeTint="D9"/>
          <w:sz w:val="17"/>
          <w:szCs w:val="17"/>
        </w:rPr>
        <w:t xml:space="preserve"> за статистику, јавна предузећа</w:t>
      </w:r>
      <w:r w:rsidRPr="00BF5470">
        <w:rPr>
          <w:rFonts w:ascii="Segoe UI" w:hAnsi="Segoe UI" w:cs="Segoe UI"/>
          <w:color w:val="262626" w:themeColor="text1" w:themeTint="D9"/>
          <w:sz w:val="17"/>
          <w:szCs w:val="17"/>
        </w:rPr>
        <w:t xml:space="preserve"> </w:t>
      </w:r>
      <w:r>
        <w:rPr>
          <w:rFonts w:ascii="Segoe UI" w:hAnsi="Segoe UI" w:cs="Segoe UI"/>
          <w:color w:val="262626" w:themeColor="text1" w:themeTint="D9"/>
          <w:sz w:val="17"/>
          <w:szCs w:val="17"/>
        </w:rPr>
        <w:t>итд</w:t>
      </w:r>
      <w:r>
        <w:rPr>
          <w:rFonts w:ascii="Segoe UI" w:hAnsi="Segoe UI" w:cs="Segoe UI"/>
          <w:color w:val="262626" w:themeColor="text1" w:themeTint="D9"/>
          <w:sz w:val="17"/>
          <w:szCs w:val="17"/>
          <w:lang/>
        </w:rPr>
        <w:t>.</w:t>
      </w:r>
    </w:p>
  </w:footnote>
  <w:footnote w:id="22">
    <w:p w:rsidR="00E902D8" w:rsidRPr="00BF5470" w:rsidRDefault="00E902D8" w:rsidP="00285FD7">
      <w:pPr>
        <w:pStyle w:val="FootnoteText"/>
        <w:jc w:val="both"/>
        <w:rPr>
          <w:rFonts w:ascii="Segoe UI" w:hAnsi="Segoe UI" w:cs="Segoe UI"/>
          <w:color w:val="262626" w:themeColor="text1" w:themeTint="D9"/>
          <w:sz w:val="17"/>
          <w:szCs w:val="17"/>
          <w:lang/>
        </w:rPr>
      </w:pPr>
      <w:r w:rsidRPr="00D96082">
        <w:rPr>
          <w:rStyle w:val="FootnoteReference"/>
          <w:rFonts w:ascii="Segoe UI" w:hAnsi="Segoe UI" w:cs="Segoe UI"/>
          <w:color w:val="262626" w:themeColor="text1" w:themeTint="D9"/>
          <w:sz w:val="17"/>
          <w:szCs w:val="17"/>
        </w:rPr>
        <w:footnoteRef/>
      </w:r>
      <w:r w:rsidRPr="00D96082">
        <w:rPr>
          <w:rFonts w:ascii="Segoe UI" w:hAnsi="Segoe UI" w:cs="Segoe UI"/>
          <w:color w:val="262626" w:themeColor="text1" w:themeTint="D9"/>
          <w:sz w:val="17"/>
          <w:szCs w:val="17"/>
        </w:rPr>
        <w:t xml:space="preserve"> На основу информација Народне банке Србије, Министарства унутрашњих послова, Републичког јавног тужилаштва, МТТТ-Сектора тржишне инспекције, Правосудне академије, Управе за спречавање прања новца, АПР и Министарства правде, али и из до сада прикупљених информација у оквиру различитих активности (нпр. извештавање FATF, М</w:t>
      </w:r>
      <w:r>
        <w:rPr>
          <w:rFonts w:ascii="Segoe UI" w:hAnsi="Segoe UI" w:cs="Segoe UI"/>
          <w:color w:val="262626" w:themeColor="text1" w:themeTint="D9"/>
          <w:sz w:val="17"/>
          <w:szCs w:val="17"/>
        </w:rPr>
        <w:t>анивала, Европске комисије итд)</w:t>
      </w:r>
    </w:p>
  </w:footnote>
  <w:footnote w:id="23">
    <w:p w:rsidR="00E902D8" w:rsidRPr="00BF5470" w:rsidRDefault="00E902D8" w:rsidP="00285FD7">
      <w:pPr>
        <w:pStyle w:val="FootnoteText"/>
        <w:jc w:val="both"/>
        <w:rPr>
          <w:rFonts w:ascii="Segoe UI" w:hAnsi="Segoe UI" w:cs="Segoe UI"/>
          <w:sz w:val="17"/>
          <w:szCs w:val="17"/>
          <w:lang/>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w:t>
      </w:r>
      <w:r w:rsidRPr="00D96082">
        <w:rPr>
          <w:rFonts w:ascii="Segoe UI" w:hAnsi="Segoe UI" w:cs="Segoe UI"/>
          <w:color w:val="262626" w:themeColor="text1" w:themeTint="D9"/>
          <w:sz w:val="17"/>
          <w:szCs w:val="17"/>
        </w:rPr>
        <w:t>Ове области се тичу примене циљаних финансијских санкција за тероризам и ширење оружја за масовно уништење (што је регулисано Законом о ограничавању располагања имовином у циљу спречавања тероризма и ширења оружја за масовно уништење) и надзора над непрофитним сектором ради спречавања могућности злоупотребе непрофитних организациј</w:t>
      </w:r>
      <w:r>
        <w:rPr>
          <w:rFonts w:ascii="Segoe UI" w:hAnsi="Segoe UI" w:cs="Segoe UI"/>
          <w:color w:val="262626" w:themeColor="text1" w:themeTint="D9"/>
          <w:sz w:val="17"/>
          <w:szCs w:val="17"/>
        </w:rPr>
        <w:t>а у сврхе финансирања тероризма</w:t>
      </w:r>
    </w:p>
  </w:footnote>
  <w:footnote w:id="24">
    <w:p w:rsidR="00E902D8" w:rsidRPr="00BF5470" w:rsidRDefault="00E902D8" w:rsidP="00285FD7">
      <w:pPr>
        <w:pStyle w:val="FootnoteText"/>
        <w:jc w:val="both"/>
        <w:rPr>
          <w:rFonts w:ascii="Segoe UI" w:hAnsi="Segoe UI" w:cs="Segoe UI"/>
          <w:color w:val="262626" w:themeColor="text1" w:themeTint="D9"/>
          <w:sz w:val="17"/>
          <w:szCs w:val="17"/>
          <w:lang/>
        </w:rPr>
      </w:pPr>
      <w:r w:rsidRPr="00D96082">
        <w:rPr>
          <w:rStyle w:val="FootnoteReference"/>
          <w:rFonts w:ascii="Segoe UI" w:hAnsi="Segoe UI" w:cs="Segoe UI"/>
          <w:color w:val="262626" w:themeColor="text1" w:themeTint="D9"/>
          <w:sz w:val="17"/>
          <w:szCs w:val="17"/>
        </w:rPr>
        <w:footnoteRef/>
      </w:r>
      <w:r w:rsidRPr="00D96082">
        <w:rPr>
          <w:rFonts w:ascii="Segoe UI" w:hAnsi="Segoe UI" w:cs="Segoe UI"/>
          <w:color w:val="262626" w:themeColor="text1" w:themeTint="D9"/>
          <w:sz w:val="17"/>
          <w:szCs w:val="17"/>
        </w:rPr>
        <w:t xml:space="preserve"> Детаљне информације о напретку Србије налазе се у извештајима надлежних органа који су сачињавани у контексту испуњавања препорука Манивала, Акционог плана FATF, Препорука FATF и </w:t>
      </w:r>
      <w:r>
        <w:rPr>
          <w:rFonts w:ascii="Segoe UI" w:hAnsi="Segoe UI" w:cs="Segoe UI"/>
          <w:color w:val="262626" w:themeColor="text1" w:themeTint="D9"/>
          <w:sz w:val="17"/>
          <w:szCs w:val="17"/>
        </w:rPr>
        <w:t>правних тековина Европске уније</w:t>
      </w:r>
    </w:p>
  </w:footnote>
  <w:footnote w:id="25">
    <w:p w:rsidR="00E902D8" w:rsidRPr="00D96082" w:rsidRDefault="00E902D8" w:rsidP="00285FD7">
      <w:pPr>
        <w:pStyle w:val="FootnoteText"/>
        <w:rPr>
          <w:rFonts w:ascii="Segoe UI" w:hAnsi="Segoe UI" w:cs="Segoe UI"/>
          <w:sz w:val="17"/>
          <w:szCs w:val="17"/>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https://www.fatf-gafi.org/publications/mutualevaluations/documents/assessment-ratings.html</w:t>
      </w:r>
    </w:p>
  </w:footnote>
  <w:footnote w:id="26">
    <w:p w:rsidR="00E902D8" w:rsidRPr="00E338C9" w:rsidRDefault="00E902D8" w:rsidP="00FD45ED">
      <w:pPr>
        <w:jc w:val="both"/>
        <w:rPr>
          <w:rFonts w:ascii="Segoe UI" w:eastAsia="SimSun" w:hAnsi="Segoe UI" w:cs="Segoe UI"/>
          <w:color w:val="auto"/>
          <w:kern w:val="0"/>
          <w:sz w:val="12"/>
          <w:szCs w:val="12"/>
          <w:lang w:eastAsia="zh-CN"/>
        </w:rPr>
      </w:pPr>
      <w:r w:rsidRPr="00D96082">
        <w:rPr>
          <w:rStyle w:val="FootnoteReference"/>
          <w:rFonts w:ascii="Segoe UI" w:hAnsi="Segoe UI" w:cs="Segoe UI"/>
          <w:sz w:val="17"/>
          <w:szCs w:val="17"/>
        </w:rPr>
        <w:footnoteRef/>
      </w:r>
      <w:r w:rsidRPr="00D96082">
        <w:rPr>
          <w:rFonts w:ascii="Segoe UI" w:hAnsi="Segoe UI" w:cs="Segoe UI"/>
          <w:sz w:val="17"/>
          <w:szCs w:val="17"/>
        </w:rPr>
        <w:t xml:space="preserve"> </w:t>
      </w:r>
      <w:r w:rsidRPr="00613489">
        <w:rPr>
          <w:rFonts w:ascii="Segoe UI" w:eastAsia="SimSun" w:hAnsi="Segoe UI" w:cs="Segoe UI"/>
          <w:color w:val="auto"/>
          <w:kern w:val="0"/>
          <w:sz w:val="12"/>
          <w:szCs w:val="12"/>
          <w:lang w:eastAsia="zh-CN"/>
        </w:rPr>
        <w:t>Слобода кретања капитала једна је од четири слободе на којима је засновано функционисање унутрашњег тржишта Европске уније, у вези са чим се воде и преговори у оквиру Поглавља 4. У том контексту, државе чланице имају обавезу да, уз неке изузетке, уклоне сва ограничења кретању капитала и унутар ЕУ и између земаља чланица и осталих земаља. Циљ је да прекогранична плаћања постану једнако једноставна, ефикасна и сигурна као и „национална” унутар земаља чланица, док се истовремено побољшавају права корисника на коришћење услуга плаћања. Такође, настоји се да</w:t>
      </w:r>
      <w:r w:rsidRPr="00613489">
        <w:rPr>
          <w:rFonts w:ascii="Segoe UI" w:eastAsia="SimSun" w:hAnsi="Segoe UI" w:cs="Segoe UI"/>
          <w:color w:val="auto"/>
          <w:kern w:val="0"/>
          <w:sz w:val="14"/>
          <w:szCs w:val="14"/>
          <w:lang w:eastAsia="zh-CN"/>
        </w:rPr>
        <w:t xml:space="preserve"> се </w:t>
      </w:r>
      <w:r w:rsidRPr="00613489">
        <w:rPr>
          <w:rFonts w:ascii="Segoe UI" w:eastAsia="SimSun" w:hAnsi="Segoe UI" w:cs="Segoe UI"/>
          <w:color w:val="auto"/>
          <w:kern w:val="0"/>
          <w:sz w:val="12"/>
          <w:szCs w:val="12"/>
          <w:lang w:eastAsia="zh-CN"/>
        </w:rPr>
        <w:t>побољша конкуренција отварањем тржишта плаћања ка новим учесницима, тако да се подстиче повећање ефикасности и смањење трошкова, и успоставља се неопходна платформа за једин</w:t>
      </w:r>
      <w:r>
        <w:rPr>
          <w:rFonts w:ascii="Segoe UI" w:eastAsia="SimSun" w:hAnsi="Segoe UI" w:cs="Segoe UI"/>
          <w:color w:val="auto"/>
          <w:kern w:val="0"/>
          <w:sz w:val="12"/>
          <w:szCs w:val="12"/>
          <w:lang w:eastAsia="zh-CN"/>
        </w:rPr>
        <w:t>ствену зону за плаћање у еврима</w:t>
      </w:r>
      <w:r>
        <w:rPr>
          <w:rFonts w:ascii="Segoe UI" w:eastAsia="SimSun" w:hAnsi="Segoe UI" w:cs="Segoe UI"/>
          <w:color w:val="auto"/>
          <w:kern w:val="0"/>
          <w:sz w:val="12"/>
          <w:szCs w:val="12"/>
          <w:lang w:eastAsia="zh-CN"/>
        </w:rPr>
        <w:t>.</w:t>
      </w:r>
    </w:p>
  </w:footnote>
  <w:footnote w:id="27">
    <w:p w:rsidR="00E902D8" w:rsidRPr="00CA4C25" w:rsidRDefault="00E902D8" w:rsidP="0004492D">
      <w:pPr>
        <w:jc w:val="both"/>
        <w:rPr>
          <w:rFonts w:ascii="Segoe UI" w:eastAsia="Times New Roman" w:hAnsi="Segoe UI" w:cs="Segoe UI"/>
          <w:color w:val="auto"/>
          <w:kern w:val="0"/>
          <w:sz w:val="12"/>
          <w:szCs w:val="12"/>
          <w:lang w:eastAsia="en-GB"/>
        </w:rPr>
      </w:pPr>
      <w:r w:rsidRPr="00CA4C25">
        <w:rPr>
          <w:rStyle w:val="FootnoteReference"/>
          <w:rFonts w:ascii="Segoe UI" w:hAnsi="Segoe UI" w:cs="Segoe UI"/>
          <w:sz w:val="12"/>
          <w:szCs w:val="12"/>
        </w:rPr>
        <w:footnoteRef/>
      </w:r>
      <w:r w:rsidRPr="00CA4C25">
        <w:rPr>
          <w:rFonts w:ascii="Segoe UI" w:hAnsi="Segoe UI" w:cs="Segoe UI"/>
          <w:sz w:val="12"/>
          <w:szCs w:val="12"/>
        </w:rPr>
        <w:t xml:space="preserve"> Председник Координационог тела је министар финансија, а чланови (32) долазе из следећих 26 органа државне управе, тела и институција:</w:t>
      </w:r>
      <w:r w:rsidRPr="00CA4C25">
        <w:rPr>
          <w:rFonts w:ascii="Segoe UI" w:eastAsia="Times New Roman" w:hAnsi="Segoe UI" w:cs="Segoe UI"/>
          <w:color w:val="auto"/>
          <w:kern w:val="0"/>
          <w:sz w:val="12"/>
          <w:szCs w:val="12"/>
          <w:lang w:val="en-GB" w:eastAsia="en-GB"/>
        </w:rPr>
        <w:t xml:space="preserve"> Министарство финансија;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правде; Министарство правде</w:t>
      </w:r>
      <w:r w:rsidRPr="00CA4C25">
        <w:rPr>
          <w:rFonts w:ascii="Segoe UI" w:eastAsia="Times New Roman" w:hAnsi="Segoe UI" w:cs="Segoe UI"/>
          <w:color w:val="auto"/>
          <w:kern w:val="0"/>
          <w:sz w:val="12"/>
          <w:szCs w:val="12"/>
          <w:lang w:eastAsia="en-GB"/>
        </w:rPr>
        <w:t>-Дирекција за управаљање одузетом имовином; МФ-</w:t>
      </w:r>
      <w:r w:rsidRPr="00CA4C25">
        <w:rPr>
          <w:rFonts w:ascii="Segoe UI" w:eastAsia="Times New Roman" w:hAnsi="Segoe UI" w:cs="Segoe UI"/>
          <w:color w:val="auto"/>
          <w:kern w:val="0"/>
          <w:sz w:val="12"/>
          <w:szCs w:val="12"/>
          <w:lang w:val="en-GB" w:eastAsia="en-GB"/>
        </w:rPr>
        <w:t>Управа за спречавање прања новца;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унутрашњих послова</w:t>
      </w:r>
      <w:r w:rsidRPr="00CA4C25">
        <w:rPr>
          <w:rFonts w:ascii="Segoe UI" w:eastAsia="Times New Roman" w:hAnsi="Segoe UI" w:cs="Segoe UI"/>
          <w:color w:val="auto"/>
          <w:kern w:val="0"/>
          <w:sz w:val="12"/>
          <w:szCs w:val="12"/>
          <w:lang w:eastAsia="en-GB"/>
        </w:rPr>
        <w:t>-СБПОК</w:t>
      </w:r>
      <w:r w:rsidRPr="00CA4C25">
        <w:rPr>
          <w:rFonts w:ascii="Segoe UI" w:eastAsia="Times New Roman" w:hAnsi="Segoe UI" w:cs="Segoe UI"/>
          <w:color w:val="auto"/>
          <w:kern w:val="0"/>
          <w:sz w:val="12"/>
          <w:szCs w:val="12"/>
          <w:lang w:val="en-GB" w:eastAsia="en-GB"/>
        </w:rPr>
        <w:t>;</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унутрашњих послова</w:t>
      </w:r>
      <w:r w:rsidRPr="00CA4C25">
        <w:rPr>
          <w:rFonts w:ascii="Segoe UI" w:eastAsia="Times New Roman" w:hAnsi="Segoe UI" w:cs="Segoe UI"/>
          <w:color w:val="auto"/>
          <w:kern w:val="0"/>
          <w:sz w:val="12"/>
          <w:szCs w:val="12"/>
          <w:lang w:eastAsia="en-GB"/>
        </w:rPr>
        <w:t>-СБПТ</w:t>
      </w:r>
      <w:r w:rsidRPr="00CA4C25">
        <w:rPr>
          <w:rFonts w:ascii="Segoe UI" w:eastAsia="Times New Roman" w:hAnsi="Segoe UI" w:cs="Segoe UI"/>
          <w:color w:val="auto"/>
          <w:kern w:val="0"/>
          <w:sz w:val="12"/>
          <w:szCs w:val="12"/>
          <w:lang w:val="en-GB" w:eastAsia="en-GB"/>
        </w:rPr>
        <w:t>;</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Врховни касациони суд;</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Тужилаштво за организовани криминал;</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Републичко јавно тужилаштво;</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Безбедносно-информативна агенција;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Комисија за хартије од вредности;</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Канцеларија Савета за националну безбедност и заштиту тајних података;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Народна банка Србије;</w:t>
      </w:r>
      <w:r w:rsidRPr="00CA4C25">
        <w:rPr>
          <w:rFonts w:ascii="Segoe UI" w:eastAsia="Times New Roman" w:hAnsi="Segoe UI" w:cs="Segoe UI"/>
          <w:color w:val="auto"/>
          <w:kern w:val="0"/>
          <w:sz w:val="12"/>
          <w:szCs w:val="12"/>
          <w:lang w:eastAsia="en-GB"/>
        </w:rPr>
        <w:t xml:space="preserve"> МФ-</w:t>
      </w:r>
      <w:r w:rsidRPr="00CA4C25">
        <w:rPr>
          <w:rFonts w:ascii="Segoe UI" w:eastAsia="Times New Roman" w:hAnsi="Segoe UI" w:cs="Segoe UI"/>
          <w:color w:val="auto"/>
          <w:kern w:val="0"/>
          <w:sz w:val="12"/>
          <w:szCs w:val="12"/>
          <w:lang w:val="en-GB" w:eastAsia="en-GB"/>
        </w:rPr>
        <w:t>Управа царина;</w:t>
      </w:r>
      <w:r w:rsidRPr="00CA4C25">
        <w:rPr>
          <w:rFonts w:ascii="Segoe UI" w:eastAsia="Times New Roman" w:hAnsi="Segoe UI" w:cs="Segoe UI"/>
          <w:color w:val="auto"/>
          <w:kern w:val="0"/>
          <w:sz w:val="12"/>
          <w:szCs w:val="12"/>
          <w:lang w:eastAsia="en-GB"/>
        </w:rPr>
        <w:t xml:space="preserve"> МФ-</w:t>
      </w:r>
      <w:r w:rsidRPr="00CA4C25">
        <w:rPr>
          <w:rFonts w:ascii="Segoe UI" w:eastAsia="Times New Roman" w:hAnsi="Segoe UI" w:cs="Segoe UI"/>
          <w:color w:val="auto"/>
          <w:kern w:val="0"/>
          <w:sz w:val="12"/>
          <w:szCs w:val="12"/>
          <w:lang w:val="en-GB" w:eastAsia="en-GB"/>
        </w:rPr>
        <w:t>Пореска управа</w:t>
      </w:r>
      <w:r w:rsidRPr="00CA4C25">
        <w:rPr>
          <w:rFonts w:ascii="Segoe UI" w:eastAsia="Times New Roman" w:hAnsi="Segoe UI" w:cs="Segoe UI"/>
          <w:color w:val="auto"/>
          <w:kern w:val="0"/>
          <w:sz w:val="12"/>
          <w:szCs w:val="12"/>
          <w:lang w:eastAsia="en-GB"/>
        </w:rPr>
        <w:t>, Пореска полиција</w:t>
      </w:r>
      <w:r w:rsidRPr="00CA4C25">
        <w:rPr>
          <w:rFonts w:ascii="Segoe UI" w:eastAsia="Times New Roman" w:hAnsi="Segoe UI" w:cs="Segoe UI"/>
          <w:color w:val="auto"/>
          <w:kern w:val="0"/>
          <w:sz w:val="12"/>
          <w:szCs w:val="12"/>
          <w:lang w:val="en-GB" w:eastAsia="en-GB"/>
        </w:rPr>
        <w:t>;</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Јавнобележничка комора Србије;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Адвокатска комора Србије;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трговине, туризма и телекомуникација – Сектор тржишне инспекције;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трговине, туризма и телекомуникација – Сектор за електронске комуникације и поштански саобраћај;</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спољних послова;</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Канцеларија за сарадњу са цивилним друштвом;</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Министарство привреде;</w:t>
      </w:r>
      <w:r w:rsidRPr="00CA4C25">
        <w:rPr>
          <w:rFonts w:ascii="Segoe UI" w:eastAsia="Times New Roman" w:hAnsi="Segoe UI" w:cs="Segoe UI"/>
          <w:color w:val="auto"/>
          <w:kern w:val="0"/>
          <w:sz w:val="12"/>
          <w:szCs w:val="12"/>
          <w:lang w:eastAsia="en-GB"/>
        </w:rPr>
        <w:t xml:space="preserve"> </w:t>
      </w:r>
      <w:r w:rsidRPr="00CA4C25">
        <w:rPr>
          <w:rFonts w:ascii="Segoe UI" w:eastAsia="Times New Roman" w:hAnsi="Segoe UI" w:cs="Segoe UI"/>
          <w:color w:val="auto"/>
          <w:kern w:val="0"/>
          <w:sz w:val="12"/>
          <w:szCs w:val="12"/>
          <w:lang w:val="en-GB" w:eastAsia="en-GB"/>
        </w:rPr>
        <w:t>Агенција за привредне регистре</w:t>
      </w:r>
      <w:r w:rsidRPr="00CA4C25">
        <w:rPr>
          <w:rFonts w:ascii="Segoe UI" w:eastAsia="Times New Roman" w:hAnsi="Segoe UI" w:cs="Segoe UI"/>
          <w:color w:val="auto"/>
          <w:kern w:val="0"/>
          <w:sz w:val="12"/>
          <w:szCs w:val="12"/>
          <w:lang w:eastAsia="en-GB"/>
        </w:rPr>
        <w:t>;</w:t>
      </w:r>
      <w:r w:rsidRPr="00CA4C25">
        <w:rPr>
          <w:rFonts w:ascii="Segoe UI" w:eastAsia="Times New Roman" w:hAnsi="Segoe UI" w:cs="Segoe UI"/>
          <w:color w:val="auto"/>
          <w:kern w:val="0"/>
          <w:sz w:val="12"/>
          <w:szCs w:val="12"/>
          <w:lang w:val="en-GB" w:eastAsia="en-GB"/>
        </w:rPr>
        <w:t xml:space="preserve"> Министарство државне управе и локалне самоуправе;</w:t>
      </w:r>
      <w:r w:rsidRPr="00CA4C25">
        <w:rPr>
          <w:rFonts w:ascii="Segoe UI" w:eastAsia="Times New Roman" w:hAnsi="Segoe UI" w:cs="Segoe UI"/>
          <w:color w:val="auto"/>
          <w:kern w:val="0"/>
          <w:sz w:val="12"/>
          <w:szCs w:val="12"/>
          <w:lang w:eastAsia="en-GB"/>
        </w:rPr>
        <w:t xml:space="preserve"> МФ-</w:t>
      </w:r>
      <w:r w:rsidRPr="00CA4C25">
        <w:rPr>
          <w:rFonts w:ascii="Segoe UI" w:eastAsia="Times New Roman" w:hAnsi="Segoe UI" w:cs="Segoe UI"/>
          <w:color w:val="auto"/>
          <w:kern w:val="0"/>
          <w:sz w:val="12"/>
          <w:szCs w:val="12"/>
          <w:lang w:val="en-GB" w:eastAsia="en-GB"/>
        </w:rPr>
        <w:t>Управа за игре на срећу.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D8" w:rsidRPr="00A47261" w:rsidRDefault="00E902D8" w:rsidP="00A47261">
    <w:pPr>
      <w:pStyle w:val="Header"/>
      <w:jc w:val="right"/>
      <w:rPr>
        <w:b/>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F8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FF0A61"/>
    <w:multiLevelType w:val="hybridMultilevel"/>
    <w:tmpl w:val="2B220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43ED3"/>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1773E"/>
    <w:multiLevelType w:val="hybridMultilevel"/>
    <w:tmpl w:val="EE82A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051A60"/>
    <w:multiLevelType w:val="hybridMultilevel"/>
    <w:tmpl w:val="2392F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7720A"/>
    <w:multiLevelType w:val="hybridMultilevel"/>
    <w:tmpl w:val="592A3A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E95A9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AC10FE"/>
    <w:multiLevelType w:val="hybridMultilevel"/>
    <w:tmpl w:val="42D6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92AB6"/>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ED7A87"/>
    <w:multiLevelType w:val="hybridMultilevel"/>
    <w:tmpl w:val="8F089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A7917"/>
    <w:multiLevelType w:val="hybridMultilevel"/>
    <w:tmpl w:val="42563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62134"/>
    <w:multiLevelType w:val="hybridMultilevel"/>
    <w:tmpl w:val="0116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01087"/>
    <w:multiLevelType w:val="hybridMultilevel"/>
    <w:tmpl w:val="46BC1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F95C3B"/>
    <w:multiLevelType w:val="hybridMultilevel"/>
    <w:tmpl w:val="1316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225B0"/>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77398"/>
    <w:multiLevelType w:val="hybridMultilevel"/>
    <w:tmpl w:val="891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75828"/>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30E71"/>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155046"/>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1C4ADB"/>
    <w:multiLevelType w:val="hybridMultilevel"/>
    <w:tmpl w:val="A782AF7C"/>
    <w:lvl w:ilvl="0" w:tplc="DB7CB438">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4A329B"/>
    <w:multiLevelType w:val="hybridMultilevel"/>
    <w:tmpl w:val="6352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53143"/>
    <w:multiLevelType w:val="hybridMultilevel"/>
    <w:tmpl w:val="4BA2F894"/>
    <w:lvl w:ilvl="0" w:tplc="EA9C2A60">
      <w:start w:val="1"/>
      <w:numFmt w:val="decimal"/>
      <w:lvlText w:val="%1."/>
      <w:lvlJc w:val="left"/>
      <w:pPr>
        <w:ind w:left="720" w:hanging="360"/>
      </w:pPr>
      <w:rPr>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11C5F"/>
    <w:multiLevelType w:val="hybridMultilevel"/>
    <w:tmpl w:val="1B6C4A02"/>
    <w:lvl w:ilvl="0" w:tplc="5B564EEC">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304A17"/>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F66A1F"/>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F34CF"/>
    <w:multiLevelType w:val="hybridMultilevel"/>
    <w:tmpl w:val="55588364"/>
    <w:lvl w:ilvl="0" w:tplc="F50A1E10">
      <w:start w:val="1"/>
      <w:numFmt w:val="decimal"/>
      <w:lvlText w:val="%1."/>
      <w:lvlJc w:val="left"/>
      <w:pPr>
        <w:ind w:left="720" w:hanging="360"/>
      </w:pPr>
      <w:rPr>
        <w:b/>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43CD7"/>
    <w:multiLevelType w:val="hybridMultilevel"/>
    <w:tmpl w:val="709C8B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4EF7DB6"/>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97678"/>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6D0999"/>
    <w:multiLevelType w:val="hybridMultilevel"/>
    <w:tmpl w:val="C98EC0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FF42DF4"/>
    <w:multiLevelType w:val="hybridMultilevel"/>
    <w:tmpl w:val="9976D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E91666"/>
    <w:multiLevelType w:val="multilevel"/>
    <w:tmpl w:val="54F48D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7"/>
  </w:num>
  <w:num w:numId="4">
    <w:abstractNumId w:val="4"/>
  </w:num>
  <w:num w:numId="5">
    <w:abstractNumId w:val="1"/>
  </w:num>
  <w:num w:numId="6">
    <w:abstractNumId w:val="12"/>
  </w:num>
  <w:num w:numId="7">
    <w:abstractNumId w:val="15"/>
  </w:num>
  <w:num w:numId="8">
    <w:abstractNumId w:val="23"/>
  </w:num>
  <w:num w:numId="9">
    <w:abstractNumId w:val="21"/>
  </w:num>
  <w:num w:numId="10">
    <w:abstractNumId w:val="19"/>
  </w:num>
  <w:num w:numId="11">
    <w:abstractNumId w:val="2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26"/>
  </w:num>
  <w:num w:numId="16">
    <w:abstractNumId w:val="3"/>
  </w:num>
  <w:num w:numId="17">
    <w:abstractNumId w:val="29"/>
  </w:num>
  <w:num w:numId="18">
    <w:abstractNumId w:val="31"/>
  </w:num>
  <w:num w:numId="19">
    <w:abstractNumId w:val="17"/>
  </w:num>
  <w:num w:numId="20">
    <w:abstractNumId w:val="27"/>
  </w:num>
  <w:num w:numId="21">
    <w:abstractNumId w:val="14"/>
  </w:num>
  <w:num w:numId="22">
    <w:abstractNumId w:val="16"/>
  </w:num>
  <w:num w:numId="23">
    <w:abstractNumId w:val="24"/>
  </w:num>
  <w:num w:numId="24">
    <w:abstractNumId w:val="13"/>
  </w:num>
  <w:num w:numId="25">
    <w:abstractNumId w:val="10"/>
  </w:num>
  <w:num w:numId="26">
    <w:abstractNumId w:val="9"/>
  </w:num>
  <w:num w:numId="27">
    <w:abstractNumId w:val="18"/>
  </w:num>
  <w:num w:numId="28">
    <w:abstractNumId w:val="6"/>
  </w:num>
  <w:num w:numId="29">
    <w:abstractNumId w:val="8"/>
  </w:num>
  <w:num w:numId="30">
    <w:abstractNumId w:val="28"/>
  </w:num>
  <w:num w:numId="31">
    <w:abstractNumId w:val="0"/>
  </w:num>
  <w:num w:numId="32">
    <w:abstractNumId w:val="3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13A91"/>
    <w:rsid w:val="0000003B"/>
    <w:rsid w:val="0001093D"/>
    <w:rsid w:val="00012D3E"/>
    <w:rsid w:val="00015C01"/>
    <w:rsid w:val="00016FCA"/>
    <w:rsid w:val="000229FA"/>
    <w:rsid w:val="000269C8"/>
    <w:rsid w:val="00032563"/>
    <w:rsid w:val="000342B2"/>
    <w:rsid w:val="0003799E"/>
    <w:rsid w:val="00037BF6"/>
    <w:rsid w:val="00040297"/>
    <w:rsid w:val="000435FD"/>
    <w:rsid w:val="0004492D"/>
    <w:rsid w:val="0004546C"/>
    <w:rsid w:val="000474AA"/>
    <w:rsid w:val="00050AB0"/>
    <w:rsid w:val="00050E7F"/>
    <w:rsid w:val="00051416"/>
    <w:rsid w:val="00054E20"/>
    <w:rsid w:val="000553F1"/>
    <w:rsid w:val="00056AE0"/>
    <w:rsid w:val="00065149"/>
    <w:rsid w:val="000656E7"/>
    <w:rsid w:val="000674FF"/>
    <w:rsid w:val="000703A9"/>
    <w:rsid w:val="00073345"/>
    <w:rsid w:val="00074050"/>
    <w:rsid w:val="00074670"/>
    <w:rsid w:val="00077619"/>
    <w:rsid w:val="00077845"/>
    <w:rsid w:val="00083ED0"/>
    <w:rsid w:val="000860BE"/>
    <w:rsid w:val="0008634A"/>
    <w:rsid w:val="00090975"/>
    <w:rsid w:val="00091BE9"/>
    <w:rsid w:val="00093C87"/>
    <w:rsid w:val="0009405E"/>
    <w:rsid w:val="00094F11"/>
    <w:rsid w:val="000A3B0D"/>
    <w:rsid w:val="000A59A7"/>
    <w:rsid w:val="000A7CC4"/>
    <w:rsid w:val="000B0BBF"/>
    <w:rsid w:val="000B3C2A"/>
    <w:rsid w:val="000B5F1D"/>
    <w:rsid w:val="000B75F7"/>
    <w:rsid w:val="000C1D77"/>
    <w:rsid w:val="000C4208"/>
    <w:rsid w:val="000C6EB5"/>
    <w:rsid w:val="000C7714"/>
    <w:rsid w:val="000D08A9"/>
    <w:rsid w:val="000D1143"/>
    <w:rsid w:val="000D1319"/>
    <w:rsid w:val="000D4757"/>
    <w:rsid w:val="000D492F"/>
    <w:rsid w:val="000E3771"/>
    <w:rsid w:val="000E3FF6"/>
    <w:rsid w:val="000E7324"/>
    <w:rsid w:val="000F0BD0"/>
    <w:rsid w:val="000F7156"/>
    <w:rsid w:val="00102718"/>
    <w:rsid w:val="00102ECF"/>
    <w:rsid w:val="001043A5"/>
    <w:rsid w:val="00104CDD"/>
    <w:rsid w:val="001210BE"/>
    <w:rsid w:val="00121212"/>
    <w:rsid w:val="00121E8F"/>
    <w:rsid w:val="00122CB1"/>
    <w:rsid w:val="00123675"/>
    <w:rsid w:val="001254C3"/>
    <w:rsid w:val="00131ED0"/>
    <w:rsid w:val="00133CB5"/>
    <w:rsid w:val="0013548D"/>
    <w:rsid w:val="00142EDC"/>
    <w:rsid w:val="00143AC7"/>
    <w:rsid w:val="00144339"/>
    <w:rsid w:val="00144CCE"/>
    <w:rsid w:val="00146E18"/>
    <w:rsid w:val="00154FDD"/>
    <w:rsid w:val="00156124"/>
    <w:rsid w:val="00156D4E"/>
    <w:rsid w:val="00161230"/>
    <w:rsid w:val="001626DC"/>
    <w:rsid w:val="00163505"/>
    <w:rsid w:val="00165CB9"/>
    <w:rsid w:val="00170910"/>
    <w:rsid w:val="001812E7"/>
    <w:rsid w:val="001821C4"/>
    <w:rsid w:val="00182940"/>
    <w:rsid w:val="00184E9E"/>
    <w:rsid w:val="00185FE6"/>
    <w:rsid w:val="00191E3F"/>
    <w:rsid w:val="001A0C43"/>
    <w:rsid w:val="001A18C8"/>
    <w:rsid w:val="001A3C52"/>
    <w:rsid w:val="001A47C0"/>
    <w:rsid w:val="001A655F"/>
    <w:rsid w:val="001B2108"/>
    <w:rsid w:val="001B2820"/>
    <w:rsid w:val="001B2E39"/>
    <w:rsid w:val="001B379F"/>
    <w:rsid w:val="001B4CBD"/>
    <w:rsid w:val="001B60B1"/>
    <w:rsid w:val="001B65B2"/>
    <w:rsid w:val="001C28EC"/>
    <w:rsid w:val="001C4A4F"/>
    <w:rsid w:val="001E4E03"/>
    <w:rsid w:val="001E542B"/>
    <w:rsid w:val="001E55D5"/>
    <w:rsid w:val="001E5DFF"/>
    <w:rsid w:val="001F1495"/>
    <w:rsid w:val="001F15C3"/>
    <w:rsid w:val="001F2C4B"/>
    <w:rsid w:val="002052A3"/>
    <w:rsid w:val="0020533F"/>
    <w:rsid w:val="0020631B"/>
    <w:rsid w:val="00206857"/>
    <w:rsid w:val="002074F1"/>
    <w:rsid w:val="00210A55"/>
    <w:rsid w:val="00212E61"/>
    <w:rsid w:val="002145B3"/>
    <w:rsid w:val="002146DD"/>
    <w:rsid w:val="00215665"/>
    <w:rsid w:val="0021585E"/>
    <w:rsid w:val="002219B5"/>
    <w:rsid w:val="0022234E"/>
    <w:rsid w:val="002247A8"/>
    <w:rsid w:val="00224C1E"/>
    <w:rsid w:val="00232650"/>
    <w:rsid w:val="0023679E"/>
    <w:rsid w:val="00236EB6"/>
    <w:rsid w:val="002374BA"/>
    <w:rsid w:val="002424EB"/>
    <w:rsid w:val="002458E9"/>
    <w:rsid w:val="00245ED1"/>
    <w:rsid w:val="00250537"/>
    <w:rsid w:val="00254C7E"/>
    <w:rsid w:val="002632C2"/>
    <w:rsid w:val="00263A5E"/>
    <w:rsid w:val="0026686C"/>
    <w:rsid w:val="00267777"/>
    <w:rsid w:val="002702AB"/>
    <w:rsid w:val="00271782"/>
    <w:rsid w:val="002726D3"/>
    <w:rsid w:val="00273598"/>
    <w:rsid w:val="00274562"/>
    <w:rsid w:val="00276BBB"/>
    <w:rsid w:val="00281A15"/>
    <w:rsid w:val="00283830"/>
    <w:rsid w:val="00283DD5"/>
    <w:rsid w:val="00284C51"/>
    <w:rsid w:val="00285FD7"/>
    <w:rsid w:val="00286710"/>
    <w:rsid w:val="002922B5"/>
    <w:rsid w:val="00293367"/>
    <w:rsid w:val="00294720"/>
    <w:rsid w:val="002A3F75"/>
    <w:rsid w:val="002A4CC7"/>
    <w:rsid w:val="002B23AB"/>
    <w:rsid w:val="002B6D6A"/>
    <w:rsid w:val="002B7AB2"/>
    <w:rsid w:val="002B7E1A"/>
    <w:rsid w:val="002C15B7"/>
    <w:rsid w:val="002C54BD"/>
    <w:rsid w:val="002D1889"/>
    <w:rsid w:val="002D3052"/>
    <w:rsid w:val="002D69E2"/>
    <w:rsid w:val="002E071E"/>
    <w:rsid w:val="002E2CAF"/>
    <w:rsid w:val="002E5077"/>
    <w:rsid w:val="002E5CC8"/>
    <w:rsid w:val="002F1FEA"/>
    <w:rsid w:val="002F2585"/>
    <w:rsid w:val="002F2CC6"/>
    <w:rsid w:val="003030E6"/>
    <w:rsid w:val="003041BF"/>
    <w:rsid w:val="003067CB"/>
    <w:rsid w:val="003069B2"/>
    <w:rsid w:val="003162F4"/>
    <w:rsid w:val="00317E78"/>
    <w:rsid w:val="00320748"/>
    <w:rsid w:val="00320EA9"/>
    <w:rsid w:val="003214BC"/>
    <w:rsid w:val="00321E8D"/>
    <w:rsid w:val="00323486"/>
    <w:rsid w:val="00323A5A"/>
    <w:rsid w:val="00326CC2"/>
    <w:rsid w:val="00326EA5"/>
    <w:rsid w:val="00336773"/>
    <w:rsid w:val="0034189E"/>
    <w:rsid w:val="00343DEC"/>
    <w:rsid w:val="00345049"/>
    <w:rsid w:val="00345568"/>
    <w:rsid w:val="003478F8"/>
    <w:rsid w:val="00350767"/>
    <w:rsid w:val="00350AF3"/>
    <w:rsid w:val="003562B4"/>
    <w:rsid w:val="0036171D"/>
    <w:rsid w:val="00363221"/>
    <w:rsid w:val="00363ED5"/>
    <w:rsid w:val="00366074"/>
    <w:rsid w:val="00367ABB"/>
    <w:rsid w:val="00367ADF"/>
    <w:rsid w:val="00370282"/>
    <w:rsid w:val="00375E65"/>
    <w:rsid w:val="003909EA"/>
    <w:rsid w:val="00395DA3"/>
    <w:rsid w:val="0039640D"/>
    <w:rsid w:val="003A159C"/>
    <w:rsid w:val="003A2212"/>
    <w:rsid w:val="003A648B"/>
    <w:rsid w:val="003A6CA2"/>
    <w:rsid w:val="003B399A"/>
    <w:rsid w:val="003B3C7C"/>
    <w:rsid w:val="003B5D89"/>
    <w:rsid w:val="003C012B"/>
    <w:rsid w:val="003C0BAA"/>
    <w:rsid w:val="003C0D99"/>
    <w:rsid w:val="003C2A92"/>
    <w:rsid w:val="003C48F1"/>
    <w:rsid w:val="003D6E69"/>
    <w:rsid w:val="003E418C"/>
    <w:rsid w:val="003E57B4"/>
    <w:rsid w:val="003E6F29"/>
    <w:rsid w:val="003F3E12"/>
    <w:rsid w:val="003F4F08"/>
    <w:rsid w:val="003F6C47"/>
    <w:rsid w:val="004052BA"/>
    <w:rsid w:val="004079BC"/>
    <w:rsid w:val="0041026F"/>
    <w:rsid w:val="0041235D"/>
    <w:rsid w:val="00421291"/>
    <w:rsid w:val="004232FE"/>
    <w:rsid w:val="00423F6C"/>
    <w:rsid w:val="00424469"/>
    <w:rsid w:val="00424D8F"/>
    <w:rsid w:val="00424DC6"/>
    <w:rsid w:val="00425B43"/>
    <w:rsid w:val="004313D4"/>
    <w:rsid w:val="004316AD"/>
    <w:rsid w:val="004318D2"/>
    <w:rsid w:val="00432822"/>
    <w:rsid w:val="00434EDC"/>
    <w:rsid w:val="004420AE"/>
    <w:rsid w:val="00442D60"/>
    <w:rsid w:val="004446B4"/>
    <w:rsid w:val="0044603F"/>
    <w:rsid w:val="00447807"/>
    <w:rsid w:val="00450A86"/>
    <w:rsid w:val="00451BF1"/>
    <w:rsid w:val="00463E7C"/>
    <w:rsid w:val="00464869"/>
    <w:rsid w:val="00465BE6"/>
    <w:rsid w:val="00467761"/>
    <w:rsid w:val="004747BD"/>
    <w:rsid w:val="004769B3"/>
    <w:rsid w:val="00476D5F"/>
    <w:rsid w:val="00481539"/>
    <w:rsid w:val="004819C9"/>
    <w:rsid w:val="0048239B"/>
    <w:rsid w:val="00487258"/>
    <w:rsid w:val="00492C3B"/>
    <w:rsid w:val="00493915"/>
    <w:rsid w:val="004965C9"/>
    <w:rsid w:val="00497818"/>
    <w:rsid w:val="00497A27"/>
    <w:rsid w:val="004A1E65"/>
    <w:rsid w:val="004A6FEC"/>
    <w:rsid w:val="004B4172"/>
    <w:rsid w:val="004B7C54"/>
    <w:rsid w:val="004C04D7"/>
    <w:rsid w:val="004C44F2"/>
    <w:rsid w:val="004C54B0"/>
    <w:rsid w:val="004C597F"/>
    <w:rsid w:val="004C76C3"/>
    <w:rsid w:val="004D0E60"/>
    <w:rsid w:val="004D6269"/>
    <w:rsid w:val="004E07FF"/>
    <w:rsid w:val="004E180B"/>
    <w:rsid w:val="004E3E05"/>
    <w:rsid w:val="004E570C"/>
    <w:rsid w:val="004E74BC"/>
    <w:rsid w:val="004F598D"/>
    <w:rsid w:val="004F5B8A"/>
    <w:rsid w:val="005056EA"/>
    <w:rsid w:val="005068C3"/>
    <w:rsid w:val="00514CA1"/>
    <w:rsid w:val="00520B00"/>
    <w:rsid w:val="00520B58"/>
    <w:rsid w:val="0052577D"/>
    <w:rsid w:val="00526A7A"/>
    <w:rsid w:val="00526B4C"/>
    <w:rsid w:val="00530C7B"/>
    <w:rsid w:val="0053445B"/>
    <w:rsid w:val="005372EE"/>
    <w:rsid w:val="005414D3"/>
    <w:rsid w:val="0054380B"/>
    <w:rsid w:val="00552016"/>
    <w:rsid w:val="00552A56"/>
    <w:rsid w:val="0055614B"/>
    <w:rsid w:val="00557B42"/>
    <w:rsid w:val="00575AF4"/>
    <w:rsid w:val="005768D4"/>
    <w:rsid w:val="00577F78"/>
    <w:rsid w:val="00583368"/>
    <w:rsid w:val="00583FE2"/>
    <w:rsid w:val="005877A4"/>
    <w:rsid w:val="00587FE4"/>
    <w:rsid w:val="00596F2E"/>
    <w:rsid w:val="005A3EEE"/>
    <w:rsid w:val="005A6DC3"/>
    <w:rsid w:val="005B03E9"/>
    <w:rsid w:val="005B10C2"/>
    <w:rsid w:val="005B69D9"/>
    <w:rsid w:val="005C0132"/>
    <w:rsid w:val="005C3BBE"/>
    <w:rsid w:val="005C5918"/>
    <w:rsid w:val="005C5D8A"/>
    <w:rsid w:val="005C69BF"/>
    <w:rsid w:val="005C7708"/>
    <w:rsid w:val="005D036E"/>
    <w:rsid w:val="005F240E"/>
    <w:rsid w:val="005F2A88"/>
    <w:rsid w:val="005F5F31"/>
    <w:rsid w:val="006014A9"/>
    <w:rsid w:val="0060276A"/>
    <w:rsid w:val="00603DAA"/>
    <w:rsid w:val="0060447A"/>
    <w:rsid w:val="0060607D"/>
    <w:rsid w:val="00607374"/>
    <w:rsid w:val="00607B8A"/>
    <w:rsid w:val="00613489"/>
    <w:rsid w:val="0061765F"/>
    <w:rsid w:val="006244CE"/>
    <w:rsid w:val="006301B6"/>
    <w:rsid w:val="0063555F"/>
    <w:rsid w:val="006359AA"/>
    <w:rsid w:val="006364A3"/>
    <w:rsid w:val="0064036A"/>
    <w:rsid w:val="00640619"/>
    <w:rsid w:val="00641F60"/>
    <w:rsid w:val="0065437A"/>
    <w:rsid w:val="0065536B"/>
    <w:rsid w:val="00657FEB"/>
    <w:rsid w:val="0066049D"/>
    <w:rsid w:val="00660A8C"/>
    <w:rsid w:val="00660ABD"/>
    <w:rsid w:val="00661819"/>
    <w:rsid w:val="006634AE"/>
    <w:rsid w:val="00665BC3"/>
    <w:rsid w:val="00674A9F"/>
    <w:rsid w:val="00674B4D"/>
    <w:rsid w:val="00675F8D"/>
    <w:rsid w:val="006808BF"/>
    <w:rsid w:val="00680B5F"/>
    <w:rsid w:val="00685676"/>
    <w:rsid w:val="00692B78"/>
    <w:rsid w:val="0069535B"/>
    <w:rsid w:val="006A53F2"/>
    <w:rsid w:val="006A607F"/>
    <w:rsid w:val="006B1926"/>
    <w:rsid w:val="006B25BA"/>
    <w:rsid w:val="006B2D80"/>
    <w:rsid w:val="006B3697"/>
    <w:rsid w:val="006B44FA"/>
    <w:rsid w:val="006B4500"/>
    <w:rsid w:val="006B456A"/>
    <w:rsid w:val="006B6E0B"/>
    <w:rsid w:val="006C15FB"/>
    <w:rsid w:val="006C303F"/>
    <w:rsid w:val="006C3281"/>
    <w:rsid w:val="006C3A16"/>
    <w:rsid w:val="006C3B76"/>
    <w:rsid w:val="006C4E6E"/>
    <w:rsid w:val="006D03A5"/>
    <w:rsid w:val="006D29C7"/>
    <w:rsid w:val="006D3236"/>
    <w:rsid w:val="006D41ED"/>
    <w:rsid w:val="006D56C2"/>
    <w:rsid w:val="006D5E7E"/>
    <w:rsid w:val="006D74CD"/>
    <w:rsid w:val="006D7E87"/>
    <w:rsid w:val="006E0804"/>
    <w:rsid w:val="006E1576"/>
    <w:rsid w:val="006E272C"/>
    <w:rsid w:val="006E45AC"/>
    <w:rsid w:val="006E693A"/>
    <w:rsid w:val="006F2E9B"/>
    <w:rsid w:val="006F7310"/>
    <w:rsid w:val="006F74D9"/>
    <w:rsid w:val="0070378D"/>
    <w:rsid w:val="00704045"/>
    <w:rsid w:val="00704F54"/>
    <w:rsid w:val="00707DEB"/>
    <w:rsid w:val="0071106E"/>
    <w:rsid w:val="0071229F"/>
    <w:rsid w:val="00713A91"/>
    <w:rsid w:val="00713C9A"/>
    <w:rsid w:val="007169B7"/>
    <w:rsid w:val="0072265E"/>
    <w:rsid w:val="00733420"/>
    <w:rsid w:val="0073479B"/>
    <w:rsid w:val="00734916"/>
    <w:rsid w:val="007400BE"/>
    <w:rsid w:val="007405F7"/>
    <w:rsid w:val="00741126"/>
    <w:rsid w:val="0074155A"/>
    <w:rsid w:val="00743456"/>
    <w:rsid w:val="007450DA"/>
    <w:rsid w:val="00745C54"/>
    <w:rsid w:val="00745DD3"/>
    <w:rsid w:val="00745F39"/>
    <w:rsid w:val="00746A29"/>
    <w:rsid w:val="007574CB"/>
    <w:rsid w:val="007606A2"/>
    <w:rsid w:val="0076321C"/>
    <w:rsid w:val="00763367"/>
    <w:rsid w:val="0076411F"/>
    <w:rsid w:val="00765B7E"/>
    <w:rsid w:val="00784AA9"/>
    <w:rsid w:val="00786290"/>
    <w:rsid w:val="007865C0"/>
    <w:rsid w:val="00787792"/>
    <w:rsid w:val="00790738"/>
    <w:rsid w:val="00791D60"/>
    <w:rsid w:val="00793779"/>
    <w:rsid w:val="007953F0"/>
    <w:rsid w:val="007A1892"/>
    <w:rsid w:val="007A7B74"/>
    <w:rsid w:val="007B0298"/>
    <w:rsid w:val="007B3772"/>
    <w:rsid w:val="007C3863"/>
    <w:rsid w:val="007C4E60"/>
    <w:rsid w:val="007C6285"/>
    <w:rsid w:val="007D3835"/>
    <w:rsid w:val="007D51C0"/>
    <w:rsid w:val="007D60B3"/>
    <w:rsid w:val="007D61F7"/>
    <w:rsid w:val="007E03E4"/>
    <w:rsid w:val="007E1D3C"/>
    <w:rsid w:val="007E1EA4"/>
    <w:rsid w:val="007E7244"/>
    <w:rsid w:val="007F28BA"/>
    <w:rsid w:val="007F5C8D"/>
    <w:rsid w:val="007F70F0"/>
    <w:rsid w:val="007F7F60"/>
    <w:rsid w:val="007F7FA4"/>
    <w:rsid w:val="00800732"/>
    <w:rsid w:val="008040CA"/>
    <w:rsid w:val="0080414E"/>
    <w:rsid w:val="008064E7"/>
    <w:rsid w:val="00806E9B"/>
    <w:rsid w:val="00810794"/>
    <w:rsid w:val="0081525D"/>
    <w:rsid w:val="008152F0"/>
    <w:rsid w:val="00816358"/>
    <w:rsid w:val="008166FB"/>
    <w:rsid w:val="0081731E"/>
    <w:rsid w:val="00820ACB"/>
    <w:rsid w:val="0082149B"/>
    <w:rsid w:val="0082324E"/>
    <w:rsid w:val="008258C2"/>
    <w:rsid w:val="00826675"/>
    <w:rsid w:val="0083281B"/>
    <w:rsid w:val="00835D12"/>
    <w:rsid w:val="0083693C"/>
    <w:rsid w:val="0084011D"/>
    <w:rsid w:val="0084093B"/>
    <w:rsid w:val="00842C31"/>
    <w:rsid w:val="00842D2B"/>
    <w:rsid w:val="00847FC1"/>
    <w:rsid w:val="00851277"/>
    <w:rsid w:val="00851393"/>
    <w:rsid w:val="00854A41"/>
    <w:rsid w:val="008572E7"/>
    <w:rsid w:val="00863117"/>
    <w:rsid w:val="00863A32"/>
    <w:rsid w:val="00863E13"/>
    <w:rsid w:val="00864498"/>
    <w:rsid w:val="00864EB1"/>
    <w:rsid w:val="0086525D"/>
    <w:rsid w:val="008663F2"/>
    <w:rsid w:val="00867224"/>
    <w:rsid w:val="008725D4"/>
    <w:rsid w:val="008738FC"/>
    <w:rsid w:val="008739B5"/>
    <w:rsid w:val="00875A03"/>
    <w:rsid w:val="0087616A"/>
    <w:rsid w:val="00876914"/>
    <w:rsid w:val="00877F10"/>
    <w:rsid w:val="0088130C"/>
    <w:rsid w:val="0088138E"/>
    <w:rsid w:val="00882204"/>
    <w:rsid w:val="00883269"/>
    <w:rsid w:val="00885F9C"/>
    <w:rsid w:val="00891636"/>
    <w:rsid w:val="00891EE4"/>
    <w:rsid w:val="0089493A"/>
    <w:rsid w:val="008A1074"/>
    <w:rsid w:val="008A184C"/>
    <w:rsid w:val="008A3D46"/>
    <w:rsid w:val="008A65BD"/>
    <w:rsid w:val="008A7033"/>
    <w:rsid w:val="008B4459"/>
    <w:rsid w:val="008C09AC"/>
    <w:rsid w:val="008C111C"/>
    <w:rsid w:val="008C12BC"/>
    <w:rsid w:val="008C4177"/>
    <w:rsid w:val="008D3C16"/>
    <w:rsid w:val="008D6879"/>
    <w:rsid w:val="008D7FBA"/>
    <w:rsid w:val="008E086E"/>
    <w:rsid w:val="008E0C1C"/>
    <w:rsid w:val="008E17F3"/>
    <w:rsid w:val="008E25B5"/>
    <w:rsid w:val="008E4671"/>
    <w:rsid w:val="008F0383"/>
    <w:rsid w:val="008F6CF9"/>
    <w:rsid w:val="00903B60"/>
    <w:rsid w:val="00907B40"/>
    <w:rsid w:val="00910033"/>
    <w:rsid w:val="009255B6"/>
    <w:rsid w:val="00927A2E"/>
    <w:rsid w:val="00931FE5"/>
    <w:rsid w:val="0093316B"/>
    <w:rsid w:val="00934E82"/>
    <w:rsid w:val="00944D14"/>
    <w:rsid w:val="00946516"/>
    <w:rsid w:val="00947093"/>
    <w:rsid w:val="009510A6"/>
    <w:rsid w:val="00952081"/>
    <w:rsid w:val="009526CA"/>
    <w:rsid w:val="00955914"/>
    <w:rsid w:val="0096032B"/>
    <w:rsid w:val="00962FA1"/>
    <w:rsid w:val="0096445A"/>
    <w:rsid w:val="0096670D"/>
    <w:rsid w:val="00971204"/>
    <w:rsid w:val="00972C36"/>
    <w:rsid w:val="00974A03"/>
    <w:rsid w:val="00976AD7"/>
    <w:rsid w:val="00981209"/>
    <w:rsid w:val="00985089"/>
    <w:rsid w:val="00986E93"/>
    <w:rsid w:val="00987594"/>
    <w:rsid w:val="00990BEE"/>
    <w:rsid w:val="00990F58"/>
    <w:rsid w:val="0099638C"/>
    <w:rsid w:val="00996814"/>
    <w:rsid w:val="009A2486"/>
    <w:rsid w:val="009A511C"/>
    <w:rsid w:val="009A5328"/>
    <w:rsid w:val="009A5E51"/>
    <w:rsid w:val="009A5F8C"/>
    <w:rsid w:val="009A6243"/>
    <w:rsid w:val="009A6D0D"/>
    <w:rsid w:val="009A7DDB"/>
    <w:rsid w:val="009B27FA"/>
    <w:rsid w:val="009B3BB9"/>
    <w:rsid w:val="009B424F"/>
    <w:rsid w:val="009B5569"/>
    <w:rsid w:val="009B6F9B"/>
    <w:rsid w:val="009C0579"/>
    <w:rsid w:val="009D00C4"/>
    <w:rsid w:val="009D68EE"/>
    <w:rsid w:val="009E02C0"/>
    <w:rsid w:val="009E03A7"/>
    <w:rsid w:val="009E1129"/>
    <w:rsid w:val="00A01D0D"/>
    <w:rsid w:val="00A02FC2"/>
    <w:rsid w:val="00A12AA6"/>
    <w:rsid w:val="00A146DB"/>
    <w:rsid w:val="00A1499B"/>
    <w:rsid w:val="00A24750"/>
    <w:rsid w:val="00A26580"/>
    <w:rsid w:val="00A278FF"/>
    <w:rsid w:val="00A27A1D"/>
    <w:rsid w:val="00A34DED"/>
    <w:rsid w:val="00A362A5"/>
    <w:rsid w:val="00A366AD"/>
    <w:rsid w:val="00A42156"/>
    <w:rsid w:val="00A464DB"/>
    <w:rsid w:val="00A47261"/>
    <w:rsid w:val="00A6074C"/>
    <w:rsid w:val="00A63977"/>
    <w:rsid w:val="00A649F8"/>
    <w:rsid w:val="00A64F3C"/>
    <w:rsid w:val="00A70FDA"/>
    <w:rsid w:val="00A7555F"/>
    <w:rsid w:val="00A75DE8"/>
    <w:rsid w:val="00A7634B"/>
    <w:rsid w:val="00A765CF"/>
    <w:rsid w:val="00A76933"/>
    <w:rsid w:val="00A82060"/>
    <w:rsid w:val="00A86266"/>
    <w:rsid w:val="00A927A4"/>
    <w:rsid w:val="00A9340A"/>
    <w:rsid w:val="00AA23AE"/>
    <w:rsid w:val="00AA37DA"/>
    <w:rsid w:val="00AA5B3F"/>
    <w:rsid w:val="00AA6D60"/>
    <w:rsid w:val="00AB0707"/>
    <w:rsid w:val="00AB07E5"/>
    <w:rsid w:val="00AB16CA"/>
    <w:rsid w:val="00AB4856"/>
    <w:rsid w:val="00AB5CF8"/>
    <w:rsid w:val="00AC11E9"/>
    <w:rsid w:val="00AC2562"/>
    <w:rsid w:val="00AC3A43"/>
    <w:rsid w:val="00AC572E"/>
    <w:rsid w:val="00AC7277"/>
    <w:rsid w:val="00AD07BC"/>
    <w:rsid w:val="00AD151C"/>
    <w:rsid w:val="00AD1E10"/>
    <w:rsid w:val="00AD531F"/>
    <w:rsid w:val="00AD5EBA"/>
    <w:rsid w:val="00AD5F3C"/>
    <w:rsid w:val="00AE1ADF"/>
    <w:rsid w:val="00AE49F7"/>
    <w:rsid w:val="00AF26DE"/>
    <w:rsid w:val="00AF4B6F"/>
    <w:rsid w:val="00B02F59"/>
    <w:rsid w:val="00B033B8"/>
    <w:rsid w:val="00B0718F"/>
    <w:rsid w:val="00B14744"/>
    <w:rsid w:val="00B150CA"/>
    <w:rsid w:val="00B25B44"/>
    <w:rsid w:val="00B267CF"/>
    <w:rsid w:val="00B32268"/>
    <w:rsid w:val="00B34331"/>
    <w:rsid w:val="00B35A1A"/>
    <w:rsid w:val="00B362E0"/>
    <w:rsid w:val="00B40979"/>
    <w:rsid w:val="00B40B97"/>
    <w:rsid w:val="00B44AB4"/>
    <w:rsid w:val="00B4543F"/>
    <w:rsid w:val="00B458C2"/>
    <w:rsid w:val="00B46C05"/>
    <w:rsid w:val="00B50C7C"/>
    <w:rsid w:val="00B5332F"/>
    <w:rsid w:val="00B55947"/>
    <w:rsid w:val="00B562D9"/>
    <w:rsid w:val="00B56E46"/>
    <w:rsid w:val="00B56E7D"/>
    <w:rsid w:val="00B627C8"/>
    <w:rsid w:val="00B64E1D"/>
    <w:rsid w:val="00B65101"/>
    <w:rsid w:val="00B654ED"/>
    <w:rsid w:val="00B70620"/>
    <w:rsid w:val="00B720FB"/>
    <w:rsid w:val="00B769C5"/>
    <w:rsid w:val="00B77B19"/>
    <w:rsid w:val="00B77FF7"/>
    <w:rsid w:val="00B83C4A"/>
    <w:rsid w:val="00B86C7E"/>
    <w:rsid w:val="00B925E7"/>
    <w:rsid w:val="00B92A09"/>
    <w:rsid w:val="00B94B2E"/>
    <w:rsid w:val="00BA0B29"/>
    <w:rsid w:val="00BA7C35"/>
    <w:rsid w:val="00BB04FA"/>
    <w:rsid w:val="00BB3926"/>
    <w:rsid w:val="00BB4CB2"/>
    <w:rsid w:val="00BB6891"/>
    <w:rsid w:val="00BC0401"/>
    <w:rsid w:val="00BC6F23"/>
    <w:rsid w:val="00BD0633"/>
    <w:rsid w:val="00BD0F86"/>
    <w:rsid w:val="00BD2766"/>
    <w:rsid w:val="00BD56FF"/>
    <w:rsid w:val="00BD7563"/>
    <w:rsid w:val="00BE1A2E"/>
    <w:rsid w:val="00BE282A"/>
    <w:rsid w:val="00BE5998"/>
    <w:rsid w:val="00BE642B"/>
    <w:rsid w:val="00BF1B62"/>
    <w:rsid w:val="00BF5470"/>
    <w:rsid w:val="00BF57D9"/>
    <w:rsid w:val="00BF68B6"/>
    <w:rsid w:val="00C001F4"/>
    <w:rsid w:val="00C00F4F"/>
    <w:rsid w:val="00C0410C"/>
    <w:rsid w:val="00C05AAB"/>
    <w:rsid w:val="00C062C3"/>
    <w:rsid w:val="00C11F8E"/>
    <w:rsid w:val="00C1496A"/>
    <w:rsid w:val="00C14CEB"/>
    <w:rsid w:val="00C20BD0"/>
    <w:rsid w:val="00C20CD9"/>
    <w:rsid w:val="00C21C2C"/>
    <w:rsid w:val="00C24928"/>
    <w:rsid w:val="00C322A1"/>
    <w:rsid w:val="00C36273"/>
    <w:rsid w:val="00C36CE0"/>
    <w:rsid w:val="00C37424"/>
    <w:rsid w:val="00C41CE7"/>
    <w:rsid w:val="00C46A59"/>
    <w:rsid w:val="00C46CB0"/>
    <w:rsid w:val="00C50116"/>
    <w:rsid w:val="00C55991"/>
    <w:rsid w:val="00C57A83"/>
    <w:rsid w:val="00C6078C"/>
    <w:rsid w:val="00C642CC"/>
    <w:rsid w:val="00C6475B"/>
    <w:rsid w:val="00C650C3"/>
    <w:rsid w:val="00C7213A"/>
    <w:rsid w:val="00C761A2"/>
    <w:rsid w:val="00C802E4"/>
    <w:rsid w:val="00C83D13"/>
    <w:rsid w:val="00C905B0"/>
    <w:rsid w:val="00C9286F"/>
    <w:rsid w:val="00C93EED"/>
    <w:rsid w:val="00C951CC"/>
    <w:rsid w:val="00C96963"/>
    <w:rsid w:val="00CA1824"/>
    <w:rsid w:val="00CA4617"/>
    <w:rsid w:val="00CA4C25"/>
    <w:rsid w:val="00CB13E8"/>
    <w:rsid w:val="00CB5545"/>
    <w:rsid w:val="00CC21F4"/>
    <w:rsid w:val="00CC3224"/>
    <w:rsid w:val="00CC3736"/>
    <w:rsid w:val="00CC44BB"/>
    <w:rsid w:val="00CC4EF6"/>
    <w:rsid w:val="00CC5C25"/>
    <w:rsid w:val="00CE1FCF"/>
    <w:rsid w:val="00CE4C1E"/>
    <w:rsid w:val="00CF027E"/>
    <w:rsid w:val="00CF080D"/>
    <w:rsid w:val="00CF1D1B"/>
    <w:rsid w:val="00CF30B2"/>
    <w:rsid w:val="00CF3802"/>
    <w:rsid w:val="00CF4CC3"/>
    <w:rsid w:val="00CF53DD"/>
    <w:rsid w:val="00CF75A0"/>
    <w:rsid w:val="00CF7F3A"/>
    <w:rsid w:val="00D00A39"/>
    <w:rsid w:val="00D01697"/>
    <w:rsid w:val="00D039B9"/>
    <w:rsid w:val="00D0536D"/>
    <w:rsid w:val="00D0571C"/>
    <w:rsid w:val="00D107B0"/>
    <w:rsid w:val="00D1117C"/>
    <w:rsid w:val="00D12FC8"/>
    <w:rsid w:val="00D13B96"/>
    <w:rsid w:val="00D15782"/>
    <w:rsid w:val="00D17BB2"/>
    <w:rsid w:val="00D17E15"/>
    <w:rsid w:val="00D20B46"/>
    <w:rsid w:val="00D22AD2"/>
    <w:rsid w:val="00D25E44"/>
    <w:rsid w:val="00D32654"/>
    <w:rsid w:val="00D33D64"/>
    <w:rsid w:val="00D4125D"/>
    <w:rsid w:val="00D53854"/>
    <w:rsid w:val="00D5399E"/>
    <w:rsid w:val="00D552C8"/>
    <w:rsid w:val="00D57EC4"/>
    <w:rsid w:val="00D648D0"/>
    <w:rsid w:val="00D80C14"/>
    <w:rsid w:val="00D82A7A"/>
    <w:rsid w:val="00D83454"/>
    <w:rsid w:val="00D870B9"/>
    <w:rsid w:val="00D9195A"/>
    <w:rsid w:val="00D91B82"/>
    <w:rsid w:val="00D93CED"/>
    <w:rsid w:val="00D93DEA"/>
    <w:rsid w:val="00D9541E"/>
    <w:rsid w:val="00D96082"/>
    <w:rsid w:val="00DA0064"/>
    <w:rsid w:val="00DA75CF"/>
    <w:rsid w:val="00DA7692"/>
    <w:rsid w:val="00DB0EA6"/>
    <w:rsid w:val="00DB0EC8"/>
    <w:rsid w:val="00DB1FCA"/>
    <w:rsid w:val="00DB34B7"/>
    <w:rsid w:val="00DB5550"/>
    <w:rsid w:val="00DB72B5"/>
    <w:rsid w:val="00DC3BC4"/>
    <w:rsid w:val="00DC4AA4"/>
    <w:rsid w:val="00DD0286"/>
    <w:rsid w:val="00DD0D6E"/>
    <w:rsid w:val="00DD2BCE"/>
    <w:rsid w:val="00DD4067"/>
    <w:rsid w:val="00DD48F3"/>
    <w:rsid w:val="00DD68A6"/>
    <w:rsid w:val="00DD72E1"/>
    <w:rsid w:val="00DD7D00"/>
    <w:rsid w:val="00DE44BF"/>
    <w:rsid w:val="00DE4D05"/>
    <w:rsid w:val="00DF0DDF"/>
    <w:rsid w:val="00DF143E"/>
    <w:rsid w:val="00DF2729"/>
    <w:rsid w:val="00DF3B3E"/>
    <w:rsid w:val="00DF6E5B"/>
    <w:rsid w:val="00E0054E"/>
    <w:rsid w:val="00E041C8"/>
    <w:rsid w:val="00E04390"/>
    <w:rsid w:val="00E044F9"/>
    <w:rsid w:val="00E163E1"/>
    <w:rsid w:val="00E228E3"/>
    <w:rsid w:val="00E312BC"/>
    <w:rsid w:val="00E31352"/>
    <w:rsid w:val="00E338C9"/>
    <w:rsid w:val="00E377E3"/>
    <w:rsid w:val="00E40838"/>
    <w:rsid w:val="00E4123F"/>
    <w:rsid w:val="00E43478"/>
    <w:rsid w:val="00E45084"/>
    <w:rsid w:val="00E459C1"/>
    <w:rsid w:val="00E45FF8"/>
    <w:rsid w:val="00E51052"/>
    <w:rsid w:val="00E517D0"/>
    <w:rsid w:val="00E5527A"/>
    <w:rsid w:val="00E577EE"/>
    <w:rsid w:val="00E57984"/>
    <w:rsid w:val="00E617EB"/>
    <w:rsid w:val="00E61AA4"/>
    <w:rsid w:val="00E62D95"/>
    <w:rsid w:val="00E62F72"/>
    <w:rsid w:val="00E65578"/>
    <w:rsid w:val="00E74F8C"/>
    <w:rsid w:val="00E8015F"/>
    <w:rsid w:val="00E80BE6"/>
    <w:rsid w:val="00E81497"/>
    <w:rsid w:val="00E83693"/>
    <w:rsid w:val="00E8557B"/>
    <w:rsid w:val="00E856F4"/>
    <w:rsid w:val="00E902D8"/>
    <w:rsid w:val="00E91A83"/>
    <w:rsid w:val="00E95BC4"/>
    <w:rsid w:val="00E96085"/>
    <w:rsid w:val="00E9705E"/>
    <w:rsid w:val="00EA1004"/>
    <w:rsid w:val="00EA6825"/>
    <w:rsid w:val="00EA7D55"/>
    <w:rsid w:val="00EB0026"/>
    <w:rsid w:val="00EB12F5"/>
    <w:rsid w:val="00EB243C"/>
    <w:rsid w:val="00EB24C3"/>
    <w:rsid w:val="00EB2DE7"/>
    <w:rsid w:val="00EB4EE8"/>
    <w:rsid w:val="00EB775C"/>
    <w:rsid w:val="00EC3A17"/>
    <w:rsid w:val="00EC53DA"/>
    <w:rsid w:val="00ED46EC"/>
    <w:rsid w:val="00ED4F9F"/>
    <w:rsid w:val="00ED58C8"/>
    <w:rsid w:val="00EE102D"/>
    <w:rsid w:val="00EE296B"/>
    <w:rsid w:val="00EE56CF"/>
    <w:rsid w:val="00EF185F"/>
    <w:rsid w:val="00EF6005"/>
    <w:rsid w:val="00F00DFC"/>
    <w:rsid w:val="00F040F1"/>
    <w:rsid w:val="00F07D7D"/>
    <w:rsid w:val="00F145BF"/>
    <w:rsid w:val="00F15A08"/>
    <w:rsid w:val="00F16B6E"/>
    <w:rsid w:val="00F16F15"/>
    <w:rsid w:val="00F172E0"/>
    <w:rsid w:val="00F21E30"/>
    <w:rsid w:val="00F251A1"/>
    <w:rsid w:val="00F2688F"/>
    <w:rsid w:val="00F3347F"/>
    <w:rsid w:val="00F33ED5"/>
    <w:rsid w:val="00F3448F"/>
    <w:rsid w:val="00F3579D"/>
    <w:rsid w:val="00F35DC4"/>
    <w:rsid w:val="00F36F80"/>
    <w:rsid w:val="00F42CDE"/>
    <w:rsid w:val="00F43E26"/>
    <w:rsid w:val="00F43ECD"/>
    <w:rsid w:val="00F44EA0"/>
    <w:rsid w:val="00F50D44"/>
    <w:rsid w:val="00F51459"/>
    <w:rsid w:val="00F53066"/>
    <w:rsid w:val="00F634B9"/>
    <w:rsid w:val="00F6467E"/>
    <w:rsid w:val="00F65C28"/>
    <w:rsid w:val="00F67792"/>
    <w:rsid w:val="00F700E0"/>
    <w:rsid w:val="00F71AE8"/>
    <w:rsid w:val="00F77324"/>
    <w:rsid w:val="00F774BC"/>
    <w:rsid w:val="00F77DEA"/>
    <w:rsid w:val="00F82597"/>
    <w:rsid w:val="00F83CCF"/>
    <w:rsid w:val="00F8564E"/>
    <w:rsid w:val="00F86F91"/>
    <w:rsid w:val="00F90196"/>
    <w:rsid w:val="00F9603C"/>
    <w:rsid w:val="00F96F47"/>
    <w:rsid w:val="00F976A3"/>
    <w:rsid w:val="00FA1340"/>
    <w:rsid w:val="00FA3014"/>
    <w:rsid w:val="00FA5629"/>
    <w:rsid w:val="00FB1798"/>
    <w:rsid w:val="00FB7B3A"/>
    <w:rsid w:val="00FC3049"/>
    <w:rsid w:val="00FC4AE1"/>
    <w:rsid w:val="00FC5632"/>
    <w:rsid w:val="00FD0484"/>
    <w:rsid w:val="00FD45ED"/>
    <w:rsid w:val="00FD6ACD"/>
    <w:rsid w:val="00FE09CF"/>
    <w:rsid w:val="00FE0FE5"/>
    <w:rsid w:val="00FE4BC6"/>
    <w:rsid w:val="00FE659C"/>
    <w:rsid w:val="00FF094C"/>
    <w:rsid w:val="00FF2EA9"/>
    <w:rsid w:val="00FF3F3C"/>
    <w:rsid w:val="00FF5F4C"/>
    <w:rsid w:val="00FF6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891"/>
  </w:style>
  <w:style w:type="paragraph" w:styleId="Heading1">
    <w:name w:val="heading 1"/>
    <w:basedOn w:val="Normal"/>
    <w:next w:val="Normal"/>
    <w:link w:val="Heading1Char"/>
    <w:uiPriority w:val="9"/>
    <w:qFormat/>
    <w:rsid w:val="003C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2BCE"/>
    <w:pPr>
      <w:spacing w:before="100" w:beforeAutospacing="1" w:after="100" w:afterAutospacing="1"/>
      <w:outlineLvl w:val="1"/>
    </w:pPr>
    <w:rPr>
      <w:rFonts w:eastAsia="Times New Roman"/>
      <w:b/>
      <w:bCs/>
      <w:color w:val="auto"/>
      <w:kern w:val="0"/>
      <w:szCs w:val="36"/>
    </w:rPr>
  </w:style>
  <w:style w:type="paragraph" w:styleId="Heading3">
    <w:name w:val="heading 3"/>
    <w:basedOn w:val="Normal"/>
    <w:next w:val="Normal"/>
    <w:link w:val="Heading3Char"/>
    <w:uiPriority w:val="9"/>
    <w:unhideWhenUsed/>
    <w:qFormat/>
    <w:rsid w:val="00DD2BCE"/>
    <w:pPr>
      <w:keepNext/>
      <w:keepLines/>
      <w:spacing w:before="200"/>
      <w:outlineLvl w:val="2"/>
    </w:pPr>
    <w:rPr>
      <w:rFonts w:eastAsiaTheme="majorEastAsia" w:cstheme="majorBidi"/>
      <w:b/>
      <w:bCs/>
      <w:color w:val="auto"/>
      <w:sz w:val="20"/>
    </w:rPr>
  </w:style>
  <w:style w:type="paragraph" w:styleId="Heading6">
    <w:name w:val="heading 6"/>
    <w:basedOn w:val="Normal"/>
    <w:next w:val="Normal"/>
    <w:link w:val="Heading6Char"/>
    <w:uiPriority w:val="9"/>
    <w:semiHidden/>
    <w:unhideWhenUsed/>
    <w:qFormat/>
    <w:rsid w:val="003C01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13A91"/>
    <w:rPr>
      <w:sz w:val="20"/>
      <w:szCs w:val="20"/>
    </w:rPr>
  </w:style>
  <w:style w:type="character" w:customStyle="1" w:styleId="FootnoteTextChar">
    <w:name w:val="Footnote Text Char"/>
    <w:basedOn w:val="DefaultParagraphFont"/>
    <w:link w:val="FootnoteText"/>
    <w:uiPriority w:val="99"/>
    <w:semiHidden/>
    <w:rsid w:val="00713A91"/>
    <w:rPr>
      <w:sz w:val="20"/>
      <w:szCs w:val="20"/>
    </w:rPr>
  </w:style>
  <w:style w:type="character" w:styleId="FootnoteReference">
    <w:name w:val="footnote reference"/>
    <w:basedOn w:val="DefaultParagraphFont"/>
    <w:uiPriority w:val="99"/>
    <w:semiHidden/>
    <w:unhideWhenUsed/>
    <w:qFormat/>
    <w:rsid w:val="00713A91"/>
    <w:rPr>
      <w:vertAlign w:val="superscript"/>
    </w:rPr>
  </w:style>
  <w:style w:type="paragraph" w:customStyle="1" w:styleId="emission">
    <w:name w:val="emission"/>
    <w:basedOn w:val="Normal"/>
    <w:rsid w:val="00713A91"/>
    <w:pPr>
      <w:spacing w:before="100" w:beforeAutospacing="1" w:after="100" w:afterAutospacing="1"/>
    </w:pPr>
    <w:rPr>
      <w:rFonts w:eastAsia="Times New Roman"/>
      <w:color w:val="auto"/>
      <w:kern w:val="0"/>
    </w:rPr>
  </w:style>
  <w:style w:type="paragraph" w:customStyle="1" w:styleId="rfrenceinstitutionnelle">
    <w:name w:val="rfrenceinstitutionnelle"/>
    <w:basedOn w:val="Normal"/>
    <w:rsid w:val="00713A91"/>
    <w:pPr>
      <w:spacing w:before="100" w:beforeAutospacing="1" w:after="100" w:afterAutospacing="1"/>
    </w:pPr>
    <w:rPr>
      <w:rFonts w:eastAsia="Times New Roman"/>
      <w:color w:val="auto"/>
      <w:kern w:val="0"/>
    </w:rPr>
  </w:style>
  <w:style w:type="paragraph" w:customStyle="1" w:styleId="typedudocumentcp">
    <w:name w:val="typedudocument_cp"/>
    <w:basedOn w:val="Normal"/>
    <w:rsid w:val="00713A91"/>
    <w:pPr>
      <w:spacing w:before="100" w:beforeAutospacing="1" w:after="100" w:afterAutospacing="1"/>
    </w:pPr>
    <w:rPr>
      <w:rFonts w:eastAsia="Times New Roman"/>
      <w:color w:val="auto"/>
      <w:kern w:val="0"/>
    </w:rPr>
  </w:style>
  <w:style w:type="paragraph" w:customStyle="1" w:styleId="accompagnantcp">
    <w:name w:val="accompagnant_cp"/>
    <w:basedOn w:val="Normal"/>
    <w:rsid w:val="00713A91"/>
    <w:pPr>
      <w:spacing w:before="100" w:beforeAutospacing="1" w:after="100" w:afterAutospacing="1"/>
    </w:pPr>
    <w:rPr>
      <w:rFonts w:eastAsia="Times New Roman"/>
      <w:color w:val="auto"/>
      <w:kern w:val="0"/>
    </w:rPr>
  </w:style>
  <w:style w:type="paragraph" w:customStyle="1" w:styleId="typeacteprincipalcp">
    <w:name w:val="typeacteprincipal_cp"/>
    <w:basedOn w:val="Normal"/>
    <w:rsid w:val="00713A91"/>
    <w:pPr>
      <w:spacing w:before="100" w:beforeAutospacing="1" w:after="100" w:afterAutospacing="1"/>
    </w:pPr>
    <w:rPr>
      <w:rFonts w:eastAsia="Times New Roman"/>
      <w:color w:val="auto"/>
      <w:kern w:val="0"/>
    </w:rPr>
  </w:style>
  <w:style w:type="paragraph" w:customStyle="1" w:styleId="objetacteprincipalcp">
    <w:name w:val="objetacteprincipal_cp"/>
    <w:basedOn w:val="Normal"/>
    <w:rsid w:val="00713A91"/>
    <w:pPr>
      <w:spacing w:before="100" w:beforeAutospacing="1" w:after="100" w:afterAutospacing="1"/>
    </w:pPr>
    <w:rPr>
      <w:rFonts w:eastAsia="Times New Roman"/>
      <w:color w:val="auto"/>
      <w:kern w:val="0"/>
    </w:rPr>
  </w:style>
  <w:style w:type="paragraph" w:customStyle="1" w:styleId="basic-paragraph">
    <w:name w:val="basic-paragraph"/>
    <w:basedOn w:val="Normal"/>
    <w:rsid w:val="008166FB"/>
    <w:pPr>
      <w:spacing w:before="100" w:beforeAutospacing="1" w:after="100" w:afterAutospacing="1"/>
    </w:pPr>
    <w:rPr>
      <w:rFonts w:eastAsia="Times New Roman"/>
      <w:color w:val="auto"/>
      <w:kern w:val="0"/>
    </w:rPr>
  </w:style>
  <w:style w:type="character" w:customStyle="1" w:styleId="italik">
    <w:name w:val="italik"/>
    <w:basedOn w:val="DefaultParagraphFont"/>
    <w:rsid w:val="008166FB"/>
  </w:style>
  <w:style w:type="paragraph" w:customStyle="1" w:styleId="bold">
    <w:name w:val="bold"/>
    <w:basedOn w:val="Normal"/>
    <w:rsid w:val="008166FB"/>
    <w:pPr>
      <w:spacing w:before="100" w:beforeAutospacing="1" w:after="100" w:afterAutospacing="1"/>
    </w:pPr>
    <w:rPr>
      <w:rFonts w:eastAsia="Times New Roman"/>
      <w:color w:val="auto"/>
      <w:kern w:val="0"/>
    </w:rPr>
  </w:style>
  <w:style w:type="paragraph" w:customStyle="1" w:styleId="clan">
    <w:name w:val="clan"/>
    <w:basedOn w:val="Normal"/>
    <w:rsid w:val="008166FB"/>
    <w:pPr>
      <w:spacing w:before="100" w:beforeAutospacing="1" w:after="100" w:afterAutospacing="1"/>
    </w:pPr>
    <w:rPr>
      <w:rFonts w:eastAsia="Times New Roman"/>
      <w:color w:val="auto"/>
      <w:kern w:val="0"/>
    </w:rPr>
  </w:style>
  <w:style w:type="paragraph" w:customStyle="1" w:styleId="odluka-zakon">
    <w:name w:val="odluka-zakon"/>
    <w:basedOn w:val="Normal"/>
    <w:rsid w:val="008166FB"/>
    <w:pPr>
      <w:spacing w:before="100" w:beforeAutospacing="1" w:after="100" w:afterAutospacing="1"/>
    </w:pPr>
    <w:rPr>
      <w:rFonts w:eastAsia="Times New Roman"/>
      <w:color w:val="auto"/>
      <w:kern w:val="0"/>
    </w:rPr>
  </w:style>
  <w:style w:type="paragraph" w:customStyle="1" w:styleId="auto-style1">
    <w:name w:val="auto-style1"/>
    <w:basedOn w:val="Normal"/>
    <w:rsid w:val="008166FB"/>
    <w:pPr>
      <w:spacing w:before="100" w:beforeAutospacing="1" w:after="100" w:afterAutospacing="1"/>
    </w:pPr>
    <w:rPr>
      <w:rFonts w:eastAsia="Times New Roman"/>
      <w:color w:val="auto"/>
      <w:kern w:val="0"/>
    </w:rPr>
  </w:style>
  <w:style w:type="paragraph" w:customStyle="1" w:styleId="centar">
    <w:name w:val="centar"/>
    <w:basedOn w:val="Normal"/>
    <w:rsid w:val="00B77B19"/>
    <w:pPr>
      <w:spacing w:before="100" w:beforeAutospacing="1" w:after="100" w:afterAutospacing="1"/>
    </w:pPr>
    <w:rPr>
      <w:rFonts w:eastAsia="Times New Roman"/>
      <w:color w:val="auto"/>
      <w:kern w:val="0"/>
    </w:rPr>
  </w:style>
  <w:style w:type="paragraph" w:customStyle="1" w:styleId="Default">
    <w:name w:val="Default"/>
    <w:rsid w:val="006C3281"/>
    <w:pPr>
      <w:autoSpaceDE w:val="0"/>
      <w:autoSpaceDN w:val="0"/>
      <w:adjustRightInd w:val="0"/>
    </w:pPr>
    <w:rPr>
      <w:rFonts w:ascii="Arial" w:hAnsi="Arial" w:cs="Arial"/>
      <w:kern w:val="0"/>
    </w:rPr>
  </w:style>
  <w:style w:type="paragraph" w:styleId="ListParagraph">
    <w:name w:val="List Paragraph"/>
    <w:basedOn w:val="Normal"/>
    <w:link w:val="ListParagraphChar"/>
    <w:uiPriority w:val="34"/>
    <w:qFormat/>
    <w:rsid w:val="006C3281"/>
    <w:pPr>
      <w:ind w:left="720"/>
      <w:contextualSpacing/>
    </w:pPr>
  </w:style>
  <w:style w:type="table" w:styleId="TableGrid">
    <w:name w:val="Table Grid"/>
    <w:basedOn w:val="TableNormal"/>
    <w:uiPriority w:val="59"/>
    <w:rsid w:val="008813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TF-TEXTE1115">
    <w:name w:val="FATF-TEXTE 11/15"/>
    <w:link w:val="FATF-TEXTE1115Char"/>
    <w:qFormat/>
    <w:rsid w:val="0088138E"/>
    <w:pPr>
      <w:tabs>
        <w:tab w:val="left" w:pos="624"/>
        <w:tab w:val="left" w:pos="1247"/>
        <w:tab w:val="left" w:pos="1871"/>
        <w:tab w:val="left" w:pos="2495"/>
        <w:tab w:val="left" w:pos="3119"/>
      </w:tabs>
      <w:spacing w:after="120" w:line="300" w:lineRule="exact"/>
      <w:jc w:val="both"/>
    </w:pPr>
    <w:rPr>
      <w:rFonts w:ascii="Cambria" w:eastAsia="SimSun" w:hAnsi="Cambria"/>
      <w:color w:val="auto"/>
      <w:kern w:val="0"/>
      <w:sz w:val="22"/>
      <w:szCs w:val="22"/>
      <w:lang w:val="en-GB" w:eastAsia="zh-CN"/>
    </w:rPr>
  </w:style>
  <w:style w:type="character" w:customStyle="1" w:styleId="FATF-TEXTE1115Char">
    <w:name w:val="FATF-TEXTE 11/15 Char"/>
    <w:basedOn w:val="DefaultParagraphFont"/>
    <w:link w:val="FATF-TEXTE1115"/>
    <w:rsid w:val="0088138E"/>
    <w:rPr>
      <w:rFonts w:ascii="Cambria" w:eastAsia="SimSun" w:hAnsi="Cambria"/>
      <w:color w:val="auto"/>
      <w:kern w:val="0"/>
      <w:sz w:val="22"/>
      <w:szCs w:val="22"/>
      <w:lang w:val="en-GB" w:eastAsia="zh-CN"/>
    </w:rPr>
  </w:style>
  <w:style w:type="paragraph" w:styleId="BalloonText">
    <w:name w:val="Balloon Text"/>
    <w:basedOn w:val="Normal"/>
    <w:link w:val="BalloonTextChar"/>
    <w:uiPriority w:val="99"/>
    <w:semiHidden/>
    <w:unhideWhenUsed/>
    <w:rsid w:val="00A26580"/>
    <w:rPr>
      <w:rFonts w:ascii="Tahoma" w:hAnsi="Tahoma" w:cs="Tahoma"/>
      <w:sz w:val="16"/>
      <w:szCs w:val="16"/>
    </w:rPr>
  </w:style>
  <w:style w:type="character" w:customStyle="1" w:styleId="BalloonTextChar">
    <w:name w:val="Balloon Text Char"/>
    <w:basedOn w:val="DefaultParagraphFont"/>
    <w:link w:val="BalloonText"/>
    <w:uiPriority w:val="99"/>
    <w:semiHidden/>
    <w:rsid w:val="00A26580"/>
    <w:rPr>
      <w:rFonts w:ascii="Tahoma" w:hAnsi="Tahoma" w:cs="Tahoma"/>
      <w:sz w:val="16"/>
      <w:szCs w:val="16"/>
    </w:rPr>
  </w:style>
  <w:style w:type="character" w:customStyle="1" w:styleId="Heading2Char">
    <w:name w:val="Heading 2 Char"/>
    <w:basedOn w:val="DefaultParagraphFont"/>
    <w:link w:val="Heading2"/>
    <w:uiPriority w:val="9"/>
    <w:rsid w:val="00DD2BCE"/>
    <w:rPr>
      <w:rFonts w:eastAsia="Times New Roman"/>
      <w:b/>
      <w:bCs/>
      <w:color w:val="auto"/>
      <w:kern w:val="0"/>
      <w:szCs w:val="36"/>
    </w:rPr>
  </w:style>
  <w:style w:type="paragraph" w:styleId="PlainText">
    <w:name w:val="Plain Text"/>
    <w:basedOn w:val="Normal"/>
    <w:link w:val="PlainTextChar"/>
    <w:uiPriority w:val="99"/>
    <w:semiHidden/>
    <w:unhideWhenUsed/>
    <w:rsid w:val="000E3FF6"/>
    <w:rPr>
      <w:rFonts w:ascii="Consolas" w:eastAsia="Calibri" w:hAnsi="Consolas"/>
      <w:color w:val="auto"/>
      <w:kern w:val="0"/>
      <w:sz w:val="21"/>
      <w:szCs w:val="21"/>
    </w:rPr>
  </w:style>
  <w:style w:type="character" w:customStyle="1" w:styleId="PlainTextChar">
    <w:name w:val="Plain Text Char"/>
    <w:basedOn w:val="DefaultParagraphFont"/>
    <w:link w:val="PlainText"/>
    <w:uiPriority w:val="99"/>
    <w:semiHidden/>
    <w:rsid w:val="000E3FF6"/>
    <w:rPr>
      <w:rFonts w:ascii="Consolas" w:eastAsia="Calibri" w:hAnsi="Consolas"/>
      <w:color w:val="auto"/>
      <w:kern w:val="0"/>
      <w:sz w:val="21"/>
      <w:szCs w:val="21"/>
    </w:rPr>
  </w:style>
  <w:style w:type="paragraph" w:styleId="NormalWeb">
    <w:name w:val="Normal (Web)"/>
    <w:basedOn w:val="Normal"/>
    <w:uiPriority w:val="99"/>
    <w:semiHidden/>
    <w:unhideWhenUsed/>
    <w:rsid w:val="00F6467E"/>
    <w:pPr>
      <w:spacing w:before="100" w:beforeAutospacing="1" w:after="100" w:afterAutospacing="1"/>
    </w:pPr>
    <w:rPr>
      <w:rFonts w:eastAsia="Times New Roman"/>
      <w:color w:val="auto"/>
      <w:kern w:val="0"/>
    </w:rPr>
  </w:style>
  <w:style w:type="character" w:styleId="Strong">
    <w:name w:val="Strong"/>
    <w:basedOn w:val="DefaultParagraphFont"/>
    <w:uiPriority w:val="22"/>
    <w:qFormat/>
    <w:rsid w:val="00F6467E"/>
    <w:rPr>
      <w:b/>
      <w:bCs/>
    </w:rPr>
  </w:style>
  <w:style w:type="character" w:customStyle="1" w:styleId="Heading1Char">
    <w:name w:val="Heading 1 Char"/>
    <w:basedOn w:val="DefaultParagraphFont"/>
    <w:link w:val="Heading1"/>
    <w:uiPriority w:val="9"/>
    <w:rsid w:val="003C012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3C012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C012B"/>
    <w:rPr>
      <w:color w:val="0000FF"/>
      <w:u w:val="single"/>
    </w:rPr>
  </w:style>
  <w:style w:type="paragraph" w:styleId="NoSpacing">
    <w:name w:val="No Spacing"/>
    <w:link w:val="NoSpacingChar"/>
    <w:uiPriority w:val="1"/>
    <w:qFormat/>
    <w:rsid w:val="00F36F80"/>
    <w:rPr>
      <w:rFonts w:asciiTheme="minorHAnsi" w:eastAsiaTheme="minorEastAsia" w:hAnsiTheme="minorHAnsi" w:cstheme="minorBidi"/>
      <w:color w:val="auto"/>
      <w:kern w:val="0"/>
      <w:sz w:val="22"/>
      <w:szCs w:val="22"/>
    </w:rPr>
  </w:style>
  <w:style w:type="character" w:customStyle="1" w:styleId="NoSpacingChar">
    <w:name w:val="No Spacing Char"/>
    <w:basedOn w:val="DefaultParagraphFont"/>
    <w:link w:val="NoSpacing"/>
    <w:uiPriority w:val="1"/>
    <w:rsid w:val="00F36F80"/>
    <w:rPr>
      <w:rFonts w:asciiTheme="minorHAnsi" w:eastAsiaTheme="minorEastAsia" w:hAnsiTheme="minorHAnsi" w:cstheme="minorBidi"/>
      <w:color w:val="auto"/>
      <w:kern w:val="0"/>
      <w:sz w:val="22"/>
      <w:szCs w:val="22"/>
    </w:rPr>
  </w:style>
  <w:style w:type="character" w:styleId="CommentReference">
    <w:name w:val="annotation reference"/>
    <w:basedOn w:val="DefaultParagraphFont"/>
    <w:uiPriority w:val="99"/>
    <w:semiHidden/>
    <w:unhideWhenUsed/>
    <w:rsid w:val="00BE1A2E"/>
    <w:rPr>
      <w:sz w:val="16"/>
      <w:szCs w:val="16"/>
    </w:rPr>
  </w:style>
  <w:style w:type="paragraph" w:styleId="CommentText">
    <w:name w:val="annotation text"/>
    <w:basedOn w:val="Normal"/>
    <w:link w:val="CommentTextChar"/>
    <w:uiPriority w:val="99"/>
    <w:unhideWhenUsed/>
    <w:rsid w:val="00BE1A2E"/>
    <w:rPr>
      <w:sz w:val="20"/>
      <w:szCs w:val="20"/>
    </w:rPr>
  </w:style>
  <w:style w:type="character" w:customStyle="1" w:styleId="CommentTextChar">
    <w:name w:val="Comment Text Char"/>
    <w:basedOn w:val="DefaultParagraphFont"/>
    <w:link w:val="CommentText"/>
    <w:uiPriority w:val="99"/>
    <w:rsid w:val="00BE1A2E"/>
    <w:rPr>
      <w:sz w:val="20"/>
      <w:szCs w:val="20"/>
    </w:rPr>
  </w:style>
  <w:style w:type="paragraph" w:styleId="CommentSubject">
    <w:name w:val="annotation subject"/>
    <w:basedOn w:val="CommentText"/>
    <w:next w:val="CommentText"/>
    <w:link w:val="CommentSubjectChar"/>
    <w:uiPriority w:val="99"/>
    <w:semiHidden/>
    <w:unhideWhenUsed/>
    <w:rsid w:val="00BE1A2E"/>
    <w:rPr>
      <w:b/>
      <w:bCs/>
    </w:rPr>
  </w:style>
  <w:style w:type="character" w:customStyle="1" w:styleId="CommentSubjectChar">
    <w:name w:val="Comment Subject Char"/>
    <w:basedOn w:val="CommentTextChar"/>
    <w:link w:val="CommentSubject"/>
    <w:uiPriority w:val="99"/>
    <w:semiHidden/>
    <w:rsid w:val="00BE1A2E"/>
    <w:rPr>
      <w:b/>
      <w:bCs/>
      <w:sz w:val="20"/>
      <w:szCs w:val="20"/>
    </w:rPr>
  </w:style>
  <w:style w:type="character" w:customStyle="1" w:styleId="ListParagraphChar">
    <w:name w:val="List Paragraph Char"/>
    <w:link w:val="ListParagraph"/>
    <w:uiPriority w:val="34"/>
    <w:locked/>
    <w:rsid w:val="002632C2"/>
  </w:style>
  <w:style w:type="character" w:styleId="PageNumber">
    <w:name w:val="page number"/>
    <w:basedOn w:val="DefaultParagraphFont"/>
    <w:uiPriority w:val="99"/>
    <w:semiHidden/>
    <w:unhideWhenUsed/>
    <w:rsid w:val="00A70FDA"/>
  </w:style>
  <w:style w:type="paragraph" w:styleId="TOCHeading">
    <w:name w:val="TOC Heading"/>
    <w:basedOn w:val="Heading1"/>
    <w:next w:val="Normal"/>
    <w:uiPriority w:val="39"/>
    <w:semiHidden/>
    <w:unhideWhenUsed/>
    <w:qFormat/>
    <w:rsid w:val="00A70FDA"/>
    <w:pPr>
      <w:spacing w:line="276" w:lineRule="auto"/>
      <w:outlineLvl w:val="9"/>
    </w:pPr>
    <w:rPr>
      <w:kern w:val="0"/>
    </w:rPr>
  </w:style>
  <w:style w:type="paragraph" w:styleId="TOC1">
    <w:name w:val="toc 1"/>
    <w:basedOn w:val="Normal"/>
    <w:next w:val="Normal"/>
    <w:autoRedefine/>
    <w:uiPriority w:val="39"/>
    <w:unhideWhenUsed/>
    <w:rsid w:val="00A70FDA"/>
    <w:pPr>
      <w:spacing w:after="100"/>
    </w:pPr>
  </w:style>
  <w:style w:type="character" w:customStyle="1" w:styleId="il">
    <w:name w:val="il"/>
    <w:basedOn w:val="DefaultParagraphFont"/>
    <w:rsid w:val="00E04390"/>
  </w:style>
  <w:style w:type="character" w:customStyle="1" w:styleId="v2-clan-left-1">
    <w:name w:val="v2-clan-left-1"/>
    <w:basedOn w:val="DefaultParagraphFont"/>
    <w:rsid w:val="00DA75CF"/>
  </w:style>
  <w:style w:type="paragraph" w:customStyle="1" w:styleId="potpis">
    <w:name w:val="potpis"/>
    <w:basedOn w:val="Normal"/>
    <w:rsid w:val="00DA75CF"/>
    <w:pPr>
      <w:spacing w:before="100" w:beforeAutospacing="1" w:after="100" w:afterAutospacing="1"/>
    </w:pPr>
    <w:rPr>
      <w:rFonts w:eastAsia="Times New Roman"/>
      <w:color w:val="auto"/>
      <w:kern w:val="0"/>
      <w:lang w:val="en-GB" w:eastAsia="en-GB"/>
    </w:rPr>
  </w:style>
  <w:style w:type="character" w:customStyle="1" w:styleId="st">
    <w:name w:val="st"/>
    <w:basedOn w:val="DefaultParagraphFont"/>
    <w:rsid w:val="0004492D"/>
  </w:style>
  <w:style w:type="paragraph" w:styleId="Header">
    <w:name w:val="header"/>
    <w:basedOn w:val="Normal"/>
    <w:link w:val="HeaderChar"/>
    <w:uiPriority w:val="99"/>
    <w:unhideWhenUsed/>
    <w:rsid w:val="006B456A"/>
    <w:pPr>
      <w:tabs>
        <w:tab w:val="center" w:pos="4513"/>
        <w:tab w:val="right" w:pos="9026"/>
      </w:tabs>
    </w:pPr>
  </w:style>
  <w:style w:type="character" w:customStyle="1" w:styleId="HeaderChar">
    <w:name w:val="Header Char"/>
    <w:basedOn w:val="DefaultParagraphFont"/>
    <w:link w:val="Header"/>
    <w:uiPriority w:val="99"/>
    <w:rsid w:val="006B456A"/>
  </w:style>
  <w:style w:type="paragraph" w:styleId="Footer">
    <w:name w:val="footer"/>
    <w:basedOn w:val="Normal"/>
    <w:link w:val="FooterChar"/>
    <w:uiPriority w:val="99"/>
    <w:unhideWhenUsed/>
    <w:rsid w:val="006B456A"/>
    <w:pPr>
      <w:tabs>
        <w:tab w:val="center" w:pos="4513"/>
        <w:tab w:val="right" w:pos="9026"/>
      </w:tabs>
    </w:pPr>
  </w:style>
  <w:style w:type="character" w:customStyle="1" w:styleId="FooterChar">
    <w:name w:val="Footer Char"/>
    <w:basedOn w:val="DefaultParagraphFont"/>
    <w:link w:val="Footer"/>
    <w:uiPriority w:val="99"/>
    <w:rsid w:val="006B456A"/>
  </w:style>
  <w:style w:type="paragraph" w:styleId="Revision">
    <w:name w:val="Revision"/>
    <w:hidden/>
    <w:uiPriority w:val="99"/>
    <w:semiHidden/>
    <w:rsid w:val="00F43ECD"/>
    <w:rPr>
      <w:rFonts w:asciiTheme="minorHAnsi" w:hAnsiTheme="minorHAnsi" w:cstheme="minorBidi"/>
      <w:color w:val="auto"/>
      <w:kern w:val="0"/>
      <w:sz w:val="22"/>
      <w:szCs w:val="22"/>
    </w:rPr>
  </w:style>
  <w:style w:type="character" w:customStyle="1" w:styleId="highlight">
    <w:name w:val="highlight"/>
    <w:basedOn w:val="DefaultParagraphFont"/>
    <w:rsid w:val="00F43ECD"/>
  </w:style>
  <w:style w:type="character" w:customStyle="1" w:styleId="naslovpropisa1">
    <w:name w:val="naslovpropisa1"/>
    <w:basedOn w:val="DefaultParagraphFont"/>
    <w:rsid w:val="00182940"/>
  </w:style>
  <w:style w:type="character" w:customStyle="1" w:styleId="naslovpropisa1a">
    <w:name w:val="naslovpropisa1a"/>
    <w:basedOn w:val="DefaultParagraphFont"/>
    <w:rsid w:val="00182940"/>
  </w:style>
  <w:style w:type="paragraph" w:customStyle="1" w:styleId="podnaslovpropisa">
    <w:name w:val="podnaslovpropisa"/>
    <w:basedOn w:val="Normal"/>
    <w:rsid w:val="00182940"/>
    <w:pPr>
      <w:spacing w:before="100" w:beforeAutospacing="1" w:after="100" w:afterAutospacing="1"/>
    </w:pPr>
    <w:rPr>
      <w:rFonts w:eastAsia="Times New Roman"/>
      <w:color w:val="auto"/>
      <w:kern w:val="0"/>
    </w:rPr>
  </w:style>
  <w:style w:type="table" w:styleId="MediumGrid3-Accent1">
    <w:name w:val="Medium Grid 3 Accent 1"/>
    <w:basedOn w:val="TableNormal"/>
    <w:uiPriority w:val="69"/>
    <w:rsid w:val="00A1499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972C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3Char">
    <w:name w:val="Heading 3 Char"/>
    <w:basedOn w:val="DefaultParagraphFont"/>
    <w:link w:val="Heading3"/>
    <w:uiPriority w:val="9"/>
    <w:rsid w:val="00DD2BCE"/>
    <w:rPr>
      <w:rFonts w:eastAsiaTheme="majorEastAsia" w:cstheme="majorBidi"/>
      <w:b/>
      <w:bCs/>
      <w:color w:val="auto"/>
      <w:sz w:val="20"/>
    </w:rPr>
  </w:style>
  <w:style w:type="paragraph" w:styleId="TOC2">
    <w:name w:val="toc 2"/>
    <w:basedOn w:val="Normal"/>
    <w:next w:val="Normal"/>
    <w:autoRedefine/>
    <w:uiPriority w:val="39"/>
    <w:unhideWhenUsed/>
    <w:rsid w:val="009E02C0"/>
    <w:pPr>
      <w:spacing w:after="100"/>
      <w:ind w:left="240"/>
    </w:pPr>
  </w:style>
  <w:style w:type="paragraph" w:styleId="TOC3">
    <w:name w:val="toc 3"/>
    <w:basedOn w:val="Normal"/>
    <w:next w:val="Normal"/>
    <w:autoRedefine/>
    <w:uiPriority w:val="39"/>
    <w:unhideWhenUsed/>
    <w:rsid w:val="009E02C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kern w:val="28"/>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891"/>
  </w:style>
  <w:style w:type="paragraph" w:styleId="Heading1">
    <w:name w:val="heading 1"/>
    <w:basedOn w:val="Normal"/>
    <w:next w:val="Normal"/>
    <w:link w:val="Heading1Char"/>
    <w:uiPriority w:val="9"/>
    <w:qFormat/>
    <w:rsid w:val="003C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2BCE"/>
    <w:pPr>
      <w:spacing w:before="100" w:beforeAutospacing="1" w:after="100" w:afterAutospacing="1"/>
      <w:outlineLvl w:val="1"/>
    </w:pPr>
    <w:rPr>
      <w:rFonts w:eastAsia="Times New Roman"/>
      <w:b/>
      <w:bCs/>
      <w:color w:val="auto"/>
      <w:kern w:val="0"/>
      <w:szCs w:val="36"/>
    </w:rPr>
  </w:style>
  <w:style w:type="paragraph" w:styleId="Heading3">
    <w:name w:val="heading 3"/>
    <w:basedOn w:val="Normal"/>
    <w:next w:val="Normal"/>
    <w:link w:val="Heading3Char"/>
    <w:uiPriority w:val="9"/>
    <w:unhideWhenUsed/>
    <w:qFormat/>
    <w:rsid w:val="00DD2BCE"/>
    <w:pPr>
      <w:keepNext/>
      <w:keepLines/>
      <w:spacing w:before="200"/>
      <w:outlineLvl w:val="2"/>
    </w:pPr>
    <w:rPr>
      <w:rFonts w:eastAsiaTheme="majorEastAsia" w:cstheme="majorBidi"/>
      <w:b/>
      <w:bCs/>
      <w:color w:val="auto"/>
      <w:sz w:val="20"/>
    </w:rPr>
  </w:style>
  <w:style w:type="paragraph" w:styleId="Heading6">
    <w:name w:val="heading 6"/>
    <w:basedOn w:val="Normal"/>
    <w:next w:val="Normal"/>
    <w:link w:val="Heading6Char"/>
    <w:uiPriority w:val="9"/>
    <w:semiHidden/>
    <w:unhideWhenUsed/>
    <w:qFormat/>
    <w:rsid w:val="003C012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713A91"/>
    <w:rPr>
      <w:sz w:val="20"/>
      <w:szCs w:val="20"/>
    </w:rPr>
  </w:style>
  <w:style w:type="character" w:customStyle="1" w:styleId="FootnoteTextChar">
    <w:name w:val="Footnote Text Char"/>
    <w:basedOn w:val="DefaultParagraphFont"/>
    <w:link w:val="FootnoteText"/>
    <w:uiPriority w:val="99"/>
    <w:semiHidden/>
    <w:rsid w:val="00713A91"/>
    <w:rPr>
      <w:sz w:val="20"/>
      <w:szCs w:val="20"/>
    </w:rPr>
  </w:style>
  <w:style w:type="character" w:styleId="FootnoteReference">
    <w:name w:val="footnote reference"/>
    <w:basedOn w:val="DefaultParagraphFont"/>
    <w:uiPriority w:val="99"/>
    <w:semiHidden/>
    <w:unhideWhenUsed/>
    <w:qFormat/>
    <w:rsid w:val="00713A91"/>
    <w:rPr>
      <w:vertAlign w:val="superscript"/>
    </w:rPr>
  </w:style>
  <w:style w:type="paragraph" w:customStyle="1" w:styleId="emission">
    <w:name w:val="emission"/>
    <w:basedOn w:val="Normal"/>
    <w:rsid w:val="00713A91"/>
    <w:pPr>
      <w:spacing w:before="100" w:beforeAutospacing="1" w:after="100" w:afterAutospacing="1"/>
    </w:pPr>
    <w:rPr>
      <w:rFonts w:eastAsia="Times New Roman"/>
      <w:color w:val="auto"/>
      <w:kern w:val="0"/>
    </w:rPr>
  </w:style>
  <w:style w:type="paragraph" w:customStyle="1" w:styleId="rfrenceinstitutionnelle">
    <w:name w:val="rfrenceinstitutionnelle"/>
    <w:basedOn w:val="Normal"/>
    <w:rsid w:val="00713A91"/>
    <w:pPr>
      <w:spacing w:before="100" w:beforeAutospacing="1" w:after="100" w:afterAutospacing="1"/>
    </w:pPr>
    <w:rPr>
      <w:rFonts w:eastAsia="Times New Roman"/>
      <w:color w:val="auto"/>
      <w:kern w:val="0"/>
    </w:rPr>
  </w:style>
  <w:style w:type="paragraph" w:customStyle="1" w:styleId="typedudocumentcp">
    <w:name w:val="typedudocument_cp"/>
    <w:basedOn w:val="Normal"/>
    <w:rsid w:val="00713A91"/>
    <w:pPr>
      <w:spacing w:before="100" w:beforeAutospacing="1" w:after="100" w:afterAutospacing="1"/>
    </w:pPr>
    <w:rPr>
      <w:rFonts w:eastAsia="Times New Roman"/>
      <w:color w:val="auto"/>
      <w:kern w:val="0"/>
    </w:rPr>
  </w:style>
  <w:style w:type="paragraph" w:customStyle="1" w:styleId="accompagnantcp">
    <w:name w:val="accompagnant_cp"/>
    <w:basedOn w:val="Normal"/>
    <w:rsid w:val="00713A91"/>
    <w:pPr>
      <w:spacing w:before="100" w:beforeAutospacing="1" w:after="100" w:afterAutospacing="1"/>
    </w:pPr>
    <w:rPr>
      <w:rFonts w:eastAsia="Times New Roman"/>
      <w:color w:val="auto"/>
      <w:kern w:val="0"/>
    </w:rPr>
  </w:style>
  <w:style w:type="paragraph" w:customStyle="1" w:styleId="typeacteprincipalcp">
    <w:name w:val="typeacteprincipal_cp"/>
    <w:basedOn w:val="Normal"/>
    <w:rsid w:val="00713A91"/>
    <w:pPr>
      <w:spacing w:before="100" w:beforeAutospacing="1" w:after="100" w:afterAutospacing="1"/>
    </w:pPr>
    <w:rPr>
      <w:rFonts w:eastAsia="Times New Roman"/>
      <w:color w:val="auto"/>
      <w:kern w:val="0"/>
    </w:rPr>
  </w:style>
  <w:style w:type="paragraph" w:customStyle="1" w:styleId="objetacteprincipalcp">
    <w:name w:val="objetacteprincipal_cp"/>
    <w:basedOn w:val="Normal"/>
    <w:rsid w:val="00713A91"/>
    <w:pPr>
      <w:spacing w:before="100" w:beforeAutospacing="1" w:after="100" w:afterAutospacing="1"/>
    </w:pPr>
    <w:rPr>
      <w:rFonts w:eastAsia="Times New Roman"/>
      <w:color w:val="auto"/>
      <w:kern w:val="0"/>
    </w:rPr>
  </w:style>
  <w:style w:type="paragraph" w:customStyle="1" w:styleId="basic-paragraph">
    <w:name w:val="basic-paragraph"/>
    <w:basedOn w:val="Normal"/>
    <w:rsid w:val="008166FB"/>
    <w:pPr>
      <w:spacing w:before="100" w:beforeAutospacing="1" w:after="100" w:afterAutospacing="1"/>
    </w:pPr>
    <w:rPr>
      <w:rFonts w:eastAsia="Times New Roman"/>
      <w:color w:val="auto"/>
      <w:kern w:val="0"/>
    </w:rPr>
  </w:style>
  <w:style w:type="character" w:customStyle="1" w:styleId="italik">
    <w:name w:val="italik"/>
    <w:basedOn w:val="DefaultParagraphFont"/>
    <w:rsid w:val="008166FB"/>
  </w:style>
  <w:style w:type="paragraph" w:customStyle="1" w:styleId="bold">
    <w:name w:val="bold"/>
    <w:basedOn w:val="Normal"/>
    <w:rsid w:val="008166FB"/>
    <w:pPr>
      <w:spacing w:before="100" w:beforeAutospacing="1" w:after="100" w:afterAutospacing="1"/>
    </w:pPr>
    <w:rPr>
      <w:rFonts w:eastAsia="Times New Roman"/>
      <w:color w:val="auto"/>
      <w:kern w:val="0"/>
    </w:rPr>
  </w:style>
  <w:style w:type="paragraph" w:customStyle="1" w:styleId="clan">
    <w:name w:val="clan"/>
    <w:basedOn w:val="Normal"/>
    <w:rsid w:val="008166FB"/>
    <w:pPr>
      <w:spacing w:before="100" w:beforeAutospacing="1" w:after="100" w:afterAutospacing="1"/>
    </w:pPr>
    <w:rPr>
      <w:rFonts w:eastAsia="Times New Roman"/>
      <w:color w:val="auto"/>
      <w:kern w:val="0"/>
    </w:rPr>
  </w:style>
  <w:style w:type="paragraph" w:customStyle="1" w:styleId="odluka-zakon">
    <w:name w:val="odluka-zakon"/>
    <w:basedOn w:val="Normal"/>
    <w:rsid w:val="008166FB"/>
    <w:pPr>
      <w:spacing w:before="100" w:beforeAutospacing="1" w:after="100" w:afterAutospacing="1"/>
    </w:pPr>
    <w:rPr>
      <w:rFonts w:eastAsia="Times New Roman"/>
      <w:color w:val="auto"/>
      <w:kern w:val="0"/>
    </w:rPr>
  </w:style>
  <w:style w:type="paragraph" w:customStyle="1" w:styleId="auto-style1">
    <w:name w:val="auto-style1"/>
    <w:basedOn w:val="Normal"/>
    <w:rsid w:val="008166FB"/>
    <w:pPr>
      <w:spacing w:before="100" w:beforeAutospacing="1" w:after="100" w:afterAutospacing="1"/>
    </w:pPr>
    <w:rPr>
      <w:rFonts w:eastAsia="Times New Roman"/>
      <w:color w:val="auto"/>
      <w:kern w:val="0"/>
    </w:rPr>
  </w:style>
  <w:style w:type="paragraph" w:customStyle="1" w:styleId="centar">
    <w:name w:val="centar"/>
    <w:basedOn w:val="Normal"/>
    <w:rsid w:val="00B77B19"/>
    <w:pPr>
      <w:spacing w:before="100" w:beforeAutospacing="1" w:after="100" w:afterAutospacing="1"/>
    </w:pPr>
    <w:rPr>
      <w:rFonts w:eastAsia="Times New Roman"/>
      <w:color w:val="auto"/>
      <w:kern w:val="0"/>
    </w:rPr>
  </w:style>
  <w:style w:type="paragraph" w:customStyle="1" w:styleId="Default">
    <w:name w:val="Default"/>
    <w:rsid w:val="006C3281"/>
    <w:pPr>
      <w:autoSpaceDE w:val="0"/>
      <w:autoSpaceDN w:val="0"/>
      <w:adjustRightInd w:val="0"/>
    </w:pPr>
    <w:rPr>
      <w:rFonts w:ascii="Arial" w:hAnsi="Arial" w:cs="Arial"/>
      <w:kern w:val="0"/>
    </w:rPr>
  </w:style>
  <w:style w:type="paragraph" w:styleId="ListParagraph">
    <w:name w:val="List Paragraph"/>
    <w:basedOn w:val="Normal"/>
    <w:link w:val="ListParagraphChar"/>
    <w:uiPriority w:val="34"/>
    <w:qFormat/>
    <w:rsid w:val="006C3281"/>
    <w:pPr>
      <w:ind w:left="720"/>
      <w:contextualSpacing/>
    </w:pPr>
  </w:style>
  <w:style w:type="table" w:styleId="TableGrid">
    <w:name w:val="Table Grid"/>
    <w:basedOn w:val="TableNormal"/>
    <w:uiPriority w:val="59"/>
    <w:rsid w:val="0088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TF-TEXTE1115">
    <w:name w:val="FATF-TEXTE 11/15"/>
    <w:link w:val="FATF-TEXTE1115Char"/>
    <w:qFormat/>
    <w:rsid w:val="0088138E"/>
    <w:pPr>
      <w:tabs>
        <w:tab w:val="left" w:pos="624"/>
        <w:tab w:val="left" w:pos="1247"/>
        <w:tab w:val="left" w:pos="1871"/>
        <w:tab w:val="left" w:pos="2495"/>
        <w:tab w:val="left" w:pos="3119"/>
      </w:tabs>
      <w:spacing w:after="120" w:line="300" w:lineRule="exact"/>
      <w:jc w:val="both"/>
    </w:pPr>
    <w:rPr>
      <w:rFonts w:ascii="Cambria" w:eastAsia="SimSun" w:hAnsi="Cambria"/>
      <w:color w:val="auto"/>
      <w:kern w:val="0"/>
      <w:sz w:val="22"/>
      <w:szCs w:val="22"/>
      <w:lang w:val="en-GB" w:eastAsia="zh-CN"/>
    </w:rPr>
  </w:style>
  <w:style w:type="character" w:customStyle="1" w:styleId="FATF-TEXTE1115Char">
    <w:name w:val="FATF-TEXTE 11/15 Char"/>
    <w:basedOn w:val="DefaultParagraphFont"/>
    <w:link w:val="FATF-TEXTE1115"/>
    <w:rsid w:val="0088138E"/>
    <w:rPr>
      <w:rFonts w:ascii="Cambria" w:eastAsia="SimSun" w:hAnsi="Cambria"/>
      <w:color w:val="auto"/>
      <w:kern w:val="0"/>
      <w:sz w:val="22"/>
      <w:szCs w:val="22"/>
      <w:lang w:val="en-GB" w:eastAsia="zh-CN"/>
    </w:rPr>
  </w:style>
  <w:style w:type="paragraph" w:styleId="BalloonText">
    <w:name w:val="Balloon Text"/>
    <w:basedOn w:val="Normal"/>
    <w:link w:val="BalloonTextChar"/>
    <w:uiPriority w:val="99"/>
    <w:semiHidden/>
    <w:unhideWhenUsed/>
    <w:rsid w:val="00A26580"/>
    <w:rPr>
      <w:rFonts w:ascii="Tahoma" w:hAnsi="Tahoma" w:cs="Tahoma"/>
      <w:sz w:val="16"/>
      <w:szCs w:val="16"/>
    </w:rPr>
  </w:style>
  <w:style w:type="character" w:customStyle="1" w:styleId="BalloonTextChar">
    <w:name w:val="Balloon Text Char"/>
    <w:basedOn w:val="DefaultParagraphFont"/>
    <w:link w:val="BalloonText"/>
    <w:uiPriority w:val="99"/>
    <w:semiHidden/>
    <w:rsid w:val="00A26580"/>
    <w:rPr>
      <w:rFonts w:ascii="Tahoma" w:hAnsi="Tahoma" w:cs="Tahoma"/>
      <w:sz w:val="16"/>
      <w:szCs w:val="16"/>
    </w:rPr>
  </w:style>
  <w:style w:type="character" w:customStyle="1" w:styleId="Heading2Char">
    <w:name w:val="Heading 2 Char"/>
    <w:basedOn w:val="DefaultParagraphFont"/>
    <w:link w:val="Heading2"/>
    <w:uiPriority w:val="9"/>
    <w:rsid w:val="00DD2BCE"/>
    <w:rPr>
      <w:rFonts w:eastAsia="Times New Roman"/>
      <w:b/>
      <w:bCs/>
      <w:color w:val="auto"/>
      <w:kern w:val="0"/>
      <w:szCs w:val="36"/>
    </w:rPr>
  </w:style>
  <w:style w:type="paragraph" w:styleId="PlainText">
    <w:name w:val="Plain Text"/>
    <w:basedOn w:val="Normal"/>
    <w:link w:val="PlainTextChar"/>
    <w:uiPriority w:val="99"/>
    <w:semiHidden/>
    <w:unhideWhenUsed/>
    <w:rsid w:val="000E3FF6"/>
    <w:rPr>
      <w:rFonts w:ascii="Consolas" w:eastAsia="Calibri" w:hAnsi="Consolas"/>
      <w:color w:val="auto"/>
      <w:kern w:val="0"/>
      <w:sz w:val="21"/>
      <w:szCs w:val="21"/>
    </w:rPr>
  </w:style>
  <w:style w:type="character" w:customStyle="1" w:styleId="PlainTextChar">
    <w:name w:val="Plain Text Char"/>
    <w:basedOn w:val="DefaultParagraphFont"/>
    <w:link w:val="PlainText"/>
    <w:uiPriority w:val="99"/>
    <w:semiHidden/>
    <w:rsid w:val="000E3FF6"/>
    <w:rPr>
      <w:rFonts w:ascii="Consolas" w:eastAsia="Calibri" w:hAnsi="Consolas"/>
      <w:color w:val="auto"/>
      <w:kern w:val="0"/>
      <w:sz w:val="21"/>
      <w:szCs w:val="21"/>
    </w:rPr>
  </w:style>
  <w:style w:type="paragraph" w:styleId="NormalWeb">
    <w:name w:val="Normal (Web)"/>
    <w:basedOn w:val="Normal"/>
    <w:uiPriority w:val="99"/>
    <w:semiHidden/>
    <w:unhideWhenUsed/>
    <w:rsid w:val="00F6467E"/>
    <w:pPr>
      <w:spacing w:before="100" w:beforeAutospacing="1" w:after="100" w:afterAutospacing="1"/>
    </w:pPr>
    <w:rPr>
      <w:rFonts w:eastAsia="Times New Roman"/>
      <w:color w:val="auto"/>
      <w:kern w:val="0"/>
    </w:rPr>
  </w:style>
  <w:style w:type="character" w:styleId="Strong">
    <w:name w:val="Strong"/>
    <w:basedOn w:val="DefaultParagraphFont"/>
    <w:uiPriority w:val="22"/>
    <w:qFormat/>
    <w:rsid w:val="00F6467E"/>
    <w:rPr>
      <w:b/>
      <w:bCs/>
    </w:rPr>
  </w:style>
  <w:style w:type="character" w:customStyle="1" w:styleId="Heading1Char">
    <w:name w:val="Heading 1 Char"/>
    <w:basedOn w:val="DefaultParagraphFont"/>
    <w:link w:val="Heading1"/>
    <w:uiPriority w:val="9"/>
    <w:rsid w:val="003C012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3C012B"/>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3C012B"/>
    <w:rPr>
      <w:color w:val="0000FF"/>
      <w:u w:val="single"/>
    </w:rPr>
  </w:style>
  <w:style w:type="paragraph" w:styleId="NoSpacing">
    <w:name w:val="No Spacing"/>
    <w:link w:val="NoSpacingChar"/>
    <w:uiPriority w:val="1"/>
    <w:qFormat/>
    <w:rsid w:val="00F36F80"/>
    <w:rPr>
      <w:rFonts w:asciiTheme="minorHAnsi" w:eastAsiaTheme="minorEastAsia" w:hAnsiTheme="minorHAnsi" w:cstheme="minorBidi"/>
      <w:color w:val="auto"/>
      <w:kern w:val="0"/>
      <w:sz w:val="22"/>
      <w:szCs w:val="22"/>
    </w:rPr>
  </w:style>
  <w:style w:type="character" w:customStyle="1" w:styleId="NoSpacingChar">
    <w:name w:val="No Spacing Char"/>
    <w:basedOn w:val="DefaultParagraphFont"/>
    <w:link w:val="NoSpacing"/>
    <w:uiPriority w:val="1"/>
    <w:rsid w:val="00F36F80"/>
    <w:rPr>
      <w:rFonts w:asciiTheme="minorHAnsi" w:eastAsiaTheme="minorEastAsia" w:hAnsiTheme="minorHAnsi" w:cstheme="minorBidi"/>
      <w:color w:val="auto"/>
      <w:kern w:val="0"/>
      <w:sz w:val="22"/>
      <w:szCs w:val="22"/>
    </w:rPr>
  </w:style>
  <w:style w:type="character" w:styleId="CommentReference">
    <w:name w:val="annotation reference"/>
    <w:basedOn w:val="DefaultParagraphFont"/>
    <w:uiPriority w:val="99"/>
    <w:semiHidden/>
    <w:unhideWhenUsed/>
    <w:rsid w:val="00BE1A2E"/>
    <w:rPr>
      <w:sz w:val="16"/>
      <w:szCs w:val="16"/>
    </w:rPr>
  </w:style>
  <w:style w:type="paragraph" w:styleId="CommentText">
    <w:name w:val="annotation text"/>
    <w:basedOn w:val="Normal"/>
    <w:link w:val="CommentTextChar"/>
    <w:uiPriority w:val="99"/>
    <w:unhideWhenUsed/>
    <w:rsid w:val="00BE1A2E"/>
    <w:rPr>
      <w:sz w:val="20"/>
      <w:szCs w:val="20"/>
    </w:rPr>
  </w:style>
  <w:style w:type="character" w:customStyle="1" w:styleId="CommentTextChar">
    <w:name w:val="Comment Text Char"/>
    <w:basedOn w:val="DefaultParagraphFont"/>
    <w:link w:val="CommentText"/>
    <w:uiPriority w:val="99"/>
    <w:rsid w:val="00BE1A2E"/>
    <w:rPr>
      <w:sz w:val="20"/>
      <w:szCs w:val="20"/>
    </w:rPr>
  </w:style>
  <w:style w:type="paragraph" w:styleId="CommentSubject">
    <w:name w:val="annotation subject"/>
    <w:basedOn w:val="CommentText"/>
    <w:next w:val="CommentText"/>
    <w:link w:val="CommentSubjectChar"/>
    <w:uiPriority w:val="99"/>
    <w:semiHidden/>
    <w:unhideWhenUsed/>
    <w:rsid w:val="00BE1A2E"/>
    <w:rPr>
      <w:b/>
      <w:bCs/>
    </w:rPr>
  </w:style>
  <w:style w:type="character" w:customStyle="1" w:styleId="CommentSubjectChar">
    <w:name w:val="Comment Subject Char"/>
    <w:basedOn w:val="CommentTextChar"/>
    <w:link w:val="CommentSubject"/>
    <w:uiPriority w:val="99"/>
    <w:semiHidden/>
    <w:rsid w:val="00BE1A2E"/>
    <w:rPr>
      <w:b/>
      <w:bCs/>
      <w:sz w:val="20"/>
      <w:szCs w:val="20"/>
    </w:rPr>
  </w:style>
  <w:style w:type="character" w:customStyle="1" w:styleId="ListParagraphChar">
    <w:name w:val="List Paragraph Char"/>
    <w:link w:val="ListParagraph"/>
    <w:uiPriority w:val="34"/>
    <w:locked/>
    <w:rsid w:val="002632C2"/>
  </w:style>
  <w:style w:type="character" w:styleId="PageNumber">
    <w:name w:val="page number"/>
    <w:basedOn w:val="DefaultParagraphFont"/>
    <w:uiPriority w:val="99"/>
    <w:semiHidden/>
    <w:unhideWhenUsed/>
    <w:rsid w:val="00A70FDA"/>
  </w:style>
  <w:style w:type="paragraph" w:styleId="TOCHeading">
    <w:name w:val="TOC Heading"/>
    <w:basedOn w:val="Heading1"/>
    <w:next w:val="Normal"/>
    <w:uiPriority w:val="39"/>
    <w:semiHidden/>
    <w:unhideWhenUsed/>
    <w:qFormat/>
    <w:rsid w:val="00A70FDA"/>
    <w:pPr>
      <w:spacing w:line="276" w:lineRule="auto"/>
      <w:outlineLvl w:val="9"/>
    </w:pPr>
    <w:rPr>
      <w:kern w:val="0"/>
    </w:rPr>
  </w:style>
  <w:style w:type="paragraph" w:styleId="TOC1">
    <w:name w:val="toc 1"/>
    <w:basedOn w:val="Normal"/>
    <w:next w:val="Normal"/>
    <w:autoRedefine/>
    <w:uiPriority w:val="39"/>
    <w:unhideWhenUsed/>
    <w:rsid w:val="00A70FDA"/>
    <w:pPr>
      <w:spacing w:after="100"/>
    </w:pPr>
  </w:style>
  <w:style w:type="character" w:customStyle="1" w:styleId="il">
    <w:name w:val="il"/>
    <w:basedOn w:val="DefaultParagraphFont"/>
    <w:rsid w:val="00E04390"/>
  </w:style>
  <w:style w:type="character" w:customStyle="1" w:styleId="v2-clan-left-1">
    <w:name w:val="v2-clan-left-1"/>
    <w:basedOn w:val="DefaultParagraphFont"/>
    <w:rsid w:val="00DA75CF"/>
  </w:style>
  <w:style w:type="paragraph" w:customStyle="1" w:styleId="potpis">
    <w:name w:val="potpis"/>
    <w:basedOn w:val="Normal"/>
    <w:rsid w:val="00DA75CF"/>
    <w:pPr>
      <w:spacing w:before="100" w:beforeAutospacing="1" w:after="100" w:afterAutospacing="1"/>
    </w:pPr>
    <w:rPr>
      <w:rFonts w:eastAsia="Times New Roman"/>
      <w:color w:val="auto"/>
      <w:kern w:val="0"/>
      <w:lang w:val="en-GB" w:eastAsia="en-GB"/>
    </w:rPr>
  </w:style>
  <w:style w:type="character" w:customStyle="1" w:styleId="st">
    <w:name w:val="st"/>
    <w:basedOn w:val="DefaultParagraphFont"/>
    <w:rsid w:val="0004492D"/>
  </w:style>
  <w:style w:type="paragraph" w:styleId="Header">
    <w:name w:val="header"/>
    <w:basedOn w:val="Normal"/>
    <w:link w:val="HeaderChar"/>
    <w:uiPriority w:val="99"/>
    <w:unhideWhenUsed/>
    <w:rsid w:val="006B456A"/>
    <w:pPr>
      <w:tabs>
        <w:tab w:val="center" w:pos="4513"/>
        <w:tab w:val="right" w:pos="9026"/>
      </w:tabs>
    </w:pPr>
  </w:style>
  <w:style w:type="character" w:customStyle="1" w:styleId="HeaderChar">
    <w:name w:val="Header Char"/>
    <w:basedOn w:val="DefaultParagraphFont"/>
    <w:link w:val="Header"/>
    <w:uiPriority w:val="99"/>
    <w:rsid w:val="006B456A"/>
  </w:style>
  <w:style w:type="paragraph" w:styleId="Footer">
    <w:name w:val="footer"/>
    <w:basedOn w:val="Normal"/>
    <w:link w:val="FooterChar"/>
    <w:uiPriority w:val="99"/>
    <w:unhideWhenUsed/>
    <w:rsid w:val="006B456A"/>
    <w:pPr>
      <w:tabs>
        <w:tab w:val="center" w:pos="4513"/>
        <w:tab w:val="right" w:pos="9026"/>
      </w:tabs>
    </w:pPr>
  </w:style>
  <w:style w:type="character" w:customStyle="1" w:styleId="FooterChar">
    <w:name w:val="Footer Char"/>
    <w:basedOn w:val="DefaultParagraphFont"/>
    <w:link w:val="Footer"/>
    <w:uiPriority w:val="99"/>
    <w:rsid w:val="006B456A"/>
  </w:style>
  <w:style w:type="paragraph" w:styleId="Revision">
    <w:name w:val="Revision"/>
    <w:hidden/>
    <w:uiPriority w:val="99"/>
    <w:semiHidden/>
    <w:rsid w:val="00F43ECD"/>
    <w:rPr>
      <w:rFonts w:asciiTheme="minorHAnsi" w:hAnsiTheme="minorHAnsi" w:cstheme="minorBidi"/>
      <w:color w:val="auto"/>
      <w:kern w:val="0"/>
      <w:sz w:val="22"/>
      <w:szCs w:val="22"/>
    </w:rPr>
  </w:style>
  <w:style w:type="character" w:customStyle="1" w:styleId="highlight">
    <w:name w:val="highlight"/>
    <w:basedOn w:val="DefaultParagraphFont"/>
    <w:rsid w:val="00F43ECD"/>
  </w:style>
  <w:style w:type="character" w:customStyle="1" w:styleId="naslovpropisa1">
    <w:name w:val="naslovpropisa1"/>
    <w:basedOn w:val="DefaultParagraphFont"/>
    <w:rsid w:val="00182940"/>
  </w:style>
  <w:style w:type="character" w:customStyle="1" w:styleId="naslovpropisa1a">
    <w:name w:val="naslovpropisa1a"/>
    <w:basedOn w:val="DefaultParagraphFont"/>
    <w:rsid w:val="00182940"/>
  </w:style>
  <w:style w:type="paragraph" w:customStyle="1" w:styleId="podnaslovpropisa">
    <w:name w:val="podnaslovpropisa"/>
    <w:basedOn w:val="Normal"/>
    <w:rsid w:val="00182940"/>
    <w:pPr>
      <w:spacing w:before="100" w:beforeAutospacing="1" w:after="100" w:afterAutospacing="1"/>
    </w:pPr>
    <w:rPr>
      <w:rFonts w:eastAsia="Times New Roman"/>
      <w:color w:val="auto"/>
      <w:kern w:val="0"/>
    </w:rPr>
  </w:style>
  <w:style w:type="table" w:styleId="MediumGrid3-Accent1">
    <w:name w:val="Medium Grid 3 Accent 1"/>
    <w:basedOn w:val="TableNormal"/>
    <w:uiPriority w:val="69"/>
    <w:rsid w:val="00A149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972C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3Char">
    <w:name w:val="Heading 3 Char"/>
    <w:basedOn w:val="DefaultParagraphFont"/>
    <w:link w:val="Heading3"/>
    <w:uiPriority w:val="9"/>
    <w:rsid w:val="00DD2BCE"/>
    <w:rPr>
      <w:rFonts w:eastAsiaTheme="majorEastAsia" w:cstheme="majorBidi"/>
      <w:b/>
      <w:bCs/>
      <w:color w:val="auto"/>
      <w:sz w:val="20"/>
    </w:rPr>
  </w:style>
  <w:style w:type="paragraph" w:styleId="TOC2">
    <w:name w:val="toc 2"/>
    <w:basedOn w:val="Normal"/>
    <w:next w:val="Normal"/>
    <w:autoRedefine/>
    <w:uiPriority w:val="39"/>
    <w:unhideWhenUsed/>
    <w:rsid w:val="009E02C0"/>
    <w:pPr>
      <w:spacing w:after="100"/>
      <w:ind w:left="240"/>
    </w:pPr>
  </w:style>
  <w:style w:type="paragraph" w:styleId="TOC3">
    <w:name w:val="toc 3"/>
    <w:basedOn w:val="Normal"/>
    <w:next w:val="Normal"/>
    <w:autoRedefine/>
    <w:uiPriority w:val="39"/>
    <w:unhideWhenUsed/>
    <w:rsid w:val="009E02C0"/>
    <w:pPr>
      <w:spacing w:after="100"/>
      <w:ind w:left="480"/>
    </w:pPr>
  </w:style>
</w:styles>
</file>

<file path=word/webSettings.xml><?xml version="1.0" encoding="utf-8"?>
<w:webSettings xmlns:r="http://schemas.openxmlformats.org/officeDocument/2006/relationships" xmlns:w="http://schemas.openxmlformats.org/wordprocessingml/2006/main">
  <w:divs>
    <w:div w:id="2981438">
      <w:bodyDiv w:val="1"/>
      <w:marLeft w:val="0"/>
      <w:marRight w:val="0"/>
      <w:marTop w:val="0"/>
      <w:marBottom w:val="0"/>
      <w:divBdr>
        <w:top w:val="none" w:sz="0" w:space="0" w:color="auto"/>
        <w:left w:val="none" w:sz="0" w:space="0" w:color="auto"/>
        <w:bottom w:val="none" w:sz="0" w:space="0" w:color="auto"/>
        <w:right w:val="none" w:sz="0" w:space="0" w:color="auto"/>
      </w:divBdr>
    </w:div>
    <w:div w:id="27922886">
      <w:bodyDiv w:val="1"/>
      <w:marLeft w:val="0"/>
      <w:marRight w:val="0"/>
      <w:marTop w:val="0"/>
      <w:marBottom w:val="0"/>
      <w:divBdr>
        <w:top w:val="none" w:sz="0" w:space="0" w:color="auto"/>
        <w:left w:val="none" w:sz="0" w:space="0" w:color="auto"/>
        <w:bottom w:val="none" w:sz="0" w:space="0" w:color="auto"/>
        <w:right w:val="none" w:sz="0" w:space="0" w:color="auto"/>
      </w:divBdr>
    </w:div>
    <w:div w:id="46490595">
      <w:bodyDiv w:val="1"/>
      <w:marLeft w:val="0"/>
      <w:marRight w:val="0"/>
      <w:marTop w:val="0"/>
      <w:marBottom w:val="0"/>
      <w:divBdr>
        <w:top w:val="none" w:sz="0" w:space="0" w:color="auto"/>
        <w:left w:val="none" w:sz="0" w:space="0" w:color="auto"/>
        <w:bottom w:val="none" w:sz="0" w:space="0" w:color="auto"/>
        <w:right w:val="none" w:sz="0" w:space="0" w:color="auto"/>
      </w:divBdr>
    </w:div>
    <w:div w:id="90056689">
      <w:bodyDiv w:val="1"/>
      <w:marLeft w:val="0"/>
      <w:marRight w:val="0"/>
      <w:marTop w:val="0"/>
      <w:marBottom w:val="0"/>
      <w:divBdr>
        <w:top w:val="none" w:sz="0" w:space="0" w:color="auto"/>
        <w:left w:val="none" w:sz="0" w:space="0" w:color="auto"/>
        <w:bottom w:val="none" w:sz="0" w:space="0" w:color="auto"/>
        <w:right w:val="none" w:sz="0" w:space="0" w:color="auto"/>
      </w:divBdr>
    </w:div>
    <w:div w:id="94524125">
      <w:bodyDiv w:val="1"/>
      <w:marLeft w:val="0"/>
      <w:marRight w:val="0"/>
      <w:marTop w:val="0"/>
      <w:marBottom w:val="0"/>
      <w:divBdr>
        <w:top w:val="none" w:sz="0" w:space="0" w:color="auto"/>
        <w:left w:val="none" w:sz="0" w:space="0" w:color="auto"/>
        <w:bottom w:val="none" w:sz="0" w:space="0" w:color="auto"/>
        <w:right w:val="none" w:sz="0" w:space="0" w:color="auto"/>
      </w:divBdr>
    </w:div>
    <w:div w:id="108090755">
      <w:bodyDiv w:val="1"/>
      <w:marLeft w:val="0"/>
      <w:marRight w:val="0"/>
      <w:marTop w:val="0"/>
      <w:marBottom w:val="0"/>
      <w:divBdr>
        <w:top w:val="none" w:sz="0" w:space="0" w:color="auto"/>
        <w:left w:val="none" w:sz="0" w:space="0" w:color="auto"/>
        <w:bottom w:val="none" w:sz="0" w:space="0" w:color="auto"/>
        <w:right w:val="none" w:sz="0" w:space="0" w:color="auto"/>
      </w:divBdr>
    </w:div>
    <w:div w:id="160239242">
      <w:bodyDiv w:val="1"/>
      <w:marLeft w:val="0"/>
      <w:marRight w:val="0"/>
      <w:marTop w:val="0"/>
      <w:marBottom w:val="0"/>
      <w:divBdr>
        <w:top w:val="none" w:sz="0" w:space="0" w:color="auto"/>
        <w:left w:val="none" w:sz="0" w:space="0" w:color="auto"/>
        <w:bottom w:val="none" w:sz="0" w:space="0" w:color="auto"/>
        <w:right w:val="none" w:sz="0" w:space="0" w:color="auto"/>
      </w:divBdr>
    </w:div>
    <w:div w:id="184363662">
      <w:bodyDiv w:val="1"/>
      <w:marLeft w:val="0"/>
      <w:marRight w:val="0"/>
      <w:marTop w:val="0"/>
      <w:marBottom w:val="0"/>
      <w:divBdr>
        <w:top w:val="none" w:sz="0" w:space="0" w:color="auto"/>
        <w:left w:val="none" w:sz="0" w:space="0" w:color="auto"/>
        <w:bottom w:val="none" w:sz="0" w:space="0" w:color="auto"/>
        <w:right w:val="none" w:sz="0" w:space="0" w:color="auto"/>
      </w:divBdr>
    </w:div>
    <w:div w:id="211618245">
      <w:bodyDiv w:val="1"/>
      <w:marLeft w:val="0"/>
      <w:marRight w:val="0"/>
      <w:marTop w:val="0"/>
      <w:marBottom w:val="0"/>
      <w:divBdr>
        <w:top w:val="none" w:sz="0" w:space="0" w:color="auto"/>
        <w:left w:val="none" w:sz="0" w:space="0" w:color="auto"/>
        <w:bottom w:val="none" w:sz="0" w:space="0" w:color="auto"/>
        <w:right w:val="none" w:sz="0" w:space="0" w:color="auto"/>
      </w:divBdr>
    </w:div>
    <w:div w:id="232742996">
      <w:bodyDiv w:val="1"/>
      <w:marLeft w:val="0"/>
      <w:marRight w:val="0"/>
      <w:marTop w:val="0"/>
      <w:marBottom w:val="0"/>
      <w:divBdr>
        <w:top w:val="none" w:sz="0" w:space="0" w:color="auto"/>
        <w:left w:val="none" w:sz="0" w:space="0" w:color="auto"/>
        <w:bottom w:val="none" w:sz="0" w:space="0" w:color="auto"/>
        <w:right w:val="none" w:sz="0" w:space="0" w:color="auto"/>
      </w:divBdr>
    </w:div>
    <w:div w:id="326179598">
      <w:bodyDiv w:val="1"/>
      <w:marLeft w:val="0"/>
      <w:marRight w:val="0"/>
      <w:marTop w:val="0"/>
      <w:marBottom w:val="0"/>
      <w:divBdr>
        <w:top w:val="none" w:sz="0" w:space="0" w:color="auto"/>
        <w:left w:val="none" w:sz="0" w:space="0" w:color="auto"/>
        <w:bottom w:val="none" w:sz="0" w:space="0" w:color="auto"/>
        <w:right w:val="none" w:sz="0" w:space="0" w:color="auto"/>
      </w:divBdr>
      <w:divsChild>
        <w:div w:id="1260405163">
          <w:marLeft w:val="0"/>
          <w:marRight w:val="0"/>
          <w:marTop w:val="0"/>
          <w:marBottom w:val="0"/>
          <w:divBdr>
            <w:top w:val="none" w:sz="0" w:space="0" w:color="auto"/>
            <w:left w:val="none" w:sz="0" w:space="0" w:color="auto"/>
            <w:bottom w:val="none" w:sz="0" w:space="0" w:color="auto"/>
            <w:right w:val="none" w:sz="0" w:space="0" w:color="auto"/>
          </w:divBdr>
        </w:div>
        <w:div w:id="1429741372">
          <w:marLeft w:val="0"/>
          <w:marRight w:val="0"/>
          <w:marTop w:val="0"/>
          <w:marBottom w:val="0"/>
          <w:divBdr>
            <w:top w:val="none" w:sz="0" w:space="0" w:color="auto"/>
            <w:left w:val="none" w:sz="0" w:space="0" w:color="auto"/>
            <w:bottom w:val="none" w:sz="0" w:space="0" w:color="auto"/>
            <w:right w:val="none" w:sz="0" w:space="0" w:color="auto"/>
          </w:divBdr>
        </w:div>
        <w:div w:id="1629778772">
          <w:marLeft w:val="0"/>
          <w:marRight w:val="0"/>
          <w:marTop w:val="0"/>
          <w:marBottom w:val="0"/>
          <w:divBdr>
            <w:top w:val="none" w:sz="0" w:space="0" w:color="auto"/>
            <w:left w:val="none" w:sz="0" w:space="0" w:color="auto"/>
            <w:bottom w:val="none" w:sz="0" w:space="0" w:color="auto"/>
            <w:right w:val="none" w:sz="0" w:space="0" w:color="auto"/>
          </w:divBdr>
        </w:div>
      </w:divsChild>
    </w:div>
    <w:div w:id="336004885">
      <w:bodyDiv w:val="1"/>
      <w:marLeft w:val="0"/>
      <w:marRight w:val="0"/>
      <w:marTop w:val="0"/>
      <w:marBottom w:val="0"/>
      <w:divBdr>
        <w:top w:val="none" w:sz="0" w:space="0" w:color="auto"/>
        <w:left w:val="none" w:sz="0" w:space="0" w:color="auto"/>
        <w:bottom w:val="none" w:sz="0" w:space="0" w:color="auto"/>
        <w:right w:val="none" w:sz="0" w:space="0" w:color="auto"/>
      </w:divBdr>
    </w:div>
    <w:div w:id="457727508">
      <w:bodyDiv w:val="1"/>
      <w:marLeft w:val="0"/>
      <w:marRight w:val="0"/>
      <w:marTop w:val="0"/>
      <w:marBottom w:val="0"/>
      <w:divBdr>
        <w:top w:val="none" w:sz="0" w:space="0" w:color="auto"/>
        <w:left w:val="none" w:sz="0" w:space="0" w:color="auto"/>
        <w:bottom w:val="none" w:sz="0" w:space="0" w:color="auto"/>
        <w:right w:val="none" w:sz="0" w:space="0" w:color="auto"/>
      </w:divBdr>
    </w:div>
    <w:div w:id="480149249">
      <w:bodyDiv w:val="1"/>
      <w:marLeft w:val="0"/>
      <w:marRight w:val="0"/>
      <w:marTop w:val="0"/>
      <w:marBottom w:val="0"/>
      <w:divBdr>
        <w:top w:val="none" w:sz="0" w:space="0" w:color="auto"/>
        <w:left w:val="none" w:sz="0" w:space="0" w:color="auto"/>
        <w:bottom w:val="none" w:sz="0" w:space="0" w:color="auto"/>
        <w:right w:val="none" w:sz="0" w:space="0" w:color="auto"/>
      </w:divBdr>
    </w:div>
    <w:div w:id="509416441">
      <w:bodyDiv w:val="1"/>
      <w:marLeft w:val="0"/>
      <w:marRight w:val="0"/>
      <w:marTop w:val="0"/>
      <w:marBottom w:val="0"/>
      <w:divBdr>
        <w:top w:val="none" w:sz="0" w:space="0" w:color="auto"/>
        <w:left w:val="none" w:sz="0" w:space="0" w:color="auto"/>
        <w:bottom w:val="none" w:sz="0" w:space="0" w:color="auto"/>
        <w:right w:val="none" w:sz="0" w:space="0" w:color="auto"/>
      </w:divBdr>
    </w:div>
    <w:div w:id="518160091">
      <w:bodyDiv w:val="1"/>
      <w:marLeft w:val="0"/>
      <w:marRight w:val="0"/>
      <w:marTop w:val="0"/>
      <w:marBottom w:val="0"/>
      <w:divBdr>
        <w:top w:val="none" w:sz="0" w:space="0" w:color="auto"/>
        <w:left w:val="none" w:sz="0" w:space="0" w:color="auto"/>
        <w:bottom w:val="none" w:sz="0" w:space="0" w:color="auto"/>
        <w:right w:val="none" w:sz="0" w:space="0" w:color="auto"/>
      </w:divBdr>
    </w:div>
    <w:div w:id="534196065">
      <w:bodyDiv w:val="1"/>
      <w:marLeft w:val="0"/>
      <w:marRight w:val="0"/>
      <w:marTop w:val="0"/>
      <w:marBottom w:val="0"/>
      <w:divBdr>
        <w:top w:val="none" w:sz="0" w:space="0" w:color="auto"/>
        <w:left w:val="none" w:sz="0" w:space="0" w:color="auto"/>
        <w:bottom w:val="none" w:sz="0" w:space="0" w:color="auto"/>
        <w:right w:val="none" w:sz="0" w:space="0" w:color="auto"/>
      </w:divBdr>
    </w:div>
    <w:div w:id="548419528">
      <w:bodyDiv w:val="1"/>
      <w:marLeft w:val="0"/>
      <w:marRight w:val="0"/>
      <w:marTop w:val="0"/>
      <w:marBottom w:val="0"/>
      <w:divBdr>
        <w:top w:val="none" w:sz="0" w:space="0" w:color="auto"/>
        <w:left w:val="none" w:sz="0" w:space="0" w:color="auto"/>
        <w:bottom w:val="none" w:sz="0" w:space="0" w:color="auto"/>
        <w:right w:val="none" w:sz="0" w:space="0" w:color="auto"/>
      </w:divBdr>
    </w:div>
    <w:div w:id="643462402">
      <w:bodyDiv w:val="1"/>
      <w:marLeft w:val="0"/>
      <w:marRight w:val="0"/>
      <w:marTop w:val="0"/>
      <w:marBottom w:val="0"/>
      <w:divBdr>
        <w:top w:val="none" w:sz="0" w:space="0" w:color="auto"/>
        <w:left w:val="none" w:sz="0" w:space="0" w:color="auto"/>
        <w:bottom w:val="none" w:sz="0" w:space="0" w:color="auto"/>
        <w:right w:val="none" w:sz="0" w:space="0" w:color="auto"/>
      </w:divBdr>
    </w:div>
    <w:div w:id="662701551">
      <w:bodyDiv w:val="1"/>
      <w:marLeft w:val="0"/>
      <w:marRight w:val="0"/>
      <w:marTop w:val="0"/>
      <w:marBottom w:val="0"/>
      <w:divBdr>
        <w:top w:val="none" w:sz="0" w:space="0" w:color="auto"/>
        <w:left w:val="none" w:sz="0" w:space="0" w:color="auto"/>
        <w:bottom w:val="none" w:sz="0" w:space="0" w:color="auto"/>
        <w:right w:val="none" w:sz="0" w:space="0" w:color="auto"/>
      </w:divBdr>
    </w:div>
    <w:div w:id="691879939">
      <w:bodyDiv w:val="1"/>
      <w:marLeft w:val="0"/>
      <w:marRight w:val="0"/>
      <w:marTop w:val="0"/>
      <w:marBottom w:val="0"/>
      <w:divBdr>
        <w:top w:val="none" w:sz="0" w:space="0" w:color="auto"/>
        <w:left w:val="none" w:sz="0" w:space="0" w:color="auto"/>
        <w:bottom w:val="none" w:sz="0" w:space="0" w:color="auto"/>
        <w:right w:val="none" w:sz="0" w:space="0" w:color="auto"/>
      </w:divBdr>
    </w:div>
    <w:div w:id="761950779">
      <w:bodyDiv w:val="1"/>
      <w:marLeft w:val="0"/>
      <w:marRight w:val="0"/>
      <w:marTop w:val="0"/>
      <w:marBottom w:val="0"/>
      <w:divBdr>
        <w:top w:val="none" w:sz="0" w:space="0" w:color="auto"/>
        <w:left w:val="none" w:sz="0" w:space="0" w:color="auto"/>
        <w:bottom w:val="none" w:sz="0" w:space="0" w:color="auto"/>
        <w:right w:val="none" w:sz="0" w:space="0" w:color="auto"/>
      </w:divBdr>
    </w:div>
    <w:div w:id="762992439">
      <w:bodyDiv w:val="1"/>
      <w:marLeft w:val="0"/>
      <w:marRight w:val="0"/>
      <w:marTop w:val="0"/>
      <w:marBottom w:val="0"/>
      <w:divBdr>
        <w:top w:val="none" w:sz="0" w:space="0" w:color="auto"/>
        <w:left w:val="none" w:sz="0" w:space="0" w:color="auto"/>
        <w:bottom w:val="none" w:sz="0" w:space="0" w:color="auto"/>
        <w:right w:val="none" w:sz="0" w:space="0" w:color="auto"/>
      </w:divBdr>
    </w:div>
    <w:div w:id="784614961">
      <w:bodyDiv w:val="1"/>
      <w:marLeft w:val="0"/>
      <w:marRight w:val="0"/>
      <w:marTop w:val="0"/>
      <w:marBottom w:val="0"/>
      <w:divBdr>
        <w:top w:val="none" w:sz="0" w:space="0" w:color="auto"/>
        <w:left w:val="none" w:sz="0" w:space="0" w:color="auto"/>
        <w:bottom w:val="none" w:sz="0" w:space="0" w:color="auto"/>
        <w:right w:val="none" w:sz="0" w:space="0" w:color="auto"/>
      </w:divBdr>
    </w:div>
    <w:div w:id="820195936">
      <w:bodyDiv w:val="1"/>
      <w:marLeft w:val="0"/>
      <w:marRight w:val="0"/>
      <w:marTop w:val="0"/>
      <w:marBottom w:val="0"/>
      <w:divBdr>
        <w:top w:val="none" w:sz="0" w:space="0" w:color="auto"/>
        <w:left w:val="none" w:sz="0" w:space="0" w:color="auto"/>
        <w:bottom w:val="none" w:sz="0" w:space="0" w:color="auto"/>
        <w:right w:val="none" w:sz="0" w:space="0" w:color="auto"/>
      </w:divBdr>
    </w:div>
    <w:div w:id="956763380">
      <w:bodyDiv w:val="1"/>
      <w:marLeft w:val="0"/>
      <w:marRight w:val="0"/>
      <w:marTop w:val="0"/>
      <w:marBottom w:val="0"/>
      <w:divBdr>
        <w:top w:val="none" w:sz="0" w:space="0" w:color="auto"/>
        <w:left w:val="none" w:sz="0" w:space="0" w:color="auto"/>
        <w:bottom w:val="none" w:sz="0" w:space="0" w:color="auto"/>
        <w:right w:val="none" w:sz="0" w:space="0" w:color="auto"/>
      </w:divBdr>
    </w:div>
    <w:div w:id="980428902">
      <w:bodyDiv w:val="1"/>
      <w:marLeft w:val="0"/>
      <w:marRight w:val="0"/>
      <w:marTop w:val="0"/>
      <w:marBottom w:val="0"/>
      <w:divBdr>
        <w:top w:val="none" w:sz="0" w:space="0" w:color="auto"/>
        <w:left w:val="none" w:sz="0" w:space="0" w:color="auto"/>
        <w:bottom w:val="none" w:sz="0" w:space="0" w:color="auto"/>
        <w:right w:val="none" w:sz="0" w:space="0" w:color="auto"/>
      </w:divBdr>
    </w:div>
    <w:div w:id="1045375338">
      <w:bodyDiv w:val="1"/>
      <w:marLeft w:val="0"/>
      <w:marRight w:val="0"/>
      <w:marTop w:val="0"/>
      <w:marBottom w:val="0"/>
      <w:divBdr>
        <w:top w:val="none" w:sz="0" w:space="0" w:color="auto"/>
        <w:left w:val="none" w:sz="0" w:space="0" w:color="auto"/>
        <w:bottom w:val="none" w:sz="0" w:space="0" w:color="auto"/>
        <w:right w:val="none" w:sz="0" w:space="0" w:color="auto"/>
      </w:divBdr>
    </w:div>
    <w:div w:id="1088699376">
      <w:bodyDiv w:val="1"/>
      <w:marLeft w:val="0"/>
      <w:marRight w:val="0"/>
      <w:marTop w:val="0"/>
      <w:marBottom w:val="0"/>
      <w:divBdr>
        <w:top w:val="none" w:sz="0" w:space="0" w:color="auto"/>
        <w:left w:val="none" w:sz="0" w:space="0" w:color="auto"/>
        <w:bottom w:val="none" w:sz="0" w:space="0" w:color="auto"/>
        <w:right w:val="none" w:sz="0" w:space="0" w:color="auto"/>
      </w:divBdr>
    </w:div>
    <w:div w:id="1105886284">
      <w:bodyDiv w:val="1"/>
      <w:marLeft w:val="0"/>
      <w:marRight w:val="0"/>
      <w:marTop w:val="0"/>
      <w:marBottom w:val="0"/>
      <w:divBdr>
        <w:top w:val="none" w:sz="0" w:space="0" w:color="auto"/>
        <w:left w:val="none" w:sz="0" w:space="0" w:color="auto"/>
        <w:bottom w:val="none" w:sz="0" w:space="0" w:color="auto"/>
        <w:right w:val="none" w:sz="0" w:space="0" w:color="auto"/>
      </w:divBdr>
    </w:div>
    <w:div w:id="1108041421">
      <w:bodyDiv w:val="1"/>
      <w:marLeft w:val="0"/>
      <w:marRight w:val="0"/>
      <w:marTop w:val="0"/>
      <w:marBottom w:val="0"/>
      <w:divBdr>
        <w:top w:val="none" w:sz="0" w:space="0" w:color="auto"/>
        <w:left w:val="none" w:sz="0" w:space="0" w:color="auto"/>
        <w:bottom w:val="none" w:sz="0" w:space="0" w:color="auto"/>
        <w:right w:val="none" w:sz="0" w:space="0" w:color="auto"/>
      </w:divBdr>
    </w:div>
    <w:div w:id="1112241819">
      <w:bodyDiv w:val="1"/>
      <w:marLeft w:val="0"/>
      <w:marRight w:val="0"/>
      <w:marTop w:val="0"/>
      <w:marBottom w:val="0"/>
      <w:divBdr>
        <w:top w:val="none" w:sz="0" w:space="0" w:color="auto"/>
        <w:left w:val="none" w:sz="0" w:space="0" w:color="auto"/>
        <w:bottom w:val="none" w:sz="0" w:space="0" w:color="auto"/>
        <w:right w:val="none" w:sz="0" w:space="0" w:color="auto"/>
      </w:divBdr>
    </w:div>
    <w:div w:id="1138108017">
      <w:bodyDiv w:val="1"/>
      <w:marLeft w:val="0"/>
      <w:marRight w:val="0"/>
      <w:marTop w:val="0"/>
      <w:marBottom w:val="0"/>
      <w:divBdr>
        <w:top w:val="none" w:sz="0" w:space="0" w:color="auto"/>
        <w:left w:val="none" w:sz="0" w:space="0" w:color="auto"/>
        <w:bottom w:val="none" w:sz="0" w:space="0" w:color="auto"/>
        <w:right w:val="none" w:sz="0" w:space="0" w:color="auto"/>
      </w:divBdr>
    </w:div>
    <w:div w:id="1141769319">
      <w:bodyDiv w:val="1"/>
      <w:marLeft w:val="0"/>
      <w:marRight w:val="0"/>
      <w:marTop w:val="0"/>
      <w:marBottom w:val="0"/>
      <w:divBdr>
        <w:top w:val="none" w:sz="0" w:space="0" w:color="auto"/>
        <w:left w:val="none" w:sz="0" w:space="0" w:color="auto"/>
        <w:bottom w:val="none" w:sz="0" w:space="0" w:color="auto"/>
        <w:right w:val="none" w:sz="0" w:space="0" w:color="auto"/>
      </w:divBdr>
    </w:div>
    <w:div w:id="1158688394">
      <w:bodyDiv w:val="1"/>
      <w:marLeft w:val="0"/>
      <w:marRight w:val="0"/>
      <w:marTop w:val="0"/>
      <w:marBottom w:val="0"/>
      <w:divBdr>
        <w:top w:val="none" w:sz="0" w:space="0" w:color="auto"/>
        <w:left w:val="none" w:sz="0" w:space="0" w:color="auto"/>
        <w:bottom w:val="none" w:sz="0" w:space="0" w:color="auto"/>
        <w:right w:val="none" w:sz="0" w:space="0" w:color="auto"/>
      </w:divBdr>
    </w:div>
    <w:div w:id="1163936503">
      <w:bodyDiv w:val="1"/>
      <w:marLeft w:val="0"/>
      <w:marRight w:val="0"/>
      <w:marTop w:val="0"/>
      <w:marBottom w:val="0"/>
      <w:divBdr>
        <w:top w:val="none" w:sz="0" w:space="0" w:color="auto"/>
        <w:left w:val="none" w:sz="0" w:space="0" w:color="auto"/>
        <w:bottom w:val="none" w:sz="0" w:space="0" w:color="auto"/>
        <w:right w:val="none" w:sz="0" w:space="0" w:color="auto"/>
      </w:divBdr>
    </w:div>
    <w:div w:id="1202744443">
      <w:bodyDiv w:val="1"/>
      <w:marLeft w:val="0"/>
      <w:marRight w:val="0"/>
      <w:marTop w:val="0"/>
      <w:marBottom w:val="0"/>
      <w:divBdr>
        <w:top w:val="none" w:sz="0" w:space="0" w:color="auto"/>
        <w:left w:val="none" w:sz="0" w:space="0" w:color="auto"/>
        <w:bottom w:val="none" w:sz="0" w:space="0" w:color="auto"/>
        <w:right w:val="none" w:sz="0" w:space="0" w:color="auto"/>
      </w:divBdr>
    </w:div>
    <w:div w:id="1209337508">
      <w:bodyDiv w:val="1"/>
      <w:marLeft w:val="0"/>
      <w:marRight w:val="0"/>
      <w:marTop w:val="0"/>
      <w:marBottom w:val="0"/>
      <w:divBdr>
        <w:top w:val="none" w:sz="0" w:space="0" w:color="auto"/>
        <w:left w:val="none" w:sz="0" w:space="0" w:color="auto"/>
        <w:bottom w:val="none" w:sz="0" w:space="0" w:color="auto"/>
        <w:right w:val="none" w:sz="0" w:space="0" w:color="auto"/>
      </w:divBdr>
    </w:div>
    <w:div w:id="1245263964">
      <w:bodyDiv w:val="1"/>
      <w:marLeft w:val="0"/>
      <w:marRight w:val="0"/>
      <w:marTop w:val="0"/>
      <w:marBottom w:val="0"/>
      <w:divBdr>
        <w:top w:val="none" w:sz="0" w:space="0" w:color="auto"/>
        <w:left w:val="none" w:sz="0" w:space="0" w:color="auto"/>
        <w:bottom w:val="none" w:sz="0" w:space="0" w:color="auto"/>
        <w:right w:val="none" w:sz="0" w:space="0" w:color="auto"/>
      </w:divBdr>
    </w:div>
    <w:div w:id="1309288633">
      <w:bodyDiv w:val="1"/>
      <w:marLeft w:val="0"/>
      <w:marRight w:val="0"/>
      <w:marTop w:val="0"/>
      <w:marBottom w:val="0"/>
      <w:divBdr>
        <w:top w:val="none" w:sz="0" w:space="0" w:color="auto"/>
        <w:left w:val="none" w:sz="0" w:space="0" w:color="auto"/>
        <w:bottom w:val="none" w:sz="0" w:space="0" w:color="auto"/>
        <w:right w:val="none" w:sz="0" w:space="0" w:color="auto"/>
      </w:divBdr>
    </w:div>
    <w:div w:id="1313633269">
      <w:bodyDiv w:val="1"/>
      <w:marLeft w:val="0"/>
      <w:marRight w:val="0"/>
      <w:marTop w:val="0"/>
      <w:marBottom w:val="0"/>
      <w:divBdr>
        <w:top w:val="none" w:sz="0" w:space="0" w:color="auto"/>
        <w:left w:val="none" w:sz="0" w:space="0" w:color="auto"/>
        <w:bottom w:val="none" w:sz="0" w:space="0" w:color="auto"/>
        <w:right w:val="none" w:sz="0" w:space="0" w:color="auto"/>
      </w:divBdr>
    </w:div>
    <w:div w:id="1314329951">
      <w:bodyDiv w:val="1"/>
      <w:marLeft w:val="0"/>
      <w:marRight w:val="0"/>
      <w:marTop w:val="0"/>
      <w:marBottom w:val="0"/>
      <w:divBdr>
        <w:top w:val="none" w:sz="0" w:space="0" w:color="auto"/>
        <w:left w:val="none" w:sz="0" w:space="0" w:color="auto"/>
        <w:bottom w:val="none" w:sz="0" w:space="0" w:color="auto"/>
        <w:right w:val="none" w:sz="0" w:space="0" w:color="auto"/>
      </w:divBdr>
    </w:div>
    <w:div w:id="1328440435">
      <w:bodyDiv w:val="1"/>
      <w:marLeft w:val="0"/>
      <w:marRight w:val="0"/>
      <w:marTop w:val="0"/>
      <w:marBottom w:val="0"/>
      <w:divBdr>
        <w:top w:val="none" w:sz="0" w:space="0" w:color="auto"/>
        <w:left w:val="none" w:sz="0" w:space="0" w:color="auto"/>
        <w:bottom w:val="none" w:sz="0" w:space="0" w:color="auto"/>
        <w:right w:val="none" w:sz="0" w:space="0" w:color="auto"/>
      </w:divBdr>
    </w:div>
    <w:div w:id="1336882598">
      <w:bodyDiv w:val="1"/>
      <w:marLeft w:val="0"/>
      <w:marRight w:val="0"/>
      <w:marTop w:val="0"/>
      <w:marBottom w:val="0"/>
      <w:divBdr>
        <w:top w:val="none" w:sz="0" w:space="0" w:color="auto"/>
        <w:left w:val="none" w:sz="0" w:space="0" w:color="auto"/>
        <w:bottom w:val="none" w:sz="0" w:space="0" w:color="auto"/>
        <w:right w:val="none" w:sz="0" w:space="0" w:color="auto"/>
      </w:divBdr>
    </w:div>
    <w:div w:id="1355572278">
      <w:bodyDiv w:val="1"/>
      <w:marLeft w:val="0"/>
      <w:marRight w:val="0"/>
      <w:marTop w:val="0"/>
      <w:marBottom w:val="0"/>
      <w:divBdr>
        <w:top w:val="none" w:sz="0" w:space="0" w:color="auto"/>
        <w:left w:val="none" w:sz="0" w:space="0" w:color="auto"/>
        <w:bottom w:val="none" w:sz="0" w:space="0" w:color="auto"/>
        <w:right w:val="none" w:sz="0" w:space="0" w:color="auto"/>
      </w:divBdr>
    </w:div>
    <w:div w:id="1366641253">
      <w:bodyDiv w:val="1"/>
      <w:marLeft w:val="0"/>
      <w:marRight w:val="0"/>
      <w:marTop w:val="0"/>
      <w:marBottom w:val="0"/>
      <w:divBdr>
        <w:top w:val="none" w:sz="0" w:space="0" w:color="auto"/>
        <w:left w:val="none" w:sz="0" w:space="0" w:color="auto"/>
        <w:bottom w:val="none" w:sz="0" w:space="0" w:color="auto"/>
        <w:right w:val="none" w:sz="0" w:space="0" w:color="auto"/>
      </w:divBdr>
    </w:div>
    <w:div w:id="1384524937">
      <w:bodyDiv w:val="1"/>
      <w:marLeft w:val="0"/>
      <w:marRight w:val="0"/>
      <w:marTop w:val="0"/>
      <w:marBottom w:val="0"/>
      <w:divBdr>
        <w:top w:val="none" w:sz="0" w:space="0" w:color="auto"/>
        <w:left w:val="none" w:sz="0" w:space="0" w:color="auto"/>
        <w:bottom w:val="none" w:sz="0" w:space="0" w:color="auto"/>
        <w:right w:val="none" w:sz="0" w:space="0" w:color="auto"/>
      </w:divBdr>
    </w:div>
    <w:div w:id="1415660890">
      <w:bodyDiv w:val="1"/>
      <w:marLeft w:val="0"/>
      <w:marRight w:val="0"/>
      <w:marTop w:val="0"/>
      <w:marBottom w:val="0"/>
      <w:divBdr>
        <w:top w:val="none" w:sz="0" w:space="0" w:color="auto"/>
        <w:left w:val="none" w:sz="0" w:space="0" w:color="auto"/>
        <w:bottom w:val="none" w:sz="0" w:space="0" w:color="auto"/>
        <w:right w:val="none" w:sz="0" w:space="0" w:color="auto"/>
      </w:divBdr>
    </w:div>
    <w:div w:id="1440443765">
      <w:bodyDiv w:val="1"/>
      <w:marLeft w:val="0"/>
      <w:marRight w:val="0"/>
      <w:marTop w:val="0"/>
      <w:marBottom w:val="0"/>
      <w:divBdr>
        <w:top w:val="none" w:sz="0" w:space="0" w:color="auto"/>
        <w:left w:val="none" w:sz="0" w:space="0" w:color="auto"/>
        <w:bottom w:val="none" w:sz="0" w:space="0" w:color="auto"/>
        <w:right w:val="none" w:sz="0" w:space="0" w:color="auto"/>
      </w:divBdr>
    </w:div>
    <w:div w:id="1451588103">
      <w:bodyDiv w:val="1"/>
      <w:marLeft w:val="0"/>
      <w:marRight w:val="0"/>
      <w:marTop w:val="0"/>
      <w:marBottom w:val="0"/>
      <w:divBdr>
        <w:top w:val="none" w:sz="0" w:space="0" w:color="auto"/>
        <w:left w:val="none" w:sz="0" w:space="0" w:color="auto"/>
        <w:bottom w:val="none" w:sz="0" w:space="0" w:color="auto"/>
        <w:right w:val="none" w:sz="0" w:space="0" w:color="auto"/>
      </w:divBdr>
    </w:div>
    <w:div w:id="1494494526">
      <w:bodyDiv w:val="1"/>
      <w:marLeft w:val="0"/>
      <w:marRight w:val="0"/>
      <w:marTop w:val="0"/>
      <w:marBottom w:val="0"/>
      <w:divBdr>
        <w:top w:val="none" w:sz="0" w:space="0" w:color="auto"/>
        <w:left w:val="none" w:sz="0" w:space="0" w:color="auto"/>
        <w:bottom w:val="none" w:sz="0" w:space="0" w:color="auto"/>
        <w:right w:val="none" w:sz="0" w:space="0" w:color="auto"/>
      </w:divBdr>
    </w:div>
    <w:div w:id="1540557192">
      <w:bodyDiv w:val="1"/>
      <w:marLeft w:val="0"/>
      <w:marRight w:val="0"/>
      <w:marTop w:val="0"/>
      <w:marBottom w:val="0"/>
      <w:divBdr>
        <w:top w:val="none" w:sz="0" w:space="0" w:color="auto"/>
        <w:left w:val="none" w:sz="0" w:space="0" w:color="auto"/>
        <w:bottom w:val="none" w:sz="0" w:space="0" w:color="auto"/>
        <w:right w:val="none" w:sz="0" w:space="0" w:color="auto"/>
      </w:divBdr>
    </w:div>
    <w:div w:id="1573078416">
      <w:bodyDiv w:val="1"/>
      <w:marLeft w:val="0"/>
      <w:marRight w:val="0"/>
      <w:marTop w:val="0"/>
      <w:marBottom w:val="0"/>
      <w:divBdr>
        <w:top w:val="none" w:sz="0" w:space="0" w:color="auto"/>
        <w:left w:val="none" w:sz="0" w:space="0" w:color="auto"/>
        <w:bottom w:val="none" w:sz="0" w:space="0" w:color="auto"/>
        <w:right w:val="none" w:sz="0" w:space="0" w:color="auto"/>
      </w:divBdr>
    </w:div>
    <w:div w:id="1601529332">
      <w:bodyDiv w:val="1"/>
      <w:marLeft w:val="0"/>
      <w:marRight w:val="0"/>
      <w:marTop w:val="0"/>
      <w:marBottom w:val="0"/>
      <w:divBdr>
        <w:top w:val="none" w:sz="0" w:space="0" w:color="auto"/>
        <w:left w:val="none" w:sz="0" w:space="0" w:color="auto"/>
        <w:bottom w:val="none" w:sz="0" w:space="0" w:color="auto"/>
        <w:right w:val="none" w:sz="0" w:space="0" w:color="auto"/>
      </w:divBdr>
    </w:div>
    <w:div w:id="1646156837">
      <w:bodyDiv w:val="1"/>
      <w:marLeft w:val="0"/>
      <w:marRight w:val="0"/>
      <w:marTop w:val="0"/>
      <w:marBottom w:val="0"/>
      <w:divBdr>
        <w:top w:val="none" w:sz="0" w:space="0" w:color="auto"/>
        <w:left w:val="none" w:sz="0" w:space="0" w:color="auto"/>
        <w:bottom w:val="none" w:sz="0" w:space="0" w:color="auto"/>
        <w:right w:val="none" w:sz="0" w:space="0" w:color="auto"/>
      </w:divBdr>
    </w:div>
    <w:div w:id="1662928979">
      <w:bodyDiv w:val="1"/>
      <w:marLeft w:val="0"/>
      <w:marRight w:val="0"/>
      <w:marTop w:val="0"/>
      <w:marBottom w:val="0"/>
      <w:divBdr>
        <w:top w:val="none" w:sz="0" w:space="0" w:color="auto"/>
        <w:left w:val="none" w:sz="0" w:space="0" w:color="auto"/>
        <w:bottom w:val="none" w:sz="0" w:space="0" w:color="auto"/>
        <w:right w:val="none" w:sz="0" w:space="0" w:color="auto"/>
      </w:divBdr>
    </w:div>
    <w:div w:id="1680229283">
      <w:bodyDiv w:val="1"/>
      <w:marLeft w:val="0"/>
      <w:marRight w:val="0"/>
      <w:marTop w:val="0"/>
      <w:marBottom w:val="0"/>
      <w:divBdr>
        <w:top w:val="none" w:sz="0" w:space="0" w:color="auto"/>
        <w:left w:val="none" w:sz="0" w:space="0" w:color="auto"/>
        <w:bottom w:val="none" w:sz="0" w:space="0" w:color="auto"/>
        <w:right w:val="none" w:sz="0" w:space="0" w:color="auto"/>
      </w:divBdr>
    </w:div>
    <w:div w:id="1760444256">
      <w:bodyDiv w:val="1"/>
      <w:marLeft w:val="0"/>
      <w:marRight w:val="0"/>
      <w:marTop w:val="0"/>
      <w:marBottom w:val="0"/>
      <w:divBdr>
        <w:top w:val="none" w:sz="0" w:space="0" w:color="auto"/>
        <w:left w:val="none" w:sz="0" w:space="0" w:color="auto"/>
        <w:bottom w:val="none" w:sz="0" w:space="0" w:color="auto"/>
        <w:right w:val="none" w:sz="0" w:space="0" w:color="auto"/>
      </w:divBdr>
    </w:div>
    <w:div w:id="1769305818">
      <w:bodyDiv w:val="1"/>
      <w:marLeft w:val="0"/>
      <w:marRight w:val="0"/>
      <w:marTop w:val="0"/>
      <w:marBottom w:val="0"/>
      <w:divBdr>
        <w:top w:val="none" w:sz="0" w:space="0" w:color="auto"/>
        <w:left w:val="none" w:sz="0" w:space="0" w:color="auto"/>
        <w:bottom w:val="none" w:sz="0" w:space="0" w:color="auto"/>
        <w:right w:val="none" w:sz="0" w:space="0" w:color="auto"/>
      </w:divBdr>
    </w:div>
    <w:div w:id="1774592918">
      <w:bodyDiv w:val="1"/>
      <w:marLeft w:val="0"/>
      <w:marRight w:val="0"/>
      <w:marTop w:val="0"/>
      <w:marBottom w:val="0"/>
      <w:divBdr>
        <w:top w:val="none" w:sz="0" w:space="0" w:color="auto"/>
        <w:left w:val="none" w:sz="0" w:space="0" w:color="auto"/>
        <w:bottom w:val="none" w:sz="0" w:space="0" w:color="auto"/>
        <w:right w:val="none" w:sz="0" w:space="0" w:color="auto"/>
      </w:divBdr>
    </w:div>
    <w:div w:id="1777291324">
      <w:bodyDiv w:val="1"/>
      <w:marLeft w:val="0"/>
      <w:marRight w:val="0"/>
      <w:marTop w:val="0"/>
      <w:marBottom w:val="0"/>
      <w:divBdr>
        <w:top w:val="none" w:sz="0" w:space="0" w:color="auto"/>
        <w:left w:val="none" w:sz="0" w:space="0" w:color="auto"/>
        <w:bottom w:val="none" w:sz="0" w:space="0" w:color="auto"/>
        <w:right w:val="none" w:sz="0" w:space="0" w:color="auto"/>
      </w:divBdr>
    </w:div>
    <w:div w:id="1810900071">
      <w:bodyDiv w:val="1"/>
      <w:marLeft w:val="0"/>
      <w:marRight w:val="0"/>
      <w:marTop w:val="0"/>
      <w:marBottom w:val="0"/>
      <w:divBdr>
        <w:top w:val="none" w:sz="0" w:space="0" w:color="auto"/>
        <w:left w:val="none" w:sz="0" w:space="0" w:color="auto"/>
        <w:bottom w:val="none" w:sz="0" w:space="0" w:color="auto"/>
        <w:right w:val="none" w:sz="0" w:space="0" w:color="auto"/>
      </w:divBdr>
    </w:div>
    <w:div w:id="1864246639">
      <w:bodyDiv w:val="1"/>
      <w:marLeft w:val="0"/>
      <w:marRight w:val="0"/>
      <w:marTop w:val="0"/>
      <w:marBottom w:val="0"/>
      <w:divBdr>
        <w:top w:val="none" w:sz="0" w:space="0" w:color="auto"/>
        <w:left w:val="none" w:sz="0" w:space="0" w:color="auto"/>
        <w:bottom w:val="none" w:sz="0" w:space="0" w:color="auto"/>
        <w:right w:val="none" w:sz="0" w:space="0" w:color="auto"/>
      </w:divBdr>
    </w:div>
    <w:div w:id="1867255723">
      <w:bodyDiv w:val="1"/>
      <w:marLeft w:val="0"/>
      <w:marRight w:val="0"/>
      <w:marTop w:val="0"/>
      <w:marBottom w:val="0"/>
      <w:divBdr>
        <w:top w:val="none" w:sz="0" w:space="0" w:color="auto"/>
        <w:left w:val="none" w:sz="0" w:space="0" w:color="auto"/>
        <w:bottom w:val="none" w:sz="0" w:space="0" w:color="auto"/>
        <w:right w:val="none" w:sz="0" w:space="0" w:color="auto"/>
      </w:divBdr>
      <w:divsChild>
        <w:div w:id="2031908018">
          <w:marLeft w:val="0"/>
          <w:marRight w:val="0"/>
          <w:marTop w:val="0"/>
          <w:marBottom w:val="0"/>
          <w:divBdr>
            <w:top w:val="none" w:sz="0" w:space="0" w:color="auto"/>
            <w:left w:val="none" w:sz="0" w:space="0" w:color="auto"/>
            <w:bottom w:val="none" w:sz="0" w:space="0" w:color="auto"/>
            <w:right w:val="none" w:sz="0" w:space="0" w:color="auto"/>
          </w:divBdr>
          <w:divsChild>
            <w:div w:id="225069493">
              <w:marLeft w:val="75"/>
              <w:marRight w:val="0"/>
              <w:marTop w:val="0"/>
              <w:marBottom w:val="0"/>
              <w:divBdr>
                <w:top w:val="none" w:sz="0" w:space="0" w:color="auto"/>
                <w:left w:val="none" w:sz="0" w:space="0" w:color="auto"/>
                <w:bottom w:val="none" w:sz="0" w:space="0" w:color="auto"/>
                <w:right w:val="none" w:sz="0" w:space="0" w:color="auto"/>
              </w:divBdr>
            </w:div>
            <w:div w:id="971254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04562370">
      <w:bodyDiv w:val="1"/>
      <w:marLeft w:val="0"/>
      <w:marRight w:val="0"/>
      <w:marTop w:val="0"/>
      <w:marBottom w:val="0"/>
      <w:divBdr>
        <w:top w:val="none" w:sz="0" w:space="0" w:color="auto"/>
        <w:left w:val="none" w:sz="0" w:space="0" w:color="auto"/>
        <w:bottom w:val="none" w:sz="0" w:space="0" w:color="auto"/>
        <w:right w:val="none" w:sz="0" w:space="0" w:color="auto"/>
      </w:divBdr>
    </w:div>
    <w:div w:id="1928074183">
      <w:bodyDiv w:val="1"/>
      <w:marLeft w:val="0"/>
      <w:marRight w:val="0"/>
      <w:marTop w:val="0"/>
      <w:marBottom w:val="0"/>
      <w:divBdr>
        <w:top w:val="none" w:sz="0" w:space="0" w:color="auto"/>
        <w:left w:val="none" w:sz="0" w:space="0" w:color="auto"/>
        <w:bottom w:val="none" w:sz="0" w:space="0" w:color="auto"/>
        <w:right w:val="none" w:sz="0" w:space="0" w:color="auto"/>
      </w:divBdr>
    </w:div>
    <w:div w:id="1997760416">
      <w:bodyDiv w:val="1"/>
      <w:marLeft w:val="0"/>
      <w:marRight w:val="0"/>
      <w:marTop w:val="0"/>
      <w:marBottom w:val="0"/>
      <w:divBdr>
        <w:top w:val="none" w:sz="0" w:space="0" w:color="auto"/>
        <w:left w:val="none" w:sz="0" w:space="0" w:color="auto"/>
        <w:bottom w:val="none" w:sz="0" w:space="0" w:color="auto"/>
        <w:right w:val="none" w:sz="0" w:space="0" w:color="auto"/>
      </w:divBdr>
    </w:div>
    <w:div w:id="20164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MIROSLAV\Licno\Strategija%20i%20AP\Pregled%20sk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solidFill>
              <a:srgbClr val="CC3300"/>
            </a:solidFill>
          </c:spPr>
          <c:dPt>
            <c:idx val="0"/>
            <c:spPr>
              <a:solidFill>
                <a:srgbClr val="00B050"/>
              </a:solidFill>
            </c:spPr>
            <c:extLst xmlns:c16r2="http://schemas.microsoft.com/office/drawing/2015/06/chart">
              <c:ext xmlns:c16="http://schemas.microsoft.com/office/drawing/2014/chart" uri="{C3380CC4-5D6E-409C-BE32-E72D297353CC}">
                <c16:uniqueId val="{00000001-23A9-49DC-A6EE-AB2796127478}"/>
              </c:ext>
            </c:extLst>
          </c:dPt>
          <c:dPt>
            <c:idx val="1"/>
            <c:spPr>
              <a:solidFill>
                <a:srgbClr val="0070C0"/>
              </a:solidFill>
            </c:spPr>
            <c:extLst xmlns:c16r2="http://schemas.microsoft.com/office/drawing/2015/06/chart">
              <c:ext xmlns:c16="http://schemas.microsoft.com/office/drawing/2014/chart" uri="{C3380CC4-5D6E-409C-BE32-E72D297353CC}">
                <c16:uniqueId val="{00000003-23A9-49DC-A6EE-AB2796127478}"/>
              </c:ext>
            </c:extLst>
          </c:dPt>
          <c:dLbls>
            <c:spPr>
              <a:solidFill>
                <a:schemeClr val="bg1"/>
              </a:solidFill>
            </c:spPr>
            <c:showVal val="1"/>
            <c:showPercent val="1"/>
            <c:separator>
</c:separator>
            <c:showLeaderLines val="1"/>
            <c:extLst xmlns:c16r2="http://schemas.microsoft.com/office/drawing/2015/06/chart">
              <c:ext xmlns:c15="http://schemas.microsoft.com/office/drawing/2012/chart" uri="{CE6537A1-D6FC-4f65-9D91-7224C49458BB}"/>
            </c:extLst>
          </c:dLbls>
          <c:cat>
            <c:strRef>
              <c:f>Sheet1!$M$1:$O$1</c:f>
              <c:strCache>
                <c:ptCount val="3"/>
                <c:pt idx="0">
                  <c:v>Спроведено  или континуирано се спроводи</c:v>
                </c:pt>
                <c:pt idx="1">
                  <c:v>Делимично спроведено</c:v>
                </c:pt>
                <c:pt idx="2">
                  <c:v>Неспроведено</c:v>
                </c:pt>
              </c:strCache>
            </c:strRef>
          </c:cat>
          <c:val>
            <c:numRef>
              <c:f>Sheet1!$M$2:$O$2</c:f>
              <c:numCache>
                <c:formatCode>General</c:formatCode>
                <c:ptCount val="3"/>
                <c:pt idx="0">
                  <c:v>87</c:v>
                </c:pt>
                <c:pt idx="1">
                  <c:v>12</c:v>
                </c:pt>
                <c:pt idx="2">
                  <c:v>10</c:v>
                </c:pt>
              </c:numCache>
            </c:numRef>
          </c:val>
          <c:extLst xmlns:c16r2="http://schemas.microsoft.com/office/drawing/2015/06/chart">
            <c:ext xmlns:c16="http://schemas.microsoft.com/office/drawing/2014/chart" uri="{C3380CC4-5D6E-409C-BE32-E72D297353CC}">
              <c16:uniqueId val="{00000004-23A9-49DC-A6EE-AB2796127478}"/>
            </c:ext>
          </c:extLst>
        </c:ser>
        <c:firstSliceAng val="0"/>
      </c:pieChart>
      <c:spPr>
        <a:noFill/>
        <a:ln w="25400">
          <a:noFill/>
        </a:ln>
      </c:spPr>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2020-2024</PublishDate>
  <Abstract>за борбу против прања новца и финансирања тероризма за период 2020–2024. и Акциони план за период 2020–2022. године - ПРЕДЛОГ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90D23E-FD24-46EA-83DE-1B76795B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11768</Words>
  <Characters>67082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СТРАТЕГИЈА</vt:lpstr>
    </vt:vector>
  </TitlesOfParts>
  <Company>Mic</Company>
  <LinksUpToDate>false</LinksUpToDate>
  <CharactersWithSpaces>78693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dc:title>
  <dc:creator>Snezana Konjevic</dc:creator>
  <cp:lastModifiedBy>Катарина Павличић</cp:lastModifiedBy>
  <cp:revision>2</cp:revision>
  <cp:lastPrinted>2020-02-14T10:06:00Z</cp:lastPrinted>
  <dcterms:created xsi:type="dcterms:W3CDTF">2020-02-19T11:43:00Z</dcterms:created>
  <dcterms:modified xsi:type="dcterms:W3CDTF">2020-02-19T11:43:00Z</dcterms:modified>
</cp:coreProperties>
</file>