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080" w:rsidRPr="0053462F" w:rsidRDefault="00F25AAF" w:rsidP="0053462F">
      <w:pPr>
        <w:spacing w:after="120" w:line="300" w:lineRule="exact"/>
        <w:jc w:val="right"/>
        <w:rPr>
          <w:rFonts w:ascii="Cambria" w:hAnsi="Cambria"/>
        </w:rPr>
      </w:pPr>
      <w:r w:rsidRPr="0053462F">
        <w:rPr>
          <w:rFonts w:ascii="Cambria"/>
          <w:color w:val="000000"/>
        </w:rPr>
        <w:t>﻿</w:t>
      </w:r>
      <w:r w:rsidRPr="0053462F">
        <w:rPr>
          <w:rFonts w:ascii="Cambria" w:hAnsi="Cambria"/>
          <w:b/>
          <w:bCs/>
          <w:color w:val="000000"/>
        </w:rPr>
        <w:t>Consolidated version</w:t>
      </w:r>
    </w:p>
    <w:p w:rsidR="0053462F" w:rsidRDefault="0053462F" w:rsidP="0053462F">
      <w:pPr>
        <w:spacing w:after="120" w:line="300" w:lineRule="exact"/>
        <w:jc w:val="both"/>
        <w:rPr>
          <w:rFonts w:ascii="Cambria" w:hAnsi="Cambria"/>
          <w:color w:val="000000"/>
        </w:rPr>
      </w:pPr>
    </w:p>
    <w:p w:rsidR="005F1080" w:rsidRPr="0053462F" w:rsidRDefault="00F25AAF" w:rsidP="0053462F">
      <w:pPr>
        <w:spacing w:after="120" w:line="300" w:lineRule="exact"/>
        <w:jc w:val="both"/>
        <w:rPr>
          <w:rFonts w:ascii="Cambria" w:hAnsi="Cambria"/>
        </w:rPr>
      </w:pPr>
      <w:r w:rsidRPr="0053462F">
        <w:rPr>
          <w:rFonts w:ascii="Cambria" w:hAnsi="Cambria"/>
          <w:color w:val="000000"/>
        </w:rPr>
        <w:t>Pursuant to Article 70, paragraph 1, of the Law on the Prevention of Money Laundering and the Financing of Terrorism (AML/CFT Law) (Official Gazette of the Republic of Serbia, 113/17) and Article 33, paragraphs 2 and 3 of the Law on Government (Official Gazette of the Republic of Serbia, 55/05, 71/05 − corr., 101/07, 65/08, 16 /11, 68/12 − Decision of the Constitutional Court, 72/12, 7/14 − Decision of the Constitutional Court, 44/14 and 30/18 − other law),</w:t>
      </w:r>
    </w:p>
    <w:p w:rsidR="005F1080" w:rsidRPr="0053462F" w:rsidRDefault="00F25AAF" w:rsidP="0053462F">
      <w:pPr>
        <w:spacing w:after="120" w:line="300" w:lineRule="exact"/>
        <w:rPr>
          <w:rFonts w:ascii="Cambria" w:hAnsi="Cambria"/>
        </w:rPr>
      </w:pPr>
      <w:r w:rsidRPr="0053462F">
        <w:rPr>
          <w:rFonts w:ascii="Cambria" w:hAnsi="Cambria"/>
          <w:color w:val="000000"/>
        </w:rPr>
        <w:t>the Government hereby passes the</w:t>
      </w:r>
    </w:p>
    <w:p w:rsidR="005F1080" w:rsidRPr="0053462F" w:rsidRDefault="00F25AAF" w:rsidP="0053462F">
      <w:pPr>
        <w:spacing w:after="120" w:line="300" w:lineRule="exact"/>
        <w:jc w:val="center"/>
        <w:rPr>
          <w:rFonts w:ascii="Cambria" w:hAnsi="Cambria"/>
        </w:rPr>
      </w:pPr>
      <w:r w:rsidRPr="0053462F">
        <w:rPr>
          <w:rFonts w:ascii="Cambria" w:hAnsi="Cambria"/>
          <w:b/>
          <w:bCs/>
          <w:color w:val="000000"/>
        </w:rPr>
        <w:t>DECISION</w:t>
      </w:r>
    </w:p>
    <w:p w:rsidR="005F1080" w:rsidRPr="0053462F" w:rsidRDefault="00F25AAF" w:rsidP="0053462F">
      <w:pPr>
        <w:spacing w:after="120" w:line="300" w:lineRule="exact"/>
        <w:jc w:val="center"/>
        <w:rPr>
          <w:rFonts w:ascii="Cambria" w:hAnsi="Cambria"/>
        </w:rPr>
      </w:pPr>
      <w:r w:rsidRPr="0053462F">
        <w:rPr>
          <w:rFonts w:ascii="Cambria" w:hAnsi="Cambria"/>
          <w:b/>
          <w:bCs/>
          <w:color w:val="000000"/>
        </w:rPr>
        <w:t>on the establishment of the Coordination Body for the Prevention of Money Laundering and Terrorism Financing</w:t>
      </w:r>
    </w:p>
    <w:p w:rsidR="005F1080" w:rsidRPr="0053462F" w:rsidRDefault="00F25AAF" w:rsidP="0053462F">
      <w:pPr>
        <w:spacing w:after="120" w:line="300" w:lineRule="exact"/>
        <w:jc w:val="center"/>
        <w:rPr>
          <w:rFonts w:ascii="Cambria" w:hAnsi="Cambria"/>
        </w:rPr>
      </w:pPr>
      <w:r w:rsidRPr="0053462F">
        <w:rPr>
          <w:rFonts w:ascii="Cambria" w:hAnsi="Cambria"/>
          <w:color w:val="000000"/>
        </w:rPr>
        <w:t>Official Gazette of the Republic of Serbia, No 54 of 13 September 2018, 84 of 29 November 2021, 6 of 29 January 2021</w:t>
      </w:r>
    </w:p>
    <w:p w:rsidR="005F1080" w:rsidRPr="0053462F" w:rsidRDefault="00F25AAF" w:rsidP="0053462F">
      <w:pPr>
        <w:spacing w:after="120" w:line="300" w:lineRule="exact"/>
        <w:rPr>
          <w:rFonts w:ascii="Cambria" w:hAnsi="Cambria"/>
        </w:rPr>
      </w:pPr>
      <w:r w:rsidRPr="0053462F">
        <w:rPr>
          <w:rFonts w:ascii="Cambria" w:hAnsi="Cambria"/>
          <w:color w:val="000000"/>
        </w:rPr>
        <w:t xml:space="preserve">1. A Coordination Body for the Prevention of Money Laundering and Terrorism Financing is hereby established to ensure efficient cooperation and coordination of competent authorities' activities in this area (hereinafter referred to as: AML/CFT Coordination Body). </w:t>
      </w:r>
    </w:p>
    <w:p w:rsidR="005F1080" w:rsidRPr="0053462F" w:rsidRDefault="00F25AAF" w:rsidP="0053462F">
      <w:pPr>
        <w:spacing w:after="120" w:line="300" w:lineRule="exact"/>
        <w:rPr>
          <w:rFonts w:ascii="Cambria" w:hAnsi="Cambria"/>
        </w:rPr>
      </w:pPr>
      <w:r w:rsidRPr="0053462F">
        <w:rPr>
          <w:rFonts w:ascii="Cambria" w:hAnsi="Cambria"/>
          <w:b/>
          <w:bCs/>
        </w:rPr>
        <w:t>2.</w:t>
      </w:r>
      <w:r w:rsidRPr="0053462F">
        <w:rPr>
          <w:rFonts w:ascii="Cambria" w:hAnsi="Cambria"/>
        </w:rPr>
        <w:t xml:space="preserve"> </w:t>
      </w:r>
      <w:r w:rsidRPr="0053462F">
        <w:rPr>
          <w:rFonts w:ascii="Cambria" w:hAnsi="Cambria"/>
          <w:b/>
          <w:bCs/>
        </w:rPr>
        <w:t>The following shall be nominated to the AML/CFT Coordination Body:</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 for Chairman:</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Mr Siniša Mali, minister of finance;</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 for members:</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1) Ms Danijela Vazura, Ministry of Finance;</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2) Mr Branko Ilić, Ministry of Justice;</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3) Mr Vladimir Vinš, Ministry of Justice;</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4) Mr Vladimir Vinš, Ministry of Justice;</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5) Mr Željko Radovanović, Administration for the Prevention of Money Laundering;</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6) Ms Jelena Pantelić, Administration for the Prevention of Money Laundering</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7) Ms Danijela Tanić Zafirović, Administration for the Prevention of Money Laundering</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8) Mr Nebojša Adamović, Ministry of the Interior;</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9) Mr Nenad Antonijević, Ministry of the Interior;</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10) Mr Vesko Krstajić, Supreme Court of Cassation;</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11) Mr Vladimir Stevanović, Prosecutor’s Office for Organized Crime;</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12) Mr Jasmina Milanović Ganić, Prosecutor’s Office for Organised Crime;</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13) Mr Miljko Radisavljević, Republic Public Prosecutor’s Office;</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14) Mr Mane Gajić, Security Information Agency;</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15) Ms Dragana Vidaković, Security Information Agency;</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lastRenderedPageBreak/>
        <w:t>16) Mr Vladislav Stanković, Securities Commission;</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17) Mr Predrag Nikolić, Office of the National Security Council and Classified Information Protection;</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18) Mr Dejan Dević, National Bank of Serbia;</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19) Mr Marko Marinković, National Bank of Serbia;</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20) Mr Nebojša Anđelković, Customs Administration;</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21) Mr Dejan Simić, Tax Administration;</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22) Ms Natalija Adžić, Serbian Chamber of Notaries;</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23) Mr Rajko Marić, Serbian Bar Association;</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24) Mr Dejan Stanojević, Ministry of Trade, Tourism and Telecommunications - Market Inspection Sector;</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25) Ms Marija Vučinić, Ministry of Trade, Tourism and Telecommunications - Sector for Electronic Communications and Postal Services;</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26) Ms Dijana Ivančić, Ministry of Foreign Affairs;</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27) Mr Žarko Stepanović, Ministry of Human and Minority Rights and Social Dialogue;</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28) Mr Dušan Vučković, Ministry of Economy;</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29) Ms Marija Pajić, Serbian Business Registers Agency (SBRA) - Companies Register;</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30) Ms Biljana Murganić, Games of Chance Administration.</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 for technical secretaries:</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1) Mr Miroslav Starovlah, Administration for the Prevention of Money Laundering;</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b/>
          <w:bCs/>
          <w:color w:val="000000"/>
        </w:rPr>
        <w:t>2) Mr Mirko Šuković, Ministry of Interior.</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color w:val="000000"/>
        </w:rPr>
        <w:t>*Official Gazette of RS, No 6/2021</w:t>
      </w:r>
    </w:p>
    <w:p w:rsidR="005F1080" w:rsidRPr="0053462F" w:rsidRDefault="00F25AAF" w:rsidP="0053462F">
      <w:pPr>
        <w:spacing w:after="120" w:line="300" w:lineRule="exact"/>
        <w:rPr>
          <w:rFonts w:ascii="Cambria" w:hAnsi="Cambria"/>
        </w:rPr>
      </w:pPr>
      <w:r w:rsidRPr="0053462F">
        <w:rPr>
          <w:rFonts w:ascii="Cambria" w:hAnsi="Cambria"/>
          <w:color w:val="000000"/>
        </w:rPr>
        <w:t>3. The AML/CFT Coordination Body shall have the following terms of reference:</w:t>
      </w:r>
    </w:p>
    <w:p w:rsidR="005F1080" w:rsidRPr="0053462F" w:rsidRDefault="00F25AAF" w:rsidP="0053462F">
      <w:pPr>
        <w:spacing w:after="120" w:line="300" w:lineRule="exact"/>
        <w:rPr>
          <w:rFonts w:ascii="Cambria" w:hAnsi="Cambria"/>
        </w:rPr>
      </w:pPr>
      <w:r w:rsidRPr="0053462F">
        <w:rPr>
          <w:rFonts w:ascii="Cambria" w:hAnsi="Cambria"/>
          <w:color w:val="000000"/>
        </w:rPr>
        <w:t xml:space="preserve">1) to analyse the most significant issues for the functioning of the system for the prevention of money laundering, financing </w:t>
      </w:r>
      <w:r w:rsidR="00683B27">
        <w:rPr>
          <w:rFonts w:ascii="Cambria" w:hAnsi="Cambria"/>
          <w:color w:val="000000"/>
        </w:rPr>
        <w:t xml:space="preserve">of terrorism </w:t>
      </w:r>
      <w:r w:rsidRPr="0053462F">
        <w:rPr>
          <w:rFonts w:ascii="Cambria" w:hAnsi="Cambria"/>
          <w:color w:val="000000"/>
        </w:rPr>
        <w:t>and proliferation of weapons of mass destruction, coordinate and provide recommendations to the competent authorities for improving the system;</w:t>
      </w:r>
    </w:p>
    <w:p w:rsidR="005F1080" w:rsidRPr="0053462F" w:rsidRDefault="00F25AAF" w:rsidP="0053462F">
      <w:pPr>
        <w:spacing w:after="120" w:line="300" w:lineRule="exact"/>
        <w:rPr>
          <w:rFonts w:ascii="Cambria" w:hAnsi="Cambria"/>
        </w:rPr>
      </w:pPr>
      <w:r w:rsidRPr="0053462F">
        <w:rPr>
          <w:rFonts w:ascii="Cambria" w:hAnsi="Cambria"/>
          <w:color w:val="000000"/>
        </w:rPr>
        <w:t>2) to establish methodology and conduct national money laundering and terrorism financing risk assessment, and disseminate segments of the national risk assessment to all AML/CFT stakeholders in an appropriate form;</w:t>
      </w:r>
    </w:p>
    <w:p w:rsidR="005F1080" w:rsidRPr="0053462F" w:rsidRDefault="00F25AAF" w:rsidP="0053462F">
      <w:pPr>
        <w:spacing w:after="120" w:line="300" w:lineRule="exact"/>
        <w:rPr>
          <w:rFonts w:ascii="Cambria" w:hAnsi="Cambria"/>
        </w:rPr>
      </w:pPr>
      <w:r w:rsidRPr="0053462F">
        <w:rPr>
          <w:rFonts w:ascii="Cambria" w:hAnsi="Cambria"/>
          <w:color w:val="000000"/>
        </w:rPr>
        <w:t>3) to ensure that the national risk assessment findings be taken into account when developing or updating the National Strategy Against Money Laundering and the Financing of Terrorism and its Action Plan (hereinafter referred to as: National AML/CFT Strategy) and that the aims and policies of individual authorities be in line with the national policies and risks;</w:t>
      </w:r>
    </w:p>
    <w:p w:rsidR="005F1080" w:rsidRPr="0053462F" w:rsidRDefault="00F25AAF" w:rsidP="0053462F">
      <w:pPr>
        <w:spacing w:after="120" w:line="300" w:lineRule="exact"/>
        <w:rPr>
          <w:rFonts w:ascii="Cambria" w:hAnsi="Cambria"/>
        </w:rPr>
      </w:pPr>
      <w:r w:rsidRPr="0053462F">
        <w:rPr>
          <w:rFonts w:ascii="Cambria" w:hAnsi="Cambria"/>
          <w:color w:val="000000"/>
        </w:rPr>
        <w:t>4) to monitor the implementation of the National AML/CFT Strategy and coordinate the implementation of measures provided in the National AML/CFT Strategy;</w:t>
      </w:r>
    </w:p>
    <w:p w:rsidR="005F1080" w:rsidRPr="0053462F" w:rsidRDefault="00F25AAF" w:rsidP="0053462F">
      <w:pPr>
        <w:spacing w:after="120" w:line="300" w:lineRule="exact"/>
        <w:rPr>
          <w:rFonts w:ascii="Cambria" w:hAnsi="Cambria"/>
        </w:rPr>
      </w:pPr>
      <w:r w:rsidRPr="0053462F">
        <w:rPr>
          <w:rFonts w:ascii="Cambria" w:hAnsi="Cambria"/>
          <w:color w:val="000000"/>
        </w:rPr>
        <w:lastRenderedPageBreak/>
        <w:t>5) to regularly review the effectiveness of interagency and international cooperation and information exchange and provide recommendations to improve the situation in the area;</w:t>
      </w:r>
    </w:p>
    <w:p w:rsidR="005F1080" w:rsidRPr="0053462F" w:rsidRDefault="00F25AAF" w:rsidP="0053462F">
      <w:pPr>
        <w:spacing w:after="120" w:line="300" w:lineRule="exact"/>
        <w:rPr>
          <w:rFonts w:ascii="Cambria" w:hAnsi="Cambria"/>
        </w:rPr>
      </w:pPr>
      <w:r w:rsidRPr="0053462F">
        <w:rPr>
          <w:rFonts w:ascii="Cambria" w:hAnsi="Cambria"/>
          <w:color w:val="000000"/>
        </w:rPr>
        <w:t>6) to monitor and coordinate the use of technical assistance programmes and training related to the fight against money laundering terrorist financing, financing of proliferation of weapons of mass destruction and other relevant areas, and ensure that such programmes are actively, effectively and efficiently used;</w:t>
      </w:r>
    </w:p>
    <w:p w:rsidR="005F1080" w:rsidRPr="0053462F" w:rsidRDefault="00F25AAF" w:rsidP="0053462F">
      <w:pPr>
        <w:spacing w:after="120" w:line="300" w:lineRule="exact"/>
        <w:rPr>
          <w:rFonts w:ascii="Cambria" w:hAnsi="Cambria"/>
        </w:rPr>
      </w:pPr>
      <w:r w:rsidRPr="0053462F">
        <w:rPr>
          <w:rFonts w:ascii="Cambria" w:hAnsi="Cambria"/>
          <w:color w:val="000000"/>
        </w:rPr>
        <w:t>7) to perform other tasks of relevance for the prevention of money laundering and terrorism financing.</w:t>
      </w:r>
    </w:p>
    <w:p w:rsidR="005F1080" w:rsidRPr="0053462F" w:rsidRDefault="00F25AAF" w:rsidP="0053462F">
      <w:pPr>
        <w:spacing w:after="120" w:line="300" w:lineRule="exact"/>
        <w:rPr>
          <w:rFonts w:ascii="Cambria" w:hAnsi="Cambria"/>
        </w:rPr>
      </w:pPr>
      <w:r w:rsidRPr="0053462F">
        <w:rPr>
          <w:rFonts w:ascii="Cambria" w:hAnsi="Cambria"/>
          <w:color w:val="000000"/>
        </w:rPr>
        <w:t>4. For the purpose of fulfill its terms of reference, referred to in point 3 of this Decision, the AML/CFT Coordination Body may create working groups and engage representatives of other state authorities and experts for certain areas.</w:t>
      </w:r>
    </w:p>
    <w:p w:rsidR="005F1080" w:rsidRPr="0053462F" w:rsidRDefault="00F25AAF" w:rsidP="0053462F">
      <w:pPr>
        <w:spacing w:after="120" w:line="300" w:lineRule="exact"/>
        <w:rPr>
          <w:rFonts w:ascii="Cambria" w:hAnsi="Cambria"/>
        </w:rPr>
      </w:pPr>
      <w:r w:rsidRPr="0053462F">
        <w:rPr>
          <w:rFonts w:ascii="Cambria" w:hAnsi="Cambria"/>
          <w:color w:val="000000"/>
        </w:rPr>
        <w:t>5. The AML/CFT Coordination Body shall submit the following reports to the Government:</w:t>
      </w:r>
    </w:p>
    <w:p w:rsidR="005F1080" w:rsidRPr="0053462F" w:rsidRDefault="00F25AAF" w:rsidP="0053462F">
      <w:pPr>
        <w:spacing w:after="120" w:line="300" w:lineRule="exact"/>
        <w:rPr>
          <w:rFonts w:ascii="Cambria" w:hAnsi="Cambria"/>
        </w:rPr>
      </w:pPr>
      <w:r w:rsidRPr="0053462F">
        <w:rPr>
          <w:rFonts w:ascii="Cambria" w:hAnsi="Cambria"/>
          <w:color w:val="000000"/>
        </w:rPr>
        <w:t>1) work report;</w:t>
      </w:r>
    </w:p>
    <w:p w:rsidR="005F1080" w:rsidRPr="0053462F" w:rsidRDefault="00F25AAF" w:rsidP="0053462F">
      <w:pPr>
        <w:spacing w:after="120" w:line="300" w:lineRule="exact"/>
        <w:rPr>
          <w:rFonts w:ascii="Cambria" w:hAnsi="Cambria"/>
        </w:rPr>
      </w:pPr>
      <w:r w:rsidRPr="0053462F">
        <w:rPr>
          <w:rFonts w:ascii="Cambria" w:hAnsi="Cambria"/>
          <w:color w:val="000000"/>
        </w:rPr>
        <w:t xml:space="preserve">2) report on the implementation of activities provided in the Action Plan for implementing the National AML/CFT Strategy;  </w:t>
      </w:r>
    </w:p>
    <w:p w:rsidR="005F1080" w:rsidRPr="0053462F" w:rsidRDefault="00F25AAF" w:rsidP="0053462F">
      <w:pPr>
        <w:spacing w:after="120" w:line="300" w:lineRule="exact"/>
        <w:rPr>
          <w:rFonts w:ascii="Cambria" w:hAnsi="Cambria"/>
        </w:rPr>
      </w:pPr>
      <w:r w:rsidRPr="0053462F">
        <w:rPr>
          <w:rFonts w:ascii="Cambria" w:hAnsi="Cambria"/>
          <w:color w:val="000000"/>
        </w:rPr>
        <w:t xml:space="preserve">3) report on national money laundering and terrorism financing risk assessments;  </w:t>
      </w:r>
    </w:p>
    <w:p w:rsidR="005F1080" w:rsidRPr="0053462F" w:rsidRDefault="00F25AAF" w:rsidP="0053462F">
      <w:pPr>
        <w:spacing w:after="120" w:line="300" w:lineRule="exact"/>
        <w:rPr>
          <w:rFonts w:ascii="Cambria" w:hAnsi="Cambria"/>
        </w:rPr>
      </w:pPr>
      <w:r w:rsidRPr="0053462F">
        <w:rPr>
          <w:rFonts w:ascii="Cambria" w:hAnsi="Cambria"/>
          <w:color w:val="000000"/>
        </w:rPr>
        <w:t>4) other reports related to the terms of reference of the AML/CFT Coordination Body.</w:t>
      </w:r>
    </w:p>
    <w:p w:rsidR="005F1080" w:rsidRPr="0053462F" w:rsidRDefault="00F25AAF" w:rsidP="0053462F">
      <w:pPr>
        <w:spacing w:after="120" w:line="300" w:lineRule="exact"/>
        <w:rPr>
          <w:rFonts w:ascii="Cambria" w:hAnsi="Cambria"/>
        </w:rPr>
      </w:pPr>
      <w:r w:rsidRPr="0053462F">
        <w:rPr>
          <w:rFonts w:ascii="Cambria" w:hAnsi="Cambria"/>
          <w:color w:val="000000"/>
        </w:rPr>
        <w:t xml:space="preserve">6. The AML/CFT Coordination Body will issue its Rules of Procedure within 60 days of entry into force of this Decision. </w:t>
      </w:r>
    </w:p>
    <w:p w:rsidR="005F1080" w:rsidRPr="0053462F" w:rsidRDefault="00F25AAF" w:rsidP="0053462F">
      <w:pPr>
        <w:spacing w:after="120" w:line="300" w:lineRule="exact"/>
        <w:rPr>
          <w:rFonts w:ascii="Cambria" w:hAnsi="Cambria"/>
        </w:rPr>
      </w:pPr>
      <w:r w:rsidRPr="0053462F">
        <w:rPr>
          <w:rFonts w:ascii="Cambria" w:hAnsi="Cambria"/>
          <w:b/>
          <w:bCs/>
          <w:color w:val="000000"/>
        </w:rPr>
        <w:t>7.</w:t>
      </w:r>
      <w:r w:rsidRPr="0053462F">
        <w:rPr>
          <w:rFonts w:ascii="Cambria" w:hAnsi="Cambria"/>
          <w:color w:val="000000"/>
        </w:rPr>
        <w:t xml:space="preserve"> </w:t>
      </w:r>
      <w:r w:rsidRPr="0053462F">
        <w:rPr>
          <w:rFonts w:ascii="Cambria" w:hAnsi="Cambria"/>
          <w:b/>
          <w:bCs/>
          <w:color w:val="000000"/>
        </w:rPr>
        <w:t>The expert, administrative and technical assignments for the AML/CFT Coordination Body shall be performed by the Ministry of Finance and expert secretariat to be established by the AML/CFT Coordination Body in accordance with its Rules of Procedure.</w:t>
      </w:r>
      <w:r w:rsidRPr="0053462F">
        <w:rPr>
          <w:rFonts w:ascii="Cambria" w:hAnsi="Cambria"/>
          <w:b/>
          <w:bCs/>
          <w:color w:val="000000"/>
          <w:vertAlign w:val="superscript"/>
        </w:rPr>
        <w:t>*</w:t>
      </w:r>
    </w:p>
    <w:p w:rsidR="005F1080" w:rsidRPr="0053462F" w:rsidRDefault="00F25AAF" w:rsidP="0053462F">
      <w:pPr>
        <w:spacing w:after="120" w:line="300" w:lineRule="exact"/>
        <w:rPr>
          <w:rFonts w:ascii="Cambria" w:hAnsi="Cambria"/>
        </w:rPr>
      </w:pPr>
      <w:r w:rsidRPr="0053462F">
        <w:rPr>
          <w:rFonts w:ascii="Cambria" w:hAnsi="Cambria"/>
          <w:color w:val="000000"/>
        </w:rPr>
        <w:t>*Official Gazette of RS, No 84/2019</w:t>
      </w:r>
    </w:p>
    <w:p w:rsidR="005F1080" w:rsidRPr="0053462F" w:rsidRDefault="00F25AAF" w:rsidP="0053462F">
      <w:pPr>
        <w:spacing w:after="120" w:line="300" w:lineRule="exact"/>
        <w:rPr>
          <w:rFonts w:ascii="Cambria" w:hAnsi="Cambria"/>
        </w:rPr>
      </w:pPr>
      <w:r w:rsidRPr="0053462F">
        <w:rPr>
          <w:rFonts w:ascii="Cambria" w:hAnsi="Cambria"/>
          <w:color w:val="000000"/>
        </w:rPr>
        <w:t>8. The chairman, members and technical secretaries of the AML/CFT Coordination Body or any experts engaged shall not be entitled to remuneration for their involvement in the AML/CFT Coordination Body.</w:t>
      </w:r>
    </w:p>
    <w:p w:rsidR="005F1080" w:rsidRPr="0053462F" w:rsidRDefault="00F25AAF" w:rsidP="0053462F">
      <w:pPr>
        <w:spacing w:after="120" w:line="300" w:lineRule="exact"/>
        <w:rPr>
          <w:rFonts w:ascii="Cambria" w:hAnsi="Cambria"/>
        </w:rPr>
      </w:pPr>
      <w:r w:rsidRPr="0053462F">
        <w:rPr>
          <w:rFonts w:ascii="Cambria" w:hAnsi="Cambria"/>
          <w:color w:val="000000"/>
        </w:rPr>
        <w:t>9. The Decision on the Establishment of the Standing Coordination Group for the Implementation of the National Strategy against Money Laundering and Terrorism Financing (Official Gazette of the Republic of Serbia, 37/15 and 90/17) shall be repealed on entry into force of this Decision.</w:t>
      </w:r>
    </w:p>
    <w:p w:rsidR="005F1080" w:rsidRPr="0053462F" w:rsidRDefault="00F25AAF" w:rsidP="0053462F">
      <w:pPr>
        <w:spacing w:after="120" w:line="300" w:lineRule="exact"/>
        <w:rPr>
          <w:rFonts w:ascii="Cambria" w:hAnsi="Cambria"/>
        </w:rPr>
      </w:pPr>
      <w:r w:rsidRPr="0053462F">
        <w:rPr>
          <w:rFonts w:ascii="Cambria" w:hAnsi="Cambria"/>
          <w:color w:val="000000"/>
        </w:rPr>
        <w:t xml:space="preserve">10. This Decision enters into force on the day following its publication in the Official Gazette of the Republic of Serbia. </w:t>
      </w:r>
    </w:p>
    <w:p w:rsidR="005F1080" w:rsidRPr="0053462F" w:rsidRDefault="00F25AAF" w:rsidP="0053462F">
      <w:pPr>
        <w:spacing w:after="120" w:line="300" w:lineRule="exact"/>
        <w:jc w:val="right"/>
        <w:rPr>
          <w:rFonts w:ascii="Cambria" w:hAnsi="Cambria"/>
        </w:rPr>
      </w:pPr>
      <w:r w:rsidRPr="0053462F">
        <w:rPr>
          <w:rFonts w:ascii="Cambria" w:hAnsi="Cambria"/>
          <w:color w:val="000000"/>
        </w:rPr>
        <w:t>05 No 02-6755/2018</w:t>
      </w:r>
    </w:p>
    <w:p w:rsidR="005F1080" w:rsidRPr="0053462F" w:rsidRDefault="00F25AAF" w:rsidP="0053462F">
      <w:pPr>
        <w:spacing w:after="120" w:line="300" w:lineRule="exact"/>
        <w:jc w:val="right"/>
        <w:rPr>
          <w:rFonts w:ascii="Cambria" w:hAnsi="Cambria"/>
        </w:rPr>
      </w:pPr>
      <w:r w:rsidRPr="0053462F">
        <w:rPr>
          <w:rFonts w:ascii="Cambria" w:hAnsi="Cambria"/>
          <w:color w:val="000000"/>
        </w:rPr>
        <w:t>In Belgrade, 12 July 2018</w:t>
      </w:r>
    </w:p>
    <w:p w:rsidR="005F1080" w:rsidRPr="0053462F" w:rsidRDefault="00F25AAF" w:rsidP="0053462F">
      <w:pPr>
        <w:spacing w:after="120" w:line="300" w:lineRule="exact"/>
        <w:jc w:val="right"/>
        <w:rPr>
          <w:rFonts w:ascii="Cambria" w:hAnsi="Cambria"/>
        </w:rPr>
      </w:pPr>
      <w:r w:rsidRPr="0053462F">
        <w:rPr>
          <w:rFonts w:ascii="Cambria" w:hAnsi="Cambria"/>
          <w:b/>
          <w:bCs/>
          <w:color w:val="000000"/>
        </w:rPr>
        <w:t>Government</w:t>
      </w:r>
    </w:p>
    <w:p w:rsidR="005F1080" w:rsidRPr="0053462F" w:rsidRDefault="00F25AAF" w:rsidP="0053462F">
      <w:pPr>
        <w:spacing w:after="120" w:line="300" w:lineRule="exact"/>
        <w:jc w:val="right"/>
        <w:rPr>
          <w:rFonts w:ascii="Cambria" w:hAnsi="Cambria"/>
        </w:rPr>
      </w:pPr>
      <w:r w:rsidRPr="0053462F">
        <w:rPr>
          <w:rFonts w:ascii="Cambria" w:hAnsi="Cambria"/>
          <w:color w:val="000000"/>
        </w:rPr>
        <w:t>Prime Minister,</w:t>
      </w:r>
    </w:p>
    <w:p w:rsidR="005F1080" w:rsidRPr="0053462F" w:rsidRDefault="00F25AAF" w:rsidP="0053462F">
      <w:pPr>
        <w:spacing w:after="120" w:line="300" w:lineRule="exact"/>
        <w:jc w:val="right"/>
        <w:rPr>
          <w:rFonts w:ascii="Cambria" w:hAnsi="Cambria"/>
        </w:rPr>
      </w:pPr>
      <w:r w:rsidRPr="0053462F">
        <w:rPr>
          <w:rFonts w:ascii="Cambria" w:hAnsi="Cambria"/>
          <w:color w:val="000000"/>
        </w:rPr>
        <w:t>Ana Brnabić, m.p.</w:t>
      </w:r>
    </w:p>
    <w:sectPr w:rsidR="005F1080" w:rsidRPr="0053462F" w:rsidSect="005F108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5F1080"/>
    <w:rsid w:val="003B0314"/>
    <w:rsid w:val="0053462F"/>
    <w:rsid w:val="005F1080"/>
    <w:rsid w:val="00623713"/>
    <w:rsid w:val="006420FE"/>
    <w:rsid w:val="00683B27"/>
    <w:rsid w:val="00F25A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5F1080"/>
    <w:rPr>
      <w:color w:val="0000FF" w:themeColor="hyperlink"/>
      <w:u w:val="single"/>
    </w:rPr>
  </w:style>
  <w:style w:type="table" w:styleId="TableGrid">
    <w:name w:val="Table Grid"/>
    <w:basedOn w:val="TableNormal"/>
    <w:uiPriority w:val="59"/>
    <w:rsid w:val="005F10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sid w:val="005F108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5691</Characters>
  <Application>Microsoft Office Word</Application>
  <DocSecurity>4</DocSecurity>
  <Lines>47</Lines>
  <Paragraphs>13</Paragraphs>
  <ScaleCrop>false</ScaleCrop>
  <Company>Microsoft</Company>
  <LinksUpToDate>false</LinksUpToDate>
  <CharactersWithSpaces>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Starovlah</dc:creator>
  <cp:lastModifiedBy>Miroslav Starovlah</cp:lastModifiedBy>
  <cp:revision>2</cp:revision>
  <dcterms:created xsi:type="dcterms:W3CDTF">2021-03-30T09:25:00Z</dcterms:created>
  <dcterms:modified xsi:type="dcterms:W3CDTF">2021-03-30T09:25:00Z</dcterms:modified>
</cp:coreProperties>
</file>